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5E0A7F5B" w:rsidR="00070205" w:rsidRDefault="00CD4EC3" w:rsidP="00E7736B">
      <w:pPr>
        <w:pStyle w:val="Pagedecouverture"/>
      </w:pPr>
      <w:bookmarkStart w:id="0" w:name="_GoBack"/>
      <w:bookmarkEnd w:id="0"/>
      <w:r>
        <w:pict w14:anchorId="20D96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DA17D4A-7FCD-45E7-B366-3E4066080F89" style="width:450.45pt;height:395.1pt">
            <v:imagedata r:id="rId8" o:title=""/>
          </v:shape>
        </w:pict>
      </w:r>
    </w:p>
    <w:p w14:paraId="6DFFEAC0" w14:textId="77777777" w:rsidR="00465CE2" w:rsidRPr="00465CE2" w:rsidRDefault="00465CE2" w:rsidP="00465CE2">
      <w:pPr>
        <w:pStyle w:val="Pagedecouverture"/>
        <w:sectPr w:rsidR="00465CE2" w:rsidRPr="00465CE2" w:rsidSect="00333C56">
          <w:footerReference w:type="default" r:id="rId9"/>
          <w:pgSz w:w="11907" w:h="16839"/>
          <w:pgMar w:top="1134" w:right="1417" w:bottom="1134" w:left="1417" w:header="709" w:footer="709" w:gutter="0"/>
          <w:pgNumType w:start="0"/>
          <w:cols w:space="720"/>
          <w:docGrid w:linePitch="360"/>
        </w:sectPr>
      </w:pPr>
    </w:p>
    <w:p w14:paraId="19BB17F2" w14:textId="45C07A49" w:rsidR="00070205" w:rsidRPr="00465CE2" w:rsidRDefault="00497462" w:rsidP="00497462">
      <w:pPr>
        <w:pStyle w:val="Typedudocument"/>
      </w:pPr>
      <w:r w:rsidRPr="00465CE2">
        <w:lastRenderedPageBreak/>
        <w:t>KOMMISSIONENS GENOMFÖRANDEBESLUT (EU) …/…</w:t>
      </w:r>
    </w:p>
    <w:p w14:paraId="39925B62" w14:textId="0496C766" w:rsidR="00070205" w:rsidRPr="00465CE2" w:rsidRDefault="00465CE2" w:rsidP="00497462">
      <w:pPr>
        <w:pStyle w:val="Datedadoption"/>
      </w:pPr>
      <w:r>
        <w:t>av den XXX</w:t>
      </w:r>
    </w:p>
    <w:p w14:paraId="3EC8887B" w14:textId="530D70CF" w:rsidR="00070205" w:rsidRPr="00465CE2" w:rsidRDefault="00497462" w:rsidP="00497462">
      <w:pPr>
        <w:pStyle w:val="Titreobjet"/>
      </w:pPr>
      <w:r w:rsidRPr="00465CE2">
        <w:t>om standardavtalsklausuler för överföring av personuppgifter till tredjeländer i enlighet med Europaparlamentets och rådets förordning (EU) 2016/679</w:t>
      </w:r>
    </w:p>
    <w:p w14:paraId="2E28B445" w14:textId="5EA392B1" w:rsidR="00070205" w:rsidRPr="00465CE2" w:rsidRDefault="00497462" w:rsidP="00497462">
      <w:pPr>
        <w:pStyle w:val="IntrtEEE"/>
      </w:pPr>
      <w:r w:rsidRPr="00465CE2">
        <w:t>(Text av betydelse för EES)</w:t>
      </w:r>
    </w:p>
    <w:p w14:paraId="6A988FE2" w14:textId="77777777" w:rsidR="00070205" w:rsidRPr="00465CE2" w:rsidRDefault="00070205" w:rsidP="00C36A89">
      <w:pPr>
        <w:pStyle w:val="Institutionquiagit"/>
      </w:pPr>
      <w:r w:rsidRPr="00465CE2">
        <w:t>EUROPEISKA KOMMISSIONEN HAR ANTAGIT DETTA BESLUT</w:t>
      </w:r>
    </w:p>
    <w:p w14:paraId="5AFA792D" w14:textId="77777777" w:rsidR="001D4EF4" w:rsidRPr="00465CE2" w:rsidRDefault="00070205" w:rsidP="00C36A89">
      <w:r w:rsidRPr="00465CE2">
        <w:t>med beaktande av fördraget om Europeiska unionens funktionssätt,</w:t>
      </w:r>
    </w:p>
    <w:p w14:paraId="723B085A" w14:textId="1190B94A" w:rsidR="00070205" w:rsidRPr="00465CE2" w:rsidRDefault="00070205" w:rsidP="00C36A89">
      <w:r w:rsidRPr="00465CE2">
        <w:t xml:space="preserve">med beaktande av </w:t>
      </w:r>
      <w:r w:rsidRPr="00465CE2">
        <w:rPr>
          <w:color w:val="000000"/>
        </w:rPr>
        <w:t>Europaparlamentets och rådets förordning (EU) 2016/679 av den 27 april 2016 om skydd för fysiska personer med avseende på behandling av personuppgifter och om det fria flödet av sådana uppgifter och om upphävande av direktiv 95/46/EG (allmän dataskyddsförordning)</w:t>
      </w:r>
      <w:r w:rsidRPr="00465CE2">
        <w:rPr>
          <w:rStyle w:val="FootnoteReference"/>
          <w:color w:val="000000"/>
        </w:rPr>
        <w:footnoteReference w:id="1"/>
      </w:r>
      <w:r w:rsidRPr="00465CE2">
        <w:t>, särskilt artikel</w:t>
      </w:r>
      <w:r w:rsidRPr="00465CE2">
        <w:rPr>
          <w:color w:val="000000"/>
        </w:rPr>
        <w:t xml:space="preserve"> 28.7 och artikel 46.2 c</w:t>
      </w:r>
      <w:r w:rsidRPr="00465CE2">
        <w:t>, och</w:t>
      </w:r>
    </w:p>
    <w:p w14:paraId="5DBC66B2" w14:textId="77777777" w:rsidR="00070205" w:rsidRPr="00465CE2" w:rsidRDefault="00070205" w:rsidP="00C36A89">
      <w:r w:rsidRPr="00465CE2">
        <w:t>av följande skäl:</w:t>
      </w:r>
    </w:p>
    <w:p w14:paraId="1FBC9A33" w14:textId="4D496B78" w:rsidR="00EB7ED2" w:rsidRPr="00465CE2" w:rsidRDefault="00EB7ED2" w:rsidP="00377582">
      <w:pPr>
        <w:pStyle w:val="Considrant"/>
        <w:numPr>
          <w:ilvl w:val="0"/>
          <w:numId w:val="1"/>
        </w:numPr>
      </w:pPr>
      <w:r w:rsidRPr="00465CE2">
        <w:t>Tekniska framsteg underlättar de gränsöverskridande dataflöden som är nödvändiga för att internationellt samarbete och internationell handel ska utvecklas. Samtidigt är det nödvändigt att säkerställa att den nivå av skydd som fysiska personer garanteras genom förordning (EU) 2016/679 inte undergrävs när personuppgifter överförs till tredjeländer, däribland i samband med vidare överföring</w:t>
      </w:r>
      <w:r w:rsidRPr="00465CE2">
        <w:rPr>
          <w:rStyle w:val="FootnoteReference"/>
        </w:rPr>
        <w:footnoteReference w:id="2"/>
      </w:r>
      <w:r w:rsidRPr="00465CE2">
        <w:t>. Syftet med bestämmelserna om överföring av personuppgifter i kapitel V i förordning (EU) 2016/679 är att säkerställa att den höga skyddsnivån upprätthålls när personuppgifter överförs till ett tredjeland</w:t>
      </w:r>
      <w:r w:rsidRPr="00465CE2">
        <w:rPr>
          <w:rStyle w:val="FootnoteReference"/>
        </w:rPr>
        <w:footnoteReference w:id="3"/>
      </w:r>
      <w:r w:rsidRPr="00465CE2">
        <w:t>.</w:t>
      </w:r>
    </w:p>
    <w:p w14:paraId="217460B5" w14:textId="1B3A5723" w:rsidR="00EB7ED2" w:rsidRPr="00465CE2" w:rsidRDefault="00EB7ED2" w:rsidP="00EB7ED2">
      <w:pPr>
        <w:pStyle w:val="Considrant"/>
      </w:pPr>
      <w:r w:rsidRPr="00465CE2">
        <w:t>I enlighet med artikel 46.1 i förordning (EU) 2016/679 får en personuppgiftsansvarig eller ett personuppgiftsbiträde, i avsaknad av ett beslut om adekvat skyddsnivå från kommissionen enligt artikel 45.3, endast överföra personuppgifter till ett tredjeland efter att ha vidtagit lämpliga skyddsåtgärder och på villkor att lagstadgade rättigheter och effektiva rättsmedel finns tillgängliga för de registrerade. Sådana skyddsåtgärder kan ta formen av standardavtalsklausuler som antagits av kommissionen i enlighet med artikel 46.2 c.</w:t>
      </w:r>
    </w:p>
    <w:p w14:paraId="08AED2DA" w14:textId="753633F8" w:rsidR="00EB7ED2" w:rsidRPr="00465CE2" w:rsidRDefault="00EB7ED2" w:rsidP="00EB7ED2">
      <w:pPr>
        <w:pStyle w:val="Considrant"/>
      </w:pPr>
      <w:r w:rsidRPr="00465CE2">
        <w:t>Användningen av standardavtalsklausuler är begränsad till att säkerställa lämpliga skyddsåtgärder för personuppgifter vid internationella överföringar. Den personuppgiftsansvarig eller det personuppgiftsbiträde som överför personuppgifterna till ett tredjeland (</w:t>
      </w:r>
      <w:r w:rsidRPr="00465CE2">
        <w:rPr>
          <w:i/>
        </w:rPr>
        <w:t>uppgiftsutföraren</w:t>
      </w:r>
      <w:r w:rsidRPr="00465CE2">
        <w:t>) och den personuppgiftsansvarig eller det personuppgiftsbiträde som tar emot personuppgifterna (</w:t>
      </w:r>
      <w:r w:rsidRPr="00465CE2">
        <w:rPr>
          <w:i/>
        </w:rPr>
        <w:t>uppgiftsinföraren</w:t>
      </w:r>
      <w:r w:rsidRPr="00465CE2">
        <w:t>) har därför friheten att införa dessa standardavtalsklausuler i ett mer övergripande avtal och att lägga till andra bestämmelser eller ytterligare skyddsåtgärder, under förutsättning att de inte direkt eller indirekt står i strid med standardavtalsklausulerna eller påverkar de registrerades grundläggande rättigheter eller friheter. Personuppgiftsansvariga och personuppgiftsbiträden uppmuntras att tillhandahålla ytterligare skyddsåtgärder genom avtalsenliga åtaganden som kompletterar standardavtalsklausulerna</w:t>
      </w:r>
      <w:r w:rsidRPr="00465CE2">
        <w:rPr>
          <w:rStyle w:val="FootnoteReference"/>
        </w:rPr>
        <w:footnoteReference w:id="4"/>
      </w:r>
      <w:r w:rsidRPr="00465CE2">
        <w:t>. Användningen av standardavtalsklausulerna påverkar inte uppgiftsutförarens och/eller uppgiftsinförarens avtalsenliga skyldigheter att säkerställa respekten för tillämpliga privilegier och tillämplig immunitet.</w:t>
      </w:r>
    </w:p>
    <w:p w14:paraId="35DBB988" w14:textId="6EBE9457" w:rsidR="00EB7ED2" w:rsidRPr="00465CE2" w:rsidRDefault="00EB7ED2" w:rsidP="00EB7ED2">
      <w:pPr>
        <w:pStyle w:val="Considrant"/>
      </w:pPr>
      <w:r w:rsidRPr="00465CE2">
        <w:t>Även om uppgiftsutföraren använder standardavtalsklausuler för att tillhandahålla lämpliga skyddsåtgärder för överföringar i enlighet med artikel 46.1 i förordning (EU) 2016/679 måste han eller hon fullgöra sina allmänna skyldigheter i egenskap av personuppgiftsansvarig eller personuppgiftsbiträde enligt förordning (EU) 2016/679. Detta omfattar den personuppgiftsansvariges skyldighet att informera de registrerade om avsikten att överföra deras personuppgifter till ett tredjeland enligt artikel 13.1 f och artikel 14.1 f i förordning (EU) 2016/679. Vid överföringar enligt artikel 46 i förordning (EU) 2016/679 måste denna information inbegripa en hänvisning till de lämpliga skyddsåtgärderna och hur en kopia av dem kan erhållas, eller information om var de har gjorts tillgängliga.</w:t>
      </w:r>
    </w:p>
    <w:p w14:paraId="4969630F" w14:textId="0B18A3BC" w:rsidR="00EB7ED2" w:rsidRPr="00465CE2" w:rsidRDefault="00EB7ED2" w:rsidP="00EB7ED2">
      <w:pPr>
        <w:pStyle w:val="Considrant"/>
      </w:pPr>
      <w:r w:rsidRPr="00465CE2">
        <w:t>Kommissionens beslut 2001/497/EG</w:t>
      </w:r>
      <w:r w:rsidRPr="00465CE2">
        <w:rPr>
          <w:rStyle w:val="FootnoteReference"/>
        </w:rPr>
        <w:footnoteReference w:id="5"/>
      </w:r>
      <w:r w:rsidRPr="00465CE2">
        <w:t xml:space="preserve"> och 2010/87/EU</w:t>
      </w:r>
      <w:r w:rsidRPr="00465CE2">
        <w:rPr>
          <w:rStyle w:val="FootnoteReference"/>
        </w:rPr>
        <w:footnoteReference w:id="6"/>
      </w:r>
      <w:r w:rsidRPr="00465CE2">
        <w:t xml:space="preserve"> innehåller standardavtalsklausuler för att underlätta överföringen av personuppgifter från en personuppgiftsansvarig som är etablerad i unionen till en personuppgiftsansvarig eller ett personuppgiftsbiträde som är etablerad/etablerat i ett tredjeland som inte har en adekvat skyddsnivå. Dessa beslut fattades på grundval av Europaparlamentets och rådets direktiv 95/46/EG</w:t>
      </w:r>
      <w:r w:rsidRPr="00465CE2">
        <w:rPr>
          <w:rStyle w:val="FootnoteReference"/>
        </w:rPr>
        <w:footnoteReference w:id="7"/>
      </w:r>
      <w:r w:rsidRPr="00465CE2">
        <w:t>.</w:t>
      </w:r>
    </w:p>
    <w:p w14:paraId="6B0A0951" w14:textId="6C1C3DFB" w:rsidR="00EB7ED2" w:rsidRPr="00465CE2" w:rsidRDefault="00EB7ED2" w:rsidP="00EB7ED2">
      <w:pPr>
        <w:pStyle w:val="Considrant"/>
      </w:pPr>
      <w:r w:rsidRPr="00465CE2">
        <w:t>Enligt artikel 46.5 i förordning (EU) 2016/679 ska beslut 2001/497/EG och beslut 2010/87/EU förbli i kraft tills de, vid behov, ändras, ersätts eller upphävs av ett kommissionsbeslut som antagits i enlighet med artikel 46.2 i samma förordning. Standardavtalsklausulerna i besluten behövde uppdateras mot bakgrund av nya krav i förordning (EU) 2016/679. Sedan besluten antogs har den digitala ekonomin dessutom utvecklats avsevärt, med omfattande användning av nya och mer komplexa behandlingssteg som ofta inbegriper flera uppgiftsinförare och uppgiftsutförare, långa och komplexa behandlingskedjor och nya typer av affärsförbindelser. Detta innebär att standardavtalsklausulerna måste moderniseras så att de speglar den nya verkligheten på ett bättre sätt genom att omfatta fler behandlings- och överföringssituationer och möjliggöra ett mer flexibelt tillvägagångssätt, till exempel med avseende på antalet parter som kan ingå ett avtal.</w:t>
      </w:r>
    </w:p>
    <w:p w14:paraId="33EBD438" w14:textId="031AEAEC" w:rsidR="00D20CB6" w:rsidRPr="00465CE2" w:rsidRDefault="0047771C" w:rsidP="00C36A89">
      <w:pPr>
        <w:pStyle w:val="Considrant"/>
      </w:pPr>
      <w:r w:rsidRPr="00465CE2">
        <w:t xml:space="preserve">En personuppgiftsansvarig eller ett personuppgiftsbiträde får använda de standardavtalsklausuler som anges i bilagan till detta beslut för att tillhandahålla lämpliga skyddsåtgärder i den mening som avses i artikel 46.1 i förordning (EU) 2016/679 vid överföring av personuppgifter till ett personuppgiftsbiträde eller en personuppgiftsansvarig som är etablerat/etablerad i ett tredjeland, utan att det påverkar tolkningen av begreppet internationell överföring i förordning (EU) 2016/679. Standardavtalsklausulerna får endast användas vid sådana överföringar i den utsträckning som uppgiftsinförarens behandling inte omfattas av tillämpningsområdet för förordning (EU) 2016/679. Detta omfattar även överföring av personuppgifter av en personuppgiftsansvarig eller ett personuppgiftsbiträde som inte är etablerad/etablerat i unionen, i den utsträckning som behandlingen omfattas av förordning (EU) 2016/679 (enligt artikel 3.2 i samma förordning), eftersom den gäller utbjudande av varor eller tjänster till registrerade i unionen eller övervakning av deras beteende när de befinner sig i unionen. </w:t>
      </w:r>
    </w:p>
    <w:p w14:paraId="58638138" w14:textId="67BE8AA0" w:rsidR="00EB7ED2" w:rsidRPr="00465CE2" w:rsidRDefault="000C1C57" w:rsidP="00E74673">
      <w:pPr>
        <w:pStyle w:val="Considrant"/>
        <w:numPr>
          <w:ilvl w:val="0"/>
          <w:numId w:val="12"/>
        </w:numPr>
      </w:pPr>
      <w:r w:rsidRPr="00465CE2">
        <w:t>Mot bakgrund av att förordning (EU) 2016/679 och Europaparlamentets och rådets förordning (EU) 2018/1725</w:t>
      </w:r>
      <w:r w:rsidRPr="00465CE2">
        <w:rPr>
          <w:rStyle w:val="FootnoteReference"/>
        </w:rPr>
        <w:footnoteReference w:id="8"/>
      </w:r>
      <w:r w:rsidRPr="00465CE2">
        <w:t xml:space="preserve"> generellt har samordnats bör det även vara möjligt att använda standardavtalsklausulerna inom ramen för ett avtal enligt artikel 29.4 i förordning (EU) 2018/1725 vid överföring av personuppgifter till en underentreprenör i ett tredjeland av ett personuppgiftsbiträde som inte är en unionsinstitution eller ett unionsorgan, men som omfattas av förordning (EU) 2016/679 och behandlar personuppgifter på uppdrag av en unionsinstitution eller ett unionsorgan i enlighet med artikel 29 i förordning (EU) 2018/1725. Under förutsättning att avtalet speglar samma skyldigheter avseende dataskydd som fastställs i avtalet eller någon annan rättsakt mellan den personuppgiftsansvarige och personuppgiftsbiträdet i enlighet med artikel 29.3 i förordning (EU) 2018/1725, i synnerhet genom att ge tillräckliga garantier för tekniska och organisatoriska åtgärder för att säkerställa att behandlingen uppfyller kraven i nämnda förordning, kommer efterlevnad av artikel 29.4 i förordning (EU) 2018/1725 att säkerställas. Detta kommer i synnerhet att vara fallet när den personuppgiftsansvarige och personuppgiftsbiträdet använder standardavtalsklausulerna i kommissionens genomförandebeslut om standardavtalsklausuler mellan personuppgiftsansvariga och personuppgiftsbiträden enligt artikel 28.7 i Europaparlamentets och rådets förordning (EU) 2016/679 och artikel 29.7 i Europaparlamentets och rådets förordning (EU) 2018/1725</w:t>
      </w:r>
      <w:r w:rsidRPr="00465CE2">
        <w:rPr>
          <w:rStyle w:val="FootnoteReference"/>
        </w:rPr>
        <w:footnoteReference w:id="9"/>
      </w:r>
      <w:r w:rsidRPr="00465CE2">
        <w:t>.</w:t>
      </w:r>
    </w:p>
    <w:p w14:paraId="7C611A21" w14:textId="33B99914" w:rsidR="00EB7ED2" w:rsidRPr="00465CE2" w:rsidRDefault="00EB7ED2" w:rsidP="00EB7ED2">
      <w:pPr>
        <w:pStyle w:val="Considrant"/>
      </w:pPr>
      <w:r w:rsidRPr="00465CE2">
        <w:t>Om behandlingen inbegriper överföringar av personuppgifter från personuppgiftsansvariga som omfattas av förordning (EU) 2016/679 till personuppgiftsbiträden som inte omfattas av dess geografiska tillämpningsområde, eller från personuppgiftsbiträden som omfattas av förordning (EU) 2016/679 till underentreprenörer som inte omfattas av dess geografiska tillämpningsområde, bör de standardavtalsklausuler som anges i bilagan till detta beslut också göra det möjligt att uppfylla kraven i artikel 28.3 och 28.4 i förordning (EU) 2016/679.</w:t>
      </w:r>
    </w:p>
    <w:p w14:paraId="34346D8F" w14:textId="64503FB9" w:rsidR="00EB7ED2" w:rsidRPr="00465CE2" w:rsidRDefault="00EB7ED2" w:rsidP="00EB7ED2">
      <w:pPr>
        <w:pStyle w:val="Considrant"/>
      </w:pPr>
      <w:r w:rsidRPr="00465CE2">
        <w:t>I de standardavtalsklausuler som anges i bilagan till detta beslut kombineras allmänna klausuler med ett modulärt tillvägagångssätt för att ta hänsyn till olika överföringsscenarier och komplexiteten i de moderna behandlingskedjorna. Vid sidan av de allmänna klausulerna bör personuppgiftsansvariga och personuppgiftsbiträden välja den modul som är tillämplig i deras situation för att skräddarsy sina skyldigheter enligt standardavtalsklausulerna i förhållande till sina roller och ansvarsområden i samband med databehandlingen i fråga. Det bör vara möjligt för fler än två parter att följa standardavtalsklausulerna. Dessutom bör ytterligare personuppgiftsansvariga och personuppgiftsbiträden ha möjlighet att ansluta sig till standardavtalsklausulerna som uppgiftsutförare eller uppgiftsinförare under hela giltighetstiden för det avtal som de är en del av.</w:t>
      </w:r>
    </w:p>
    <w:p w14:paraId="5A5BCD4E" w14:textId="4AA774DE" w:rsidR="00EB7ED2" w:rsidRPr="00465CE2" w:rsidRDefault="00EB7ED2" w:rsidP="00BD7CD0">
      <w:pPr>
        <w:pStyle w:val="Considrant"/>
      </w:pPr>
      <w:r w:rsidRPr="00465CE2">
        <w:t>För att tillhandahålla lämpliga skyddsåtgärder bör standardavtalsklausulerna säkerställa att de personuppgifter som överförs på denna grund har en skyddsnivå som väsentligen är likvärdig med den skyddsnivå som garanteras inom unionen</w:t>
      </w:r>
      <w:r w:rsidRPr="00465CE2">
        <w:rPr>
          <w:rStyle w:val="FootnoteReference"/>
        </w:rPr>
        <w:footnoteReference w:id="10"/>
      </w:r>
      <w:r w:rsidRPr="00465CE2">
        <w:t>. I syfte att säkerställa insyn i behandlingen bör de registrerade få en kopia av standardavtalsklausulerna och, i synnerhet, information om de kategorier av personuppgifter som behandlas, rätten att erhålla en kopia av standardavtalsklausulerna och all eventuell vidare överföring. Uppgiftsinföraren bör endast ha rätt att överföra uppgifterna vidare till en tredje part i ett annat tredjeland om den tredje parten har anslutit sig till standardavtalsklausulerna, om ett fortsatt skydd säkerställs på annat sätt eller i särskilda situationer, däribland om den registrerade har gett sitt uttryckliga och informerade medgivande.</w:t>
      </w:r>
    </w:p>
    <w:p w14:paraId="0EE018AF" w14:textId="6777D2A3" w:rsidR="00EB7ED2" w:rsidRPr="00465CE2" w:rsidRDefault="00EB7ED2" w:rsidP="00EB7ED2">
      <w:pPr>
        <w:pStyle w:val="Considrant"/>
      </w:pPr>
      <w:r w:rsidRPr="00465CE2">
        <w:t>Med några undantag, främst vad gäller vissa skyldigheter som endast avser relationen mellan uppgiftsutföraren och uppgiftsinföraren, bör de registrerade som berättigade tredje parter kunna åberopa och vid behov verkställa standardavtalsklausulerna. Även om parterna bör ha möjlighet att välja lagstiftningen i en av medlemsstaterna som grund för standardavtalsklausulerna måste lagstiftningen därför tillgodose rättigheterna för en berättigad tredje part. För att underlätta tillgången till domstolsprövning bör standardavtalsklausulerna innehålla krav på att uppgiftsinföraren ska ge de registrerade information om en kontaktpunkt och skyndsamt hantera eventuella klagomål eller förfrågningar. Om en tvist uppstår mellan uppgiftsinföraren och en registrerad som åberopar sin rätt som berättigad tredje part bör den registrerade ha möjlighet att inge ett klagomål till den behöriga tillsynsmyndigheten eller hänskjuta tvisten till de behöriga domstolarna i EU.</w:t>
      </w:r>
    </w:p>
    <w:p w14:paraId="461FA1E7" w14:textId="6F22FFED" w:rsidR="00EB7ED2" w:rsidRPr="00465CE2" w:rsidRDefault="00EB7ED2" w:rsidP="00EB7ED2">
      <w:pPr>
        <w:pStyle w:val="Considrant"/>
      </w:pPr>
      <w:r w:rsidRPr="00465CE2">
        <w:t>För att säkerställa ett effektivt verkställande bör uppgiftsinföraren vara skyldig att godta myndighetens och domstolarnas behörighet och åta sig att följa eventuella bindande beslut enligt medlemsstatens tillämpliga lagstiftning. I synnerhet bör uppgiftsinföraren samtycka till att svara på förfrågningar, gå med på revisioner och iaktta de åtgärder som antagits av tillsynsmyndigheten, däribland korrigerande och kompenserade åtgärder. Uppgiftsinföraren bör dessutom kunna ge de registrerade möjlighet att begära prövning inför ett oberoende tvistlösningsorgan utan kostnad. I linje med artikel 80.1 i förordning (EU) 2016/679 bör de registrerade ha rätt att företrädas av sammanslutningar eller andra organ i tvister med uppgiftsinföraren om de så önskar.</w:t>
      </w:r>
    </w:p>
    <w:p w14:paraId="4692FAD3" w14:textId="0949E3EF" w:rsidR="00EB7ED2" w:rsidRPr="00465CE2" w:rsidRDefault="00EB7ED2" w:rsidP="00EB7ED2">
      <w:pPr>
        <w:pStyle w:val="Considrant"/>
      </w:pPr>
      <w:r w:rsidRPr="00465CE2">
        <w:t>Standardavtalsklausulerna bör innehålla regler om ansvarsförhållandena mellan parterna och med avseende på de registrerade samt regler om ersättningsskyldighet mellan parterna. Om den registrerade lider materiell eller immateriell skada till följd av en överträdelse av rättigheterna för en berättigad tredje part enligt standardavtalsklausulerna bör han eller hon ha rätt till ersättning. Detta bör inte påverka ansvarsskyldighet enligt förordning (EU) 2016/679.</w:t>
      </w:r>
    </w:p>
    <w:p w14:paraId="0FAD5DAD" w14:textId="48999BE6" w:rsidR="00EB7ED2" w:rsidRPr="00465CE2" w:rsidRDefault="00EB7ED2" w:rsidP="00EB7ED2">
      <w:pPr>
        <w:pStyle w:val="Considrant"/>
      </w:pPr>
      <w:r w:rsidRPr="00465CE2">
        <w:t>Vid överföring till en uppgiftsinförare som agerar i egenskap av personuppgiftsbiträde eller underentreprenör bör särskilda krav gälla i enlighet med artikel 28.3 i förordning (EU) 2016/679. Standardavtalsklausulerna bör innehålla krav på att uppgiftsinföraren ska lämna ut all information som behövs för att visa att de skyldigheter som fastställs i klausulerna har fullgjorts och ska gå med på och bidra till uppgiftsutförarens revisioner av dennes behandling av personuppgifter. Om uppgiftsinföraren anlitar en underentreprenör, i linje med artikel 28.2 och 28.4 i förordning (EU) 2016/679, bör standardavtalsklausulerna särskilt omfatta ett förfarande för ett allmänt eller särskilt tillstånd från uppgiftsutföraren och ett krav på ett skriftligt avtal med underentreprenören för att säkerställa samma nivå av skydd som enligt klausulerna.</w:t>
      </w:r>
    </w:p>
    <w:p w14:paraId="08EF7457" w14:textId="77B49352" w:rsidR="00EB7ED2" w:rsidRPr="00465CE2" w:rsidRDefault="00EB7ED2" w:rsidP="00EB7ED2">
      <w:pPr>
        <w:pStyle w:val="Considrant"/>
      </w:pPr>
      <w:r w:rsidRPr="00465CE2">
        <w:t>Det är lämpligt att föreskriva andra skyddsåtgärder i de standardavtalsklausuler som omfattar den särskilda situation då ett personuppgiftsbiträde i unionen överför personuppgifter till sin personuppgiftsansvarige i ett tredjeland och som speglar de begränsade fristående skyldigheterna för personuppgiftsbiträden enligt förordning (EU) 2016/679. Standardavtalsklausulerna bör i synnerhet innehålla krav på att personuppgiftsbiträdet ska informera den personuppgiftsansvarige om han eller hon inte kan följa sina instruktioner, däribland om instruktionerna bryter mot unionens dataskyddslagstiftning, och att den personuppgiftsansvarige ska avstå från varje åtgärd som skulle hindra personuppgiftsbiträdet att fullgöra sina skyldigheter enligt förordning (EU) 2016/679. Det bör även finnas krav på att parterna ska bistå varandra med att svara på förfrågningar och begäranden från registrerade enligt den lokala lagstiftning som är tillämplig för uppgiftsinföraren eller, vid databehandling inom unionen, enligt förordning (EU) 2016/679. Ytterligare krav för att hantera eventuella konsekvenser av lagstiftningen i det mottagande tredjelandet för den personuppgiftsansvariges efterlevnad av klausulerna, i synnerhet när det gäller hanteringen av bindande begäranden från offentliga myndigheter i tredjelandet om utlämnande av de överförda personuppgifterna, bör gälla i de fall då personuppgiftsbiträdet i unionen kombinerar de personuppgifter som tagits emot från den personuppgiftsansvarige i tredjelandet med personuppgifter som samlats in av personuppgiftsbiträdet i unionen. Omvänt är inga sådana krav motiverade om utkontrakteringen endast inbegriper behandling och återlämning av personuppgifter som tagits emot från den personuppgiftsansvarige och som under alla omständigheter har varit och kommer att förbli föremål för det berörda tredjelandets jurisdiktion.</w:t>
      </w:r>
    </w:p>
    <w:p w14:paraId="654EF3D0" w14:textId="33F86CB7" w:rsidR="00EB7ED2" w:rsidRPr="00465CE2" w:rsidRDefault="00EB7ED2" w:rsidP="00EB7ED2">
      <w:pPr>
        <w:pStyle w:val="Considrant"/>
      </w:pPr>
      <w:r w:rsidRPr="00465CE2">
        <w:t xml:space="preserve">Parterna bör kunna visa att de uppfyller kraven i standardavtalsklausulerna. I synnerhet bör uppgiftsinföraren vara skyldig att dokumentera den behandling som ingår i hans eller hennes ansvarsområde på ett lämpligt sätt, och att skyndsamt informera uppgiftsutföraren om han eller hon inte kan uppfylla kraven i klausulerna, oavsett orsak. I sin tur bör uppgiftsutföraren avbryta överföringen och, i särskilt allvarliga fall, ha rätt att säga upp avtalet, i den mån det gäller behandlingen av personuppgifter enligt standardavtalsklausuler, om uppgiftsinföraren bryter mot klausulerna eller inte kan uppfylla dem. Särskilda regler bör gälla om den lokala lagstiftningen påverkar efterlevnaden av klausulerna. Personuppgifter som har överförts innan avtalet sades upp, och eventuella kopior av dessa, bör efter uppgiftsutförarens eget val skickas tillbaka till uppgiftsutföraren eller förstöras i sin helhet. </w:t>
      </w:r>
    </w:p>
    <w:p w14:paraId="20EC53F9" w14:textId="6A2B7387" w:rsidR="00EB7ED2" w:rsidRPr="00465CE2" w:rsidRDefault="00EB7ED2" w:rsidP="00EB7ED2">
      <w:pPr>
        <w:pStyle w:val="Considrant"/>
      </w:pPr>
      <w:r w:rsidRPr="00465CE2">
        <w:t>Standardavtalsklausulerna bör innehålla särskilda skyddsåtgärder, framför allt mot bakgrund av domstolens rättspraxis</w:t>
      </w:r>
      <w:r w:rsidRPr="00465CE2">
        <w:rPr>
          <w:rStyle w:val="FootnoteReference"/>
        </w:rPr>
        <w:footnoteReference w:id="11"/>
      </w:r>
      <w:r w:rsidRPr="00465CE2">
        <w:t>, för att hantera eventuella konsekvenser av det mottagande tredjelandets lagstiftning för uppgiftsinförarens efterlevnad av klausulerna, särskilt när det gäller hanteringen av bindande begäranden från offentliga myndigheter i det berörda landet om utlämnande av de överförda personuppgifterna.</w:t>
      </w:r>
    </w:p>
    <w:p w14:paraId="255E3008" w14:textId="13B19320" w:rsidR="00EB7ED2" w:rsidRPr="00465CE2" w:rsidRDefault="00EB7ED2" w:rsidP="00EB7ED2">
      <w:pPr>
        <w:pStyle w:val="Considrant"/>
      </w:pPr>
      <w:r w:rsidRPr="00465CE2">
        <w:t>Överföring och behandling av personuppgifter enligt standardavtalsklausuler bör inte äga rum om lagstiftningen och förfarandena i det mottagande tredjelandet hindrar uppgiftsinföraren från att uppfylla kraven i klausulerna. I detta sammanhang bör lagar och förfaranden som är förenliga med andemeningen i de grundläggande rättigheterna och friheterna, och som inte går utöver vad som är nödvändigt och proportionerligt i ett demokratiskt samhälle för att skydda de ändamål som anges i artikel 23.1 i förordning (EU) 2016/679, inte anses vara i strid med standardavtalsklausulerna. När parterna kommer överens om standardavtalsklausulerna bör de garantera att de inte har någon anledning att misstänka att de lagar och förfaranden som är tillämpliga för uppgiftsinföraren inte stämmer överens med dessa krav.</w:t>
      </w:r>
    </w:p>
    <w:p w14:paraId="29655BB4" w14:textId="55B8C78F" w:rsidR="00EB7ED2" w:rsidRPr="00465CE2" w:rsidRDefault="00EB7ED2" w:rsidP="00724557">
      <w:pPr>
        <w:pStyle w:val="Considrant"/>
      </w:pPr>
      <w:r w:rsidRPr="00465CE2">
        <w:t>Parterna bör framför allt ta hänsyn till de särskilda omständigheterna kring överföringen (däribland avtalets innehåll och varaktighet, karaktären hos de uppgifter som ska överföras, typen av mottagare, ändamålet med behandlingen), de lagar och förfaranden i det mottagande tredjelandet som är relevanta mot bakgrund av omständigheterna kring överföringen samt eventuella skyddsåtgärder som införts för att komplettera de som ingår i standardavtalsklausulerna (däribland relevanta avtalsenliga, tekniska och organisatoriska åtgärder som avser överföringen av personuppgifter och deras behandling i det mottagande tredjelandet). När det gäller konsekvenserna av sådana lagar och förfaranden för efterlevnaden av standardavtalsklausulerna kan olika aspekter betraktas som delar av en övergripande bedömning, däribland tillförlitlig information om lagstiftningens tillämpning i praktiken (såsom rättspraxis och rapporter från oberoende tillsynsorgan), förekomst eller frånvaro av begäranden i samma sektor och, under stränga villkor, dokumentation av uppgiftsutförarens och/eller uppgiftsinförarens praktiska erfarenhet.</w:t>
      </w:r>
    </w:p>
    <w:p w14:paraId="307BD618" w14:textId="71476955" w:rsidR="00EB7ED2" w:rsidRPr="00465CE2" w:rsidRDefault="00EB7ED2" w:rsidP="00EB7ED2">
      <w:pPr>
        <w:pStyle w:val="Considrant"/>
      </w:pPr>
      <w:r w:rsidRPr="00465CE2">
        <w:t>Uppgiftsinföraren bör meddela uppgiftsutföraren om han eller hon, efter att ha godtagit standardavtalsklausulerna, har anledning att tro att han eller hon inte kommer att kunna uppfylla kraven i standardavtalsklausulerna. Om uppgiftsutföraren får ett sådant meddelande eller på annat sätt får kännedom om att uppgiftsinföraren inte längre kan uppfylla kraven i standardavtalsklausulerna bör han eller hon fastställa lämpliga åtgärder för att hantera situationen, vid behov i samråd med behörig tillsynsmyndighet. Sådana åtgärder kan omfatta kompletterande åtgärder som vidtas av uppgiftsutföraren och/eller uppgiftsinföraren, däribland tekniska eller organisatoriska åtgärder för att garantera säkerhet och konfidentialitet. Uppgiftsutföraren bör vara skyldig att avbryta överföringen om han eller hon anser att lämpliga skyddsåtgärder inte kan säkerställas, eller om den behöriga tillsynsmyndigheten ger instruktioner om detta.</w:t>
      </w:r>
    </w:p>
    <w:p w14:paraId="19D1180F" w14:textId="66201CDA" w:rsidR="00EB7ED2" w:rsidRPr="00465CE2" w:rsidRDefault="00157877" w:rsidP="00EB7ED2">
      <w:pPr>
        <w:pStyle w:val="Considrant"/>
      </w:pPr>
      <w:r w:rsidRPr="00465CE2">
        <w:t>Om möjligt bör uppgiftsinföraren informera uppgiftsutföraren och den registrerade om han eller hon får en rättsligt bindande begäran från en offentlig (inbegripet rättslig) myndighet enligt det mottagande landets lagstiftning om att de personuppgifter som överförts enligt standardavtalsklausulerna ska lämnas ut. Likaså bör uppgiftsinföraren meddela uppgiftsutföraren och den registrerade om han eller hon får kännedom om att offentliga myndigheter har haft direkt tillgång till personuppgifterna, i enlighet med det mottagande tredjelandets lagstiftning. Om uppgiftsinföraren, efter att ha gjort sitt yttersta, inte har möjlighet att informera uppgiftsutföraren och/eller den registrerade om specifika begäranden om utlämnande av uppgifter bör han eller hon ge uppgiftsutföraren så mycket relevant information som möjligt om begärandena. Dessutom bör uppgiftsinföraren ge uppgiftsutföraren sammanställd information med jämna mellanrum. Uppgiftsinföraren bör även vara skyldig att dokumentera alla begäranden om utlämnande som tagits emot och vilka svar som lämnats, och samtidigt på begäran göra denna information tillgänglig för uppgiftsutföraren eller den behöriga tillsynsmyndigheten, eller båda. Om uppgiftsinföraren, efter en granskning av lagligheten i en sådan begäran enligt det mottagande landets lagstiftning, drar slutsatsen att det finns rimliga skäl att betrakta begäran som olaglig enligt det mottagande tredjelandets lagstiftning bör han eller hon bestrida den, däribland genom att, i tillämpliga fall, använda alla tillgängliga möjligheter att överklaga. Under alla omständigheter bör uppgiftsinföraren, om han eller hon inte längre kan uppfylla kraven i standardavtalsklausulerna, informera uppgiftsutföraren om detta och uppge om det beror på en begäran om utlämnande.</w:t>
      </w:r>
    </w:p>
    <w:p w14:paraId="0594B9EA" w14:textId="78FFB647" w:rsidR="00EB7ED2" w:rsidRPr="00465CE2" w:rsidRDefault="00EB7ED2" w:rsidP="00EB7ED2">
      <w:pPr>
        <w:pStyle w:val="Considrant"/>
      </w:pPr>
      <w:r w:rsidRPr="00465CE2">
        <w:t>Eftersom intressenternas behov, tekniker och behandlingar kan förändras bör kommissionen utvärdera användningen av standardavtalsklausulerna mot bakgrund av erfarenheterna, som en del av den regelbundna utvärdering av förordning (EU) 2016/679 som aves i artikel 97 i den förordningen.</w:t>
      </w:r>
    </w:p>
    <w:p w14:paraId="7916ED6D" w14:textId="04F50EA7" w:rsidR="00D67F28" w:rsidRPr="00465CE2" w:rsidRDefault="00EB7ED2" w:rsidP="008521FA">
      <w:pPr>
        <w:pStyle w:val="Considrant"/>
      </w:pPr>
      <w:r w:rsidRPr="00465CE2">
        <w:t>Beslut 2001/497/EG och beslut 2010/87/EU bör upphävas tre månader efter att detta beslut har trätt i kraft. Under denna period bör uppgiftsutförare och uppgiftsinförare, vid tillämpning av artikel 46.1 i förordning (EU) 2016/679, fortfarande kunna använda de standardavtalsklausuler som anges i besluten 2001/497/EG och 2010/87/EU. Under ytterligare en period på 15 månader bör uppgiftsutförare och uppgiftsinförare, vid tillämpning av artikel 46.1 i förordning (EU) 2016/679, kunna fortsätta att använda de standardavtalsklausuler som anges i besluten 2001/497/EG och 2010/87/EU för att fullgöra avtal som ingåtts mellan dem före det datum då dessa beslut upphävs, under förutsättning att de behandlingar som är föremål för avtalet förblir oförändrade och att användningen av klausulerna säkerställer att överföringen av personuppgifter omfattas av lämpliga skyddsåtgärder i den mening som avses i artikel 46.1 i förordning (EU) 2016/679. Om relevanta ändringar görs i avtalet bör uppgiftsutföraren vara skyldig att använda en ny grund för överföringar av personuppgifter inom ramen för avtalet, i synnerhet genom att ersätta de befintliga standardavtalsklausulerna med de standardavtalsklausuler som anges i bilagan till detta beslut. Detsamma bör gälla vid utkontraktering av den behandling som omfattas av avtalet till ett personuppgiftsbiträde/en underentreprenör.</w:t>
      </w:r>
    </w:p>
    <w:p w14:paraId="48957417" w14:textId="7B67D10F" w:rsidR="00EB7ED2" w:rsidRPr="00465CE2" w:rsidRDefault="00EB7ED2" w:rsidP="00EB7ED2">
      <w:pPr>
        <w:pStyle w:val="Considrant"/>
      </w:pPr>
      <w:r w:rsidRPr="00465CE2">
        <w:t>Samråd har skett med Europeiska datatillsynsmannen och Europeiska dataskyddsstyrelsen i enlighet med artikel 42.1 och 42.2 i förordning (EU) 2018/1725, vilka avgav ett gemensamt yttrande den 14 januari 2021</w:t>
      </w:r>
      <w:r w:rsidRPr="00465CE2">
        <w:rPr>
          <w:rStyle w:val="FootnoteReference"/>
        </w:rPr>
        <w:footnoteReference w:id="12"/>
      </w:r>
      <w:r w:rsidRPr="00465CE2">
        <w:t>, vilket har beaktats under utarbetandet av detta beslut.</w:t>
      </w:r>
    </w:p>
    <w:p w14:paraId="289362C9" w14:textId="00811021" w:rsidR="00070205" w:rsidRPr="00465CE2" w:rsidRDefault="00EB7ED2" w:rsidP="00EB7ED2">
      <w:pPr>
        <w:pStyle w:val="Considrant"/>
      </w:pPr>
      <w:r w:rsidRPr="00465CE2">
        <w:t>De åtgärder som föreskrivs i detta beslut är förenliga med yttrandet från den kommitté som inrättats enligt artikel 93 i förordning (EU) 2016/679.</w:t>
      </w:r>
    </w:p>
    <w:p w14:paraId="394176FC" w14:textId="483FDF94" w:rsidR="00070205" w:rsidRPr="00465CE2" w:rsidRDefault="00070205" w:rsidP="00C36A89">
      <w:pPr>
        <w:pStyle w:val="Formuledadoption"/>
      </w:pPr>
      <w:r w:rsidRPr="00465CE2">
        <w:t>HÄRIGENOM FÖRESKRIVS FÖLJANDE.</w:t>
      </w:r>
    </w:p>
    <w:p w14:paraId="1F7E83B5" w14:textId="77777777" w:rsidR="00070205" w:rsidRPr="00465CE2" w:rsidRDefault="00070205" w:rsidP="00C36A89">
      <w:pPr>
        <w:pStyle w:val="Titrearticle"/>
      </w:pPr>
      <w:r w:rsidRPr="00465CE2">
        <w:t>Artikel 1</w:t>
      </w:r>
    </w:p>
    <w:p w14:paraId="538F6848" w14:textId="0507B179" w:rsidR="00BC3487" w:rsidRPr="00465CE2" w:rsidRDefault="00BC3487" w:rsidP="00C5435C">
      <w:pPr>
        <w:pStyle w:val="NumPar1"/>
        <w:numPr>
          <w:ilvl w:val="0"/>
          <w:numId w:val="2"/>
        </w:numPr>
        <w:ind w:left="567" w:hanging="567"/>
      </w:pPr>
      <w:r w:rsidRPr="00465CE2">
        <w:t>De standardavtalsklausuler som anges i bilagan anses garantera lämpliga skyddsåtgärder i den mening som avses i artikel 46.1 och 46.2 c i förordning (EU) 2016/679 i samband med att en personuppgiftsansvarig eller ett personuppgiftsbiträde (uppgiftsutförare) överför personuppgifter som behandlas enligt den förordningen till en personuppgiftsansvarig eller ett personuppgiftsbiträde/en underentreprenör, vars behandling av uppgifterna inte omfattas av den förordningen (uppgiftsinförare).</w:t>
      </w:r>
    </w:p>
    <w:p w14:paraId="3FA06E78" w14:textId="55A2AE9E" w:rsidR="00070205" w:rsidRPr="00465CE2" w:rsidRDefault="00BC3487" w:rsidP="00C5435C">
      <w:pPr>
        <w:pStyle w:val="NumPar1"/>
        <w:ind w:left="567" w:hanging="567"/>
      </w:pPr>
      <w:r w:rsidRPr="00465CE2">
        <w:t>I standardavtalsklausulerna fastställs även den personuppgiftsansvariges och personuppgiftsbiträdets rättigheter och skyldigheter med avseende på de frågor som avses i artikel 28.3 och 28.4 i förordning (EU) 2016/679 vad gäller överföring av personuppgifter från en personuppgiftsansvarig till ett personuppgiftsbiträde, eller från ett personuppgiftsbiträde till en underentreprenör.</w:t>
      </w:r>
    </w:p>
    <w:p w14:paraId="4CB1E645" w14:textId="651D7201" w:rsidR="00BC3487" w:rsidRPr="00465CE2" w:rsidRDefault="00BC3487" w:rsidP="00BC3487">
      <w:pPr>
        <w:pStyle w:val="Titrearticle"/>
      </w:pPr>
      <w:r w:rsidRPr="00465CE2">
        <w:t>Artikel 2</w:t>
      </w:r>
    </w:p>
    <w:p w14:paraId="5FDBD622" w14:textId="4CF41F3F" w:rsidR="00BC3487" w:rsidRPr="00465CE2" w:rsidRDefault="007518A8" w:rsidP="00BC3487">
      <w:r w:rsidRPr="00465CE2">
        <w:t xml:space="preserve">Om de behöriga myndigheterna i medlemsstaterna utövar korrigerande befogenheter i enlighet med artikel 58 i förordning (EU) 2016/679, på grund av att uppgiftsinföraren är eller kommer att bli föremål för lagar eller förfaranden i det mottagande tredjelandet som hindrar honom eller henne att uppfylla kraven i de standardavtalsklausuler som anges i bilagan, vilket leder till att överföringarna av personuppgifter till tredjelandet avbryts eller förbjuds, ska den berörda medlemsstaten, utan dröjsmål, meddela kommissionen, som kommer att vidarebefordra informationen till övriga medlemsstater.  </w:t>
      </w:r>
    </w:p>
    <w:p w14:paraId="0FB2B3DE" w14:textId="35AB7CC9" w:rsidR="00BC3487" w:rsidRPr="00465CE2" w:rsidRDefault="00BC3487" w:rsidP="00BC3487">
      <w:pPr>
        <w:pStyle w:val="Titrearticle"/>
      </w:pPr>
      <w:r w:rsidRPr="00465CE2">
        <w:t>Artikel 3</w:t>
      </w:r>
    </w:p>
    <w:p w14:paraId="55AAF322" w14:textId="034E1272" w:rsidR="00BC3487" w:rsidRPr="00465CE2" w:rsidRDefault="00BC3487" w:rsidP="00BC3487">
      <w:r w:rsidRPr="00465CE2">
        <w:t>Kommissionen ska utvärdera den praktiska tillämpningen av de standardavtalsklausuler som anges i bilagan på grundval av all tillgänglig information och som en del av den regelbundna utvärdering som krävs enligt artikel 97 i förordning (EU) 2016/679.</w:t>
      </w:r>
    </w:p>
    <w:p w14:paraId="1A3E54FE" w14:textId="0EDEFE7E" w:rsidR="00BC3487" w:rsidRPr="00465CE2" w:rsidRDefault="00BC3487" w:rsidP="00BC3487">
      <w:pPr>
        <w:pStyle w:val="Titrearticle"/>
      </w:pPr>
      <w:r w:rsidRPr="00465CE2">
        <w:t>Artikel 4</w:t>
      </w:r>
    </w:p>
    <w:p w14:paraId="20379AF7" w14:textId="155192AA" w:rsidR="00961DA5" w:rsidRPr="00465CE2" w:rsidRDefault="00070205" w:rsidP="00C5435C">
      <w:pPr>
        <w:pStyle w:val="NumPar1"/>
        <w:numPr>
          <w:ilvl w:val="0"/>
          <w:numId w:val="4"/>
        </w:numPr>
      </w:pPr>
      <w:r w:rsidRPr="00465CE2">
        <w:t>Detta beslut träder i kraft den tjugonde dagen efter det att det har offentliggjorts i Europeiska unionens officiella tidning.</w:t>
      </w:r>
    </w:p>
    <w:p w14:paraId="2D0DDCC9" w14:textId="6AF97256" w:rsidR="00BC3487" w:rsidRPr="00465CE2" w:rsidRDefault="00BC3487" w:rsidP="00F16261">
      <w:pPr>
        <w:pStyle w:val="NumPar1"/>
        <w:numPr>
          <w:ilvl w:val="0"/>
          <w:numId w:val="4"/>
        </w:numPr>
      </w:pPr>
      <w:r w:rsidRPr="00465CE2">
        <w:t xml:space="preserve">Beslut 2001/497/EG ska upphöra att gälla med verkan från </w:t>
      </w:r>
      <w:r w:rsidRPr="00465CE2">
        <w:rPr>
          <w:highlight w:val="yellow"/>
        </w:rPr>
        <w:t>[Publikationsbyrån, infoga datum tre månader efter datumet i artikel 4.1]</w:t>
      </w:r>
      <w:r w:rsidRPr="00465CE2">
        <w:t>.</w:t>
      </w:r>
    </w:p>
    <w:p w14:paraId="07DBD49A" w14:textId="33F141C7" w:rsidR="00BC3487" w:rsidRPr="00465CE2" w:rsidRDefault="00BC3487" w:rsidP="00F16261">
      <w:pPr>
        <w:pStyle w:val="NumPar1"/>
      </w:pPr>
      <w:r w:rsidRPr="00465CE2">
        <w:t xml:space="preserve">Beslut 2010/87/EU ska upphöra att gälla med verkan från </w:t>
      </w:r>
      <w:r w:rsidRPr="00465CE2">
        <w:rPr>
          <w:highlight w:val="yellow"/>
        </w:rPr>
        <w:t>[Publikationsbyrån, infoga datum tre månader efter datumet i artikel 4.1]</w:t>
      </w:r>
      <w:r w:rsidRPr="00465CE2">
        <w:t>.</w:t>
      </w:r>
    </w:p>
    <w:p w14:paraId="6BE5E755" w14:textId="7248C236" w:rsidR="00BC3487" w:rsidRPr="00465CE2" w:rsidRDefault="00F16261" w:rsidP="001356F0">
      <w:pPr>
        <w:pStyle w:val="NumPar1"/>
      </w:pPr>
      <w:r w:rsidRPr="00465CE2">
        <w:t xml:space="preserve">Avtal som ingåtts före </w:t>
      </w:r>
      <w:r w:rsidRPr="00465CE2">
        <w:rPr>
          <w:highlight w:val="yellow"/>
        </w:rPr>
        <w:t>[Publikationsbyrån, infoga samma datum som i artikel 4.2 och 4.3]</w:t>
      </w:r>
      <w:r w:rsidRPr="00465CE2">
        <w:t xml:space="preserve"> på grundval av beslut 2001/497/EG eller beslut 2010/87/EU ska anses garantera lämpliga skyddsåtgärder i den mening som avses i artikel 46.1 i förordning (EU) 2016/679 fram till </w:t>
      </w:r>
      <w:r w:rsidRPr="00465CE2">
        <w:rPr>
          <w:highlight w:val="yellow"/>
        </w:rPr>
        <w:t>[Publikationsbyrån, lägg till datum 15 månader efter datumet i artikel 4.2 och 4.3]</w:t>
      </w:r>
      <w:r w:rsidRPr="00465CE2">
        <w:t>, under förutsättning att de behandlingar som är föremål för avtalet förblir oförändrade och att användningen av dessa klausuler säkerställer att överföringen av personuppgifter omfattas av lämpliga skyddsåtgärder.</w:t>
      </w:r>
    </w:p>
    <w:p w14:paraId="6DE897E5" w14:textId="6B9D2542" w:rsidR="00070205" w:rsidRPr="00465CE2" w:rsidRDefault="00497462" w:rsidP="00497462">
      <w:pPr>
        <w:pStyle w:val="Fait"/>
      </w:pPr>
      <w:r w:rsidRPr="00465CE2">
        <w:t>Utfärdat i Bryssel den</w:t>
      </w:r>
    </w:p>
    <w:p w14:paraId="0F181B50" w14:textId="77777777" w:rsidR="00070205" w:rsidRPr="00465CE2" w:rsidRDefault="00070205" w:rsidP="00070205">
      <w:pPr>
        <w:pStyle w:val="Institutionquisigne"/>
      </w:pPr>
      <w:r w:rsidRPr="00465CE2">
        <w:tab/>
        <w:t>På kommissionens vägnar</w:t>
      </w:r>
    </w:p>
    <w:p w14:paraId="2ADC8DED" w14:textId="77777777" w:rsidR="00070205" w:rsidRPr="00465CE2" w:rsidRDefault="00070205" w:rsidP="00070205">
      <w:pPr>
        <w:pStyle w:val="Personnequisigne"/>
      </w:pPr>
      <w:r w:rsidRPr="00465CE2">
        <w:tab/>
        <w:t xml:space="preserve">Ursula VON DER LEYEN </w:t>
      </w:r>
      <w:r w:rsidRPr="00465CE2">
        <w:br/>
      </w:r>
      <w:r w:rsidRPr="00465CE2">
        <w:tab/>
        <w:t xml:space="preserve">Ordförande  </w:t>
      </w:r>
      <w:r w:rsidRPr="00465CE2">
        <w:br/>
      </w:r>
      <w:r w:rsidRPr="00465CE2">
        <w:tab/>
        <w:t xml:space="preserve"> </w:t>
      </w:r>
      <w:r w:rsidRPr="00465CE2">
        <w:br/>
      </w:r>
    </w:p>
    <w:sectPr w:rsidR="00070205" w:rsidRPr="00465CE2" w:rsidSect="00333C56">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A16E" w14:textId="66A12B06" w:rsidR="00C36A89" w:rsidRPr="00333C56" w:rsidRDefault="00333C56" w:rsidP="00333C56">
    <w:pPr>
      <w:pStyle w:val="Footer"/>
      <w:rPr>
        <w:rFonts w:ascii="Arial" w:hAnsi="Arial" w:cs="Arial"/>
        <w:b/>
        <w:sz w:val="48"/>
      </w:rPr>
    </w:pPr>
    <w:r w:rsidRPr="00333C56">
      <w:rPr>
        <w:rFonts w:ascii="Arial" w:hAnsi="Arial" w:cs="Arial"/>
        <w:b/>
        <w:sz w:val="48"/>
      </w:rPr>
      <w:t>SV</w:t>
    </w:r>
    <w:r w:rsidRPr="00333C56">
      <w:rPr>
        <w:rFonts w:ascii="Arial" w:hAnsi="Arial" w:cs="Arial"/>
        <w:b/>
        <w:sz w:val="48"/>
      </w:rPr>
      <w:tab/>
    </w:r>
    <w:r w:rsidRPr="00333C56">
      <w:rPr>
        <w:rFonts w:ascii="Arial" w:hAnsi="Arial" w:cs="Arial"/>
        <w:b/>
        <w:sz w:val="48"/>
      </w:rPr>
      <w:tab/>
    </w:r>
    <w:r w:rsidRPr="00333C56">
      <w:tab/>
    </w:r>
    <w:r w:rsidRPr="00333C56">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315D4" w14:textId="7E29C529" w:rsidR="00333C56" w:rsidRPr="00333C56" w:rsidRDefault="00333C56" w:rsidP="00333C56">
    <w:pPr>
      <w:pStyle w:val="Footer"/>
      <w:rPr>
        <w:rFonts w:ascii="Arial" w:hAnsi="Arial" w:cs="Arial"/>
        <w:b/>
        <w:sz w:val="48"/>
      </w:rPr>
    </w:pPr>
    <w:r w:rsidRPr="00333C56">
      <w:rPr>
        <w:rFonts w:ascii="Arial" w:hAnsi="Arial" w:cs="Arial"/>
        <w:b/>
        <w:sz w:val="48"/>
      </w:rPr>
      <w:t>SV</w:t>
    </w:r>
    <w:r w:rsidRPr="00333C56">
      <w:rPr>
        <w:rFonts w:ascii="Arial" w:hAnsi="Arial" w:cs="Arial"/>
        <w:b/>
        <w:sz w:val="48"/>
      </w:rPr>
      <w:tab/>
    </w:r>
    <w:r>
      <w:fldChar w:fldCharType="begin"/>
    </w:r>
    <w:r>
      <w:instrText xml:space="preserve"> PAGE  \* MERGEFORMAT </w:instrText>
    </w:r>
    <w:r>
      <w:fldChar w:fldCharType="separate"/>
    </w:r>
    <w:r w:rsidR="00CD4EC3">
      <w:rPr>
        <w:noProof/>
      </w:rPr>
      <w:t>1</w:t>
    </w:r>
    <w:r>
      <w:fldChar w:fldCharType="end"/>
    </w:r>
    <w:r>
      <w:tab/>
    </w:r>
    <w:r w:rsidRPr="00333C56">
      <w:tab/>
    </w:r>
    <w:r w:rsidRPr="00333C56">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2BEB8" w14:textId="77777777" w:rsidR="00333C56" w:rsidRPr="00333C56" w:rsidRDefault="00333C56" w:rsidP="0033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465CE2" w:rsidRDefault="004B5724">
      <w:pPr>
        <w:pStyle w:val="FootnoteText"/>
      </w:pPr>
      <w:r>
        <w:rPr>
          <w:rStyle w:val="FootnoteReference"/>
        </w:rPr>
        <w:footnoteRef/>
      </w:r>
      <w:r w:rsidRPr="00465CE2">
        <w:tab/>
        <w:t>EUT L 119, 4.5.2016, s. 1.</w:t>
      </w:r>
    </w:p>
  </w:footnote>
  <w:footnote w:id="2">
    <w:p w14:paraId="14ACAFDD" w14:textId="53B6CCEA" w:rsidR="004B5724" w:rsidRPr="00465CE2" w:rsidRDefault="004B5724">
      <w:pPr>
        <w:pStyle w:val="FootnoteText"/>
      </w:pPr>
      <w:r>
        <w:rPr>
          <w:rStyle w:val="FootnoteReference"/>
        </w:rPr>
        <w:footnoteRef/>
      </w:r>
      <w:r w:rsidRPr="00465CE2">
        <w:tab/>
        <w:t>Artikel 44 i förordning (EU) 2016/679.</w:t>
      </w:r>
    </w:p>
  </w:footnote>
  <w:footnote w:id="3">
    <w:p w14:paraId="1FD4A8A0" w14:textId="77777777" w:rsidR="004B5724" w:rsidRPr="00465CE2" w:rsidRDefault="004B5724" w:rsidP="004B5724">
      <w:pPr>
        <w:pStyle w:val="FootnoteText"/>
      </w:pPr>
      <w:r>
        <w:rPr>
          <w:rStyle w:val="FootnoteReference"/>
        </w:rPr>
        <w:footnoteRef/>
      </w:r>
      <w:r w:rsidRPr="00465CE2">
        <w:tab/>
        <w:t>Se även domstolens dom av den 16 juli 2020 i mål C-311/18, Data Protection Commissioner mot Facebook Ireland Ltd och Maximillian Schrems (”Schrems II”), ECLI:EU:C:2020:559, punkt 93.</w:t>
      </w:r>
    </w:p>
    <w:p w14:paraId="69287943" w14:textId="17829B76" w:rsidR="004B5724" w:rsidRPr="00465CE2" w:rsidRDefault="004B5724">
      <w:pPr>
        <w:pStyle w:val="FootnoteText"/>
      </w:pPr>
    </w:p>
  </w:footnote>
  <w:footnote w:id="4">
    <w:p w14:paraId="3B74AE4D" w14:textId="04983C74" w:rsidR="004B5724" w:rsidRPr="00465CE2" w:rsidRDefault="004B5724">
      <w:pPr>
        <w:pStyle w:val="FootnoteText"/>
      </w:pPr>
      <w:r>
        <w:rPr>
          <w:rStyle w:val="FootnoteReference"/>
        </w:rPr>
        <w:footnoteRef/>
      </w:r>
      <w:r w:rsidRPr="00465CE2">
        <w:tab/>
        <w:t>Skäl 109 i förordning (EU) 2016/679.</w:t>
      </w:r>
    </w:p>
  </w:footnote>
  <w:footnote w:id="5">
    <w:p w14:paraId="4B4E107A" w14:textId="5733D7D2" w:rsidR="004B5724" w:rsidRPr="00465CE2" w:rsidRDefault="004B5724">
      <w:pPr>
        <w:pStyle w:val="FootnoteText"/>
      </w:pPr>
      <w:r>
        <w:rPr>
          <w:rStyle w:val="FootnoteReference"/>
        </w:rPr>
        <w:footnoteRef/>
      </w:r>
      <w:r w:rsidRPr="00465CE2">
        <w:tab/>
        <w:t>Kommissionens beslut 2001/497/EG av den 15 juni 2001 om standardavtalsklausuler för överföring av personuppgifter till tredje land enligt direktiv 95/46/EG (EGT L 181, 4.7.2001, s. 19).</w:t>
      </w:r>
    </w:p>
  </w:footnote>
  <w:footnote w:id="6">
    <w:p w14:paraId="72FA0FBB" w14:textId="1A3CC73A" w:rsidR="004B5724" w:rsidRPr="00465CE2" w:rsidRDefault="004B5724">
      <w:pPr>
        <w:pStyle w:val="FootnoteText"/>
      </w:pPr>
      <w:r>
        <w:rPr>
          <w:rStyle w:val="FootnoteReference"/>
        </w:rPr>
        <w:footnoteRef/>
      </w:r>
      <w:r w:rsidRPr="00465CE2">
        <w:tab/>
        <w:t>Kommissionens beslut 2010/87/EU av den 5 februari 2010 om standardavtalsklausuler för överföring av personuppgifter till registerförare etablerade i tredjeland i enlighet med Europaparlamentets och rådets direktiv 95/46/EG (EUT L 39, 12.2.2010, s. 5).</w:t>
      </w:r>
    </w:p>
  </w:footnote>
  <w:footnote w:id="7">
    <w:p w14:paraId="69639D4A" w14:textId="07AD5383" w:rsidR="004B5724" w:rsidRPr="00465CE2" w:rsidRDefault="004B5724">
      <w:pPr>
        <w:pStyle w:val="FootnoteText"/>
      </w:pPr>
      <w:r>
        <w:rPr>
          <w:rStyle w:val="FootnoteReference"/>
        </w:rPr>
        <w:footnoteRef/>
      </w:r>
      <w:r w:rsidRPr="00465CE2">
        <w:tab/>
        <w:t>Europaparlamentets och rådets direktiv 95/46/EG av den 24 oktober 1995 om skydd för enskilda personer med avseende på behandling av personuppgifter och om det fria flödet av sådana uppgifter (EGT L 281, 23.11.1995, s. 31).</w:t>
      </w:r>
    </w:p>
  </w:footnote>
  <w:footnote w:id="8">
    <w:p w14:paraId="13D8FC7C" w14:textId="243B6CBC" w:rsidR="004B5724" w:rsidRPr="00465CE2" w:rsidRDefault="004B5724">
      <w:pPr>
        <w:pStyle w:val="FootnoteText"/>
      </w:pPr>
      <w:r>
        <w:rPr>
          <w:rStyle w:val="FootnoteReference"/>
        </w:rPr>
        <w:footnoteRef/>
      </w:r>
      <w:r w:rsidRPr="00465CE2">
        <w:tab/>
        <w:t>Europaparlamentets och rådets förordning (EU) 2018/1725 av den 23 oktober 2018 om skydd för fysiska personer med avseende på behandling av personuppgifter som utförs av unionens institutioner, organ och byråer och om det fria flödet av sådana uppgifter samt om upphävande av förordning (EG) nr 45/2001 och beslut nr 1247/2002/EG (EUT L 295, 21.11.2018, s. 39), se skäl 5.</w:t>
      </w:r>
    </w:p>
  </w:footnote>
  <w:footnote w:id="9">
    <w:p w14:paraId="35AD7AC6" w14:textId="7F16560E" w:rsidR="004B5724" w:rsidRPr="00465CE2" w:rsidRDefault="004B5724">
      <w:pPr>
        <w:pStyle w:val="FootnoteText"/>
      </w:pPr>
      <w:r>
        <w:rPr>
          <w:rStyle w:val="FootnoteReference"/>
        </w:rPr>
        <w:footnoteRef/>
      </w:r>
      <w:r w:rsidRPr="00465CE2">
        <w:tab/>
        <w:t>C(2021)3701.</w:t>
      </w:r>
    </w:p>
  </w:footnote>
  <w:footnote w:id="10">
    <w:p w14:paraId="153B3BD2" w14:textId="547EFAD1" w:rsidR="004B5724" w:rsidRPr="00465CE2" w:rsidRDefault="004B5724">
      <w:pPr>
        <w:pStyle w:val="FootnoteText"/>
      </w:pPr>
      <w:r>
        <w:rPr>
          <w:rStyle w:val="FootnoteReference"/>
        </w:rPr>
        <w:footnoteRef/>
      </w:r>
      <w:r w:rsidRPr="00465CE2">
        <w:rPr>
          <w:i/>
        </w:rPr>
        <w:tab/>
      </w:r>
      <w:r w:rsidRPr="00465CE2">
        <w:t>Schrems II, punkterna 96 och 103. Se även förordning (EU) 2016/679, skälen 108 och 114.</w:t>
      </w:r>
    </w:p>
  </w:footnote>
  <w:footnote w:id="11">
    <w:p w14:paraId="1FFBEDA4" w14:textId="400AC41E" w:rsidR="004B5724" w:rsidRPr="00465CE2" w:rsidRDefault="004B5724">
      <w:pPr>
        <w:pStyle w:val="FootnoteText"/>
      </w:pPr>
      <w:r>
        <w:rPr>
          <w:rStyle w:val="FootnoteReference"/>
        </w:rPr>
        <w:footnoteRef/>
      </w:r>
      <w:r w:rsidRPr="00465CE2">
        <w:tab/>
        <w:t>Schrems II.</w:t>
      </w:r>
    </w:p>
  </w:footnote>
  <w:footnote w:id="12">
    <w:p w14:paraId="58CC1499" w14:textId="72D112B4" w:rsidR="004B5724" w:rsidRPr="00465CE2" w:rsidRDefault="004B5724">
      <w:pPr>
        <w:pStyle w:val="FootnoteText"/>
      </w:pPr>
      <w:r>
        <w:rPr>
          <w:rStyle w:val="FootnoteReference"/>
        </w:rPr>
        <w:footnoteRef/>
      </w:r>
      <w:r w:rsidRPr="00465CE2">
        <w:tab/>
        <w:t>EDPB:s och EDPS:s gemensamma yttrande 2/2021 om Europeiska kommissionens genomförandebeslut om standardavtalsklausuler för överföring av personuppgifter till tredjeländer för de frågor som avses i artikel 46.2 c i förordning (EU) 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removePersonalInformation/>
  <w:removeDateAndTime/>
  <w:attachedTemplate r:id="rId1"/>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6:32:0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2DA17D4A-7FCD-45E7-B366-3E4066080F89"/>
    <w:docVar w:name="LW_COVERPAGE_TYPE" w:val="1"/>
    <w:docVar w:name="LW_CROSSREFERENCE" w:val="&lt;UNUSED&gt;"/>
    <w:docVar w:name="LW_DATE.ADOPT.CP" w:val="av den XXX"/>
    <w:docVar w:name="LW_DATE.ADOPT.CP_DATEFORMAT" w:val="av den %DATE%"/>
    <w:docVar w:name="LW_DATE.ADOPT.CP_ISODATE" w:val="&lt;EMPTY&gt;"/>
    <w:docVar w:name="LW_DocType" w:val="COM"/>
    <w:docVar w:name="LW_EMISSION" w:val="&lt;EMPTY&gt;"/>
    <w:docVar w:name="LW_EMISSION_ISODATE" w:val="&lt;EMPTY&gt;"/>
    <w:docVar w:name="LW_EMISSION_LOCATION" w:val="BRX"/>
    <w:docVar w:name="LW_EMISSION_PREFIX" w:val="Bryssel den "/>
    <w:docVar w:name="LW_EMISSION_SUFFIX" w:val=" "/>
    <w:docVar w:name="LW_ID_DOCMODEL" w:val="SJ-032"/>
    <w:docVar w:name="LW_ID_DOCSIGNATURE" w:val="SJ-032"/>
    <w:docVar w:name="LW_ID_DOCSTRUCTURE" w:val="COM/AA"/>
    <w:docVar w:name="LW_ID_DOCTYPE" w:val="SJ-032"/>
    <w:docVar w:name="LW_INTERETEEE" w:val="(Text av betydelse för EES)"/>
    <w:docVar w:name="LW_INTERETEEE.CP" w:val="(Text av betydelse för EES)"/>
    <w:docVar w:name="LW_LANGUE" w:val="SV"/>
    <w:docVar w:name="LW_LANGUESFAISANTFOI.CP" w:val="&lt;UNUSED&gt;"/>
    <w:docVar w:name="LW_LEVEL_OF_SENSITIVITY" w:val="Standard treatment"/>
    <w:docVar w:name="LW_NOM.INST" w:val="EUROPEISKA KOMMISSIONEN"/>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lt;FMT:Bold&gt;om standardavtalsklausuler för överföring av personuppgifter till tredjeländer i enlighet med Europaparlamentets och rådets förordning (EU) 2016/679&lt;/FMT&gt;_x000b_"/>
    <w:docVar w:name="LW_TITRE.OBJ.CP" w:val="&lt;FMT:Bold&gt;om standardavtalsklausuler för överföring av personuppgifter till tredjeländer i enlighet med Europaparlamentets och rådets förordning (EU) 2016/679&lt;/FMT&gt;_x000b_"/>
    <w:docVar w:name="LW_TYPE.DOC" w:val="KOMMISSIONENS GENOMFÖRANDEBESLUT (EU) \u8230?/\u8230?"/>
    <w:docVar w:name="LW_TYPE.DOC.CP" w:val="KOMMISSIONENS GENOMFÖRANDEBESLUT (EU) \u8230?/\u8230?"/>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33C56"/>
    <w:rsid w:val="003403AA"/>
    <w:rsid w:val="00377582"/>
    <w:rsid w:val="003A239F"/>
    <w:rsid w:val="003B1F06"/>
    <w:rsid w:val="003D708C"/>
    <w:rsid w:val="003F12D1"/>
    <w:rsid w:val="003F7841"/>
    <w:rsid w:val="00415760"/>
    <w:rsid w:val="00434710"/>
    <w:rsid w:val="00437DA6"/>
    <w:rsid w:val="004426B1"/>
    <w:rsid w:val="00465CE2"/>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273E"/>
    <w:rsid w:val="00B86135"/>
    <w:rsid w:val="00B92DF9"/>
    <w:rsid w:val="00BA0EB4"/>
    <w:rsid w:val="00BA4D5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D4EC3"/>
    <w:rsid w:val="00CE5C17"/>
    <w:rsid w:val="00CF25EE"/>
    <w:rsid w:val="00D121C0"/>
    <w:rsid w:val="00D20CB6"/>
    <w:rsid w:val="00D250DD"/>
    <w:rsid w:val="00D43DA1"/>
    <w:rsid w:val="00D51DAE"/>
    <w:rsid w:val="00D67E9A"/>
    <w:rsid w:val="00D67F28"/>
    <w:rsid w:val="00D735B2"/>
    <w:rsid w:val="00D75956"/>
    <w:rsid w:val="00D75E5E"/>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7736B"/>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A4451"/>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sv-SE"/>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sv-SE"/>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BF6E-10C8-49A3-A3B4-26EA6E25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3384</Words>
  <Characters>22486</Characters>
  <Application>Microsoft Office Word</Application>
  <DocSecurity>0</DocSecurity>
  <Lines>340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2021-05-21T14:31:00Z</dcterms:created>
  <dcterms:modified xsi:type="dcterms:W3CDTF">2021-05-21T14:32:00Z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