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275B8" w14:textId="3F9B54D2" w:rsidR="00070205" w:rsidRDefault="0081279D" w:rsidP="009622D0">
      <w:pPr>
        <w:pStyle w:val="Pagedecouverture"/>
      </w:pPr>
      <w:bookmarkStart w:id="0" w:name="_GoBack"/>
      <w:bookmarkEnd w:id="0"/>
      <w:r>
        <w:pict w14:anchorId="543710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A3DC1FB-FBA2-4437-A795-5FF5FE7FE388" style="width:450.25pt;height:382.05pt">
            <v:imagedata r:id="rId8" o:title=""/>
          </v:shape>
        </w:pict>
      </w:r>
    </w:p>
    <w:p w14:paraId="09778E03" w14:textId="77777777" w:rsidR="008526D3" w:rsidRPr="008526D3" w:rsidRDefault="008526D3" w:rsidP="008526D3">
      <w:pPr>
        <w:pStyle w:val="Pagedecouverture"/>
        <w:sectPr w:rsidR="008526D3" w:rsidRPr="008526D3" w:rsidSect="00BA35E7">
          <w:footerReference w:type="default" r:id="rId9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19BB17F2" w14:textId="45C07A49" w:rsidR="00070205" w:rsidRPr="008526D3" w:rsidRDefault="00497462" w:rsidP="00497462">
      <w:pPr>
        <w:pStyle w:val="Typedudocument"/>
      </w:pPr>
      <w:r w:rsidRPr="008526D3">
        <w:t>DEĊIŻJONI TA’ IMPLIMENTAZZJONI TAL-KUMMISSJONI (UE) …/…</w:t>
      </w:r>
    </w:p>
    <w:p w14:paraId="39925B62" w14:textId="5BC30BC8" w:rsidR="00070205" w:rsidRPr="008526D3" w:rsidRDefault="008526D3" w:rsidP="00497462">
      <w:pPr>
        <w:pStyle w:val="Datedadoption"/>
      </w:pPr>
      <w:r>
        <w:t xml:space="preserve">ta’ </w:t>
      </w:r>
      <w:r w:rsidR="00280640" w:rsidRPr="006F1D4B">
        <w:rPr>
          <w:rStyle w:val="Marker2"/>
        </w:rPr>
        <w:t>XXX</w:t>
      </w:r>
    </w:p>
    <w:p w14:paraId="3EC8887B" w14:textId="530D70CF" w:rsidR="00070205" w:rsidRPr="008526D3" w:rsidRDefault="00497462" w:rsidP="00497462">
      <w:pPr>
        <w:pStyle w:val="Titreobjet"/>
      </w:pPr>
      <w:r w:rsidRPr="008526D3">
        <w:t xml:space="preserve">dwar klawżoli kuntrattwali standard għat-trasferiment ta’ </w:t>
      </w:r>
      <w:r w:rsidRPr="008526D3">
        <w:rPr>
          <w:i/>
        </w:rPr>
        <w:t>data</w:t>
      </w:r>
      <w:r w:rsidRPr="008526D3">
        <w:t xml:space="preserve"> personali lil pajjiżi terzi skont ir-Regolament (UE) 2016/679 tal-Parlament Ewropew u tal-Kunsill</w:t>
      </w:r>
    </w:p>
    <w:p w14:paraId="2E28B445" w14:textId="5EA392B1" w:rsidR="00070205" w:rsidRPr="008526D3" w:rsidRDefault="00497462" w:rsidP="00497462">
      <w:pPr>
        <w:pStyle w:val="IntrtEEE"/>
      </w:pPr>
      <w:r w:rsidRPr="008526D3">
        <w:t>(Test b’rilevanza għaż-ŻEE)</w:t>
      </w:r>
    </w:p>
    <w:p w14:paraId="6A988FE2" w14:textId="77777777" w:rsidR="00070205" w:rsidRPr="008526D3" w:rsidRDefault="00070205" w:rsidP="00C36A89">
      <w:pPr>
        <w:pStyle w:val="Institutionquiagit"/>
      </w:pPr>
      <w:r w:rsidRPr="008526D3">
        <w:t>IL-KUMMISSJONI EWROPEA,</w:t>
      </w:r>
    </w:p>
    <w:p w14:paraId="5AFA792D" w14:textId="77777777" w:rsidR="001D4EF4" w:rsidRPr="008526D3" w:rsidRDefault="00070205" w:rsidP="00C36A89">
      <w:r w:rsidRPr="008526D3">
        <w:t>Wara li kkunsidrat it-Trattat dwar il-Funzjonament tal-Unjoni Ewropea,</w:t>
      </w:r>
    </w:p>
    <w:p w14:paraId="723B085A" w14:textId="02F1816D" w:rsidR="00070205" w:rsidRPr="008526D3" w:rsidRDefault="00070205" w:rsidP="00C36A89">
      <w:r w:rsidRPr="008526D3">
        <w:t>Wara li kkunsidrat ir-Regolament (UE) 2016/679 tal-Parlament Ewropew u tal-Kunsill tas-27 ta’ April 2016 dwar il-protezzjoni tal-persuni fiżiċi fir-rigward tal-ipproċessar ta’ data personali u dwar il-moviment liberu ta’ tali data, u li jħassar id-Direttiva 95/46/KE (Regolament Ġenerali dwar il-Protezzjoni tad-Data)</w:t>
      </w:r>
      <w:r w:rsidR="00220576">
        <w:rPr>
          <w:rStyle w:val="FootnoteReference"/>
        </w:rPr>
        <w:footnoteReference w:id="1"/>
      </w:r>
      <w:r w:rsidRPr="008526D3">
        <w:t>, u b’mod partikolari l-Artikolu 28(7) u l-Artikolu 46(2)(c) tiegħu,</w:t>
      </w:r>
    </w:p>
    <w:p w14:paraId="5DBC66B2" w14:textId="77777777" w:rsidR="00070205" w:rsidRPr="008526D3" w:rsidRDefault="00070205" w:rsidP="00C36A89">
      <w:r w:rsidRPr="008526D3">
        <w:t>Billi:</w:t>
      </w:r>
    </w:p>
    <w:p w14:paraId="1FBC9A33" w14:textId="3804E4C5" w:rsidR="00EB7ED2" w:rsidRPr="008526D3" w:rsidRDefault="00EB7ED2" w:rsidP="00377582">
      <w:pPr>
        <w:pStyle w:val="Considrant"/>
        <w:numPr>
          <w:ilvl w:val="0"/>
          <w:numId w:val="1"/>
        </w:numPr>
      </w:pPr>
      <w:r w:rsidRPr="008526D3">
        <w:t>L-iżviluppi teknoloġiċi qed jiffaċilitaw il-flussi transfruntiera tad-</w:t>
      </w:r>
      <w:r w:rsidRPr="008526D3">
        <w:rPr>
          <w:i/>
        </w:rPr>
        <w:t>data</w:t>
      </w:r>
      <w:r w:rsidRPr="008526D3">
        <w:t xml:space="preserve"> meħtieġa għall-espansjoni tal-kooperazzjoni internazzjonali u l-kummerċ internazzjonali. Fl-istess ħin, huwa meħtieġ li jiġi żgurat li l-livell ta’ protezzjoni tal-persuni fiżiċi ggarantit mir-Regolament (UE) 2016/679 ma jiġix imminat meta d-</w:t>
      </w:r>
      <w:r w:rsidRPr="008526D3">
        <w:rPr>
          <w:i/>
        </w:rPr>
        <w:t>data</w:t>
      </w:r>
      <w:r w:rsidRPr="008526D3">
        <w:t xml:space="preserve"> personali tiġi ttrasferita lejn pajjiżi terzi, inkluż f’każijiet ta’ trasferimenti ulterjuri</w:t>
      </w:r>
      <w:r w:rsidR="00220576">
        <w:rPr>
          <w:rStyle w:val="FootnoteReference"/>
        </w:rPr>
        <w:footnoteReference w:id="2"/>
      </w:r>
      <w:r w:rsidRPr="008526D3">
        <w:t>. Id-dispożizzjonijiet dwar it-trasferimenti tad-</w:t>
      </w:r>
      <w:r w:rsidRPr="008526D3">
        <w:rPr>
          <w:i/>
        </w:rPr>
        <w:t>data</w:t>
      </w:r>
      <w:r w:rsidRPr="008526D3">
        <w:t xml:space="preserve"> fil-Kapitolu V tar-Regolament (UE) 2016/679 huma maħsuba biex jiżguraw il-kontinwità ta’ dak il-livell għoli ta’ protezzjoni meta d-</w:t>
      </w:r>
      <w:r w:rsidRPr="008526D3">
        <w:rPr>
          <w:i/>
        </w:rPr>
        <w:t>data</w:t>
      </w:r>
      <w:r w:rsidRPr="008526D3">
        <w:t xml:space="preserve"> personali tiġi ttrasferita lil pajjiż terz</w:t>
      </w:r>
      <w:r w:rsidR="00220576">
        <w:rPr>
          <w:rStyle w:val="FootnoteReference"/>
        </w:rPr>
        <w:footnoteReference w:id="3"/>
      </w:r>
      <w:r w:rsidRPr="008526D3">
        <w:t>.</w:t>
      </w:r>
    </w:p>
    <w:p w14:paraId="217460B5" w14:textId="1B3A5723" w:rsidR="00EB7ED2" w:rsidRPr="008526D3" w:rsidRDefault="00EB7ED2" w:rsidP="00EB7ED2">
      <w:pPr>
        <w:pStyle w:val="Considrant"/>
      </w:pPr>
      <w:r w:rsidRPr="008526D3">
        <w:t xml:space="preserve">Skont l-Artikolu 46(1) tar-Regolament (UE) 2016/679, fin-nuqqas ta’ deċiżjoni ta’ adegwatezza mill-Kummissjoni skont l-Artikolu 45(3), kontrollur jew proċessur jista’ jittrasferixxi </w:t>
      </w:r>
      <w:r w:rsidRPr="008526D3">
        <w:rPr>
          <w:i/>
        </w:rPr>
        <w:t>data</w:t>
      </w:r>
      <w:r w:rsidRPr="008526D3">
        <w:t xml:space="preserve"> personali lil pajjiż terz biss jekk il-kontrollur jew il-proċessur ikun ipprovda salvagwardji xierqa, u bil-kundizzjoni li jkunu disponibbli drittijiet infurzabbli u rimedji legali effettivi għas-suġġetti tad-</w:t>
      </w:r>
      <w:r w:rsidRPr="008526D3">
        <w:rPr>
          <w:i/>
        </w:rPr>
        <w:t>data</w:t>
      </w:r>
      <w:r w:rsidRPr="008526D3">
        <w:t>. Dawn is-salvagwardji jistgħu jiġu pprovduti permezz ta’ klawżoli standard ta’ protezzjoni tad-</w:t>
      </w:r>
      <w:r w:rsidRPr="008526D3">
        <w:rPr>
          <w:i/>
        </w:rPr>
        <w:t>data</w:t>
      </w:r>
      <w:r w:rsidRPr="008526D3">
        <w:t xml:space="preserve"> adottati mill-Kummissjoni skont l-Artikolu 46(2)(c).</w:t>
      </w:r>
    </w:p>
    <w:p w14:paraId="08AED2DA" w14:textId="5DF59C70" w:rsidR="00EB7ED2" w:rsidRPr="008526D3" w:rsidRDefault="00EB7ED2" w:rsidP="00EB7ED2">
      <w:pPr>
        <w:pStyle w:val="Considrant"/>
      </w:pPr>
      <w:r w:rsidRPr="008526D3">
        <w:t>Ir-rwol tal-klawżoli kuntrattwali standard huwa limitat biex jiġu żgurati salvagwardji xierqa tal-protezzjoni tad-</w:t>
      </w:r>
      <w:r w:rsidRPr="008526D3">
        <w:rPr>
          <w:i/>
        </w:rPr>
        <w:t>data</w:t>
      </w:r>
      <w:r w:rsidRPr="008526D3">
        <w:t xml:space="preserve"> għat-trasferimenti internazzjonali tad-</w:t>
      </w:r>
      <w:r w:rsidRPr="008526D3">
        <w:rPr>
          <w:i/>
        </w:rPr>
        <w:t>data</w:t>
      </w:r>
      <w:r w:rsidRPr="008526D3">
        <w:t>. Għalhekk, il-kontrollur jew il-proċessur li jittrasferixxi d-</w:t>
      </w:r>
      <w:r w:rsidRPr="008526D3">
        <w:rPr>
          <w:i/>
        </w:rPr>
        <w:t>data</w:t>
      </w:r>
      <w:r w:rsidRPr="008526D3">
        <w:t xml:space="preserve"> personali lil pajjiż terz jew (l-“esportatur tad-</w:t>
      </w:r>
      <w:r w:rsidRPr="008526D3">
        <w:rPr>
          <w:i/>
        </w:rPr>
        <w:t>data</w:t>
      </w:r>
      <w:r w:rsidRPr="008526D3">
        <w:t>”) u l-kontrollur jew il-proċessur li jirċievi d-</w:t>
      </w:r>
      <w:r w:rsidRPr="008526D3">
        <w:rPr>
          <w:i/>
        </w:rPr>
        <w:t>data</w:t>
      </w:r>
      <w:r w:rsidRPr="008526D3">
        <w:t xml:space="preserve"> personali (l-“importatur tad-</w:t>
      </w:r>
      <w:r w:rsidRPr="008526D3">
        <w:rPr>
          <w:i/>
        </w:rPr>
        <w:t>data</w:t>
      </w:r>
      <w:r w:rsidRPr="008526D3">
        <w:t>”) huma liberi li jinkludu dawk il-klawżoli kuntrattwali standard f’kuntratt usa’, u li jżidu klawżoli jew salvagwardji addizzjonali oħra dment li dawn ma jikkontradixxux, direttament jew indirettament, il-klawżoli kuntrattwali standard jew ma jippreġudikawx id-drittijiet jew il-libertajiet fundamentali tas-suġġetti tad-</w:t>
      </w:r>
      <w:r w:rsidRPr="008526D3">
        <w:rPr>
          <w:i/>
        </w:rPr>
        <w:t>data</w:t>
      </w:r>
      <w:r w:rsidRPr="008526D3">
        <w:t>. Il-kontrolluri u l-proċessuri huma mħeġġa jipprovdu salvagwardji addizzjonali permezz ta’ impenji kuntrattwali li jissupplimentaw il-klawżoli kuntrattwali standard</w:t>
      </w:r>
      <w:r w:rsidR="00220576">
        <w:rPr>
          <w:rStyle w:val="FootnoteReference"/>
        </w:rPr>
        <w:footnoteReference w:id="4"/>
      </w:r>
      <w:r w:rsidR="00220576">
        <w:t xml:space="preserve">. </w:t>
      </w:r>
      <w:r w:rsidRPr="008526D3">
        <w:t>L-użu tal-klawżoli kuntrattwali standard hija mingħajr preġudizzju għal kwalunkwe obbligu kuntrattwali tal-esportatur u/jew tal-importatur tad-</w:t>
      </w:r>
      <w:r w:rsidRPr="008526D3">
        <w:rPr>
          <w:i/>
        </w:rPr>
        <w:t>data</w:t>
      </w:r>
      <w:r w:rsidRPr="008526D3">
        <w:t xml:space="preserve"> li jiżgura r-rispett tal-privileġġi u l-immunitajiet applikabbli.</w:t>
      </w:r>
    </w:p>
    <w:p w14:paraId="35DBB988" w14:textId="6EBE9457" w:rsidR="00EB7ED2" w:rsidRPr="008526D3" w:rsidRDefault="00EB7ED2" w:rsidP="00EB7ED2">
      <w:pPr>
        <w:pStyle w:val="Considrant"/>
      </w:pPr>
      <w:r w:rsidRPr="008526D3">
        <w:t>Minbarra li juża klawżoli kuntrattwali standard biex jipprovdi salvagwardji xierqa għat-trasferimenti skont l-Artikolu 46(1) tar-Regolament (UE) 2016/679, l-esportatur tad-</w:t>
      </w:r>
      <w:r w:rsidRPr="008526D3">
        <w:rPr>
          <w:i/>
        </w:rPr>
        <w:t>data</w:t>
      </w:r>
      <w:r w:rsidRPr="008526D3">
        <w:t xml:space="preserve"> għandu jissodisfa r-responsabbiltajiet ġenerali tiegħu bħala kontrollur jew proċessur skont ir-Regolament (UE) 2016/679. Dawk ir-responsabbiltajiet jinkludu l-obbligu tal-kontrollur li jipprovdi lis-suġġetti tad-</w:t>
      </w:r>
      <w:r w:rsidRPr="008526D3">
        <w:rPr>
          <w:i/>
        </w:rPr>
        <w:t>data</w:t>
      </w:r>
      <w:r w:rsidRPr="008526D3">
        <w:t xml:space="preserve"> b’informazzjoni dwar il-fatt li jkun beħsiebu jittrasferixxi </w:t>
      </w:r>
      <w:r w:rsidRPr="008526D3">
        <w:rPr>
          <w:i/>
        </w:rPr>
        <w:t>data</w:t>
      </w:r>
      <w:r w:rsidRPr="008526D3">
        <w:t xml:space="preserve"> personali lil pajjiż terz f’konformità mal-Artikolu 13(1)(f) u l-Artikolu 14(1)(f) tar-Regolament (UE) 2016/679. Fil-każ tat-trasferimenti msemmija fl-Artikolu 46 tar-Regolament (UE) 2016/679, din l-informazzjoni trid tinkludi referenza għas-salvagwardji xierqa u l-mezzi li bihom tinkiseb kopja tagħhom jew informazzjoni fejn ikunu saru disponibbli.</w:t>
      </w:r>
    </w:p>
    <w:p w14:paraId="4969630F" w14:textId="016B5833" w:rsidR="00EB7ED2" w:rsidRPr="008526D3" w:rsidRDefault="00EB7ED2" w:rsidP="00EB7ED2">
      <w:pPr>
        <w:pStyle w:val="Considrant"/>
      </w:pPr>
      <w:r w:rsidRPr="008526D3">
        <w:t>Id-Deċiżjonijiet tal-Kummissjoni 2001/497/KE</w:t>
      </w:r>
      <w:r w:rsidR="00220576">
        <w:rPr>
          <w:rStyle w:val="FootnoteReference"/>
        </w:rPr>
        <w:footnoteReference w:id="5"/>
      </w:r>
      <w:r w:rsidRPr="008526D3">
        <w:t xml:space="preserve"> u 2010/87/UE</w:t>
      </w:r>
      <w:r w:rsidR="00220576">
        <w:rPr>
          <w:rStyle w:val="FootnoteReference"/>
        </w:rPr>
        <w:footnoteReference w:id="6"/>
      </w:r>
      <w:r w:rsidRPr="008526D3">
        <w:t xml:space="preserve"> fihom klawżoli kuntrattwali standard biex jiffaċilitaw it-trasferiment ta’ </w:t>
      </w:r>
      <w:r w:rsidRPr="008526D3">
        <w:rPr>
          <w:i/>
        </w:rPr>
        <w:t>data</w:t>
      </w:r>
      <w:r w:rsidRPr="008526D3">
        <w:t xml:space="preserve"> personali minn kontrollur tad-</w:t>
      </w:r>
      <w:r w:rsidRPr="008526D3">
        <w:rPr>
          <w:i/>
        </w:rPr>
        <w:t>data</w:t>
      </w:r>
      <w:r w:rsidRPr="008526D3">
        <w:t xml:space="preserve"> stabbilit fl-Unjoni għal kontrollur jew proċessur stabbilit f’pajjiż terz li ma joffrix livell adegwat ta’ protezzjoni. Dawk id-deċiżjonijiet kienu bbażati fuq id-Direttiva 95/46/KE tal-Parlament Ewropew u tal-Kunsill</w:t>
      </w:r>
      <w:r w:rsidR="00220576">
        <w:rPr>
          <w:rStyle w:val="FootnoteReference"/>
        </w:rPr>
        <w:footnoteReference w:id="7"/>
      </w:r>
      <w:r w:rsidRPr="008526D3">
        <w:t>.</w:t>
      </w:r>
    </w:p>
    <w:p w14:paraId="6B0A0951" w14:textId="6C1C3DFB" w:rsidR="00EB7ED2" w:rsidRPr="008526D3" w:rsidRDefault="00EB7ED2" w:rsidP="00EB7ED2">
      <w:pPr>
        <w:pStyle w:val="Considrant"/>
      </w:pPr>
      <w:r w:rsidRPr="008526D3">
        <w:t>Skont l-Artikolu 46(5) tar-Regolament (UE) 2016/679, id-Deċiżjoni 2001/497/KE u d-Deċiżjoni 2010/87/UE jibqgħu fis-seħħ sakemm jiġu emendati, issostitwiti jew imħassra, jekk meħtieġ, b’deċiżjoni tal-Kummissjoni adottata skont l-Artikolu 46(2) ta’ dak ir-Regolament. Il-klawżoli kuntrattwali standard fid-deċiżjonijiet kienu jeħtieġu aġġornament fid-dawl tar-rekwiżiti l-ġodda fir-Regolament (UE) 2016/679. Barra minn hekk, minn mindu ġew adottati d-deċiżjonijiet, l-ekonomija diġitali rat żviluppi sinifikanti, bl-użu mifrux ta’ operazzjonijiet ta’ pproċessar ġodda u aktar kumplessi li spiss jinvolvu diversi importaturi u esportaturi tad-</w:t>
      </w:r>
      <w:r w:rsidRPr="008526D3">
        <w:rPr>
          <w:i/>
        </w:rPr>
        <w:t>data</w:t>
      </w:r>
      <w:r w:rsidRPr="008526D3">
        <w:t>, ktajjen tal-ipproċessar twal u kumplessi, u relazzjonijiet kummerċjali li qed jevolvu. Dan jitlob modernizzazzjoni tal-klawżoli kuntrattwali standard biex jirriflettu aħjar dawk ir-realtajiet, billi jkopru sitwazzjonijiet addizzjonali ta’ pproċessar u trasferiment, u biex jippermettu approċċ aktar flessibbli, pereżempju fir-rigward tan-numru ta’ partijiet li jistgħu jingħaqdu mal-kuntratt.</w:t>
      </w:r>
    </w:p>
    <w:p w14:paraId="33EBD438" w14:textId="031AEAEC" w:rsidR="00D20CB6" w:rsidRPr="008526D3" w:rsidRDefault="0047771C" w:rsidP="00C36A89">
      <w:pPr>
        <w:pStyle w:val="Considrant"/>
      </w:pPr>
      <w:r w:rsidRPr="008526D3">
        <w:t xml:space="preserve">Kontrollur jew proċessur jista’ juża l-klawżoli kuntrattwali standard stabbiliti fl-Anness ta’ din id-Deċiżjoni biex jipprovdi salvagwardji xierqa skont it-tifsira tal-Artikolu 46(1) tar-Regolament (UE) 2016/679 għat-trasferiment ta’ </w:t>
      </w:r>
      <w:r w:rsidRPr="008526D3">
        <w:rPr>
          <w:i/>
        </w:rPr>
        <w:t>data</w:t>
      </w:r>
      <w:r w:rsidRPr="008526D3">
        <w:t xml:space="preserve"> personali lil proċessur jew kontrollur stabbilit f’pajjiż terz, mingħajr preġudizzju għall-interpretazzjoni tal-kunċett ta’ trasferiment internazzjonali fir-Regolament (UE) 2016/679. Il-klawżoli kuntrattwali standard jistgħu jintużaw għal trasferimenti bħal dawn biss sa fejn l-ipproċessar mill-importatur ma jaqax fil-kamp ta’ applikazzjoni tar-Regolament (UE) 2016/679. Dan jinkludi wkoll it-trasferiment ta’ </w:t>
      </w:r>
      <w:r w:rsidRPr="008526D3">
        <w:rPr>
          <w:i/>
        </w:rPr>
        <w:t>data</w:t>
      </w:r>
      <w:r w:rsidRPr="008526D3">
        <w:t xml:space="preserve"> personali minn kontrollur jew proċessur mhux stabbilit fl-Unjoni, sal-punt li l-ipproċessar ikun soġġett għar-Regolament (UE) 2016/679 (skont l-Artikolu 3(2) tiegħu), minħabba li jkun relatat mal-offerta ta’ prodotti jew servizzi lil suġġetti tad-</w:t>
      </w:r>
      <w:r w:rsidRPr="008526D3">
        <w:rPr>
          <w:i/>
        </w:rPr>
        <w:t>data</w:t>
      </w:r>
      <w:r w:rsidRPr="008526D3">
        <w:t xml:space="preserve"> fl-Unjoni jew mal-monitoraġġ tal-imġiba tagħhom tagħhom safejn isseħħ fl-Unjoni. </w:t>
      </w:r>
    </w:p>
    <w:p w14:paraId="58638138" w14:textId="28D8F4E9" w:rsidR="00EB7ED2" w:rsidRPr="008526D3" w:rsidRDefault="000C1C57" w:rsidP="00E74673">
      <w:pPr>
        <w:pStyle w:val="Considrant"/>
        <w:numPr>
          <w:ilvl w:val="0"/>
          <w:numId w:val="12"/>
        </w:numPr>
      </w:pPr>
      <w:r w:rsidRPr="008526D3">
        <w:t>Minħabba l-allinjament ġenerali tar-Regolament (UE) 2016/679 u r-Regolament (UE) 2018/1725 tal-Parlament Ewropew u tal-Kunsill</w:t>
      </w:r>
      <w:r w:rsidR="00220576">
        <w:rPr>
          <w:rStyle w:val="FootnoteReference"/>
        </w:rPr>
        <w:footnoteReference w:id="8"/>
      </w:r>
      <w:r w:rsidRPr="008526D3">
        <w:t>, jenħtieġ li jkun possibbli li jintużaw il-klawżoli kuntrattwali standard ukoll fil-kuntest ta’ kuntratt, kif imsemmi fl-Artikolu 29(4) tar-Regolament (UE) 2018/1725 għat</w:t>
      </w:r>
      <w:r w:rsidRPr="008526D3">
        <w:noBreakHyphen/>
        <w:t xml:space="preserve">trasferiment ta’ </w:t>
      </w:r>
      <w:r w:rsidRPr="008526D3">
        <w:rPr>
          <w:i/>
          <w:iCs/>
        </w:rPr>
        <w:t>data</w:t>
      </w:r>
      <w:r w:rsidRPr="008526D3">
        <w:t xml:space="preserve"> personali lil sottoproċessur f’pajjiż terz minn proċessur li mhuwiex istituzzjoni jew korp tal-Unjoni, iżda li huwa soġġett għar-Regolament (UE) 2016/679 u li jipproċessa </w:t>
      </w:r>
      <w:r w:rsidRPr="008526D3">
        <w:rPr>
          <w:i/>
          <w:iCs/>
        </w:rPr>
        <w:t>data</w:t>
      </w:r>
      <w:r w:rsidRPr="008526D3">
        <w:t xml:space="preserve"> personali f’isem istituzzjoni jew korp tal-Unjoni skont l-Artikolu 29 tar-Regolament (UE) 2018/1725. Sakemm il-kuntratt jirrifletti l-istess obbligi ta’ protezzjoni tad-</w:t>
      </w:r>
      <w:r w:rsidRPr="008526D3">
        <w:rPr>
          <w:i/>
        </w:rPr>
        <w:t>data</w:t>
      </w:r>
      <w:r w:rsidRPr="008526D3">
        <w:t xml:space="preserve"> kif stabbiliti fil-kuntratt jew f’att legali ieħor bejn il-kontrollur u l-proċessur skont l-Artikolu 29(3) tar-Regolament (UE) 2018/1725, b’mod partikolari billi jipprovdi garanziji suffiċjenti għal miżuri tekniċi u organizzattivi biex jiżgura li l-ipproċessar jissodisfa r-rekwiżiti ta’ dak ir-Regolament, dan jiżgura konformità mal-Artikolu 29(4) tar-Regolament (UE) 2018/1725. B’mod partikolari, dan ikun il-każ meta l-kontrollur u l-proċessur jużaw il-klawżoli kuntrattwali standard fid-Deċiżjoni ta’ Implimentazzjoni tal-Kummissjoni dwar klawżoli kuntrattwali standard bejn il-kontrolluri u l-proċessuri skont l-Artikolu 28(7) tar-Regolament (UE) 2016/679 tal-Parlament Ewropew u tal-Kunsill u l-Artikolu 29(7) tar-Regolament (UE) 2018/1725 tal-Parlament Ewropew u tal-Kunsill</w:t>
      </w:r>
      <w:r w:rsidR="00220576">
        <w:rPr>
          <w:rStyle w:val="FootnoteReference"/>
        </w:rPr>
        <w:footnoteReference w:id="9"/>
      </w:r>
      <w:r w:rsidRPr="008526D3">
        <w:t>.</w:t>
      </w:r>
    </w:p>
    <w:p w14:paraId="7C611A21" w14:textId="33B99914" w:rsidR="00EB7ED2" w:rsidRPr="008526D3" w:rsidRDefault="00EB7ED2" w:rsidP="00EB7ED2">
      <w:pPr>
        <w:pStyle w:val="Considrant"/>
      </w:pPr>
      <w:r w:rsidRPr="008526D3">
        <w:t xml:space="preserve">Meta l-ipproċessar jinvolvi trasferimenti ta’ </w:t>
      </w:r>
      <w:r w:rsidRPr="008526D3">
        <w:rPr>
          <w:i/>
        </w:rPr>
        <w:t>data</w:t>
      </w:r>
      <w:r w:rsidRPr="008526D3">
        <w:t xml:space="preserve"> minn kontrolluri soġġetti għar-Regolament (UE) 2016/679 lil proċessuri barra mill-kamp ta’ applikazzjoni territorjali tiegħu jew minn proċessuri soġġetti għar-Regolament (UE) 2016/679 lil sottoproċessuri barra mill</w:t>
      </w:r>
      <w:r w:rsidRPr="008526D3">
        <w:noBreakHyphen/>
        <w:t>kamp ta’ applikazzjoni territorjali tiegħu, jenħtieġ li l-klawżoli kuntrattwali standard stabbiliti fl-Anness ta’ din id-Deċiżjoni jippermettu wkoll li jiġu ssodisfati r-rekwiżiti tal-Artikolu 28(3) u (4) tar-Regolament (UE) 2016/679.</w:t>
      </w:r>
    </w:p>
    <w:p w14:paraId="34346D8F" w14:textId="64503FB9" w:rsidR="00EB7ED2" w:rsidRPr="008526D3" w:rsidRDefault="00EB7ED2" w:rsidP="00EB7ED2">
      <w:pPr>
        <w:pStyle w:val="Considrant"/>
      </w:pPr>
      <w:r w:rsidRPr="008526D3">
        <w:t>Il-klawżoli kuntrattwali standard stabbiliti fl-Anness ta’ din id-Deċiżjoni jikkombinaw klawżoli ġenerali ma’ approċċ modulari biex jiġu indirizzati diversi xenarji ta’ trasferiment u l-kumplessità ta’ ktajjen moderni tal-ipproċessar. Minbarra l-klawżoli ġenerali, jenħtieġ li l-kontrolluri u l-proċessuri jagħżlu l-modulu applikabbli għas-sitwazzjoni tagħhom, sabiex ifasslu l-obbligi tagħhom skont il-klawżoli kuntrattwali standard apposta għar-rwol u r-responsabbiltajiet tagħhom fir-rigward tal-ipproċessar tad-</w:t>
      </w:r>
      <w:r w:rsidRPr="008526D3">
        <w:rPr>
          <w:i/>
        </w:rPr>
        <w:t>data</w:t>
      </w:r>
      <w:r w:rsidRPr="008526D3">
        <w:t xml:space="preserve"> inkwistjoni. Jenħtieġ li jkun possibbli għal aktar minn żewġ partijiet li jaderixxu mal-klawżoli kuntrattwali standard. Barra minn hekk, jenħtieġ li kontrolluri u proċessuri addizzjonali jitħallew jaderixxu mal-klawżoli kuntrattwali standard bħala esportaturi jew importaturi tad-</w:t>
      </w:r>
      <w:r w:rsidRPr="008526D3">
        <w:rPr>
          <w:i/>
        </w:rPr>
        <w:t>data</w:t>
      </w:r>
      <w:r w:rsidRPr="008526D3">
        <w:t xml:space="preserve"> matul iċ-ċiklu tal-ħajja tal-kuntratt li huma jiffurmaw parti minnu.</w:t>
      </w:r>
    </w:p>
    <w:p w14:paraId="5A5BCD4E" w14:textId="667357BF" w:rsidR="00EB7ED2" w:rsidRPr="008526D3" w:rsidRDefault="00EB7ED2" w:rsidP="00BD7CD0">
      <w:pPr>
        <w:pStyle w:val="Considrant"/>
      </w:pPr>
      <w:r w:rsidRPr="008526D3">
        <w:t>Sabiex jiġu pprovduti salvagwardji xierqa, jenħtieġ li l-klawżoli kuntrattwali standard jiżguraw li d-data personali trasferita fuq dik il-bażi tingħata livell ta’ protezzjoni essenzjalment ekwivalenti għal dak li huwa garantit fl-Unjoni</w:t>
      </w:r>
      <w:r w:rsidR="00220576">
        <w:rPr>
          <w:rStyle w:val="FootnoteReference"/>
        </w:rPr>
        <w:footnoteReference w:id="10"/>
      </w:r>
      <w:r w:rsidRPr="008526D3">
        <w:t xml:space="preserve"> Bil-għan li tiġi żgurata t-trasparenza tal-ipproċessar, jenħtieġ li s-suġġetti tad-</w:t>
      </w:r>
      <w:r w:rsidRPr="008526D3">
        <w:rPr>
          <w:i/>
        </w:rPr>
        <w:t>data</w:t>
      </w:r>
      <w:r w:rsidRPr="008526D3">
        <w:t xml:space="preserve"> jiġu pprovduti b’kopja tal-klawżoli kuntrattwali standard u jiġu infurmati, b’mod partikolari, dwar il-kategoriji ta’ </w:t>
      </w:r>
      <w:r w:rsidRPr="008526D3">
        <w:rPr>
          <w:i/>
        </w:rPr>
        <w:t>data</w:t>
      </w:r>
      <w:r w:rsidRPr="008526D3">
        <w:t xml:space="preserve"> personali pproċessata, id-dritt li jiksbu kopja tal-klawżoli kuntrattwali standard u kwalunkwe trasferiment ulterjuri. Jenħtieġ li trasferimenti ulterjuri mill-importatur tad-</w:t>
      </w:r>
      <w:r w:rsidRPr="008526D3">
        <w:rPr>
          <w:i/>
        </w:rPr>
        <w:t>data</w:t>
      </w:r>
      <w:r w:rsidRPr="008526D3">
        <w:t xml:space="preserve"> lil parti terza f’pajjiż terz ieħor ikunu permessi biss jekk il-parti terza taderixxi mal-klawżoli kuntrattwali standard, jekk il-kontinwità tal-protezzjoni tkun żgurata mod ieħor jew f’sitwazzjonijiet speċifiċi, bħal fil-każ tal-kunsens espliċitu u infurmat tas-suġġett tad-</w:t>
      </w:r>
      <w:r w:rsidRPr="008526D3">
        <w:rPr>
          <w:i/>
        </w:rPr>
        <w:t>data</w:t>
      </w:r>
      <w:r w:rsidRPr="008526D3">
        <w:t>.</w:t>
      </w:r>
    </w:p>
    <w:p w14:paraId="0EE018AF" w14:textId="6777D2A3" w:rsidR="00EB7ED2" w:rsidRPr="008526D3" w:rsidRDefault="00EB7ED2" w:rsidP="00EB7ED2">
      <w:pPr>
        <w:pStyle w:val="Considrant"/>
      </w:pPr>
      <w:r w:rsidRPr="008526D3">
        <w:t>B’xi eċċezzjonijiet, b’mod partikolari fir-rigward ta’ ċerti obbligi li jikkonċernaw esklussivament ir-relazzjoni bejn l-esportatur tad-</w:t>
      </w:r>
      <w:r w:rsidRPr="008526D3">
        <w:rPr>
          <w:i/>
        </w:rPr>
        <w:t>data</w:t>
      </w:r>
      <w:r w:rsidRPr="008526D3">
        <w:t xml:space="preserve"> u l-importatur tad-</w:t>
      </w:r>
      <w:r w:rsidRPr="008526D3">
        <w:rPr>
          <w:i/>
        </w:rPr>
        <w:t>data</w:t>
      </w:r>
      <w:r w:rsidRPr="008526D3">
        <w:t>,  jenħtieġ li s-suġġetti tad-</w:t>
      </w:r>
      <w:r w:rsidRPr="008526D3">
        <w:rPr>
          <w:i/>
        </w:rPr>
        <w:t>data</w:t>
      </w:r>
      <w:r w:rsidRPr="008526D3">
        <w:t xml:space="preserve"> jkunu jistgħu jinvokaw, u fejn meħtieġ jinfurzaw, il-klawżoli kuntrattwali standard bħala benefiċjarji ta’ partijiet terzi. Għalhekk, filwaqt li jenħtieġ li l-partijiet jitħallew jagħżlu l-liġi ta’ wieħed mill-Istati Membri bħala waħda li tirregola l-klawżoli kuntrattwali standard, dik il</w:t>
      </w:r>
      <w:r w:rsidRPr="008526D3">
        <w:noBreakHyphen/>
        <w:t>liġi trid tippermetti drittijiet ta’ parti terza benefiċjarja. Sabiex jiġi ffaċilitat ir-rimedju individwali, jenħtieġ li l-klawżoli kuntrattwali standard jirrikjedu li l-importatur tad-</w:t>
      </w:r>
      <w:r w:rsidRPr="008526D3">
        <w:rPr>
          <w:i/>
        </w:rPr>
        <w:t>data</w:t>
      </w:r>
      <w:r w:rsidRPr="008526D3">
        <w:t xml:space="preserve"> jinforma lis-suġġetti tad-</w:t>
      </w:r>
      <w:r w:rsidRPr="008526D3">
        <w:rPr>
          <w:i/>
        </w:rPr>
        <w:t>data</w:t>
      </w:r>
      <w:r w:rsidRPr="008526D3">
        <w:t xml:space="preserve"> b’punt ta’ kuntatt u li jindirizza minnufih kwalunkwe lment jew talba. Fil-każ ta’ tilwima bejn l-importatur tad-</w:t>
      </w:r>
      <w:r w:rsidRPr="008526D3">
        <w:rPr>
          <w:i/>
        </w:rPr>
        <w:t>data</w:t>
      </w:r>
      <w:r w:rsidRPr="008526D3">
        <w:t xml:space="preserve"> u suġġett tad-</w:t>
      </w:r>
      <w:r w:rsidRPr="008526D3">
        <w:rPr>
          <w:i/>
        </w:rPr>
        <w:t>data</w:t>
      </w:r>
      <w:r w:rsidRPr="008526D3">
        <w:t xml:space="preserve"> li jinvoka d-drittijiet tiegħu bħala parti terza benefiċjarja, jenħtieġ li s-suġġett tad-</w:t>
      </w:r>
      <w:r w:rsidRPr="008526D3">
        <w:rPr>
          <w:i/>
        </w:rPr>
        <w:t>data</w:t>
      </w:r>
      <w:r w:rsidRPr="008526D3">
        <w:t xml:space="preserve"> jkun jista’ jippreżenta lment lill-awtorità superviżorja kompetenti jew jirreferi t-tilwima lill-qrati kompetenti fl-UE.</w:t>
      </w:r>
    </w:p>
    <w:p w14:paraId="461FA1E7" w14:textId="6F22FFED" w:rsidR="00EB7ED2" w:rsidRPr="008526D3" w:rsidRDefault="00EB7ED2" w:rsidP="00EB7ED2">
      <w:pPr>
        <w:pStyle w:val="Considrant"/>
      </w:pPr>
      <w:r w:rsidRPr="008526D3">
        <w:t>Sabiex jiġi żgurat infurzar effettiv, jenħtieġ li l-importatur tad-</w:t>
      </w:r>
      <w:r w:rsidRPr="008526D3">
        <w:rPr>
          <w:i/>
        </w:rPr>
        <w:t>data</w:t>
      </w:r>
      <w:r w:rsidRPr="008526D3">
        <w:t xml:space="preserve"> jkun meħtieġ jissottometti ruħu għall-ġuriżdizzjoni ta’ tali awtorità u qrati u jimpenja ruħu li jirrispetta kwalunkwe deċiżjoni vinkolanti skont il-liġi applikabbli tal-Istat Membru. B’mod partikolari, jenħtieġ li l-importatur tad-</w:t>
      </w:r>
      <w:r w:rsidRPr="008526D3">
        <w:rPr>
          <w:i/>
        </w:rPr>
        <w:t>data</w:t>
      </w:r>
      <w:r w:rsidRPr="008526D3">
        <w:t xml:space="preserve"> jaqbel li jwieġeb għall-mistoqsijiet, jissottometti ruħu għall-awditi u jikkonforma mal-miżuri adottati mill-awtorità superviżorja, inklużi miżuri ta’ rimedju u ta’ kumpens. Barra minn hekk, jenħtieġ li l-importatur tad-</w:t>
      </w:r>
      <w:r w:rsidRPr="008526D3">
        <w:rPr>
          <w:i/>
        </w:rPr>
        <w:t>data</w:t>
      </w:r>
      <w:r w:rsidRPr="008526D3">
        <w:t xml:space="preserve"> jkollu l-għażla li joffri lis-suġġetti tad-</w:t>
      </w:r>
      <w:r w:rsidRPr="008526D3">
        <w:rPr>
          <w:i/>
        </w:rPr>
        <w:t>data</w:t>
      </w:r>
      <w:r w:rsidRPr="008526D3">
        <w:t xml:space="preserve"> l-opportunità li jitolbu rimedju quddiem korp indipendenti għas-soluzzjoni tat-tilwim, mingħajr ebda spiża. F’konformità mal-Artikolu 80(1) tar-Regolament (UE) 2016/679, jenħtieġ li s-suġġetti tad-</w:t>
      </w:r>
      <w:r w:rsidRPr="008526D3">
        <w:rPr>
          <w:i/>
        </w:rPr>
        <w:t>data</w:t>
      </w:r>
      <w:r w:rsidRPr="008526D3">
        <w:t xml:space="preserve"> jitħallew jiġu rrappreżentati minn assoċjazzjonijiet jew korpi oħra f’tilwim kontra l-importatur tad-</w:t>
      </w:r>
      <w:r w:rsidRPr="008526D3">
        <w:rPr>
          <w:i/>
        </w:rPr>
        <w:t>data</w:t>
      </w:r>
      <w:r w:rsidRPr="008526D3">
        <w:t xml:space="preserve"> jekk ikunu jixtiequ hekk.</w:t>
      </w:r>
    </w:p>
    <w:p w14:paraId="4692FAD3" w14:textId="0949E3EF" w:rsidR="00EB7ED2" w:rsidRPr="008526D3" w:rsidRDefault="00EB7ED2" w:rsidP="00EB7ED2">
      <w:pPr>
        <w:pStyle w:val="Considrant"/>
      </w:pPr>
      <w:r w:rsidRPr="008526D3">
        <w:t>Jenħtieġ li l-klawżoli kuntrattwali standard jipprevedu regoli dwar ir-responsabbiltà bejn il-partijiet u fir-rigward tas-suġġetti tad-</w:t>
      </w:r>
      <w:r w:rsidRPr="008526D3">
        <w:rPr>
          <w:i/>
        </w:rPr>
        <w:t>data</w:t>
      </w:r>
      <w:r w:rsidRPr="008526D3">
        <w:t>, u regoli dwar l-indennifikazzjoni bejn il-partijiet. Meta s-suġġett tad-</w:t>
      </w:r>
      <w:r w:rsidRPr="008526D3">
        <w:rPr>
          <w:i/>
        </w:rPr>
        <w:t>data</w:t>
      </w:r>
      <w:r w:rsidRPr="008526D3">
        <w:t xml:space="preserve"> jġarrab ħsara materjali jew mhux materjali bħala konsegwenza ta’ kwalunkwe ksur tad-drittijiet tal</w:t>
      </w:r>
      <w:r w:rsidRPr="008526D3">
        <w:noBreakHyphen/>
        <w:t>parti terza benefiċjarja skont il-klawżoli kuntrattwali standard, jenħtieġ li jkun intitolat għal kumpens. Jenħtieġ li dan ikun mingħajr preġudizzju għal kwalunkwe responsabbiltà skont ir-Regolament (UE) 2016/679.</w:t>
      </w:r>
    </w:p>
    <w:p w14:paraId="0FAD5DAD" w14:textId="48999BE6" w:rsidR="00EB7ED2" w:rsidRPr="008526D3" w:rsidRDefault="00EB7ED2" w:rsidP="00EB7ED2">
      <w:pPr>
        <w:pStyle w:val="Considrant"/>
      </w:pPr>
      <w:r w:rsidRPr="008526D3">
        <w:t>Fil-każ ta’ trasferiment lil importatur tad-</w:t>
      </w:r>
      <w:r w:rsidRPr="008526D3">
        <w:rPr>
          <w:i/>
        </w:rPr>
        <w:t>data</w:t>
      </w:r>
      <w:r w:rsidRPr="008526D3">
        <w:t xml:space="preserve"> li jaġixxi bħala proċessur jew sottoproċessur, jenħtieġ li japplikaw rekwiżiti speċifiċi skont l-Artikolu 28(3) tar-Regolament (UE) 2016/679. Jenħtieġ li l-klawżoli kuntrattwali standard jirrikjedu li l-importatur tad-</w:t>
      </w:r>
      <w:r w:rsidRPr="008526D3">
        <w:rPr>
          <w:i/>
        </w:rPr>
        <w:t>data</w:t>
      </w:r>
      <w:r w:rsidRPr="008526D3">
        <w:t xml:space="preserve"> jagħmel disponibbli l-informazzjoni kollha meħtieġa biex juri l-konformità mal-obbligi stabbiliti fil-klawżoli u biex jippermetti u jikkontribwixxi għall-awditi tal-attivitajiet ta’ pproċessar tiegħu mill-esportatur tad-</w:t>
      </w:r>
      <w:r w:rsidRPr="008526D3">
        <w:rPr>
          <w:i/>
        </w:rPr>
        <w:t>data</w:t>
      </w:r>
      <w:r w:rsidRPr="008526D3">
        <w:t>. Fir-rigward tal-ingaġġ ta’ kwalunkwe sottoproċessur mill-importatur tad-</w:t>
      </w:r>
      <w:r w:rsidRPr="008526D3">
        <w:rPr>
          <w:i/>
        </w:rPr>
        <w:t>data</w:t>
      </w:r>
      <w:r w:rsidRPr="008526D3">
        <w:t>, f’konformità mal-Artikolu 28(2) u (4) tar-Regolament (UE) 2016/679, jenħtieġ li l-klawżoli kuntrattwali standard jistabbilixxu b’mod partikolari l-proċedura għal awtorizzazzjoni ġenerali jew speċifika mill-esportatur tad-</w:t>
      </w:r>
      <w:r w:rsidRPr="008526D3">
        <w:rPr>
          <w:i/>
        </w:rPr>
        <w:t>data</w:t>
      </w:r>
      <w:r w:rsidRPr="008526D3">
        <w:t xml:space="preserve"> u r-rekwiżit għal kuntratt bil-miktub mas-sottoproċessur li jiżgura l-istess livell ta’ protezzjoni bħal taħt il-klawżoli.</w:t>
      </w:r>
    </w:p>
    <w:p w14:paraId="08EF7457" w14:textId="77B49352" w:rsidR="00EB7ED2" w:rsidRPr="008526D3" w:rsidRDefault="00EB7ED2" w:rsidP="00EB7ED2">
      <w:pPr>
        <w:pStyle w:val="Considrant"/>
      </w:pPr>
      <w:r w:rsidRPr="008526D3">
        <w:t xml:space="preserve">Huwa xieraq li jiġu pprovduti salvagwardji differenti fil-klawżoli kuntrattwali standard li jkopru s-sitwazzjoni speċifika ta’ trasferiment ta’ </w:t>
      </w:r>
      <w:r w:rsidRPr="008526D3">
        <w:rPr>
          <w:i/>
        </w:rPr>
        <w:t>data</w:t>
      </w:r>
      <w:r w:rsidRPr="008526D3">
        <w:t xml:space="preserve"> personali minn proċessur fl-Unjoni lill-kontrollur tiegħu f’pajjiż terz u jirriflettu l-obbligi awtonomi limitati għall-proċessuri skont ir-Regolament (UE) 2016/679. B’mod partikolari, il-klawżoli kuntrattwali standard jenħtieġ li jirrikjedu li l-proċessur jinforma lill-kontrollur jekk ma jkunx jista’ jsegwi l-istruzzjonijiet tiegħu, inkluż jekk tali struzzjonijiet jiksru l-liġi tal-Unjoni dwar il-protezzjoni tad-</w:t>
      </w:r>
      <w:r w:rsidRPr="008526D3">
        <w:rPr>
          <w:i/>
        </w:rPr>
        <w:t>data</w:t>
      </w:r>
      <w:r w:rsidRPr="008526D3">
        <w:t>, u jeħtieġu li l-kontrollur joqgħod lura minn kwalunkwe azzjoni li tipprevjeni lill-proċessur milli jissodisfa l-obbligi tiegħu skont ir-Regolament (UE) 2016/679. Jenħtieġ li dawn jirrikjedu wkoll li l-partijiet jassistu lil xulxin biex iwieġbu għall-mistoqsijiet u t-talbiet mis-suġġetti tad-</w:t>
      </w:r>
      <w:r w:rsidRPr="008526D3">
        <w:rPr>
          <w:i/>
        </w:rPr>
        <w:t>data</w:t>
      </w:r>
      <w:r w:rsidRPr="008526D3">
        <w:t xml:space="preserve"> skont il-liġi lokali applikabbli għall-importatur tad-</w:t>
      </w:r>
      <w:r w:rsidRPr="008526D3">
        <w:rPr>
          <w:i/>
        </w:rPr>
        <w:t>data</w:t>
      </w:r>
      <w:r w:rsidRPr="008526D3">
        <w:t xml:space="preserve"> jew, għall-ipproċessar tad-</w:t>
      </w:r>
      <w:r w:rsidRPr="008526D3">
        <w:rPr>
          <w:i/>
        </w:rPr>
        <w:t>data</w:t>
      </w:r>
      <w:r w:rsidRPr="008526D3">
        <w:t xml:space="preserve"> fl-Unjoni, skont ir-Regolament (UE) 2016/679. Jenħtieġ li japplikaw rekwiżiti addizzjonali biex jiġi indirizzat kwalunkwe effett tal-liġijiet tal-pajjiż terz tad-destinazzjoni fuq il-konformità tal-kontrollur mal-klawżoli, b’mod partikolari kif għandhom jiġu ttrattati talbiet vinkolanti mill-awtoritajiet pubbliċi fil-pajjiż terz għall-iżvelar tad-</w:t>
      </w:r>
      <w:r w:rsidRPr="008526D3">
        <w:rPr>
          <w:i/>
        </w:rPr>
        <w:t>data</w:t>
      </w:r>
      <w:r w:rsidRPr="008526D3">
        <w:t xml:space="preserve"> personali trasferita meta l-proċessur tal-Unjoni jikkombina d-</w:t>
      </w:r>
      <w:r w:rsidRPr="008526D3">
        <w:rPr>
          <w:i/>
        </w:rPr>
        <w:t>data</w:t>
      </w:r>
      <w:r w:rsidRPr="008526D3">
        <w:t xml:space="preserve"> personali riċevuta mill-kontrollur fil-pajjiż terz mad-</w:t>
      </w:r>
      <w:r w:rsidRPr="008526D3">
        <w:rPr>
          <w:i/>
        </w:rPr>
        <w:t>data</w:t>
      </w:r>
      <w:r w:rsidRPr="008526D3">
        <w:t xml:space="preserve"> personali miġbura mill-proċessur fl-Unjoni. Min-naħa l-oħra, rekwiżiti bħal dawn mhumiex iġġustifikati meta l-esternalizzazzjoni tinvolvi biss l-ipproċessar u t-trasferiment lura ta’ </w:t>
      </w:r>
      <w:r w:rsidRPr="008526D3">
        <w:rPr>
          <w:i/>
        </w:rPr>
        <w:t>data</w:t>
      </w:r>
      <w:r w:rsidRPr="008526D3">
        <w:t xml:space="preserve"> personali li tkun ġiet riċevuta mill-kontrollur u li fi kwalunkwe każ kienet u se tibqa’ soġġetta għall-ġuriżdizzjoni tal-pajjiż terz inkwistjoni.</w:t>
      </w:r>
    </w:p>
    <w:p w14:paraId="654EF3D0" w14:textId="33F86CB7" w:rsidR="00EB7ED2" w:rsidRPr="008526D3" w:rsidRDefault="00EB7ED2" w:rsidP="00EB7ED2">
      <w:pPr>
        <w:pStyle w:val="Considrant"/>
      </w:pPr>
      <w:r w:rsidRPr="008526D3">
        <w:t>Jenħtieġ li l-partijiet ikunu jistgħu juru konformità mal-klawżoli kuntrattwali standard. B’mod partikolari, jenħtieġ li l-importatur tad-</w:t>
      </w:r>
      <w:r w:rsidRPr="008526D3">
        <w:rPr>
          <w:i/>
        </w:rPr>
        <w:t>data</w:t>
      </w:r>
      <w:r w:rsidRPr="008526D3">
        <w:t xml:space="preserve"> jkun meħtieġ iżomm dokumentazzjoni xierqa għall-attivitajiet ta’ pproċessar taħt ir-responsabbiltà tiegħu, u jinforma lill-esportatur tad-</w:t>
      </w:r>
      <w:r w:rsidRPr="008526D3">
        <w:rPr>
          <w:i/>
        </w:rPr>
        <w:t>data</w:t>
      </w:r>
      <w:r w:rsidRPr="008526D3">
        <w:t xml:space="preserve"> minnufih jekk ma jkunx jista’ jikkonforma mal-klawżoli, għal kwalunkwe raġuni. Min-naħa tiegħu, jenħtieġ li l-esportatur tad-</w:t>
      </w:r>
      <w:r w:rsidRPr="008526D3">
        <w:rPr>
          <w:i/>
        </w:rPr>
        <w:t>data</w:t>
      </w:r>
      <w:r w:rsidRPr="008526D3">
        <w:t xml:space="preserve"> jissospendi t-trasferiment u, f’każijiet partikolarment serji, ikollu d-dritt li jittermina l-kuntratt, sa fejn jikkonċerna l-ipproċessar ta’ </w:t>
      </w:r>
      <w:r w:rsidRPr="008526D3">
        <w:rPr>
          <w:i/>
        </w:rPr>
        <w:t>data</w:t>
      </w:r>
      <w:r w:rsidRPr="008526D3">
        <w:t xml:space="preserve"> personali skont klawżoli kuntrattwali standard, meta l-importatur tad-</w:t>
      </w:r>
      <w:r w:rsidRPr="008526D3">
        <w:rPr>
          <w:i/>
        </w:rPr>
        <w:t>data</w:t>
      </w:r>
      <w:r w:rsidRPr="008526D3">
        <w:t xml:space="preserve"> jkun qed jikser il-klawżoli jew ma jkunx jista’ jikkonforma magħhom. Jenħtieġ li japplikaw regoli speċifiċi fejn il-liġijiet lokali jaffettwaw il-konformità mal-klawżoli. Jenħtieġ li, fuq l-għażla tal-esportatur tad-</w:t>
      </w:r>
      <w:r w:rsidRPr="008526D3">
        <w:rPr>
          <w:i/>
        </w:rPr>
        <w:t>data</w:t>
      </w:r>
      <w:r w:rsidRPr="008526D3">
        <w:t xml:space="preserve">,  </w:t>
      </w:r>
      <w:r w:rsidRPr="008526D3">
        <w:rPr>
          <w:i/>
        </w:rPr>
        <w:t>data</w:t>
      </w:r>
      <w:r w:rsidRPr="008526D3">
        <w:t xml:space="preserve"> personali li kienet ġiet trasferita qabel it-terminazzjoni tal-kuntratt u kwalunkwe kopja tagħha, tiġi rritornata lill-esportatur tad-</w:t>
      </w:r>
      <w:r w:rsidRPr="008526D3">
        <w:rPr>
          <w:i/>
        </w:rPr>
        <w:t>data</w:t>
      </w:r>
      <w:r w:rsidRPr="008526D3">
        <w:t xml:space="preserve"> jew tinqered fl-intier tagħha. </w:t>
      </w:r>
    </w:p>
    <w:p w14:paraId="20EC53F9" w14:textId="21CA0260" w:rsidR="00EB7ED2" w:rsidRPr="008526D3" w:rsidRDefault="00EB7ED2" w:rsidP="00EB7ED2">
      <w:pPr>
        <w:pStyle w:val="Considrant"/>
      </w:pPr>
      <w:r w:rsidRPr="008526D3">
        <w:t>Il-klawżoli kuntrattwali standard jenħtieġ li jipprevedu salvagwardji speċifiċi, b’mod partikolari fid-dawl tal-ġurisprudenza tal-Qorti tal-Ġustizzja</w:t>
      </w:r>
      <w:r w:rsidR="00220576">
        <w:rPr>
          <w:rStyle w:val="FootnoteReference"/>
        </w:rPr>
        <w:footnoteReference w:id="11"/>
      </w:r>
      <w:r w:rsidRPr="008526D3">
        <w:t>, biex jiġi indirizzat kwalunkwe effett tal-liġijiet tal-pajjiż terz ta’ destinazzjoni fuq il-konformità tal-importatur tad-data mal-klawżoli, u b’mod partikolari kif jiġu ttrattati talbiet vinkolanti mill-awtoritajiet pubbliċi f’dak il-pajjiż għall-iżvelar tad-data personali trasferita.</w:t>
      </w:r>
    </w:p>
    <w:p w14:paraId="255E3008" w14:textId="13B19320" w:rsidR="00EB7ED2" w:rsidRPr="008526D3" w:rsidRDefault="00EB7ED2" w:rsidP="00EB7ED2">
      <w:pPr>
        <w:pStyle w:val="Considrant"/>
      </w:pPr>
      <w:r w:rsidRPr="008526D3">
        <w:t xml:space="preserve">Jenħtieġ li t-trasferiment u l-ipproċessar ta’ </w:t>
      </w:r>
      <w:r w:rsidRPr="008526D3">
        <w:rPr>
          <w:i/>
        </w:rPr>
        <w:t>data</w:t>
      </w:r>
      <w:r w:rsidRPr="008526D3">
        <w:t xml:space="preserve"> personali skont klawżoli kuntrattwali standard ma jsirux jekk il-liġijiet u l-prattiki tal-pajjiż terz ta’ destinazzjoni jipprevjenu lill-importatur tad-</w:t>
      </w:r>
      <w:r w:rsidRPr="008526D3">
        <w:rPr>
          <w:i/>
        </w:rPr>
        <w:t>data</w:t>
      </w:r>
      <w:r w:rsidRPr="008526D3">
        <w:t xml:space="preserve"> milli jikkonforma mal-klawżoli. F’dan il-kuntest, jenħtieġ li l-liġijiet u l-prattiki li jirrispettaw l-essenza tad-drittijiet u l-libertajiet fundamentali u li ma jaqbżux dak li huwa meħtieġ u proporzjonat f’soċjetà demokratika biex jiġi ssalvagwardjat wieħed mill-objettivi elenkati fl-Artikolu 23(1) tar-Regolament (UE) 2016/679 ma jitqisux li huma f’kunflitt mal-klawżoli kuntrattwali standard. Jenħtieġ li l-partijiet jiggarantixxu li, fil-ħin li jaqblu mal-klawżoli kuntrattwali standard, ma jkollhom l-ebda raġuni biex jemmnu li l-liġijiet u l-prattiki applikabbli għall-importatur tad-</w:t>
      </w:r>
      <w:r w:rsidRPr="008526D3">
        <w:rPr>
          <w:i/>
        </w:rPr>
        <w:t>data</w:t>
      </w:r>
      <w:r w:rsidRPr="008526D3">
        <w:t xml:space="preserve"> mhumiex konformi ma’ dawn ir-rekwiżiti.</w:t>
      </w:r>
    </w:p>
    <w:p w14:paraId="29655BB4" w14:textId="55B8C78F" w:rsidR="00EB7ED2" w:rsidRPr="008526D3" w:rsidRDefault="00EB7ED2" w:rsidP="00724557">
      <w:pPr>
        <w:pStyle w:val="Considrant"/>
      </w:pPr>
      <w:r w:rsidRPr="008526D3">
        <w:t>Il-partijiet jenħtieġ li jqisu, b’mod partikolari, iċ-ċirkostanzi speċifiċi tat-trasferiment (bħall-kontenut u t-tul tal-kuntratt, in-natura tad-</w:t>
      </w:r>
      <w:r w:rsidRPr="008526D3">
        <w:rPr>
          <w:i/>
        </w:rPr>
        <w:t>data</w:t>
      </w:r>
      <w:r w:rsidRPr="008526D3">
        <w:t xml:space="preserve"> li trid tiġi trasferita, it-tip ta’ riċevitur, l-iskop tal-ipproċessar), il-liġijiet u l-prattiki tal-pajjiż terz ta’ destinazzjoni li huma rilevanti fid-dawl taċ-ċirkostanzi tat-trasferiment u kwalunkwe salvagwardja stabbilita biex tissupplimenta dawk skont il-klawżoli kuntrattwali standard (inklużi l-miżuri kuntrattwali, tekniċi u organizzattivi li japplikaw għat-trażmissjoni tad-</w:t>
      </w:r>
      <w:r w:rsidRPr="008526D3">
        <w:rPr>
          <w:i/>
        </w:rPr>
        <w:t>data</w:t>
      </w:r>
      <w:r w:rsidRPr="008526D3">
        <w:t xml:space="preserve"> personali u l-ipproċessar tagħha fil-pajjiż tad-destinazzjoni). Fir-rigward tal-impatt ta’ tali liġijiet u prattiki fuq il-konformità mal-klawżoli kuntrattwali standard, elementi differenti jistgħu jitqiesu bħala parti minn valutazzjoni ġenerali, inkluża informazzjoni affidabbli dwar l-applikazzjoni tal-liġi fil-prattika (bħal ġurisprudenza u rapporti minn korpi indipendenti ta’ sorveljanza), l-eżistenza jew in-nuqqas ta’ talbiet fl-istess settur u, taħt kundizzjonijiet stretti, l-esperjenza prattika dokumentata tal-esportatur tad-</w:t>
      </w:r>
      <w:r w:rsidRPr="008526D3">
        <w:rPr>
          <w:i/>
        </w:rPr>
        <w:t>data</w:t>
      </w:r>
      <w:r w:rsidRPr="008526D3">
        <w:t xml:space="preserve"> u/jew tal-importatur tad-</w:t>
      </w:r>
      <w:r w:rsidRPr="008526D3">
        <w:rPr>
          <w:i/>
        </w:rPr>
        <w:t>data</w:t>
      </w:r>
      <w:r w:rsidRPr="008526D3">
        <w:t>.</w:t>
      </w:r>
    </w:p>
    <w:p w14:paraId="307BD618" w14:textId="71476955" w:rsidR="00EB7ED2" w:rsidRPr="008526D3" w:rsidRDefault="00EB7ED2" w:rsidP="00EB7ED2">
      <w:pPr>
        <w:pStyle w:val="Considrant"/>
      </w:pPr>
      <w:r w:rsidRPr="008526D3">
        <w:t>Jenħtieġ li l-importatur tad-</w:t>
      </w:r>
      <w:r w:rsidRPr="008526D3">
        <w:rPr>
          <w:i/>
        </w:rPr>
        <w:t>data</w:t>
      </w:r>
      <w:r w:rsidRPr="008526D3">
        <w:t xml:space="preserve"> jinnotifika lill-esportatur tad-</w:t>
      </w:r>
      <w:r w:rsidRPr="008526D3">
        <w:rPr>
          <w:i/>
        </w:rPr>
        <w:t>data</w:t>
      </w:r>
      <w:r w:rsidRPr="008526D3">
        <w:t xml:space="preserve"> jekk, wara li jkun qabel mal-klawżoli kuntrattwali standard, ikollu raġuni biex jemmen li mhuwiex kapaċi jikkonforma mal-klawżoli kuntrattwali standard. Jekk l-esportatur tad-</w:t>
      </w:r>
      <w:r w:rsidRPr="008526D3">
        <w:rPr>
          <w:i/>
        </w:rPr>
        <w:t>data</w:t>
      </w:r>
      <w:r w:rsidRPr="008526D3">
        <w:t xml:space="preserve"> jirċievi tali notifika jew inkella jsir konxju li l-importatur tad-</w:t>
      </w:r>
      <w:r w:rsidRPr="008526D3">
        <w:rPr>
          <w:i/>
        </w:rPr>
        <w:t>data</w:t>
      </w:r>
      <w:r w:rsidRPr="008526D3">
        <w:t xml:space="preserve"> ma jistax jibqa’ jikkonforma mal-klawżoli kuntrattwali standard, jenħtieġ li huwa jidentifika miżuri xierqa biex jindirizza s-sitwazzjoni, jekk ikun meħtieġ f’konsultazzjoni mal-awtorità superviżorja kompetenti. Tali miżuri jistgħu jinkludu miżuri supplimentari adottati mill-esportatur tad-</w:t>
      </w:r>
      <w:r w:rsidRPr="008526D3">
        <w:rPr>
          <w:i/>
        </w:rPr>
        <w:t>data</w:t>
      </w:r>
      <w:r w:rsidRPr="008526D3">
        <w:t xml:space="preserve"> u/jew mill-importatur tad-</w:t>
      </w:r>
      <w:r w:rsidRPr="008526D3">
        <w:rPr>
          <w:i/>
        </w:rPr>
        <w:t>data</w:t>
      </w:r>
      <w:r w:rsidRPr="008526D3">
        <w:t>, bħal miżuri tekniċi jew organizzattivi biex jiġu żgurati s-sigurtà u l-kunfidenzjalità. Jenħtieġ li l-esportatur tad-</w:t>
      </w:r>
      <w:r w:rsidRPr="008526D3">
        <w:rPr>
          <w:i/>
        </w:rPr>
        <w:t>data</w:t>
      </w:r>
      <w:r w:rsidRPr="008526D3">
        <w:t xml:space="preserve"> jkun meħtieġ jissospendi t-trasferiment jekk iqis li ma tista’ tiġi żgurata l-ebda salvagwardja xierqa, jew jekk jingħata struzzjonijiet mill-awtorità superviżorja kompetenti biex jagħmel dan.</w:t>
      </w:r>
    </w:p>
    <w:p w14:paraId="19D1180F" w14:textId="66201CDA" w:rsidR="00EB7ED2" w:rsidRPr="008526D3" w:rsidRDefault="00157877" w:rsidP="00EB7ED2">
      <w:pPr>
        <w:pStyle w:val="Considrant"/>
      </w:pPr>
      <w:r w:rsidRPr="008526D3">
        <w:t>Fejn possibbli, l-importatur tad-</w:t>
      </w:r>
      <w:r w:rsidRPr="008526D3">
        <w:rPr>
          <w:i/>
        </w:rPr>
        <w:t>data</w:t>
      </w:r>
      <w:r w:rsidRPr="008526D3">
        <w:t xml:space="preserve"> jenħtieġ li jinnotifika lill-esportatur tad-</w:t>
      </w:r>
      <w:r w:rsidRPr="008526D3">
        <w:rPr>
          <w:i/>
        </w:rPr>
        <w:t>data</w:t>
      </w:r>
      <w:r w:rsidRPr="008526D3">
        <w:t xml:space="preserve"> u lis-suġġett tad-</w:t>
      </w:r>
      <w:r w:rsidRPr="008526D3">
        <w:rPr>
          <w:i/>
        </w:rPr>
        <w:t>data</w:t>
      </w:r>
      <w:r w:rsidRPr="008526D3">
        <w:t xml:space="preserve"> jekk jirċievi talba legalment vinkolanti minn awtorità pubblika (inkluża dik ġudizzjarja) skont il-liġi tal-pajjiż tad-destinazzjoni għall-iżvelar ta’ </w:t>
      </w:r>
      <w:r w:rsidRPr="008526D3">
        <w:rPr>
          <w:i/>
        </w:rPr>
        <w:t>data</w:t>
      </w:r>
      <w:r w:rsidRPr="008526D3">
        <w:t xml:space="preserve"> personali trasferita skont il-klawżoli kuntrattwali standard. Bl-istess mod, hija jenħtieġ li tinnotifikahom jekk issir taf bi kwalunkwe aċċess dirett mill-awtoritajiet pubbliċi għal tali </w:t>
      </w:r>
      <w:r w:rsidRPr="008526D3">
        <w:rPr>
          <w:i/>
        </w:rPr>
        <w:t>data</w:t>
      </w:r>
      <w:r w:rsidRPr="008526D3">
        <w:t xml:space="preserve"> personali, f’konformità mal-liġi tal-pajjiż terz ta’ destinazzjoni. Jekk, minkejja l-aħjar sforzi tiegħu, l-importatur tad-</w:t>
      </w:r>
      <w:r w:rsidRPr="008526D3">
        <w:rPr>
          <w:i/>
        </w:rPr>
        <w:t>data</w:t>
      </w:r>
      <w:r w:rsidRPr="008526D3">
        <w:t xml:space="preserve"> ma jkunx f’pożizzjoni li jinnotifika lill-esportatur tad-</w:t>
      </w:r>
      <w:r w:rsidRPr="008526D3">
        <w:rPr>
          <w:i/>
        </w:rPr>
        <w:t>data</w:t>
      </w:r>
      <w:r w:rsidRPr="008526D3">
        <w:t xml:space="preserve"> u/jew lis-suġġett tad-</w:t>
      </w:r>
      <w:r w:rsidRPr="008526D3">
        <w:rPr>
          <w:i/>
        </w:rPr>
        <w:t>data</w:t>
      </w:r>
      <w:r w:rsidRPr="008526D3">
        <w:t xml:space="preserve"> dwar talbiet speċifiċi ta’ divulgazzjoni, huwa jenħtieġ li jipprovdi lill-esportatur tad-</w:t>
      </w:r>
      <w:r w:rsidRPr="008526D3">
        <w:rPr>
          <w:i/>
        </w:rPr>
        <w:t>data</w:t>
      </w:r>
      <w:r w:rsidRPr="008526D3">
        <w:t xml:space="preserve"> b’kemm jista’ jkun informazzjoni rilevanti dwar it-talbiet. Barra minn hekk, jenħtieġ li l-importatur tad-</w:t>
      </w:r>
      <w:r w:rsidRPr="008526D3">
        <w:rPr>
          <w:i/>
        </w:rPr>
        <w:t>data</w:t>
      </w:r>
      <w:r w:rsidRPr="008526D3">
        <w:t xml:space="preserve"> jipprovdi informazzjoni aggregata lill-esportatur tad-</w:t>
      </w:r>
      <w:r w:rsidRPr="008526D3">
        <w:rPr>
          <w:i/>
        </w:rPr>
        <w:t>data</w:t>
      </w:r>
      <w:r w:rsidRPr="008526D3">
        <w:t xml:space="preserve"> f’intervalli regolari. Jenħtieġ li l-importatur tad-</w:t>
      </w:r>
      <w:r w:rsidRPr="008526D3">
        <w:rPr>
          <w:i/>
        </w:rPr>
        <w:t>data</w:t>
      </w:r>
      <w:r w:rsidRPr="008526D3">
        <w:t xml:space="preserve"> jkun meħtieġ ukoll jiddokumenta kwalunkwe talba għall-iżvelar riċevuta u t-tweġiba pprovduta, u jagħmel dik l-informazzjoni disponibbli għall-esportatur tad-</w:t>
      </w:r>
      <w:r w:rsidRPr="008526D3">
        <w:rPr>
          <w:i/>
        </w:rPr>
        <w:t>data</w:t>
      </w:r>
      <w:r w:rsidRPr="008526D3">
        <w:t xml:space="preserve"> jew għall-awtorità superviżorja kompetenti, jew għat-tnejn, fuq talba. Jekk, wara rieżami tal-legalità ta’ tali talba skont il-liġijiet tal-pajjiż tad-destinazzjoni, l-importatur tad-</w:t>
      </w:r>
      <w:r w:rsidRPr="008526D3">
        <w:rPr>
          <w:i/>
        </w:rPr>
        <w:t>data</w:t>
      </w:r>
      <w:r w:rsidRPr="008526D3">
        <w:t xml:space="preserve"> jikkonkludi li hemm raġunijiet raġonevoli biex jitqies li t-talba hija illegali skont il-liġijiet tal-pajjiż terz ta’ destinazzjoni, huwa jenħtieġ li jikkontestaha, inkluż, fejn xieraq, billi jeżawrixxi l-possibbiltajiet disponibbli ta’ appell. Fi kwalunkwe każ, jekk l-importatur tad-</w:t>
      </w:r>
      <w:r w:rsidRPr="008526D3">
        <w:rPr>
          <w:i/>
        </w:rPr>
        <w:t>data</w:t>
      </w:r>
      <w:r w:rsidRPr="008526D3">
        <w:t xml:space="preserve"> ma jkunx jista’ jibqa’ jikkonforma mal-klawżoli kuntrattwali standard, jenħtieġ li dan jinforma lill-esportatur tad-</w:t>
      </w:r>
      <w:r w:rsidRPr="008526D3">
        <w:rPr>
          <w:i/>
        </w:rPr>
        <w:t>data</w:t>
      </w:r>
      <w:r w:rsidRPr="008526D3">
        <w:t xml:space="preserve"> b’dan, inkluż meta dan ikun il-konsegwenza ta’ talba għal żvelar.</w:t>
      </w:r>
    </w:p>
    <w:p w14:paraId="0594B9EA" w14:textId="78FFB647" w:rsidR="00EB7ED2" w:rsidRPr="008526D3" w:rsidRDefault="00EB7ED2" w:rsidP="00EB7ED2">
      <w:pPr>
        <w:pStyle w:val="Considrant"/>
      </w:pPr>
      <w:r w:rsidRPr="008526D3">
        <w:t>Peress li l-ħtiġijiet, it-teknoloġija u l-operazzjonijiet ta’ pproċessar tal-partijiet ikkonċernati jistgħu jinbidlu, jenħtieġ li l-Kummissjoni tevalwa l-operat tal-klawżoli kuntrattwali standard fid-dawl tal-esperjenza, bħala parti mill-evalwazzjoni perjodika tar-Regolament (UE) 2016/679 imsemmija fl-Artikolu 97 ta’ dak ir-Regolament.</w:t>
      </w:r>
    </w:p>
    <w:p w14:paraId="7916ED6D" w14:textId="04F50EA7" w:rsidR="00D67F28" w:rsidRPr="008526D3" w:rsidRDefault="00EB7ED2" w:rsidP="008521FA">
      <w:pPr>
        <w:pStyle w:val="Considrant"/>
      </w:pPr>
      <w:r w:rsidRPr="008526D3">
        <w:t>Id-Deċiżjoni 2001/497/KE u d-Deċiżjoni 2010/87/UE jenħtieġ li jitħassru tliet xhur wara d-dħul fis-seħħ ta’ din id-Deċiżjoni. Matul dak il-perjodu, jenħtieġ li l-esportaturi tad-</w:t>
      </w:r>
      <w:r w:rsidRPr="008526D3">
        <w:rPr>
          <w:i/>
        </w:rPr>
        <w:t>data</w:t>
      </w:r>
      <w:r w:rsidRPr="008526D3">
        <w:t xml:space="preserve"> u l-importaturi tad-</w:t>
      </w:r>
      <w:r w:rsidRPr="008526D3">
        <w:rPr>
          <w:i/>
        </w:rPr>
        <w:t>data</w:t>
      </w:r>
      <w:r w:rsidRPr="008526D3">
        <w:t>, għall-fini tal-Artikolu 46(1) tar-Regolament (UE) Nru 2016)679, xorta jkunu jistgħu jużaw il-klawżoli kuntrattwali standard stabbiliti fid-Deċiżjonijiet 2001/497/KE u 2010/87/UE. Għal perjodu addizzjonali ta’ 15-il xahar, jenħtieġ li l-esportaturi tad-</w:t>
      </w:r>
      <w:r w:rsidRPr="008526D3">
        <w:rPr>
          <w:i/>
        </w:rPr>
        <w:t>data</w:t>
      </w:r>
      <w:r w:rsidRPr="008526D3">
        <w:t xml:space="preserve"> u l-importaturi tad-</w:t>
      </w:r>
      <w:r w:rsidRPr="008526D3">
        <w:rPr>
          <w:i/>
        </w:rPr>
        <w:t>data</w:t>
      </w:r>
      <w:r w:rsidRPr="008526D3">
        <w:t xml:space="preserve">, għall-fini tal-Artikolu 46(1) tar-Regolament (UE) Nru 2016)679, ikunu jistgħu jkomplu jiddependu fuq klawżoli kuntrattwali standard stabbiliti fid-Deċiżjonijiet 2001/497/KE u 2010/87/UE għat-twettiq ta’ kuntratti konklużi bejniethom qabel id-data tat-tħassir ta’ dawk id-deċiżjonijiet, dment li l-operazzjonijiet ta’ pproċessar li huma s-suġġett tal-kuntratt jibqgħu l-istess u li d-dipendenza fuq il-klawżoli tiżgura li t-trasferiment ta’ </w:t>
      </w:r>
      <w:r w:rsidRPr="008526D3">
        <w:rPr>
          <w:i/>
        </w:rPr>
        <w:t>data</w:t>
      </w:r>
      <w:r w:rsidRPr="008526D3">
        <w:t xml:space="preserve"> personali jkun soġġett għal salvagwardji xierqa skont it-tifsira tal-Artikolu 46(1) tar-Regolament (UE) 2016/679. Fil-każ ta’ bidliet rilevanti fil-kuntratt, jenħtieġ li l-esportatur tad-</w:t>
      </w:r>
      <w:r w:rsidRPr="008526D3">
        <w:rPr>
          <w:i/>
        </w:rPr>
        <w:t>data</w:t>
      </w:r>
      <w:r w:rsidRPr="008526D3">
        <w:t xml:space="preserve"> jkun meħtieġ jiddependi fuq raġuni ġdida għat-trasferimenti tad-</w:t>
      </w:r>
      <w:r w:rsidRPr="008526D3">
        <w:rPr>
          <w:i/>
        </w:rPr>
        <w:t>data</w:t>
      </w:r>
      <w:r w:rsidRPr="008526D3">
        <w:t xml:space="preserve"> skont il-kuntratt, b’mod partikolari billi jissostitwixxi l-klawżoli kuntrattwali standard eżistenti bil-klawżoli kuntrattwali standard stabbiliti fl-Anness ta’ din id-Deċiżjoni. L-istess jenħtieġ li japplika għal kwalunkwe sottokuntrattar lil (sotto)proċessur ta’ operazzjonijiet ta’ pproċessar koperti mill-kuntratt.</w:t>
      </w:r>
    </w:p>
    <w:p w14:paraId="48957417" w14:textId="7B1E0CBB" w:rsidR="00EB7ED2" w:rsidRPr="008526D3" w:rsidRDefault="00EB7ED2" w:rsidP="00EB7ED2">
      <w:pPr>
        <w:pStyle w:val="Considrant"/>
      </w:pPr>
      <w:r w:rsidRPr="008526D3">
        <w:t>Il-Kontrollur Ewropew għall-Protezzjoni tad-Data u l-Bord Ewropew għall-Protezzjoni tad-Data ġew ikkonsultati skont l-Artikolu 42(1) u (2) tar-Regolament (UE) 2018/1725 u taw opinjoni konġunta fl-14 ta’ Jannar 2021</w:t>
      </w:r>
      <w:r w:rsidR="00220576">
        <w:rPr>
          <w:rStyle w:val="FootnoteReference"/>
        </w:rPr>
        <w:footnoteReference w:id="12"/>
      </w:r>
      <w:r w:rsidRPr="008526D3">
        <w:t>, li ġiet ikkunsidrata fit-tħejjija ta’ din id-Deċiżjoni.</w:t>
      </w:r>
    </w:p>
    <w:p w14:paraId="289362C9" w14:textId="00811021" w:rsidR="00070205" w:rsidRPr="008526D3" w:rsidRDefault="00EB7ED2" w:rsidP="00EB7ED2">
      <w:pPr>
        <w:pStyle w:val="Considrant"/>
      </w:pPr>
      <w:r w:rsidRPr="008526D3">
        <w:t>Il-miżuri previsti f’din id-Deċiżjoni huma konformi mal-opinjoni tal-Kumitat stabbilit bl-Artikolu 93 tar-Regolament (UE) 2016/679.</w:t>
      </w:r>
    </w:p>
    <w:p w14:paraId="394176FC" w14:textId="483FDF94" w:rsidR="00070205" w:rsidRPr="008526D3" w:rsidRDefault="00070205" w:rsidP="00C36A89">
      <w:pPr>
        <w:pStyle w:val="Formuledadoption"/>
      </w:pPr>
      <w:r w:rsidRPr="008526D3">
        <w:t>ADOTTAT DIN ID-DEĊIŻJONI:</w:t>
      </w:r>
    </w:p>
    <w:p w14:paraId="1F7E83B5" w14:textId="77777777" w:rsidR="00070205" w:rsidRPr="008526D3" w:rsidRDefault="00070205" w:rsidP="00C36A89">
      <w:pPr>
        <w:pStyle w:val="Titrearticle"/>
      </w:pPr>
      <w:r w:rsidRPr="008526D3">
        <w:t>Artikolu 1</w:t>
      </w:r>
    </w:p>
    <w:p w14:paraId="538F6848" w14:textId="0507B179" w:rsidR="00BC3487" w:rsidRPr="008526D3" w:rsidRDefault="00BC3487" w:rsidP="00C5435C">
      <w:pPr>
        <w:pStyle w:val="NumPar1"/>
        <w:numPr>
          <w:ilvl w:val="0"/>
          <w:numId w:val="2"/>
        </w:numPr>
        <w:ind w:left="567" w:hanging="567"/>
      </w:pPr>
      <w:r w:rsidRPr="008526D3">
        <w:t xml:space="preserve">Il-klawżoli kuntrattwali standard stabbiliti fl-Anness huma meqjusa li jipprovdu salvagwardji xierqa skont it-tifsira tal-Artikolu 46(1) u (2)(c) tar-Regolament (UE) 2016/679 għat-trasferiment minn kontrollur jew proċessur ta’ </w:t>
      </w:r>
      <w:r w:rsidRPr="008526D3">
        <w:rPr>
          <w:i/>
        </w:rPr>
        <w:t>data</w:t>
      </w:r>
      <w:r w:rsidRPr="008526D3">
        <w:t xml:space="preserve"> personali pproċessata soġġett għal dak ir-Regolament (esportatur tad-</w:t>
      </w:r>
      <w:r w:rsidRPr="008526D3">
        <w:rPr>
          <w:i/>
        </w:rPr>
        <w:t>data</w:t>
      </w:r>
      <w:r w:rsidRPr="008526D3">
        <w:t>) lil kontrollur jew (sotto)proċessur li l-ipproċessar tiegħu tad-</w:t>
      </w:r>
      <w:r w:rsidRPr="008526D3">
        <w:rPr>
          <w:i/>
        </w:rPr>
        <w:t>data</w:t>
      </w:r>
      <w:r w:rsidRPr="008526D3">
        <w:t xml:space="preserve"> mhuwiex soġġett għal dak ir-Regolament (importatur tad-</w:t>
      </w:r>
      <w:r w:rsidRPr="008526D3">
        <w:rPr>
          <w:i/>
        </w:rPr>
        <w:t>data</w:t>
      </w:r>
      <w:r w:rsidRPr="008526D3">
        <w:t>).</w:t>
      </w:r>
    </w:p>
    <w:p w14:paraId="3FA06E78" w14:textId="55A2AE9E" w:rsidR="00070205" w:rsidRPr="008526D3" w:rsidRDefault="00BC3487" w:rsidP="00C5435C">
      <w:pPr>
        <w:pStyle w:val="NumPar1"/>
        <w:ind w:left="567" w:hanging="567"/>
      </w:pPr>
      <w:r w:rsidRPr="008526D3">
        <w:t xml:space="preserve">Il-klawżoli kuntrattwali standard jistabbilixxu wkoll id-drittijiet u l-obbligi tal-kontrolluri u tal-proċessuri fir-rigward tal-kwistjonijiet imsemmija fl-Artikolu 28(3) u (4) tar-Regolament (UE) 2016/679, f’dak li jirrigwarda t-trasferiment ta’ </w:t>
      </w:r>
      <w:r w:rsidRPr="008526D3">
        <w:rPr>
          <w:i/>
          <w:iCs/>
        </w:rPr>
        <w:t>data</w:t>
      </w:r>
      <w:r w:rsidRPr="008526D3">
        <w:t xml:space="preserve"> personali minn kontrollur lil proċessur, jew minn proċessur lil sottoproċessur.</w:t>
      </w:r>
    </w:p>
    <w:p w14:paraId="4CB1E645" w14:textId="651D7201" w:rsidR="00BC3487" w:rsidRPr="008526D3" w:rsidRDefault="00BC3487" w:rsidP="00BC3487">
      <w:pPr>
        <w:pStyle w:val="Titrearticle"/>
      </w:pPr>
      <w:r w:rsidRPr="008526D3">
        <w:t>Artikolu 2</w:t>
      </w:r>
    </w:p>
    <w:p w14:paraId="5FDBD622" w14:textId="4CF41F3F" w:rsidR="00BC3487" w:rsidRPr="008526D3" w:rsidRDefault="007518A8" w:rsidP="00BC3487">
      <w:r w:rsidRPr="008526D3">
        <w:t>Meta l-awtoritajiet kompetenti tal-Istat Membru jeżerċitaw setgħat korrettivi skont l-Artikolu 58 tar-Regolament (UE) 2016/679 b’rispons għal li l-importatur tad-</w:t>
      </w:r>
      <w:r w:rsidRPr="008526D3">
        <w:rPr>
          <w:i/>
        </w:rPr>
        <w:t>data</w:t>
      </w:r>
      <w:r w:rsidRPr="008526D3">
        <w:t xml:space="preserve"> jkun jew ikun sar soġġett għal liġijiet jew prattiki fil-pajjiż terz ta’ destinazzjoni li jipprevjenuh milli jikkonforma mal-klawżoli kuntrattwali standard stabbiliti fl-Anness, li jwassal għas-sospensjoni jew għall-projbizzjoni ta’ trasferimenti ta’ </w:t>
      </w:r>
      <w:r w:rsidRPr="008526D3">
        <w:rPr>
          <w:i/>
        </w:rPr>
        <w:t>data</w:t>
      </w:r>
      <w:r w:rsidRPr="008526D3">
        <w:t xml:space="preserve"> lil pajjiżi terzi, l-Istat Membru kkonċernat għandu, mingħajr dewmien, jinforma lill-Kummissjoni, li mbagħad tibgħat l-informazzjoni lill-Istati Membri l-oħra.  </w:t>
      </w:r>
    </w:p>
    <w:p w14:paraId="0FB2B3DE" w14:textId="35AB7CC9" w:rsidR="00BC3487" w:rsidRPr="008526D3" w:rsidRDefault="00BC3487" w:rsidP="00BC3487">
      <w:pPr>
        <w:pStyle w:val="Titrearticle"/>
      </w:pPr>
      <w:r w:rsidRPr="008526D3">
        <w:t>Artikolu 3</w:t>
      </w:r>
    </w:p>
    <w:p w14:paraId="55AAF322" w14:textId="034E1272" w:rsidR="00BC3487" w:rsidRPr="008526D3" w:rsidRDefault="00BC3487" w:rsidP="00BC3487">
      <w:r w:rsidRPr="008526D3">
        <w:t>Il-Kummissjoni għandha tevalwa l-applikazzjoni prattika tal-klawżoli kuntrattwali standard stabbiliti fl-Anness abbażi tal-informazzjoni kollha disponibbli bħala parti mill-evalwazzjoni perjodika meħtieġa mill-Artikolu 97 tar-Regolament (UE) 2016/679.</w:t>
      </w:r>
    </w:p>
    <w:p w14:paraId="1A3E54FE" w14:textId="0EDEFE7E" w:rsidR="00BC3487" w:rsidRPr="008526D3" w:rsidRDefault="00BC3487" w:rsidP="00BC3487">
      <w:pPr>
        <w:pStyle w:val="Titrearticle"/>
      </w:pPr>
      <w:r w:rsidRPr="008526D3">
        <w:t>Artikolu 4</w:t>
      </w:r>
    </w:p>
    <w:p w14:paraId="20379AF7" w14:textId="155192AA" w:rsidR="00961DA5" w:rsidRPr="008526D3" w:rsidRDefault="00070205" w:rsidP="00C5435C">
      <w:pPr>
        <w:pStyle w:val="NumPar1"/>
        <w:numPr>
          <w:ilvl w:val="0"/>
          <w:numId w:val="4"/>
        </w:numPr>
      </w:pPr>
      <w:r w:rsidRPr="008526D3">
        <w:t>Din id-Deċiżjoni għandha tidħol fis-seħħ fl-għoxrin jum wara dak tal-pubblikazzjoni tagħha f’</w:t>
      </w:r>
      <w:r w:rsidRPr="008526D3">
        <w:rPr>
          <w:i/>
        </w:rPr>
        <w:t>Il-Ġurnal Uffiċjali tal-Unjoni Ewropea</w:t>
      </w:r>
      <w:r w:rsidRPr="008526D3">
        <w:t>.</w:t>
      </w:r>
    </w:p>
    <w:p w14:paraId="2D0DDCC9" w14:textId="6AF97256" w:rsidR="00BC3487" w:rsidRPr="008526D3" w:rsidRDefault="00BC3487" w:rsidP="00F16261">
      <w:pPr>
        <w:pStyle w:val="NumPar1"/>
        <w:numPr>
          <w:ilvl w:val="0"/>
          <w:numId w:val="4"/>
        </w:numPr>
      </w:pPr>
      <w:r w:rsidRPr="008526D3">
        <w:t xml:space="preserve">Id-Deċiżjoni 2001/497/KE titħassar b’effett minn </w:t>
      </w:r>
      <w:r w:rsidRPr="008526D3">
        <w:rPr>
          <w:highlight w:val="yellow"/>
        </w:rPr>
        <w:t>[OPOCE, jekk jogħġbok daħħal id-data tliet xhur wara d-data fl-Artikolu 4(1)]</w:t>
      </w:r>
      <w:r w:rsidRPr="008526D3">
        <w:t>.</w:t>
      </w:r>
    </w:p>
    <w:p w14:paraId="07DBD49A" w14:textId="33F141C7" w:rsidR="00BC3487" w:rsidRPr="008526D3" w:rsidRDefault="00BC3487" w:rsidP="00F16261">
      <w:pPr>
        <w:pStyle w:val="NumPar1"/>
      </w:pPr>
      <w:r w:rsidRPr="008526D3">
        <w:t xml:space="preserve">Id-Deċiżjoni 2010/87/UE titħassar b’effett minn </w:t>
      </w:r>
      <w:r w:rsidRPr="008526D3">
        <w:rPr>
          <w:highlight w:val="yellow"/>
        </w:rPr>
        <w:t>[OPOCE, jekk jogħġbok daħħal id-data tliet xhur wara d-data fl-Artikolu 4(1)]</w:t>
      </w:r>
      <w:r w:rsidRPr="008526D3">
        <w:t>.</w:t>
      </w:r>
    </w:p>
    <w:p w14:paraId="6BE5E755" w14:textId="7248C236" w:rsidR="00BC3487" w:rsidRPr="008526D3" w:rsidRDefault="00F16261" w:rsidP="001356F0">
      <w:pPr>
        <w:pStyle w:val="NumPar1"/>
      </w:pPr>
      <w:r w:rsidRPr="008526D3">
        <w:t xml:space="preserve">Il-kuntratti konklużi qabel </w:t>
      </w:r>
      <w:r w:rsidRPr="008526D3">
        <w:rPr>
          <w:highlight w:val="yellow"/>
        </w:rPr>
        <w:t>[OPOCE, jekk jogħġbok daħħal l-istess data bħal fl-Artikolu 4(2) u (3)]</w:t>
      </w:r>
      <w:r w:rsidRPr="008526D3">
        <w:t xml:space="preserve"> abbażi tad-Deċiżjoni 2001/497/KE jew tad-Deċiżjoni 2010/87/UE għandhom jitqiesu li jipprovdu salvagwardji xierqa skont it-tifsira tal-Artikolu 46(1) tar-Regolament (UE) Nru 2016/679 sa </w:t>
      </w:r>
      <w:r w:rsidRPr="008526D3">
        <w:rPr>
          <w:highlight w:val="yellow"/>
        </w:rPr>
        <w:t>[OPOCE, jekk jogħġbok żid id-data 15-il xahar wara d-data fl-Artikolu 4(2) u (3)]</w:t>
      </w:r>
      <w:r w:rsidRPr="008526D3">
        <w:t xml:space="preserve">, sakemm l-operazzjonijiet ta’ pproċessar li huma s-suġġett tal-kuntratt jibqgħu l-istess u li d-dipendenza fuq dawk il-klawżoli tiżgura li t-trasferiment ta’ </w:t>
      </w:r>
      <w:r w:rsidRPr="008526D3">
        <w:rPr>
          <w:i/>
        </w:rPr>
        <w:t>data</w:t>
      </w:r>
      <w:r w:rsidRPr="008526D3">
        <w:t xml:space="preserve"> personali jkun soġġett għal salvagwardji xierqa.</w:t>
      </w:r>
    </w:p>
    <w:p w14:paraId="6DE897E5" w14:textId="6B9D2542" w:rsidR="00070205" w:rsidRPr="008526D3" w:rsidRDefault="00497462" w:rsidP="00497462">
      <w:pPr>
        <w:pStyle w:val="Fait"/>
      </w:pPr>
      <w:r w:rsidRPr="008526D3">
        <w:t>Magħmul fi Brussell,</w:t>
      </w:r>
    </w:p>
    <w:p w14:paraId="0F181B50" w14:textId="77777777" w:rsidR="00070205" w:rsidRPr="008526D3" w:rsidRDefault="00070205" w:rsidP="00070205">
      <w:pPr>
        <w:pStyle w:val="Institutionquisigne"/>
      </w:pPr>
      <w:r w:rsidRPr="008526D3">
        <w:tab/>
        <w:t>Għall-Kummissjoni</w:t>
      </w:r>
    </w:p>
    <w:p w14:paraId="2ADC8DED" w14:textId="174B7D4D" w:rsidR="00070205" w:rsidRPr="008526D3" w:rsidRDefault="00070205" w:rsidP="00070205">
      <w:pPr>
        <w:pStyle w:val="Personnequisigne"/>
      </w:pPr>
      <w:r w:rsidRPr="008526D3">
        <w:tab/>
        <w:t>URSU</w:t>
      </w:r>
      <w:r w:rsidR="00280640">
        <w:t>LA VON DER LEYEN</w:t>
      </w:r>
      <w:r w:rsidR="00280640">
        <w:br/>
      </w:r>
      <w:r w:rsidR="00280640">
        <w:tab/>
        <w:t xml:space="preserve">Il-President </w:t>
      </w:r>
      <w:r w:rsidR="00280640">
        <w:br/>
      </w:r>
      <w:r w:rsidR="00280640">
        <w:tab/>
      </w:r>
      <w:r w:rsidRPr="008526D3">
        <w:br/>
      </w:r>
    </w:p>
    <w:sectPr w:rsidR="00070205" w:rsidRPr="008526D3" w:rsidSect="00BA35E7">
      <w:footerReference w:type="default" r:id="rId10"/>
      <w:footerReference w:type="first" r:id="rId11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51B28" w14:textId="77777777" w:rsidR="00C36A89" w:rsidRPr="006F1D4B" w:rsidRDefault="00C36A89" w:rsidP="00070205">
      <w:pPr>
        <w:spacing w:before="0" w:after="0"/>
      </w:pPr>
      <w:r>
        <w:separator/>
      </w:r>
    </w:p>
  </w:endnote>
  <w:endnote w:type="continuationSeparator" w:id="0">
    <w:p w14:paraId="0FE7D0DF" w14:textId="77777777" w:rsidR="00C36A89" w:rsidRPr="006F1D4B" w:rsidRDefault="00C36A89" w:rsidP="0007020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B8377" w14:textId="47B7839F" w:rsidR="009622D0" w:rsidRPr="00BA35E7" w:rsidRDefault="00BA35E7" w:rsidP="00BA35E7">
    <w:pPr>
      <w:pStyle w:val="Footer"/>
      <w:rPr>
        <w:rFonts w:ascii="Arial" w:hAnsi="Arial" w:cs="Arial"/>
        <w:b/>
        <w:sz w:val="48"/>
      </w:rPr>
    </w:pPr>
    <w:r w:rsidRPr="00BA35E7">
      <w:rPr>
        <w:rFonts w:ascii="Arial" w:hAnsi="Arial" w:cs="Arial"/>
        <w:b/>
        <w:sz w:val="48"/>
      </w:rPr>
      <w:t>MT</w:t>
    </w:r>
    <w:r w:rsidRPr="00BA35E7">
      <w:rPr>
        <w:rFonts w:ascii="Arial" w:hAnsi="Arial" w:cs="Arial"/>
        <w:b/>
        <w:sz w:val="48"/>
      </w:rPr>
      <w:tab/>
    </w:r>
    <w:r w:rsidRPr="00BA35E7">
      <w:rPr>
        <w:rFonts w:ascii="Arial" w:hAnsi="Arial" w:cs="Arial"/>
        <w:b/>
        <w:sz w:val="48"/>
      </w:rPr>
      <w:tab/>
    </w:r>
    <w:r w:rsidRPr="00BA35E7">
      <w:tab/>
    </w:r>
    <w:r w:rsidRPr="00BA35E7">
      <w:rPr>
        <w:rFonts w:ascii="Arial" w:hAnsi="Arial" w:cs="Arial"/>
        <w:b/>
        <w:sz w:val="48"/>
      </w:rPr>
      <w:t>MT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AD797" w14:textId="14938360" w:rsidR="00BA35E7" w:rsidRPr="00BA35E7" w:rsidRDefault="00BA35E7" w:rsidP="00BA35E7">
    <w:pPr>
      <w:pStyle w:val="Footer"/>
      <w:rPr>
        <w:rFonts w:ascii="Arial" w:hAnsi="Arial" w:cs="Arial"/>
        <w:b/>
        <w:sz w:val="48"/>
      </w:rPr>
    </w:pPr>
    <w:r w:rsidRPr="00BA35E7">
      <w:rPr>
        <w:rFonts w:ascii="Arial" w:hAnsi="Arial" w:cs="Arial"/>
        <w:b/>
        <w:sz w:val="48"/>
      </w:rPr>
      <w:t>MT</w:t>
    </w:r>
    <w:r w:rsidRPr="00BA35E7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BA35E7">
      <w:tab/>
    </w:r>
    <w:r w:rsidRPr="00BA35E7"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91A9D" w14:textId="77777777" w:rsidR="00BA35E7" w:rsidRPr="00BA35E7" w:rsidRDefault="00BA35E7" w:rsidP="00BA3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D75B7" w14:textId="77777777" w:rsidR="00C36A89" w:rsidRPr="006F1D4B" w:rsidRDefault="00C36A89" w:rsidP="00070205">
      <w:pPr>
        <w:spacing w:before="0" w:after="0"/>
      </w:pPr>
      <w:r>
        <w:separator/>
      </w:r>
    </w:p>
  </w:footnote>
  <w:footnote w:type="continuationSeparator" w:id="0">
    <w:p w14:paraId="239B9F7B" w14:textId="77777777" w:rsidR="00C36A89" w:rsidRPr="006F1D4B" w:rsidRDefault="00C36A89" w:rsidP="00070205">
      <w:pPr>
        <w:spacing w:before="0" w:after="0"/>
      </w:pPr>
      <w:r>
        <w:continuationSeparator/>
      </w:r>
    </w:p>
  </w:footnote>
  <w:footnote w:id="1">
    <w:p w14:paraId="05FEED1F" w14:textId="326C9791" w:rsidR="00220576" w:rsidRDefault="00220576">
      <w:pPr>
        <w:pStyle w:val="FootnoteText"/>
      </w:pPr>
      <w:r>
        <w:rPr>
          <w:rStyle w:val="FootnoteReference"/>
        </w:rPr>
        <w:footnoteRef/>
      </w:r>
      <w:r w:rsidRPr="00DD000C">
        <w:rPr>
          <w:lang w:val="sv-SE"/>
        </w:rPr>
        <w:tab/>
      </w:r>
      <w:r w:rsidRPr="00523A94">
        <w:rPr>
          <w:lang w:val="sv-SE"/>
        </w:rPr>
        <w:t>ĠU</w:t>
      </w:r>
      <w:r w:rsidRPr="00DD000C">
        <w:rPr>
          <w:lang w:val="sv-SE"/>
        </w:rPr>
        <w:t xml:space="preserve"> L 119, 4.5.2016, p. 1</w:t>
      </w:r>
      <w:r>
        <w:rPr>
          <w:lang w:val="sv-SE"/>
        </w:rPr>
        <w:t>.</w:t>
      </w:r>
    </w:p>
  </w:footnote>
  <w:footnote w:id="2">
    <w:p w14:paraId="008FE924" w14:textId="496CDFCF" w:rsidR="00220576" w:rsidRDefault="00220576">
      <w:pPr>
        <w:pStyle w:val="FootnoteText"/>
      </w:pPr>
      <w:r>
        <w:rPr>
          <w:rStyle w:val="FootnoteReference"/>
        </w:rPr>
        <w:footnoteRef/>
      </w:r>
      <w:r w:rsidRPr="00DD000C">
        <w:rPr>
          <w:lang w:val="sv-SE"/>
        </w:rPr>
        <w:tab/>
      </w:r>
      <w:r w:rsidRPr="00523A94">
        <w:rPr>
          <w:lang w:val="sv-SE"/>
        </w:rPr>
        <w:t>L-Artikolu 44 tar-Regolament (UE) 2016/679</w:t>
      </w:r>
      <w:r w:rsidRPr="00DD000C">
        <w:rPr>
          <w:lang w:val="sv-SE"/>
        </w:rPr>
        <w:t>.</w:t>
      </w:r>
    </w:p>
  </w:footnote>
  <w:footnote w:id="3">
    <w:p w14:paraId="2EC91955" w14:textId="15B92FCA" w:rsidR="00220576" w:rsidRPr="00220576" w:rsidRDefault="00220576">
      <w:pPr>
        <w:pStyle w:val="FootnoteText"/>
      </w:pPr>
      <w:r>
        <w:rPr>
          <w:rStyle w:val="FootnoteReference"/>
        </w:rPr>
        <w:footnoteRef/>
      </w:r>
      <w:r w:rsidRPr="0081279D">
        <w:tab/>
      </w:r>
      <w:r w:rsidRPr="00220576">
        <w:t xml:space="preserve">Ara wkoll is-sentenza tal-Qorti tal-Ġustizzja tas-16 ta’ Lulju 2020 fil-Kawża C-311/18, </w:t>
      </w:r>
      <w:r w:rsidRPr="00220576">
        <w:rPr>
          <w:i/>
          <w:iCs/>
        </w:rPr>
        <w:t xml:space="preserve">Data Protection Commissioner </w:t>
      </w:r>
      <w:r w:rsidRPr="00220576">
        <w:t>vs</w:t>
      </w:r>
      <w:r w:rsidRPr="00220576">
        <w:rPr>
          <w:i/>
          <w:iCs/>
        </w:rPr>
        <w:t xml:space="preserve"> Facebook Ireland Limited u Maximillian Schrems</w:t>
      </w:r>
      <w:r w:rsidRPr="00220576">
        <w:rPr>
          <w:i/>
        </w:rPr>
        <w:t xml:space="preserve"> (“Schrems II”),</w:t>
      </w:r>
      <w:r w:rsidRPr="00220576">
        <w:t xml:space="preserve"> ECLI:EU:C:2020:559, il-punt 93.</w:t>
      </w:r>
    </w:p>
  </w:footnote>
  <w:footnote w:id="4">
    <w:p w14:paraId="3F39BA2B" w14:textId="01A588B3" w:rsidR="00220576" w:rsidRDefault="00220576">
      <w:pPr>
        <w:pStyle w:val="FootnoteText"/>
      </w:pPr>
      <w:r>
        <w:rPr>
          <w:rStyle w:val="FootnoteReference"/>
        </w:rPr>
        <w:footnoteRef/>
      </w:r>
      <w:r w:rsidRPr="00220576">
        <w:rPr>
          <w:lang w:val="it-IT"/>
        </w:rPr>
        <w:tab/>
      </w:r>
      <w:r w:rsidRPr="00523A94">
        <w:rPr>
          <w:lang w:val="it-IT"/>
        </w:rPr>
        <w:t>Il-premessa 109 tar-Regolament (UE</w:t>
      </w:r>
      <w:r w:rsidRPr="00DD000C">
        <w:rPr>
          <w:lang w:val="it-IT"/>
        </w:rPr>
        <w:t>) 2016/679.</w:t>
      </w:r>
    </w:p>
  </w:footnote>
  <w:footnote w:id="5">
    <w:p w14:paraId="450F9CFD" w14:textId="0A077B7E" w:rsidR="00220576" w:rsidRPr="00220576" w:rsidRDefault="00220576">
      <w:pPr>
        <w:pStyle w:val="FootnoteText"/>
      </w:pPr>
      <w:r>
        <w:rPr>
          <w:rStyle w:val="FootnoteReference"/>
        </w:rPr>
        <w:footnoteRef/>
      </w:r>
      <w:r w:rsidRPr="0081279D">
        <w:tab/>
      </w:r>
      <w:r w:rsidRPr="00220576">
        <w:t xml:space="preserve">Id-Deċiżjoni tal-Kummissjoni 2001/497/KE tal-15 ta’ Ġunju 2001 dwar klawżoli standard kuntrattwali għat-trasferiment ta’ </w:t>
      </w:r>
      <w:r w:rsidRPr="00220576">
        <w:rPr>
          <w:i/>
        </w:rPr>
        <w:t>data</w:t>
      </w:r>
      <w:r w:rsidRPr="00220576">
        <w:t xml:space="preserve"> personali lil pajjiżi terzi, skont id-Direttiva 95/46/KE (ĠU L 181, 4.7.2001, p. 19).</w:t>
      </w:r>
    </w:p>
  </w:footnote>
  <w:footnote w:id="6">
    <w:p w14:paraId="16C09B5C" w14:textId="62BA69C0" w:rsidR="00220576" w:rsidRPr="00220576" w:rsidRDefault="00220576">
      <w:pPr>
        <w:pStyle w:val="FootnoteText"/>
      </w:pPr>
      <w:r>
        <w:rPr>
          <w:rStyle w:val="FootnoteReference"/>
        </w:rPr>
        <w:footnoteRef/>
      </w:r>
      <w:r w:rsidRPr="0081279D">
        <w:tab/>
      </w:r>
      <w:r w:rsidRPr="00220576">
        <w:t xml:space="preserve">Id-Deċiżjoni tal-Kummissjoni 2010/87/UE tal-5 ta’ Frar 2010 dwar klawżoli kuntrattwali standard għat-trasferiment ta’ </w:t>
      </w:r>
      <w:r w:rsidRPr="00220576">
        <w:rPr>
          <w:i/>
        </w:rPr>
        <w:t>data</w:t>
      </w:r>
      <w:r w:rsidRPr="00220576">
        <w:t xml:space="preserve"> personali għall-proċessuri stabbiliti f’pajjiżi terzi, taħt id-Direttiva 95/46/KE tal-Parlament Ewropew u tal-Kunsill (ĠU L 39, 12.2.2010, p. 5).</w:t>
      </w:r>
    </w:p>
  </w:footnote>
  <w:footnote w:id="7">
    <w:p w14:paraId="0E23400C" w14:textId="7A962A14" w:rsidR="00220576" w:rsidRPr="00220576" w:rsidRDefault="00220576">
      <w:pPr>
        <w:pStyle w:val="FootnoteText"/>
      </w:pPr>
      <w:r>
        <w:rPr>
          <w:rStyle w:val="FootnoteReference"/>
        </w:rPr>
        <w:footnoteRef/>
      </w:r>
      <w:r w:rsidRPr="0081279D">
        <w:tab/>
      </w:r>
      <w:r w:rsidRPr="00220576">
        <w:t xml:space="preserve">Id-Direttiva 95/46/KE tal-Parlament Ewropew u tal-Kunsill tal-24 ta’ Ottubru 1995 dwar il-protezzjoni ta’ individwi fir-rigward tal-ipproċessar ta’ </w:t>
      </w:r>
      <w:r w:rsidRPr="00220576">
        <w:rPr>
          <w:i/>
        </w:rPr>
        <w:t>data</w:t>
      </w:r>
      <w:r w:rsidRPr="00220576">
        <w:t xml:space="preserve"> personali u dwar il-moviment liberu ta’ dik id-</w:t>
      </w:r>
      <w:r w:rsidRPr="00220576">
        <w:rPr>
          <w:i/>
        </w:rPr>
        <w:t>data</w:t>
      </w:r>
      <w:r w:rsidRPr="00220576">
        <w:t xml:space="preserve"> (ĠU L 281, 23.11.1995, p. 31).</w:t>
      </w:r>
    </w:p>
  </w:footnote>
  <w:footnote w:id="8">
    <w:p w14:paraId="42E03ADA" w14:textId="4C5881D4" w:rsidR="00220576" w:rsidRPr="00220576" w:rsidRDefault="00220576">
      <w:pPr>
        <w:pStyle w:val="FootnoteText"/>
      </w:pPr>
      <w:r>
        <w:rPr>
          <w:rStyle w:val="FootnoteReference"/>
        </w:rPr>
        <w:footnoteRef/>
      </w:r>
      <w:r w:rsidRPr="0081279D">
        <w:tab/>
      </w:r>
      <w:r w:rsidRPr="00220576">
        <w:t xml:space="preserve">Ir-Regolament (UE) 2018/1725 tal-Parlament Ewropew u tal-Kunsill tat-23 ta’ Ottubru 2018 dwar il-protezzjoni ta’ persuni fiżiċi fir-rigward tal-ipproċessar ta’ </w:t>
      </w:r>
      <w:r w:rsidRPr="00220576">
        <w:rPr>
          <w:i/>
        </w:rPr>
        <w:t>data</w:t>
      </w:r>
      <w:r w:rsidRPr="00220576">
        <w:t xml:space="preserve"> personali mill-istituzzjonijiet, korpi, uffiċċji u aġenziji tal-Unjoni u dwar il-moviment liberu ta’ tali </w:t>
      </w:r>
      <w:r w:rsidRPr="00220576">
        <w:rPr>
          <w:i/>
        </w:rPr>
        <w:t>data</w:t>
      </w:r>
      <w:r w:rsidRPr="00220576">
        <w:t>, u li jħassar ir-Regolament (KE) Nru 45/2001 u d-Deċiżjoni Nru 1247/2002/KE (ĠU L 295, 21.11.2018, p. 39); ara l-premessa 5.</w:t>
      </w:r>
    </w:p>
  </w:footnote>
  <w:footnote w:id="9">
    <w:p w14:paraId="263855AE" w14:textId="78FD32B8" w:rsidR="00220576" w:rsidRDefault="00220576">
      <w:pPr>
        <w:pStyle w:val="FootnoteText"/>
      </w:pPr>
      <w:r>
        <w:rPr>
          <w:rStyle w:val="FootnoteReference"/>
        </w:rPr>
        <w:footnoteRef/>
      </w:r>
      <w:r w:rsidRPr="00220576">
        <w:rPr>
          <w:lang w:val="it-IT"/>
        </w:rPr>
        <w:tab/>
      </w:r>
      <w:r w:rsidRPr="00770148">
        <w:rPr>
          <w:lang w:val="it-IT"/>
        </w:rPr>
        <w:t>C(2021)3701.</w:t>
      </w:r>
    </w:p>
  </w:footnote>
  <w:footnote w:id="10">
    <w:p w14:paraId="71FA350B" w14:textId="47F4A185" w:rsidR="00220576" w:rsidRDefault="00220576">
      <w:pPr>
        <w:pStyle w:val="FootnoteText"/>
      </w:pPr>
      <w:r>
        <w:rPr>
          <w:rStyle w:val="FootnoteReference"/>
        </w:rPr>
        <w:footnoteRef/>
      </w:r>
      <w:r w:rsidRPr="00220576">
        <w:rPr>
          <w:lang w:val="it-IT"/>
        </w:rPr>
        <w:tab/>
      </w:r>
      <w:r w:rsidRPr="00AF318B">
        <w:rPr>
          <w:i/>
          <w:lang w:val="it-IT"/>
        </w:rPr>
        <w:t>Schrems II</w:t>
      </w:r>
      <w:r w:rsidRPr="00AF318B">
        <w:rPr>
          <w:lang w:val="it-IT"/>
        </w:rPr>
        <w:t xml:space="preserve">, </w:t>
      </w:r>
      <w:r w:rsidRPr="00523A94">
        <w:rPr>
          <w:lang w:val="it-IT"/>
        </w:rPr>
        <w:t>il-punti 96 u 103. Ara wkoll ir-Regolament (UE) 2016/679, il-premessi 108 u</w:t>
      </w:r>
      <w:r w:rsidRPr="00AF318B">
        <w:rPr>
          <w:lang w:val="it-IT"/>
        </w:rPr>
        <w:t xml:space="preserve"> 114.</w:t>
      </w:r>
    </w:p>
  </w:footnote>
  <w:footnote w:id="11">
    <w:p w14:paraId="5DC9E88D" w14:textId="444BC0B0" w:rsidR="00220576" w:rsidRDefault="00220576">
      <w:pPr>
        <w:pStyle w:val="FootnoteText"/>
      </w:pPr>
      <w:r>
        <w:rPr>
          <w:rStyle w:val="FootnoteReference"/>
        </w:rPr>
        <w:footnoteRef/>
      </w:r>
      <w:r w:rsidRPr="00220576">
        <w:tab/>
      </w:r>
      <w:r w:rsidRPr="004B5724">
        <w:rPr>
          <w:i/>
        </w:rPr>
        <w:t>Schrems II</w:t>
      </w:r>
      <w:r w:rsidRPr="004B5724">
        <w:t>.</w:t>
      </w:r>
    </w:p>
  </w:footnote>
  <w:footnote w:id="12">
    <w:p w14:paraId="4ADB4E21" w14:textId="105D551C" w:rsidR="00220576" w:rsidRPr="00220576" w:rsidRDefault="00220576">
      <w:pPr>
        <w:pStyle w:val="FootnoteText"/>
      </w:pPr>
      <w:r>
        <w:rPr>
          <w:rStyle w:val="FootnoteReference"/>
        </w:rPr>
        <w:footnoteRef/>
      </w:r>
      <w:r w:rsidRPr="0081279D">
        <w:tab/>
      </w:r>
      <w:r>
        <w:t>Opinjoni Konġunta 2/2021tal-EDPB-KEPD dwar id-Deċiżjoni ta’ Implimentazzjoni tal-Kummissjoni Ewropea dwar klawżoli kuntrattwali standard għat-trasferiment ta’ data personali lil pajjiżi terzi għall-kwistjonijiet imsemmija fl-Artikolu 46(2)(c) tar-Regolament</w:t>
      </w:r>
      <w:r w:rsidRPr="00220576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D6785B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4F084B0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DF14C18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20F0E2C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5E8868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650178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67017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4E0E7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21"/>
    <w:lvlOverride w:ilvl="0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1"/>
  </w:num>
  <w:num w:numId="13">
    <w:abstractNumId w:val="18"/>
  </w:num>
  <w:num w:numId="14">
    <w:abstractNumId w:val="12"/>
  </w:num>
  <w:num w:numId="15">
    <w:abstractNumId w:val="20"/>
  </w:num>
  <w:num w:numId="16">
    <w:abstractNumId w:val="11"/>
  </w:num>
  <w:num w:numId="17">
    <w:abstractNumId w:val="13"/>
  </w:num>
  <w:num w:numId="18">
    <w:abstractNumId w:val="9"/>
  </w:num>
  <w:num w:numId="19">
    <w:abstractNumId w:val="19"/>
  </w:num>
  <w:num w:numId="20">
    <w:abstractNumId w:val="8"/>
  </w:num>
  <w:num w:numId="21">
    <w:abstractNumId w:val="14"/>
  </w:num>
  <w:num w:numId="22">
    <w:abstractNumId w:val="16"/>
  </w:num>
  <w:num w:numId="23">
    <w:abstractNumId w:val="17"/>
  </w:num>
  <w:num w:numId="24">
    <w:abstractNumId w:val="10"/>
  </w:num>
  <w:num w:numId="25">
    <w:abstractNumId w:val="15"/>
  </w:num>
  <w:num w:numId="26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1-05-21 19:29:57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2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COVERPAGE_EXISTS" w:val="True"/>
    <w:docVar w:name="LW_COVERPAGE_GUID" w:val="FA3DC1FB-FBA2-4437-A795-5FF5FE7FE388"/>
    <w:docVar w:name="LW_COVERPAGE_TYPE" w:val="1"/>
    <w:docVar w:name="LW_CROSSREFERENCE" w:val="&lt;UNUSED&gt;"/>
    <w:docVar w:name="LW_DATE.ADOPT.CP" w:val="ta\u8217? XXX"/>
    <w:docVar w:name="LW_DATE.ADOPT.CP_DATEFORMAT" w:val="ta\u8217? %DATE%"/>
    <w:docVar w:name="LW_DATE.ADOPT.CP_ISODATE" w:val="&lt;EMPTY&gt;"/>
    <w:docVar w:name="LW_DocType" w:val="COM"/>
    <w:docVar w:name="LW_EMISSION" w:val="&lt;EMPTY&gt;"/>
    <w:docVar w:name="LW_EMISSION_ISODATE" w:val="&lt;EMPTY&gt;"/>
    <w:docVar w:name="LW_EMISSION_LOCATION" w:val="BRX"/>
    <w:docVar w:name="LW_EMISSION_PREFIX" w:val="Brussell, "/>
    <w:docVar w:name="LW_EMISSION_SUFFIX" w:val=" "/>
    <w:docVar w:name="LW_ID_DOCMODEL" w:val="SJ-032"/>
    <w:docVar w:name="LW_ID_DOCSIGNATURE" w:val="SJ-032"/>
    <w:docVar w:name="LW_ID_DOCSTRUCTURE" w:val="COM/AA"/>
    <w:docVar w:name="LW_ID_DOCTYPE" w:val="SJ-032"/>
    <w:docVar w:name="LW_INTERETEEE" w:val="(Test b'rilevanza g\u295?a\u380?-\u379?EE)"/>
    <w:docVar w:name="LW_INTERETEEE.CP" w:val="(Test b'rilevanza g\u295?a\u380?-\u379?EE)"/>
    <w:docVar w:name="LW_LANGUE" w:val="MT"/>
    <w:docVar w:name="LW_LANGUESFAISANTFOI.CP" w:val="&lt;UNUSED&gt;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NST.NEW" w:val="&lt;EMPTY&gt;"/>
    <w:docVar w:name="LW_REF.INST.NEW_ADOPTED" w:val="draft"/>
    <w:docVar w:name="LW_REF.INST.NEW_TEXT" w:val="(2021) XXX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" w:val="dwar klaw\u380?oli kuntrattwali standard g\u295?at-trasferiment ta\u8217? &lt;FMT:Italic&gt;data&lt;/FMT&gt; personali lil pajji\u380?i terzi skont ir-Regolament (UE) 2016/679 tal-Parlament Ewropew u tal-Kunsill"/>
    <w:docVar w:name="LW_TITRE.OBJ.CP" w:val="dwar klaw\u380?oli kuntrattwali standard g\u295?at-trasferiment ta\u8217? &lt;FMT:Italic&gt;data&lt;/FMT&gt; personali lil pajji\u380?i terzi skont ir-Regolament (UE) 2016/679 tal-Parlament Ewropew u tal-Kunsill"/>
    <w:docVar w:name="LW_TYPE.DOC" w:val="DE\u266?I\u379?JONI TA\u8217? IMPLIMENTAZZJONI TAL-KUMMISSJONI (UE) .../..."/>
    <w:docVar w:name="LW_TYPE.DOC.CP" w:val="DE\u266?I\u379?JONI TA\u8217? IMPLIMENTAZZJONI TAL-KUMMISSJONI (UE) .../..."/>
    <w:docVar w:name="Stamp" w:val="\\dossiers.dgt.cec.eu.int\dossiers\JUST\JUST-2021-01653\JUST-2021-01653-00-00-EN-EDT-00.202103301302502862626.DOCX"/>
  </w:docVars>
  <w:rsids>
    <w:rsidRoot w:val="00070205"/>
    <w:rsid w:val="00004D59"/>
    <w:rsid w:val="00015492"/>
    <w:rsid w:val="00031779"/>
    <w:rsid w:val="00043A49"/>
    <w:rsid w:val="00046169"/>
    <w:rsid w:val="00046AD0"/>
    <w:rsid w:val="000570B2"/>
    <w:rsid w:val="00060609"/>
    <w:rsid w:val="00070205"/>
    <w:rsid w:val="000709F2"/>
    <w:rsid w:val="00073534"/>
    <w:rsid w:val="00085298"/>
    <w:rsid w:val="00093AD9"/>
    <w:rsid w:val="0009706C"/>
    <w:rsid w:val="000A47CC"/>
    <w:rsid w:val="000A59C9"/>
    <w:rsid w:val="000A7517"/>
    <w:rsid w:val="000B73FE"/>
    <w:rsid w:val="000C0A91"/>
    <w:rsid w:val="000C1C57"/>
    <w:rsid w:val="000C285D"/>
    <w:rsid w:val="000C2DF4"/>
    <w:rsid w:val="000D0D65"/>
    <w:rsid w:val="000D600D"/>
    <w:rsid w:val="000D76BA"/>
    <w:rsid w:val="000D79DC"/>
    <w:rsid w:val="000E0EA5"/>
    <w:rsid w:val="000E198E"/>
    <w:rsid w:val="000E6B37"/>
    <w:rsid w:val="001069DE"/>
    <w:rsid w:val="00115A95"/>
    <w:rsid w:val="00115F14"/>
    <w:rsid w:val="0012053D"/>
    <w:rsid w:val="00120701"/>
    <w:rsid w:val="00131575"/>
    <w:rsid w:val="001356F0"/>
    <w:rsid w:val="00136460"/>
    <w:rsid w:val="00142728"/>
    <w:rsid w:val="00142F48"/>
    <w:rsid w:val="00157877"/>
    <w:rsid w:val="00157D63"/>
    <w:rsid w:val="001735D5"/>
    <w:rsid w:val="0017451E"/>
    <w:rsid w:val="00181E8F"/>
    <w:rsid w:val="00195C32"/>
    <w:rsid w:val="001A36FE"/>
    <w:rsid w:val="001C2816"/>
    <w:rsid w:val="001C5757"/>
    <w:rsid w:val="001D4EF4"/>
    <w:rsid w:val="001E3F0F"/>
    <w:rsid w:val="00216D82"/>
    <w:rsid w:val="00220576"/>
    <w:rsid w:val="00221358"/>
    <w:rsid w:val="00222641"/>
    <w:rsid w:val="00226F60"/>
    <w:rsid w:val="0023446A"/>
    <w:rsid w:val="00235DA9"/>
    <w:rsid w:val="00241172"/>
    <w:rsid w:val="00262E8A"/>
    <w:rsid w:val="00262F77"/>
    <w:rsid w:val="002800F4"/>
    <w:rsid w:val="00280640"/>
    <w:rsid w:val="00286E12"/>
    <w:rsid w:val="0029032C"/>
    <w:rsid w:val="002A110A"/>
    <w:rsid w:val="002B2B40"/>
    <w:rsid w:val="002C574D"/>
    <w:rsid w:val="002E62E0"/>
    <w:rsid w:val="00311FB2"/>
    <w:rsid w:val="003403AA"/>
    <w:rsid w:val="00360FA2"/>
    <w:rsid w:val="00377582"/>
    <w:rsid w:val="003A239F"/>
    <w:rsid w:val="003B1F06"/>
    <w:rsid w:val="003D708C"/>
    <w:rsid w:val="003F12D1"/>
    <w:rsid w:val="003F7841"/>
    <w:rsid w:val="004104F6"/>
    <w:rsid w:val="00415760"/>
    <w:rsid w:val="00434710"/>
    <w:rsid w:val="00437DA6"/>
    <w:rsid w:val="004426B1"/>
    <w:rsid w:val="00470D9B"/>
    <w:rsid w:val="0047771C"/>
    <w:rsid w:val="00484EB2"/>
    <w:rsid w:val="00497462"/>
    <w:rsid w:val="004A1BFF"/>
    <w:rsid w:val="004B0B93"/>
    <w:rsid w:val="004B5724"/>
    <w:rsid w:val="004C207A"/>
    <w:rsid w:val="004E24FC"/>
    <w:rsid w:val="004F16BA"/>
    <w:rsid w:val="0050522C"/>
    <w:rsid w:val="005220AD"/>
    <w:rsid w:val="00523439"/>
    <w:rsid w:val="005237F9"/>
    <w:rsid w:val="00523C03"/>
    <w:rsid w:val="0052761D"/>
    <w:rsid w:val="005321C1"/>
    <w:rsid w:val="0054020C"/>
    <w:rsid w:val="00553C65"/>
    <w:rsid w:val="0055728F"/>
    <w:rsid w:val="00562685"/>
    <w:rsid w:val="0056471C"/>
    <w:rsid w:val="00583FCB"/>
    <w:rsid w:val="005A47CA"/>
    <w:rsid w:val="005D31AA"/>
    <w:rsid w:val="005D6E58"/>
    <w:rsid w:val="005F6C79"/>
    <w:rsid w:val="006023A8"/>
    <w:rsid w:val="00610F80"/>
    <w:rsid w:val="006161B9"/>
    <w:rsid w:val="0061782C"/>
    <w:rsid w:val="006276E6"/>
    <w:rsid w:val="00654C00"/>
    <w:rsid w:val="00662CA7"/>
    <w:rsid w:val="00665C2E"/>
    <w:rsid w:val="0067053E"/>
    <w:rsid w:val="00673DAF"/>
    <w:rsid w:val="00675727"/>
    <w:rsid w:val="006806D2"/>
    <w:rsid w:val="00682A99"/>
    <w:rsid w:val="00691C4B"/>
    <w:rsid w:val="006950BF"/>
    <w:rsid w:val="006A121A"/>
    <w:rsid w:val="006A6BEF"/>
    <w:rsid w:val="006C1B9E"/>
    <w:rsid w:val="006C4C57"/>
    <w:rsid w:val="006C672A"/>
    <w:rsid w:val="006F0DCE"/>
    <w:rsid w:val="006F1D4B"/>
    <w:rsid w:val="0070128F"/>
    <w:rsid w:val="00705B75"/>
    <w:rsid w:val="007144A6"/>
    <w:rsid w:val="00724557"/>
    <w:rsid w:val="00733588"/>
    <w:rsid w:val="00745432"/>
    <w:rsid w:val="007518A8"/>
    <w:rsid w:val="00753E30"/>
    <w:rsid w:val="00770148"/>
    <w:rsid w:val="007731F4"/>
    <w:rsid w:val="007734FC"/>
    <w:rsid w:val="0079149F"/>
    <w:rsid w:val="007A4B72"/>
    <w:rsid w:val="007A7A8F"/>
    <w:rsid w:val="007B077B"/>
    <w:rsid w:val="007B13D3"/>
    <w:rsid w:val="007C06F6"/>
    <w:rsid w:val="007C1BCB"/>
    <w:rsid w:val="007E7F52"/>
    <w:rsid w:val="007F1CE7"/>
    <w:rsid w:val="0081279D"/>
    <w:rsid w:val="00812D69"/>
    <w:rsid w:val="008243C3"/>
    <w:rsid w:val="00841AD9"/>
    <w:rsid w:val="008521FA"/>
    <w:rsid w:val="008526D3"/>
    <w:rsid w:val="00853D11"/>
    <w:rsid w:val="00866A88"/>
    <w:rsid w:val="00877377"/>
    <w:rsid w:val="00880ADF"/>
    <w:rsid w:val="0088313D"/>
    <w:rsid w:val="00894484"/>
    <w:rsid w:val="008A20CA"/>
    <w:rsid w:val="008A708F"/>
    <w:rsid w:val="008B157E"/>
    <w:rsid w:val="008B2DE3"/>
    <w:rsid w:val="008B5CCF"/>
    <w:rsid w:val="008C6D05"/>
    <w:rsid w:val="008F7E33"/>
    <w:rsid w:val="00921CD3"/>
    <w:rsid w:val="009268BF"/>
    <w:rsid w:val="0093581C"/>
    <w:rsid w:val="009422A2"/>
    <w:rsid w:val="00956552"/>
    <w:rsid w:val="00961DA5"/>
    <w:rsid w:val="009622D0"/>
    <w:rsid w:val="009645DE"/>
    <w:rsid w:val="0097647E"/>
    <w:rsid w:val="00981788"/>
    <w:rsid w:val="0098228E"/>
    <w:rsid w:val="00984CE1"/>
    <w:rsid w:val="00986B33"/>
    <w:rsid w:val="00987AD5"/>
    <w:rsid w:val="009A195B"/>
    <w:rsid w:val="009A7838"/>
    <w:rsid w:val="009B7138"/>
    <w:rsid w:val="009C07BF"/>
    <w:rsid w:val="009C4D9F"/>
    <w:rsid w:val="009D56BE"/>
    <w:rsid w:val="00A216B4"/>
    <w:rsid w:val="00A25B1F"/>
    <w:rsid w:val="00A3247B"/>
    <w:rsid w:val="00A47A2B"/>
    <w:rsid w:val="00A61E49"/>
    <w:rsid w:val="00AA2355"/>
    <w:rsid w:val="00AB4456"/>
    <w:rsid w:val="00AC0AE2"/>
    <w:rsid w:val="00AC3037"/>
    <w:rsid w:val="00AC42F2"/>
    <w:rsid w:val="00AE0D3E"/>
    <w:rsid w:val="00AE3AFE"/>
    <w:rsid w:val="00AE5258"/>
    <w:rsid w:val="00AF318B"/>
    <w:rsid w:val="00B01B7B"/>
    <w:rsid w:val="00B2380D"/>
    <w:rsid w:val="00B270E5"/>
    <w:rsid w:val="00B53906"/>
    <w:rsid w:val="00B55734"/>
    <w:rsid w:val="00B56FBE"/>
    <w:rsid w:val="00B8273E"/>
    <w:rsid w:val="00B86135"/>
    <w:rsid w:val="00B92DF9"/>
    <w:rsid w:val="00BA0EB4"/>
    <w:rsid w:val="00BA35E7"/>
    <w:rsid w:val="00BA4D53"/>
    <w:rsid w:val="00BA7E14"/>
    <w:rsid w:val="00BB22F9"/>
    <w:rsid w:val="00BB266C"/>
    <w:rsid w:val="00BB427E"/>
    <w:rsid w:val="00BC3487"/>
    <w:rsid w:val="00BC5394"/>
    <w:rsid w:val="00BC6D7B"/>
    <w:rsid w:val="00BC71ED"/>
    <w:rsid w:val="00BD7CD0"/>
    <w:rsid w:val="00BE246D"/>
    <w:rsid w:val="00BF17AA"/>
    <w:rsid w:val="00BF4A5D"/>
    <w:rsid w:val="00C033D7"/>
    <w:rsid w:val="00C0517D"/>
    <w:rsid w:val="00C07B26"/>
    <w:rsid w:val="00C24556"/>
    <w:rsid w:val="00C33B16"/>
    <w:rsid w:val="00C36A89"/>
    <w:rsid w:val="00C5435C"/>
    <w:rsid w:val="00C74149"/>
    <w:rsid w:val="00C802B4"/>
    <w:rsid w:val="00C83EA3"/>
    <w:rsid w:val="00CE5C17"/>
    <w:rsid w:val="00CF25EE"/>
    <w:rsid w:val="00D121C0"/>
    <w:rsid w:val="00D20CB6"/>
    <w:rsid w:val="00D250DD"/>
    <w:rsid w:val="00D37F51"/>
    <w:rsid w:val="00D43DA1"/>
    <w:rsid w:val="00D51DAE"/>
    <w:rsid w:val="00D647CE"/>
    <w:rsid w:val="00D67E9A"/>
    <w:rsid w:val="00D67F28"/>
    <w:rsid w:val="00D735B2"/>
    <w:rsid w:val="00D75956"/>
    <w:rsid w:val="00D9261D"/>
    <w:rsid w:val="00D938F1"/>
    <w:rsid w:val="00D97432"/>
    <w:rsid w:val="00DA614F"/>
    <w:rsid w:val="00DD000C"/>
    <w:rsid w:val="00DE26AB"/>
    <w:rsid w:val="00DE30E0"/>
    <w:rsid w:val="00DE42FA"/>
    <w:rsid w:val="00DE7927"/>
    <w:rsid w:val="00DF1A44"/>
    <w:rsid w:val="00DF2CC3"/>
    <w:rsid w:val="00DF43C5"/>
    <w:rsid w:val="00DF5E73"/>
    <w:rsid w:val="00E02D83"/>
    <w:rsid w:val="00E23737"/>
    <w:rsid w:val="00E307F0"/>
    <w:rsid w:val="00E376AF"/>
    <w:rsid w:val="00E40409"/>
    <w:rsid w:val="00E61BDB"/>
    <w:rsid w:val="00E63FC6"/>
    <w:rsid w:val="00E65786"/>
    <w:rsid w:val="00E74673"/>
    <w:rsid w:val="00E8693D"/>
    <w:rsid w:val="00E8713F"/>
    <w:rsid w:val="00EB4320"/>
    <w:rsid w:val="00EB4FBA"/>
    <w:rsid w:val="00EB7ED2"/>
    <w:rsid w:val="00ED2947"/>
    <w:rsid w:val="00ED2E04"/>
    <w:rsid w:val="00EF2260"/>
    <w:rsid w:val="00EF6357"/>
    <w:rsid w:val="00F13C4E"/>
    <w:rsid w:val="00F13EDC"/>
    <w:rsid w:val="00F16261"/>
    <w:rsid w:val="00F20062"/>
    <w:rsid w:val="00F416D1"/>
    <w:rsid w:val="00F55EF2"/>
    <w:rsid w:val="00F56E72"/>
    <w:rsid w:val="00F719D6"/>
    <w:rsid w:val="00F740AE"/>
    <w:rsid w:val="00F775D2"/>
    <w:rsid w:val="00F875F4"/>
    <w:rsid w:val="00FA132A"/>
    <w:rsid w:val="00FD2C01"/>
    <w:rsid w:val="00FD38AF"/>
    <w:rsid w:val="00FD6913"/>
    <w:rsid w:val="00FD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33C51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mt-MT"/>
    </w:rPr>
  </w:style>
  <w:style w:type="paragraph" w:styleId="Heading1">
    <w:name w:val="heading 1"/>
    <w:basedOn w:val="Normal"/>
    <w:next w:val="Text1"/>
    <w:link w:val="Heading1Char"/>
    <w:uiPriority w:val="9"/>
    <w:qFormat/>
    <w:rsid w:val="009B7138"/>
    <w:pPr>
      <w:keepNext/>
      <w:numPr>
        <w:numId w:val="1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rsid w:val="009B7138"/>
    <w:pPr>
      <w:keepNext/>
      <w:numPr>
        <w:ilvl w:val="1"/>
        <w:numId w:val="19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9B7138"/>
    <w:pPr>
      <w:keepNext/>
      <w:numPr>
        <w:ilvl w:val="2"/>
        <w:numId w:val="19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9B7138"/>
    <w:pPr>
      <w:keepNext/>
      <w:numPr>
        <w:ilvl w:val="3"/>
        <w:numId w:val="19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semiHidden/>
    <w:unhideWhenUsed/>
    <w:rsid w:val="00BC3487"/>
    <w:pPr>
      <w:numPr>
        <w:numId w:val="3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DF5E73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F5E73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F5E73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F5E73"/>
    <w:pPr>
      <w:numPr>
        <w:numId w:val="8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1C5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C57"/>
    <w:rPr>
      <w:rFonts w:ascii="Segoe UI" w:hAnsi="Segoe UI" w:cs="Segoe UI"/>
      <w:sz w:val="18"/>
      <w:szCs w:val="18"/>
      <w:lang w:val="mt-MT"/>
    </w:rPr>
  </w:style>
  <w:style w:type="character" w:styleId="CommentReference">
    <w:name w:val="annotation reference"/>
    <w:basedOn w:val="DefaultParagraphFont"/>
    <w:uiPriority w:val="99"/>
    <w:semiHidden/>
    <w:unhideWhenUsed/>
    <w:rsid w:val="00311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F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FB2"/>
    <w:rPr>
      <w:rFonts w:ascii="Times New Roman" w:hAnsi="Times New Roman" w:cs="Times New Roman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FB2"/>
    <w:rPr>
      <w:rFonts w:ascii="Times New Roman" w:hAnsi="Times New Roman" w:cs="Times New Roman"/>
      <w:b/>
      <w:bCs/>
      <w:sz w:val="20"/>
      <w:szCs w:val="20"/>
      <w:lang w:val="mt-M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6D82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216D82"/>
    <w:pPr>
      <w:spacing w:after="0"/>
    </w:pPr>
  </w:style>
  <w:style w:type="paragraph" w:styleId="ListNumber2">
    <w:name w:val="List Number 2"/>
    <w:basedOn w:val="Normal"/>
    <w:uiPriority w:val="99"/>
    <w:semiHidden/>
    <w:unhideWhenUsed/>
    <w:rsid w:val="00216D82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16D82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16D82"/>
    <w:pPr>
      <w:numPr>
        <w:numId w:val="1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8713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37DA6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961D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B7138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7138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9B7138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7138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7138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7138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B7138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138"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138"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138"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9B7138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9B7138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9B7138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9B7138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sid w:val="009B7138"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9B71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9B7138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9B71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rsid w:val="009B7138"/>
    <w:pPr>
      <w:ind w:left="850"/>
    </w:pPr>
  </w:style>
  <w:style w:type="paragraph" w:customStyle="1" w:styleId="Text2">
    <w:name w:val="Text 2"/>
    <w:basedOn w:val="Normal"/>
    <w:rsid w:val="009B7138"/>
    <w:pPr>
      <w:ind w:left="1417"/>
    </w:pPr>
  </w:style>
  <w:style w:type="paragraph" w:customStyle="1" w:styleId="Text3">
    <w:name w:val="Text 3"/>
    <w:basedOn w:val="Normal"/>
    <w:rsid w:val="009B7138"/>
    <w:pPr>
      <w:ind w:left="1984"/>
    </w:pPr>
  </w:style>
  <w:style w:type="paragraph" w:customStyle="1" w:styleId="Text4">
    <w:name w:val="Text 4"/>
    <w:basedOn w:val="Normal"/>
    <w:rsid w:val="009B7138"/>
    <w:pPr>
      <w:ind w:left="2551"/>
    </w:pPr>
  </w:style>
  <w:style w:type="paragraph" w:customStyle="1" w:styleId="NormalCentered">
    <w:name w:val="Normal Centered"/>
    <w:basedOn w:val="Normal"/>
    <w:rsid w:val="009B7138"/>
    <w:pPr>
      <w:jc w:val="center"/>
    </w:pPr>
  </w:style>
  <w:style w:type="paragraph" w:customStyle="1" w:styleId="NormalLeft">
    <w:name w:val="Normal Left"/>
    <w:basedOn w:val="Normal"/>
    <w:rsid w:val="009B7138"/>
    <w:pPr>
      <w:jc w:val="left"/>
    </w:pPr>
  </w:style>
  <w:style w:type="paragraph" w:customStyle="1" w:styleId="NormalRight">
    <w:name w:val="Normal Right"/>
    <w:basedOn w:val="Normal"/>
    <w:rsid w:val="009B7138"/>
    <w:pPr>
      <w:jc w:val="right"/>
    </w:pPr>
  </w:style>
  <w:style w:type="paragraph" w:customStyle="1" w:styleId="QuotedText">
    <w:name w:val="Quoted Text"/>
    <w:basedOn w:val="Normal"/>
    <w:rsid w:val="009B7138"/>
    <w:pPr>
      <w:ind w:left="1417"/>
    </w:pPr>
  </w:style>
  <w:style w:type="paragraph" w:customStyle="1" w:styleId="Point0">
    <w:name w:val="Point 0"/>
    <w:basedOn w:val="Normal"/>
    <w:rsid w:val="009B7138"/>
    <w:pPr>
      <w:ind w:left="850" w:hanging="850"/>
    </w:pPr>
  </w:style>
  <w:style w:type="paragraph" w:customStyle="1" w:styleId="Point1">
    <w:name w:val="Point 1"/>
    <w:basedOn w:val="Normal"/>
    <w:rsid w:val="009B7138"/>
    <w:pPr>
      <w:ind w:left="1417" w:hanging="567"/>
    </w:pPr>
  </w:style>
  <w:style w:type="paragraph" w:customStyle="1" w:styleId="Point2">
    <w:name w:val="Point 2"/>
    <w:basedOn w:val="Normal"/>
    <w:rsid w:val="009B7138"/>
    <w:pPr>
      <w:ind w:left="1984" w:hanging="567"/>
    </w:pPr>
  </w:style>
  <w:style w:type="paragraph" w:customStyle="1" w:styleId="Point3">
    <w:name w:val="Point 3"/>
    <w:basedOn w:val="Normal"/>
    <w:rsid w:val="009B7138"/>
    <w:pPr>
      <w:ind w:left="2551" w:hanging="567"/>
    </w:pPr>
  </w:style>
  <w:style w:type="paragraph" w:customStyle="1" w:styleId="Point4">
    <w:name w:val="Point 4"/>
    <w:basedOn w:val="Normal"/>
    <w:rsid w:val="009B7138"/>
    <w:pPr>
      <w:ind w:left="3118" w:hanging="567"/>
    </w:pPr>
  </w:style>
  <w:style w:type="paragraph" w:customStyle="1" w:styleId="Tiret0">
    <w:name w:val="Tiret 0"/>
    <w:basedOn w:val="Point0"/>
    <w:rsid w:val="009B7138"/>
    <w:pPr>
      <w:numPr>
        <w:numId w:val="13"/>
      </w:numPr>
    </w:pPr>
  </w:style>
  <w:style w:type="paragraph" w:customStyle="1" w:styleId="Tiret1">
    <w:name w:val="Tiret 1"/>
    <w:basedOn w:val="Point1"/>
    <w:rsid w:val="009B7138"/>
    <w:pPr>
      <w:numPr>
        <w:numId w:val="14"/>
      </w:numPr>
    </w:pPr>
  </w:style>
  <w:style w:type="paragraph" w:customStyle="1" w:styleId="Tiret2">
    <w:name w:val="Tiret 2"/>
    <w:basedOn w:val="Point2"/>
    <w:rsid w:val="009B7138"/>
    <w:pPr>
      <w:numPr>
        <w:numId w:val="15"/>
      </w:numPr>
    </w:pPr>
  </w:style>
  <w:style w:type="paragraph" w:customStyle="1" w:styleId="Tiret3">
    <w:name w:val="Tiret 3"/>
    <w:basedOn w:val="Point3"/>
    <w:rsid w:val="009B7138"/>
    <w:pPr>
      <w:numPr>
        <w:numId w:val="16"/>
      </w:numPr>
    </w:pPr>
  </w:style>
  <w:style w:type="paragraph" w:customStyle="1" w:styleId="Tiret4">
    <w:name w:val="Tiret 4"/>
    <w:basedOn w:val="Point4"/>
    <w:rsid w:val="009B7138"/>
    <w:pPr>
      <w:numPr>
        <w:numId w:val="17"/>
      </w:numPr>
    </w:pPr>
  </w:style>
  <w:style w:type="paragraph" w:customStyle="1" w:styleId="PointDouble0">
    <w:name w:val="PointDouble 0"/>
    <w:basedOn w:val="Normal"/>
    <w:rsid w:val="009B7138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9B7138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9B7138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9B7138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9B7138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9B7138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9B7138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9B7138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9B7138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9B7138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9B7138"/>
    <w:pPr>
      <w:numPr>
        <w:numId w:val="18"/>
      </w:numPr>
    </w:pPr>
  </w:style>
  <w:style w:type="paragraph" w:customStyle="1" w:styleId="NumPar2">
    <w:name w:val="NumPar 2"/>
    <w:basedOn w:val="Normal"/>
    <w:next w:val="Text1"/>
    <w:rsid w:val="009B7138"/>
    <w:pPr>
      <w:numPr>
        <w:ilvl w:val="1"/>
        <w:numId w:val="18"/>
      </w:numPr>
    </w:pPr>
  </w:style>
  <w:style w:type="paragraph" w:customStyle="1" w:styleId="NumPar3">
    <w:name w:val="NumPar 3"/>
    <w:basedOn w:val="Normal"/>
    <w:next w:val="Text1"/>
    <w:rsid w:val="009B7138"/>
    <w:pPr>
      <w:numPr>
        <w:ilvl w:val="2"/>
        <w:numId w:val="18"/>
      </w:numPr>
    </w:pPr>
  </w:style>
  <w:style w:type="paragraph" w:customStyle="1" w:styleId="NumPar4">
    <w:name w:val="NumPar 4"/>
    <w:basedOn w:val="Normal"/>
    <w:next w:val="Text1"/>
    <w:rsid w:val="009B7138"/>
    <w:pPr>
      <w:numPr>
        <w:ilvl w:val="3"/>
        <w:numId w:val="18"/>
      </w:numPr>
    </w:pPr>
  </w:style>
  <w:style w:type="paragraph" w:customStyle="1" w:styleId="ManualNumPar1">
    <w:name w:val="Manual NumPar 1"/>
    <w:basedOn w:val="Normal"/>
    <w:next w:val="Text1"/>
    <w:rsid w:val="009B7138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9B7138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9B7138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9B7138"/>
    <w:pPr>
      <w:ind w:left="850" w:hanging="850"/>
    </w:pPr>
  </w:style>
  <w:style w:type="paragraph" w:customStyle="1" w:styleId="QuotedNumPar">
    <w:name w:val="Quoted NumPar"/>
    <w:basedOn w:val="Normal"/>
    <w:rsid w:val="009B7138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9B7138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9B7138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9B7138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9B7138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9B7138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9B7138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9B7138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9B7138"/>
    <w:pPr>
      <w:jc w:val="center"/>
    </w:pPr>
    <w:rPr>
      <w:b/>
    </w:rPr>
  </w:style>
  <w:style w:type="character" w:customStyle="1" w:styleId="Marker">
    <w:name w:val="Marker"/>
    <w:basedOn w:val="DefaultParagraphFont"/>
    <w:rsid w:val="009B7138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9B7138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9B7138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9B7138"/>
    <w:pPr>
      <w:numPr>
        <w:numId w:val="20"/>
      </w:numPr>
    </w:pPr>
  </w:style>
  <w:style w:type="paragraph" w:customStyle="1" w:styleId="Point1number">
    <w:name w:val="Point 1 (number)"/>
    <w:basedOn w:val="Normal"/>
    <w:rsid w:val="009B7138"/>
    <w:pPr>
      <w:numPr>
        <w:ilvl w:val="2"/>
        <w:numId w:val="20"/>
      </w:numPr>
    </w:pPr>
  </w:style>
  <w:style w:type="paragraph" w:customStyle="1" w:styleId="Point2number">
    <w:name w:val="Point 2 (number)"/>
    <w:basedOn w:val="Normal"/>
    <w:rsid w:val="009B7138"/>
    <w:pPr>
      <w:numPr>
        <w:ilvl w:val="4"/>
        <w:numId w:val="20"/>
      </w:numPr>
    </w:pPr>
  </w:style>
  <w:style w:type="paragraph" w:customStyle="1" w:styleId="Point3number">
    <w:name w:val="Point 3 (number)"/>
    <w:basedOn w:val="Normal"/>
    <w:rsid w:val="009B7138"/>
    <w:pPr>
      <w:numPr>
        <w:ilvl w:val="6"/>
        <w:numId w:val="20"/>
      </w:numPr>
    </w:pPr>
  </w:style>
  <w:style w:type="paragraph" w:customStyle="1" w:styleId="Point0letter">
    <w:name w:val="Point 0 (letter)"/>
    <w:basedOn w:val="Normal"/>
    <w:rsid w:val="009B7138"/>
    <w:pPr>
      <w:numPr>
        <w:ilvl w:val="1"/>
        <w:numId w:val="20"/>
      </w:numPr>
    </w:pPr>
  </w:style>
  <w:style w:type="paragraph" w:customStyle="1" w:styleId="Point1letter">
    <w:name w:val="Point 1 (letter)"/>
    <w:basedOn w:val="Normal"/>
    <w:rsid w:val="009B7138"/>
    <w:pPr>
      <w:numPr>
        <w:ilvl w:val="3"/>
        <w:numId w:val="20"/>
      </w:numPr>
    </w:pPr>
  </w:style>
  <w:style w:type="paragraph" w:customStyle="1" w:styleId="Point2letter">
    <w:name w:val="Point 2 (letter)"/>
    <w:basedOn w:val="Normal"/>
    <w:rsid w:val="009B7138"/>
    <w:pPr>
      <w:numPr>
        <w:ilvl w:val="5"/>
        <w:numId w:val="20"/>
      </w:numPr>
    </w:pPr>
  </w:style>
  <w:style w:type="paragraph" w:customStyle="1" w:styleId="Point3letter">
    <w:name w:val="Point 3 (letter)"/>
    <w:basedOn w:val="Normal"/>
    <w:rsid w:val="009B7138"/>
    <w:pPr>
      <w:numPr>
        <w:ilvl w:val="7"/>
        <w:numId w:val="20"/>
      </w:numPr>
    </w:pPr>
  </w:style>
  <w:style w:type="paragraph" w:customStyle="1" w:styleId="Point4letter">
    <w:name w:val="Point 4 (letter)"/>
    <w:basedOn w:val="Normal"/>
    <w:rsid w:val="009B7138"/>
    <w:pPr>
      <w:numPr>
        <w:ilvl w:val="8"/>
        <w:numId w:val="20"/>
      </w:numPr>
    </w:pPr>
  </w:style>
  <w:style w:type="paragraph" w:customStyle="1" w:styleId="Bullet0">
    <w:name w:val="Bullet 0"/>
    <w:basedOn w:val="Normal"/>
    <w:rsid w:val="009B7138"/>
    <w:pPr>
      <w:numPr>
        <w:numId w:val="21"/>
      </w:numPr>
    </w:pPr>
  </w:style>
  <w:style w:type="paragraph" w:customStyle="1" w:styleId="Bullet1">
    <w:name w:val="Bullet 1"/>
    <w:basedOn w:val="Normal"/>
    <w:rsid w:val="009B7138"/>
    <w:pPr>
      <w:numPr>
        <w:numId w:val="22"/>
      </w:numPr>
    </w:pPr>
  </w:style>
  <w:style w:type="paragraph" w:customStyle="1" w:styleId="Bullet2">
    <w:name w:val="Bullet 2"/>
    <w:basedOn w:val="Normal"/>
    <w:rsid w:val="009B7138"/>
    <w:pPr>
      <w:numPr>
        <w:numId w:val="23"/>
      </w:numPr>
    </w:pPr>
  </w:style>
  <w:style w:type="paragraph" w:customStyle="1" w:styleId="Bullet3">
    <w:name w:val="Bullet 3"/>
    <w:basedOn w:val="Normal"/>
    <w:rsid w:val="009B7138"/>
    <w:pPr>
      <w:numPr>
        <w:numId w:val="24"/>
      </w:numPr>
    </w:pPr>
  </w:style>
  <w:style w:type="paragraph" w:customStyle="1" w:styleId="Bullet4">
    <w:name w:val="Bullet 4"/>
    <w:basedOn w:val="Normal"/>
    <w:rsid w:val="009B7138"/>
    <w:pPr>
      <w:numPr>
        <w:numId w:val="25"/>
      </w:numPr>
    </w:pPr>
  </w:style>
  <w:style w:type="paragraph" w:customStyle="1" w:styleId="Langue">
    <w:name w:val="Langue"/>
    <w:basedOn w:val="Normal"/>
    <w:next w:val="Rfrenceinterne"/>
    <w:rsid w:val="009B7138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rsid w:val="009B7138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rsid w:val="009B7138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rsid w:val="009B7138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rsid w:val="009B7138"/>
    <w:pPr>
      <w:spacing w:before="0" w:after="0"/>
    </w:pPr>
  </w:style>
  <w:style w:type="paragraph" w:customStyle="1" w:styleId="Declassification">
    <w:name w:val="Declassification"/>
    <w:basedOn w:val="Normal"/>
    <w:next w:val="Normal"/>
    <w:rsid w:val="009B7138"/>
    <w:pPr>
      <w:spacing w:before="0" w:after="0"/>
    </w:pPr>
  </w:style>
  <w:style w:type="paragraph" w:customStyle="1" w:styleId="Disclaimer">
    <w:name w:val="Disclaimer"/>
    <w:basedOn w:val="Normal"/>
    <w:rsid w:val="009B7138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rsid w:val="009B7138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rsid w:val="009B7138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rsid w:val="009B7138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9B7138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9B7138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9B7138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9B7138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9B7138"/>
    <w:pPr>
      <w:numPr>
        <w:numId w:val="26"/>
      </w:numPr>
    </w:pPr>
  </w:style>
  <w:style w:type="paragraph" w:customStyle="1" w:styleId="Corrigendum">
    <w:name w:val="Corrigendum"/>
    <w:basedOn w:val="Normal"/>
    <w:next w:val="Normal"/>
    <w:rsid w:val="009B7138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9B7138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9B7138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9B7138"/>
    <w:pPr>
      <w:keepNext/>
    </w:pPr>
  </w:style>
  <w:style w:type="paragraph" w:customStyle="1" w:styleId="Institutionquiagit">
    <w:name w:val="Institution qui agit"/>
    <w:basedOn w:val="Normal"/>
    <w:next w:val="Normal"/>
    <w:rsid w:val="009B7138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9B7138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rsid w:val="009B7138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rsid w:val="009B7138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rsid w:val="009B7138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9B7138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rsid w:val="009B7138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9B7138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rsid w:val="009B7138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9B7138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sid w:val="009B7138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sid w:val="009B7138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9B7138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9B7138"/>
    <w:rPr>
      <w:i/>
      <w:caps/>
    </w:rPr>
  </w:style>
  <w:style w:type="paragraph" w:customStyle="1" w:styleId="Supertitre">
    <w:name w:val="Supertitre"/>
    <w:basedOn w:val="Normal"/>
    <w:next w:val="Normal"/>
    <w:rsid w:val="009B7138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9B7138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9B7138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9B7138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9B7138"/>
  </w:style>
  <w:style w:type="paragraph" w:customStyle="1" w:styleId="StatutPagedecouverture">
    <w:name w:val="Statut (Page de couverture)"/>
    <w:basedOn w:val="Statut"/>
    <w:next w:val="TypedudocumentPagedecouverture"/>
    <w:rsid w:val="009B7138"/>
  </w:style>
  <w:style w:type="paragraph" w:customStyle="1" w:styleId="TitreobjetPagedecouverture">
    <w:name w:val="Titre objet (Page de couverture)"/>
    <w:basedOn w:val="Titreobjet"/>
    <w:next w:val="IntrtEEEPagedecouverture"/>
    <w:rsid w:val="009B7138"/>
  </w:style>
  <w:style w:type="paragraph" w:customStyle="1" w:styleId="TypedudocumentPagedecouverture">
    <w:name w:val="Type du document (Page de couverture)"/>
    <w:basedOn w:val="Typedudocument"/>
    <w:next w:val="TitreobjetPagedecouverture"/>
    <w:rsid w:val="009B7138"/>
  </w:style>
  <w:style w:type="paragraph" w:customStyle="1" w:styleId="Volume">
    <w:name w:val="Volume"/>
    <w:basedOn w:val="Normal"/>
    <w:next w:val="Confidentialit"/>
    <w:rsid w:val="009B7138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9B7138"/>
    <w:pPr>
      <w:spacing w:after="240"/>
    </w:pPr>
  </w:style>
  <w:style w:type="paragraph" w:customStyle="1" w:styleId="Accompagnant">
    <w:name w:val="Accompagnant"/>
    <w:basedOn w:val="Normal"/>
    <w:next w:val="Typeacteprincipal"/>
    <w:rsid w:val="009B7138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rsid w:val="009B7138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9B7138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9B7138"/>
  </w:style>
  <w:style w:type="paragraph" w:customStyle="1" w:styleId="AccompagnantPagedecouverture">
    <w:name w:val="Accompagnant (Page de couverture)"/>
    <w:basedOn w:val="Accompagnant"/>
    <w:next w:val="TypeacteprincipalPagedecouverture"/>
    <w:rsid w:val="009B7138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9B7138"/>
  </w:style>
  <w:style w:type="paragraph" w:customStyle="1" w:styleId="ObjetacteprincipalPagedecouverture">
    <w:name w:val="Objet acte principal (Page de couverture)"/>
    <w:basedOn w:val="Objetacteprincipal"/>
    <w:next w:val="Rfrencecroise"/>
    <w:rsid w:val="009B7138"/>
  </w:style>
  <w:style w:type="paragraph" w:customStyle="1" w:styleId="LanguesfaisantfoiPagedecouverture">
    <w:name w:val="Langues faisant foi (Page de couverture)"/>
    <w:basedOn w:val="Normal"/>
    <w:next w:val="Normal"/>
    <w:rsid w:val="009B7138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9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96BAB-2BE5-44A2-B55C-CA90CE148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</Template>
  <TotalTime>0</TotalTime>
  <Pages>1</Pages>
  <Words>3069</Words>
  <Characters>23356</Characters>
  <Application>Microsoft Office Word</Application>
  <DocSecurity>0</DocSecurity>
  <Lines>338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2021-05-21T17:29:00Z</dcterms:created>
  <dcterms:modified xsi:type="dcterms:W3CDTF">2021-05-21T17:29:00Z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Last edited using">
    <vt:lpwstr>LW 7.0.1, Build 20190916</vt:lpwstr>
  </property>
  <property fmtid="{D5CDD505-2E9C-101B-9397-08002B2CF9AE}" pid="4" name="Part">
    <vt:lpwstr>1</vt:lpwstr>
  </property>
  <property fmtid="{D5CDD505-2E9C-101B-9397-08002B2CF9AE}" pid="5" name="Total parts">
    <vt:lpwstr>1</vt:lpwstr>
  </property>
  <property fmtid="{D5CDD505-2E9C-101B-9397-08002B2CF9AE}" pid="6" name="LWTemplateID">
    <vt:lpwstr>SJ-032</vt:lpwstr>
  </property>
  <property fmtid="{D5CDD505-2E9C-101B-9397-08002B2CF9AE}" pid="7" name="DQCStatus">
    <vt:lpwstr>Green (DQC version 03)</vt:lpwstr>
  </property>
</Properties>
</file>