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3B5D89A9" w:rsidR="00070205" w:rsidRDefault="00317770" w:rsidP="0078575F">
      <w:pPr>
        <w:pStyle w:val="Pagedecouverture"/>
      </w:pPr>
      <w:bookmarkStart w:id="0" w:name="_GoBack"/>
      <w:bookmarkEnd w:id="0"/>
      <w:r>
        <w:pict w14:anchorId="2C999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B1D512-E930-4980-A3E1-3C19445AABD4" style="width:450.45pt;height:381.95pt">
            <v:imagedata r:id="rId8" o:title=""/>
          </v:shape>
        </w:pict>
      </w:r>
    </w:p>
    <w:p w14:paraId="31C401D5" w14:textId="77777777" w:rsidR="00EE5FF0" w:rsidRPr="00EE5FF0" w:rsidRDefault="00EE5FF0" w:rsidP="00EE5FF0">
      <w:pPr>
        <w:pStyle w:val="Pagedecouverture"/>
        <w:sectPr w:rsidR="00EE5FF0" w:rsidRPr="00EE5FF0" w:rsidSect="00B7420D">
          <w:footerReference w:type="default" r:id="rId9"/>
          <w:pgSz w:w="11907" w:h="16839"/>
          <w:pgMar w:top="1134" w:right="1417" w:bottom="1134" w:left="1417" w:header="709" w:footer="709" w:gutter="0"/>
          <w:pgNumType w:start="0"/>
          <w:cols w:space="720"/>
          <w:docGrid w:linePitch="360"/>
        </w:sectPr>
      </w:pPr>
    </w:p>
    <w:p w14:paraId="19BB17F2" w14:textId="45C07A49" w:rsidR="00070205" w:rsidRPr="00EE5FF0" w:rsidRDefault="00497462" w:rsidP="00497462">
      <w:pPr>
        <w:pStyle w:val="Typedudocument"/>
      </w:pPr>
      <w:r w:rsidRPr="00EE5FF0">
        <w:lastRenderedPageBreak/>
        <w:t>KOMISIJOS ĮGYVENDINIMO SPRENDIMAS (ES) …/...</w:t>
      </w:r>
    </w:p>
    <w:p w14:paraId="39925B62" w14:textId="741EC668" w:rsidR="00070205" w:rsidRPr="00EE5FF0" w:rsidRDefault="00EE5FF0" w:rsidP="00497462">
      <w:pPr>
        <w:pStyle w:val="Datedadoption"/>
      </w:pPr>
      <w:r>
        <w:rPr>
          <w:rStyle w:val="Marker2"/>
        </w:rPr>
        <w:t>XXX</w:t>
      </w:r>
    </w:p>
    <w:p w14:paraId="3EC8887B" w14:textId="530D70CF" w:rsidR="00070205" w:rsidRPr="00EE5FF0" w:rsidRDefault="00497462" w:rsidP="00497462">
      <w:pPr>
        <w:pStyle w:val="Titreobjet"/>
      </w:pPr>
      <w:r w:rsidRPr="00EE5FF0">
        <w:t>dėl standartinių sutarčių sąlygų, kuriomis asmens duomenys perduodami į trečiąsias valstybes pagal Europos Parlamento ir Tarybos reglamentą (ES) 2016/679</w:t>
      </w:r>
    </w:p>
    <w:p w14:paraId="2E28B445" w14:textId="5EA392B1" w:rsidR="00070205" w:rsidRPr="00EE5FF0" w:rsidRDefault="00497462" w:rsidP="00497462">
      <w:pPr>
        <w:pStyle w:val="IntrtEEE"/>
      </w:pPr>
      <w:r w:rsidRPr="00EE5FF0">
        <w:t>(Tekstas svarbus EEE)</w:t>
      </w:r>
    </w:p>
    <w:p w14:paraId="6A988FE2" w14:textId="77777777" w:rsidR="00070205" w:rsidRPr="00EE5FF0" w:rsidRDefault="00070205" w:rsidP="00C36A89">
      <w:pPr>
        <w:pStyle w:val="Institutionquiagit"/>
      </w:pPr>
      <w:r w:rsidRPr="00EE5FF0">
        <w:t>EUROPOS KOMISIJA,</w:t>
      </w:r>
    </w:p>
    <w:p w14:paraId="5AFA792D" w14:textId="77777777" w:rsidR="001D4EF4" w:rsidRPr="00EE5FF0" w:rsidRDefault="00070205" w:rsidP="00C36A89">
      <w:r w:rsidRPr="00EE5FF0">
        <w:rPr>
          <w:color w:val="000000"/>
        </w:rPr>
        <w:t>atsižvelgdama į Sutartį dėl Europos Sąjungos veikimo</w:t>
      </w:r>
      <w:r w:rsidRPr="00EE5FF0">
        <w:t>,</w:t>
      </w:r>
    </w:p>
    <w:p w14:paraId="723B085A" w14:textId="1190B94A" w:rsidR="00070205" w:rsidRPr="00EE5FF0" w:rsidRDefault="00070205" w:rsidP="00C36A89">
      <w:r w:rsidRPr="00EE5FF0">
        <w:t xml:space="preserve">atsižvelgdama į </w:t>
      </w:r>
      <w:r w:rsidRPr="00EE5FF0">
        <w:rPr>
          <w:color w:val="000000"/>
        </w:rPr>
        <w:t>2016 m. balandžio 27 d. Europos Parlamento ir Tarybos reglamentą (ES) 2016/679 dėl fizinių asmenų apsaugos tvarkant asmens duomenis ir dėl laisvo tokių duomenų judėjimo ir kuriuo panaikinama Direktyva 95/46/EB (toliau – Bendrasis duomenų apsaugos reglamentas)</w:t>
      </w:r>
      <w:r w:rsidRPr="00EE5FF0">
        <w:rPr>
          <w:rStyle w:val="FootnoteReference"/>
          <w:color w:val="000000"/>
        </w:rPr>
        <w:footnoteReference w:id="1"/>
      </w:r>
      <w:r w:rsidRPr="00EE5FF0">
        <w:t xml:space="preserve">, ypač į jo </w:t>
      </w:r>
      <w:r w:rsidRPr="00EE5FF0">
        <w:rPr>
          <w:color w:val="000000"/>
        </w:rPr>
        <w:t>28 straipsnio 7 dalį ir 46 straipsnio 2 dalies c punktą</w:t>
      </w:r>
      <w:r w:rsidRPr="00EE5FF0">
        <w:t>,</w:t>
      </w:r>
    </w:p>
    <w:p w14:paraId="5DBC66B2" w14:textId="77777777" w:rsidR="00070205" w:rsidRPr="00EE5FF0" w:rsidRDefault="00070205" w:rsidP="00C36A89">
      <w:r w:rsidRPr="00EE5FF0">
        <w:t>kadangi:</w:t>
      </w:r>
    </w:p>
    <w:p w14:paraId="1FBC9A33" w14:textId="4D496B78" w:rsidR="00EB7ED2" w:rsidRPr="00EE5FF0" w:rsidRDefault="00EB7ED2" w:rsidP="00377582">
      <w:pPr>
        <w:pStyle w:val="Considrant"/>
        <w:numPr>
          <w:ilvl w:val="0"/>
          <w:numId w:val="1"/>
        </w:numPr>
      </w:pPr>
      <w:r w:rsidRPr="00EE5FF0">
        <w:t>technologiniai pokyčiai sudaro palankesnes sąlygas tarpvalstybiniams duomenų srautams, kurie būtini tarptautiniam bendradarbiavimui ir tarptautinei prekybai plėsti. Tuo pat metu reikia užtikrinti, kad nebūtų sumažintas Reglamentu (ES) 2016/679 užtikrinamas fizinių asmenų apsaugos lygis, kai asmens duomenys perduodami į trečiąsias valstybes, įskaitant tolesnio duomenų perdavimo atvejais</w:t>
      </w:r>
      <w:r w:rsidRPr="00EE5FF0">
        <w:rPr>
          <w:rStyle w:val="FootnoteReference"/>
        </w:rPr>
        <w:footnoteReference w:id="2"/>
      </w:r>
      <w:r w:rsidRPr="00EE5FF0">
        <w:t>. Reglamento (ES) 2016/679 V skyriaus nuostatomis dėl duomenų perdavimo siekiama užtikrinti šio aukšto apsaugos lygio tęstinumą, kai asmens duomenys perduodami į trečiąją valstybę</w:t>
      </w:r>
      <w:r w:rsidRPr="00EE5FF0">
        <w:rPr>
          <w:rStyle w:val="FootnoteReference"/>
        </w:rPr>
        <w:footnoteReference w:id="3"/>
      </w:r>
      <w:r w:rsidRPr="00EE5FF0">
        <w:t>;</w:t>
      </w:r>
    </w:p>
    <w:p w14:paraId="217460B5" w14:textId="1B3A5723" w:rsidR="00EB7ED2" w:rsidRPr="00EE5FF0" w:rsidRDefault="00EB7ED2" w:rsidP="00EB7ED2">
      <w:pPr>
        <w:pStyle w:val="Considrant"/>
      </w:pPr>
      <w:r w:rsidRPr="00EE5FF0">
        <w:t>pagal Reglamento (ES) 2016/679 46 straipsnio 1 dalį, jei nėra Komisijos sprendimo dėl tinkamumo pagal 45 straipsnio 3 dalį, duomenų valdytojas arba duomenų tvarkytojas gali perduoti asmens duomenis į trečiąją valstybę tik tuo atveju, jei jis yra nustatęs tinkamas apsaugos priemones, su sąlyga, kad suteikiama galimybė naudotis vykdytinomis duomenų subjektų teisėmis ir veiksmingomis duomenų subjektų teisių gynimo priemonėmis. Tokios apsaugos priemonės gali būti nustatytos standartinėse duomenų apsaugos sąlygose, kurias Komisija priima pagal 46 straipsnio 2 dalies c punktą;</w:t>
      </w:r>
    </w:p>
    <w:p w14:paraId="08AED2DA" w14:textId="753633F8" w:rsidR="00EB7ED2" w:rsidRPr="00EE5FF0" w:rsidRDefault="00EB7ED2" w:rsidP="00EB7ED2">
      <w:pPr>
        <w:pStyle w:val="Considrant"/>
      </w:pPr>
      <w:r w:rsidRPr="00EE5FF0">
        <w:t xml:space="preserve">standartinėmis sutarčių sąlygomis tik užtikrinamos tinkamos tarptautinio duomenų perdavimo duomenų apsaugos priemonės. Todėl duomenų valdytojas arba duomenų tvarkytojas, perduodantis asmens duomenis į trečiąją valstybę (toliau – duomenų eksportuotojas), ir duomenų valdytojas arba duomenų tvarkytojas, gaunantis asmens duomenis (toliau – duomenų importuotojas), gali nevaržomai įtraukti tas standartines sutarčių sąlygas į platesnę sutartį ir įtraukti kitas sąlygas arba papildomas apsaugos priemones, jei jos tiesiogiai ar netiesiogiai neprieštarauja standartinėms sutarčių </w:t>
      </w:r>
      <w:r w:rsidRPr="00EE5FF0">
        <w:lastRenderedPageBreak/>
        <w:t>sąlygoms arba nepažeidžia duomenų subjektų pagrindinių teisių ar laisvių. Duomenų valdytojai ir duomenų tvarkytojai skatinami taikyti dar griežtesnes apsaugos priemones numatant sutartinius įsipareigojimus, papildančius standartines sutarčių sąlygas</w:t>
      </w:r>
      <w:r w:rsidRPr="00EE5FF0">
        <w:rPr>
          <w:rStyle w:val="FootnoteReference"/>
        </w:rPr>
        <w:footnoteReference w:id="4"/>
      </w:r>
      <w:r w:rsidRPr="00EE5FF0">
        <w:t>. Standartinėmis sutarčių sąlygomis nedaromas poveikis duomenų eksportuotojo ir (arba) importuotojo sutartinėms prievolėms užtikrinti, kad būtų paisoma taikytinų privilegijų ir imunitetų;</w:t>
      </w:r>
    </w:p>
    <w:p w14:paraId="35DBB988" w14:textId="6EBE9457" w:rsidR="00EB7ED2" w:rsidRPr="00EE5FF0" w:rsidRDefault="00EB7ED2" w:rsidP="00EB7ED2">
      <w:pPr>
        <w:pStyle w:val="Considrant"/>
      </w:pPr>
      <w:r w:rsidRPr="00EE5FF0">
        <w:t>duomenų eksportuotojas turi ne tik taikyti standartinės sutarčių sąlygas, kad užtikrintų tinkamas duomenų perdavimo apsaugos priemones pagal Reglamento (ES) 2016/679 46 straipsnio 1 dalį, bet ir vykdyti savo, kaip duomenų valdytojo ar duomenų tvarkytojo, bendrąsias pareigas pagal Reglamentą (ES) 2016/679. Tos pareigos apima duomenų valdytojo pareigą pateikti duomenų subjektams informaciją apie tai, kad jis ketina perduoti jų asmens duomenis į trečiąją valstybę, arba pagal Reglamento (ES) 2016/679 13 straipsnio 1 dalies f punktą ir 14 straipsnio 1 dalies f punktą. Kai duomenys perduodami pagal Reglamento (ES) 2016/679 46 straipsnį, į tokią informaciją turi būti įtraukta nuoroda į atitinkamas apsaugos priemones ir būdus, kaip gauti jų kopiją, arba informacija, kur suteikiama galimybė su jomis susipažinti;</w:t>
      </w:r>
    </w:p>
    <w:p w14:paraId="4969630F" w14:textId="0B18A3BC" w:rsidR="00EB7ED2" w:rsidRPr="00EE5FF0" w:rsidRDefault="00EB7ED2" w:rsidP="00EB7ED2">
      <w:pPr>
        <w:pStyle w:val="Considrant"/>
      </w:pPr>
      <w:r w:rsidRPr="00EE5FF0">
        <w:t>Komisijos sprendimuose 2001/497/EB</w:t>
      </w:r>
      <w:r w:rsidRPr="00EE5FF0">
        <w:rPr>
          <w:rStyle w:val="FootnoteReference"/>
        </w:rPr>
        <w:footnoteReference w:id="5"/>
      </w:r>
      <w:r w:rsidRPr="00EE5FF0">
        <w:t xml:space="preserve"> ir 2010/87/ES</w:t>
      </w:r>
      <w:r w:rsidRPr="00EE5FF0">
        <w:rPr>
          <w:rStyle w:val="FootnoteReference"/>
        </w:rPr>
        <w:footnoteReference w:id="6"/>
      </w:r>
      <w:r w:rsidRPr="00EE5FF0">
        <w:t xml:space="preserve"> nustatytos standartinės sutarčių sąlygos, siekiant sudaryti palankesnes sąlygas perduodant asmens duomenis iš Sąjungoje įsisteigusio duomenų valdytojo duomenų valdytojui arba duomenų tvarkytojui, įsisteigusiam trečiojoje valstybėje, kuri neužtikrina tinkamo apsaugos lygio. Šie sprendimai buvo grindžiami Europos Parlamento ir Tarybos direktyva 95/46/EB</w:t>
      </w:r>
      <w:r w:rsidRPr="00EE5FF0">
        <w:rPr>
          <w:rStyle w:val="FootnoteReference"/>
        </w:rPr>
        <w:footnoteReference w:id="7"/>
      </w:r>
      <w:r w:rsidRPr="00EE5FF0">
        <w:t>;</w:t>
      </w:r>
    </w:p>
    <w:p w14:paraId="6B0A0951" w14:textId="6C1C3DFB" w:rsidR="00EB7ED2" w:rsidRPr="00EE5FF0" w:rsidRDefault="00EB7ED2" w:rsidP="00EB7ED2">
      <w:pPr>
        <w:pStyle w:val="Considrant"/>
      </w:pPr>
      <w:r w:rsidRPr="00EE5FF0">
        <w:t>pagal Reglamento (ES) 2016/679 46 straipsnio 5 dalį Sprendimas 2001/497/EB ir Sprendimas 2010/87/ES lieka galioti tol, kol Komisijos sprendimu, priimtu pagal to reglamento 46 straipsnio 2 dalį, jie bus prireikus iš dalies pakeisti, pakeisti naujais sprendimais arba panaikinti. Sprendimuose nustatytas standartines sutarčių sąlygas reikėjo atnaujinti atsižvelgiant į naujus Reglamento (ES) 2016/679 reikalavimus. Be to, nuo šių sprendimų priėmimo skaitmeninėje ekonomikoje įvyko svarbių pokyčių: plačiai paplito naujos ir sudėtingesnės duomenų tvarkymo operacijos, dažnai apimančios daug duomenų importuotojų ir eksportuotojų, ilgos ir sudėtingos duomenų tvarkymo grandinės ir besikeičiantys verslo santykiai. Dėl to reikia modernizuoti standartines sutarčių sąlygas, kad jos geriau atspindėtų šias realijas, įtraukiant papildomus duomenų tvarkymo ir perdavimo atvejus, ir taikyti lankstesnį požiūrį, pavyzdžiui, dėl šalių, galinčių prisijungti prie sutarties, skaičiaus;</w:t>
      </w:r>
    </w:p>
    <w:p w14:paraId="33EBD438" w14:textId="031AEAEC" w:rsidR="00D20CB6" w:rsidRPr="00EE5FF0" w:rsidRDefault="0047771C" w:rsidP="00C36A89">
      <w:pPr>
        <w:pStyle w:val="Considrant"/>
      </w:pPr>
      <w:r w:rsidRPr="00EE5FF0">
        <w:t xml:space="preserve">duomenų valdytojas arba duomenų tvarkytojas gali naudoti šio sprendimo priede išdėstytas standartines sutarčių sąlygas, kad užtikrintų tinkamas apsaugos priemones pagal Reglamento (ES) 2016/679 46 straipsnio 1 dalį, perduodant asmens duomenis trečiojoje valstybėje įsisteigusiam duomenų tvarkytojui arba duomenų valdytojui, nedarant poveikio tarptautinio perdavimo sąvokos aiškinimui Reglamente (ES) 2016/679. Standartinės sutarčių sąlygos gali būti naudojamos tokiam perdavimui tik </w:t>
      </w:r>
      <w:r w:rsidRPr="00EE5FF0">
        <w:lastRenderedPageBreak/>
        <w:t xml:space="preserve">tiek, kiek importuotojo atliekamas duomenų tvarkymas nepatenka į Reglamento (ES) 2016/679 taikymo sritį. Tai taip pat apima duomenų valdytojo arba duomenų tvarkytojo, kuris nėra įsisteigęs Sąjungoje, vykdomą asmens duomenų perdavimą, jei duomenų tvarkymui taikomas Reglamentas (ES) 2016/679 pagal jo 3 straipsnio 2 dalį, nes jis susijęs su prekių ar paslaugų siūlymu duomenų subjektams Sąjungoje arba jų veiksmų stebėsena, jei jie atliekami Sąjungoje; </w:t>
      </w:r>
    </w:p>
    <w:p w14:paraId="58638138" w14:textId="67BE8AA0" w:rsidR="00EB7ED2" w:rsidRPr="00EE5FF0" w:rsidRDefault="000C1C57" w:rsidP="00E74673">
      <w:pPr>
        <w:pStyle w:val="Considrant"/>
        <w:numPr>
          <w:ilvl w:val="0"/>
          <w:numId w:val="12"/>
        </w:numPr>
      </w:pPr>
      <w:r w:rsidRPr="00EE5FF0">
        <w:t>atsižvelgiant į bendrą Reglamento (ES) 2016/679 ir Europos Parlamento ir Tarybos reglamento (ES) 2018/1725</w:t>
      </w:r>
      <w:r w:rsidRPr="00EE5FF0">
        <w:rPr>
          <w:rStyle w:val="FootnoteReference"/>
        </w:rPr>
        <w:footnoteReference w:id="8"/>
      </w:r>
      <w:r w:rsidRPr="00EE5FF0">
        <w:t xml:space="preserve"> suderinimą, duomenų tvarkytojas, kuris nėra Sąjungos institucija ar įstaiga, tačiau kuriam yra privalomas Reglamentas (ES) 2016/679 ir kuris tvarko asmens duomenis Sąjungos institucijos ar įstaigos vardu pagal Reglamento (ES) 2018/1725 29 straipsnį, sudarydamas Reglamento (ES) 2018/1725 29 straipsnio 4 dalyje nurodytą sutartį dėl asmens duomenų perdavimo pagalbiniam duomenų tvarkytojui trečiojoje valstybėje, taip pat turėtų turėti galimybę naudoti standartines sutarčių sąlygas. Jei sutartyje bus atspindimos tos pačios duomenų apsaugos prievolės, kurios nustatytos duomenų valdytojo ir duomenų tvarkytojo sutartyje ar kitame teisės akte pagal Reglamento (ES) 2018/1725 29 straipsnio 3 dalį, visų pirma numatant pakankamas garantijas dėl techninių ir organizacinių priemonių, kuriomis užtikrinama, kad duomenų tvarkymas atitiktų to reglamento reikalavimus, tai užtikrins atitiktį Reglamento (ES) 2018/1725 29 straipsnio 4 daliai. Visų pirma tai bus tuo atveju, kai duomenų valdytojas ir duomenų tvarkytojas standartinėms sutarčių sąlygoms, taikomoms duomenų perdavimui tarp duomenų valdytojų ir duomenų tvarkytojų pagal Europos Parlamento ir Tarybos reglamento (ES) 2016/679 28 straipsnio 7 dalį ir Europos Parlamento ir Tarybos reglamento (ES) 2018/1725</w:t>
      </w:r>
      <w:r w:rsidRPr="00EE5FF0">
        <w:rPr>
          <w:rStyle w:val="FootnoteReference"/>
        </w:rPr>
        <w:footnoteReference w:id="9"/>
      </w:r>
      <w:r w:rsidRPr="00EE5FF0">
        <w:t xml:space="preserve"> 29 straipsnio 7 dalį, taiko Komisijos įgyvendinimo sprendime nustatytas standartines sutarčių sąlygas.</w:t>
      </w:r>
    </w:p>
    <w:p w14:paraId="7C611A21" w14:textId="33B99914" w:rsidR="00EB7ED2" w:rsidRPr="00EE5FF0" w:rsidRDefault="00EB7ED2" w:rsidP="00EB7ED2">
      <w:pPr>
        <w:pStyle w:val="Considrant"/>
      </w:pPr>
      <w:r w:rsidRPr="00EE5FF0">
        <w:t>kai tvarkant duomenis duomenų valdytojai, kuriems taikomas Reglamentas (ES) 2016/679, perduoda duomenis duomenų tvarkytojams, nepatenkantiems į jo teritorinę taikymo sritį, arba duomenų tvarkytojai, kuriems taikomas Reglamentas (ES) 2016/679, perduoda duomenis pagalbiniams duomenų tvarkytojams, nepatenkantiems į jo teritorinę taikymo sritį, šio sprendimo priede išdėstytomis standartinėmis sutarčių sąlygomis taip pat turėtų būti galima įvykdyti Reglamento (ES) 2016/679 28 straipsnio 3 ir 4 dalių reikalavimus;</w:t>
      </w:r>
    </w:p>
    <w:p w14:paraId="34346D8F" w14:textId="64503FB9" w:rsidR="00EB7ED2" w:rsidRPr="00EE5FF0" w:rsidRDefault="00EB7ED2" w:rsidP="00EB7ED2">
      <w:pPr>
        <w:pStyle w:val="Considrant"/>
      </w:pPr>
      <w:r w:rsidRPr="00EE5FF0">
        <w:t>šio sprendimo priede išdėstytose standartinėse sutarčių sąlygose bendrosios sąlygos derinamos su moduliniu požiūriu, kad būtų atsižvelgta į įvairius perdavimo scenarijus ir šiuolaikinių duomenų tvarkymo grandinių sudėtingumą. Be bendrųjų sąlygų, duomenų valdytojai ir duomenų tvarkytojai turėtų pasirinkti jų atvejui taikytiną modulį, kad pritaikytų savo prievoles pagal standartines sutarčių sąlygas pagal savo vaidmenį ir atsakomybę, kurie susiję su atitinkamu duomenų tvarkymu. Turėtų būti galimybė standartinių sutarčių sąlygų laikytis daugiau nei dviem šalims. Be to, papildomiems duomenų valdytojams ir duomenų tvarkytojams turėtų būti leidžiama prisijungti prie standartinių sutarčių sąlygų kaip duomenų eksportuotojams ar importuotojams per visą sutarties, kurios dalis jos yra, gyvavimo ciklą;</w:t>
      </w:r>
    </w:p>
    <w:p w14:paraId="5A5BCD4E" w14:textId="4AA774DE" w:rsidR="00EB7ED2" w:rsidRPr="00EE5FF0" w:rsidRDefault="00EB7ED2" w:rsidP="00BD7CD0">
      <w:pPr>
        <w:pStyle w:val="Considrant"/>
      </w:pPr>
      <w:r w:rsidRPr="00EE5FF0">
        <w:t>siekiant užtikrinti tinkamas apsaugos priemones, standartinėmis sutarčių sąlygomis turėtų būti užtikrinta, kad tuo pagrindu perduodamiems asmens duomenims būtų suteikiamas iš esmės lygiavertis apsaugos lygis, koks garantuojamas Sąjungoje</w:t>
      </w:r>
      <w:r w:rsidRPr="00EE5FF0">
        <w:rPr>
          <w:rStyle w:val="FootnoteReference"/>
        </w:rPr>
        <w:footnoteReference w:id="10"/>
      </w:r>
      <w:r w:rsidRPr="00EE5FF0">
        <w:t>. Siekiant užtikrinti duomenų tvarkymo skaidrumą, duomenų subjektams turėtų būti pateikta standartinių sutarčių sąlygų kopija ir jie turėtų būti informuojami, visų pirma, apie tvarkomų asmens duomenų kategorijas, teisę gauti standartinių sutarčių sąlygų kopiją ir bet kokį tolesnį duomenų perdavimą. Duomenų importuotojui turėtų būti leidžiama toliau perduoti duomenis trečiajai šaliai kitoje trečiojoje valstybėje tik tuo atveju, jei trečioji šalis prisijungia prie standartinių sutarčių sąlygų, jei apsaugos tęstinumas užtikrinamas kitaip, arba konkrečiais atvejais, pavyzdžiui, remiantis aiškiu informuoto duomenų subjekto sutikimu;</w:t>
      </w:r>
    </w:p>
    <w:p w14:paraId="0EE018AF" w14:textId="6777D2A3" w:rsidR="00EB7ED2" w:rsidRPr="00EE5FF0" w:rsidRDefault="00EB7ED2" w:rsidP="00EB7ED2">
      <w:pPr>
        <w:pStyle w:val="Considrant"/>
      </w:pPr>
      <w:r w:rsidRPr="00EE5FF0">
        <w:t>su kai kuriomis išimtimis, visų pirma susijusiomis su tam tikromis prievolėmis, kurios išimtinai susijusios su duomenų eksportuotojo ir duomenų importuotojo santykiais, duomenų subjektams turėtų būti suteikta galimybė remtis standartinėmis sutarčių sąlygomis ir, prireikus, užtikrinti jų vykdymą kaip trečiosioms šalims naudos gavėjoms. Todėl, nors šalims turėtų būti leidžiama pasirinkti vienos iš valstybių narių teisę, kuri būtų taikoma standartinėms sutarčių sąlygoms, tokioje teisėje turi būti numatytos trečiosios šalies naudos gavėjos teisės. Siekiant sudaryti palankesnes sąlygas individualiam teisių gynimui, standartinėse sutarčių sąlygose turėtų būti reikalaujama, kad duomenų importuotojas informuotų duomenų subjektus apie kontaktinį asmenį ir nedelsdamas išnagrinėtų bet kokius skundus ar prašymus. Kilus duomenų importuotojo ir duomenų subjekto, kuris remiasi savo, kaip trečiosios šalies naudos gavėjos, teisėmis, ginčui, duomenų subjektas turėtų turėti galimybę pateikti skundą kompetentingai priežiūros institucijai arba perduoti ginčą nagrinėti kompetentingiems ES teismams;</w:t>
      </w:r>
    </w:p>
    <w:p w14:paraId="461FA1E7" w14:textId="6F22FFED" w:rsidR="00EB7ED2" w:rsidRPr="00EE5FF0" w:rsidRDefault="00EB7ED2" w:rsidP="00EB7ED2">
      <w:pPr>
        <w:pStyle w:val="Considrant"/>
      </w:pPr>
      <w:r w:rsidRPr="00EE5FF0">
        <w:t>siekiant užtikrinti veiksmingą vykdymą, turėtų būti reikalaujama, kad duomenų importuotojas paklustų tokios institucijos ir teismų jurisdikcijai ir įsipareigotų laikytis bet kokio privalomo sprendimo pagal taikomą valstybės narės teisę. Visų pirma, duomenų importuotojas turėtų sutikti atsakyti į užklausas, leisti atlikti auditą ir laikytis priežiūros institucijos priimtų priemonių, įskaitant taisomąsias ir kompensacines priemones. Be to, duomenų importuotojas turėtų turėti galimybę pasiūlyti duomenų subjektams galimybę ginti savo teises nemokamai kreipiantis į nepriklausomą ginčų sprendimo instituciją. Pagal Reglamento (ES) 2016/679 80 straipsnio 1 dalį turėtų būti leidžiama, kad kilus ginčams su duomenų importuotoju duomenų subjektams atstovautų asociacijos ar kitos įstaigos, jei jie to pageidauja;</w:t>
      </w:r>
    </w:p>
    <w:p w14:paraId="4692FAD3" w14:textId="0949E3EF" w:rsidR="00EB7ED2" w:rsidRPr="00EE5FF0" w:rsidRDefault="00EB7ED2" w:rsidP="00EB7ED2">
      <w:pPr>
        <w:pStyle w:val="Considrant"/>
      </w:pPr>
      <w:r w:rsidRPr="00EE5FF0">
        <w:t>standartinėse sutarčių sąlygose turėtų būti numatytos taisyklės dėl šalių tarpusavio atsakomybės ir atsakomybės duomenų subjektų atžvilgiu ir taisyklės dėl šalių tarpusavio žalos atlyginimo. Jei duomenų subjektas patiria turtinę ar neturtinę žalą dėl bet kokio trečiosios šalies naudos gavėjos teisių pagal standartines sutarčių sąlygas pažeidimo, jis turėtų turėti teisę gauti kompensaciją. Tai neturėtų daryti poveikio jokiai atsakomybei pagal Reglamentą (ES) 2016/679;</w:t>
      </w:r>
    </w:p>
    <w:p w14:paraId="0FAD5DAD" w14:textId="48999BE6" w:rsidR="00EB7ED2" w:rsidRPr="00EE5FF0" w:rsidRDefault="00EB7ED2" w:rsidP="00EB7ED2">
      <w:pPr>
        <w:pStyle w:val="Considrant"/>
      </w:pPr>
      <w:r w:rsidRPr="00EE5FF0">
        <w:t>jei duomenys perduodami duomenų importuotojui, kuris veikia kaip duomenų tvarkytojas arba pagalbinis duomenų tvarkytojas, turėtų būti taikomi specialūs reikalavimai pagal Reglamento (ES) 2016/679 28 straipsnio 3 dalį. Standartinėse sutarčių sąlygose turėtų būti reikalaujama, kad duomenų importuotojas pateiktų visą informaciją, būtiną įrodyti, kad vykdomos sąlygose nustatytos prievolės, ir sudarytų sąlygas bei padėtų duomenų eksportuotojui atlikti jo duomenų tvarkymo veiklos auditą. Duomenų importuotojui pasitelkiant bet kokį pagalbinį duomenų tvarkytoją, kaip nustatyta Reglamento (ES) 2016/679 28 straipsnio 2 ir 4 dalyse, standartinėse sutarčių sąlygose visų pirma turėtų būti nustatyta duomenų eksportuotojo bendro arba konkretaus leidimo procedūra ir reikalavimas sudaryti rašytinę sutartį su pagalbiniu duomenų tvarkytoju, kuria būtų užtikrinamas toks pat apsaugos lygis, kaip ir pagal sąlygas;</w:t>
      </w:r>
    </w:p>
    <w:p w14:paraId="08EF7457" w14:textId="77B49352" w:rsidR="00EB7ED2" w:rsidRPr="00EE5FF0" w:rsidRDefault="00EB7ED2" w:rsidP="00EB7ED2">
      <w:pPr>
        <w:pStyle w:val="Considrant"/>
      </w:pPr>
      <w:r w:rsidRPr="00EE5FF0">
        <w:t>standartinėse sutarčių sąlygose tikslinga numatyti skirtingas apsaugos priemones, kurios būtų taikomos konkrečiu atveju, kai duomenų tvarkytojas Sąjungoje perduoda asmens duomenis savo duomenų valdytojui trečiojoje valstybėje, ir atspindėtų ribotas savarankiškas duomenų tvarkytojų prievoles pagal Reglamentą (ES) 2016/679. Visų pirma, standartinėse sutarčių sąlygose turėtų būti reikalaujama, kad duomenų tvarkytojas informuotų duomenų valdytoją, jei jis negali laikytis jo nurodymų, įskaitant atvejus, kai tokiais nurodymais pažeidžiama Sąjungos duomenų apsaugos teisė, ir kad duomenų valdytojas nesiimtų jokių veiksmų, kurie trukdytų duomenų tvarkytojui vykdyti savo prievoles pagal Reglamentą (ES) 2016/679. Jose taip pat turėtų būti reikalaujama, kad šalys padėtų viena kitai atsakyti į duomenų subjektų užklausas ir prašymus pagal duomenų importuotojui taikomą vietos teisę arba, duomenų tvarkymo Sąjungoje atveju, pagal Reglamentą (ES) 2016/679. Papildomi reikalavimai, susiję su paskirties trečiosios valstybės teisės aktų poveikiu duomenų valdytojui laikantis sąlygų, visų pirma, kaip elgtis gavus privalomus trečiosios valstybės valdžios institucijų prašymus atskleisti perduotus asmens duomenis, turėtų būti taikomi tais atvejais, kai Sąjungos duomenų tvarkytojas derina iš duomenų valdytojo trečiojoje valstybėje gautus asmens duomenis su Sąjungoje duomenų tvarkytojo surinktais asmens duomenimis. Priešingai, tokie reikalavimai nėra pagrįsti, kai užsakomosios paslaugos apima tik iš duomenų valdytojo gautų asmens duomenų tvarkymą ir jų perdavimą atgal, nes jie bet kuriuo atveju priklauso ir priklausys atitinkamos trečiosios valstybės jurisdikcijai;</w:t>
      </w:r>
    </w:p>
    <w:p w14:paraId="654EF3D0" w14:textId="33F86CB7" w:rsidR="00EB7ED2" w:rsidRPr="00EE5FF0" w:rsidRDefault="00EB7ED2" w:rsidP="00EB7ED2">
      <w:pPr>
        <w:pStyle w:val="Considrant"/>
      </w:pPr>
      <w:r w:rsidRPr="00EE5FF0">
        <w:t xml:space="preserve">šalys turėtų sugebėti įrodyti, kad laikosi standartinių sutarčių sąlygų. Visų pirma turėtų būti reikalaujama, kad duomenų importuotojas saugotų atitinkamus duomenų tvarkymo veiklos, už kurią jis atsako, dokumentus ir nedelsdamas informuotų duomenų eksportuotoją, jei dėl kokių nors priežasčių negali laikytis šių sąlygų. Savo ruožtu duomenų eksportuotojas turėtų sustabdyti duomenų perdavimą, o ypač rimtais atvejais turėtų turėti teisę nutraukti sutartį, kiek ji susijusi su asmens duomenų tvarkymu pagal standartines sutarčių sąlygas, jei duomenų importuotojas pažeidžia šias sąlygas arba negali jų laikytis. Specialios taisyklės turėtų būti taikomos tais atvejais, kai vietos teisės aktai turi įtakos sąlygų laikymuisi. Asmens duomenys, kurie buvo perduoti iki sutarties nutraukimo, ir visos jų kopijos duomenų eksportuotojo pasirinkimu turėtų būti grąžinti duomenų eksportuotojui arba visiškai sunaikinti; </w:t>
      </w:r>
    </w:p>
    <w:p w14:paraId="20EC53F9" w14:textId="6A2B7387" w:rsidR="00EB7ED2" w:rsidRPr="00EE5FF0" w:rsidRDefault="00EB7ED2" w:rsidP="00EB7ED2">
      <w:pPr>
        <w:pStyle w:val="Considrant"/>
      </w:pPr>
      <w:r w:rsidRPr="00EE5FF0">
        <w:t>standartinėse sutarčių sąlygose turėtų būti numatytos konkrečios apsaugos priemonės, visų pirma atsižvelgiant į Teisingumo Teismo praktiką</w:t>
      </w:r>
      <w:r w:rsidRPr="00EE5FF0">
        <w:rPr>
          <w:rStyle w:val="FootnoteReference"/>
        </w:rPr>
        <w:footnoteReference w:id="11"/>
      </w:r>
      <w:r w:rsidRPr="00EE5FF0">
        <w:t>, susijusios su paskirties trečiosios valstybės teisės aktų poveikiu duomenų importuotojui laikantis sąlygų, visų pirma, kaip elgtis gavus privalomus tos valstybės valdžios institucijų prašymus atskleisti perduotus asmens duomenis;</w:t>
      </w:r>
    </w:p>
    <w:p w14:paraId="255E3008" w14:textId="13B19320" w:rsidR="00EB7ED2" w:rsidRPr="00EE5FF0" w:rsidRDefault="00EB7ED2" w:rsidP="00EB7ED2">
      <w:pPr>
        <w:pStyle w:val="Considrant"/>
      </w:pPr>
      <w:r w:rsidRPr="00EE5FF0">
        <w:t>asmens duomenys neturėtų būti perduodami ir tvarkomi pagal standartines sutarčių sąlygas, jei paskirties trečiosios valstybės teisės aktai ir praktika neleidžia duomenų importuotojui laikytis šių sąlygų. Šiuo atžvilgiu neturėtų būti laikoma, kad teisės aktai ir praktika, kuriais paisoma pagrindinių teisių ir laisvių esmės ir kuriais neviršijama tai, kas būtina ir proporcinga demokratinėje visuomenėje siekiant apsaugoti vieną iš Reglamento (ES) 2016/679 23 straipsnio 1 dalyje išvardytų tikslų, prieštarauja standartinėms sutarčių sąlygoms. Šalys turėtų garantuoti, kad susitardamos dėl standartinių sutarčių sąlygų jos neturi pagrindo manyti, jog duomenų importuotojui taikomi teisės aktai ir praktika neatitinka šių reikalavimų;</w:t>
      </w:r>
    </w:p>
    <w:p w14:paraId="29655BB4" w14:textId="55B8C78F" w:rsidR="00EB7ED2" w:rsidRPr="00EE5FF0" w:rsidRDefault="00EB7ED2" w:rsidP="00724557">
      <w:pPr>
        <w:pStyle w:val="Considrant"/>
      </w:pPr>
      <w:r w:rsidRPr="00EE5FF0">
        <w:t>šalys visų pirma turėtų atsižvelgti į konkrečias duomenų perdavimo aplinkybes (pavyzdžiui, sutarties turinį ir trukmę, perduodamų duomenų pobūdį, gavėjo rūšį, duomenų tvarkymo tikslą), paskirties trečiosios valstybės teisės aktus ir praktiką, kurie yra svarbūs atsižvelgiant į duomenų perdavimo aplinkybes, ir į visas apsaugos priemones, taikomas siekiant papildyti standartinėse sutarčių sąlygose numatytas apsaugos priemones (įskaitant atitinkamas sutartines, technines ir organizacines priemones, taikomas asmens duomenis perduodant ir juos tvarkant paskirties valstybėje). Dėl tokių teisės aktų ir praktikos poveikio standartinių sutarčių sąlygų laikymuisi, atliekant bendrą vertinimą galima atsižvelgti į įvairius elementus, įskaitant patikimą informaciją apie teisės aktų taikymą praktikoje (pavyzdžiui, teismų praktiką ir nepriklausomų priežiūros institucijų ataskaitas), prašymų tame pačiame sektoriuje buvimą arba nebuvimą ir, esant griežtoms sąlygoms, dokumentais pagrįstą duomenų eksportuotojo ir (arba) duomenų importuotojo praktinę patirtį;</w:t>
      </w:r>
    </w:p>
    <w:p w14:paraId="307BD618" w14:textId="71476955" w:rsidR="00EB7ED2" w:rsidRPr="00EE5FF0" w:rsidRDefault="00EB7ED2" w:rsidP="00EB7ED2">
      <w:pPr>
        <w:pStyle w:val="Considrant"/>
      </w:pPr>
      <w:r w:rsidRPr="00EE5FF0">
        <w:t>sutikęs laikytis standartinių sutarčių sąlygų, duomenų importuotojas turėtų pranešti duomenų eksportuotojui, jei turi pagrindo manyti, kad negali laikytis standartinių sutarčių sąlygų. Jei duomenų eksportuotojas gauna tokį pranešimą arba kitaip sužino, kad duomenų importuotojas nebegali laikytis standartinių sutarčių sąlygų, jis turėtų nustatyti tinkamas priemones padėčiai spręsti, prireikus pasikonsultavęs su kompetentinga priežiūros institucija. Tokios priemonės gali apimti duomenų eksportuotojo ir (arba) duomenų importuotojo priimtas papildomas priemones, pavyzdžiui, technines ar organizacines priemones saugumui ir konfidencialumui užtikrinti. Turėtų būti reikalaujama, kad duomenų eksportuotojas sustabdytų duomenų perdavimą, jei mano, kad negalima užtikrinti tinkamų apsaugos priemonių, arba jei tai nurodo kompetentinga priežiūros institucija;</w:t>
      </w:r>
    </w:p>
    <w:p w14:paraId="19D1180F" w14:textId="66201CDA" w:rsidR="00EB7ED2" w:rsidRPr="00EE5FF0" w:rsidRDefault="00157877" w:rsidP="00EB7ED2">
      <w:pPr>
        <w:pStyle w:val="Considrant"/>
      </w:pPr>
      <w:r w:rsidRPr="00EE5FF0">
        <w:t>jei įmanoma, duomenų importuotojas turėtų pranešti duomenų eksportuotojui ir duomenų subjektui, jei gauna teisiškai privalomą valdžios (įskaitant teisminę) institucijos prašymą pagal paskirties valstybės teisę atskleisti pagal standartines sutarčių sąlygas perduotus asmens duomenis. Jis analogiškai turėtų jiems pranešti, jei sužino apie bet kokią tiesioginę valdžios institucijų prieigą prie tokių asmens duomenų pagal trečiosios paskirties valstybės teisę. Jei, nepaisant visų pastangų, duomenų importuotojas negali pranešti duomenų eksportuotojui ir (arba) duomenų subjektui apie konkrečius prašymus atskleisti informaciją, jis turėtų pateikti duomenų eksportuotojui kuo daugiau svarbios informacijos apie prašymus. Be to, duomenų importuotojas turėtų reguliariai teikti apibendrintą informaciją duomenų eksportuotojui. Taip pat turėtų būti reikalaujama, kad duomenų importuotojas dokumentais įformintų visus gautus prašymus atskleisti informaciją ir pateiktus atsakymus ir, gavęs prašymą, šią informaciją pateiktų duomenų eksportuotojui arba kompetentingai priežiūros institucijai, arba abiem. Jei, įvertinęs tokio prašymo teisėtumą pagal paskirties valstybės įstatymus, duomenų importuotojas prieina prie išvados, kad yra pagrindo manyti, jog prašymas yra neteisėtas pagal paskirties trečiosios valstybės teisės aktus, jis turėtų jį užginčyti, be kita ko, prireikus, pasinaudodamas esamomis galimybėmis jį apskųsti. Bet kuriuo atveju, jei duomenų importuotojas nebegali laikytis standartinių sutarčių sąlygų, jis turėtų apie tai atitinkamai informuoti duomenų eksportuotoją, įskaitant atvejus, kai tai yra prašymo atskleisti informaciją pasekmė;</w:t>
      </w:r>
    </w:p>
    <w:p w14:paraId="0594B9EA" w14:textId="78FFB647" w:rsidR="00EB7ED2" w:rsidRPr="00EE5FF0" w:rsidRDefault="00EB7ED2" w:rsidP="00EB7ED2">
      <w:pPr>
        <w:pStyle w:val="Considrant"/>
      </w:pPr>
      <w:r w:rsidRPr="00EE5FF0">
        <w:t>kadangi suinteresuotųjų subjektų poreikiai, technologijos ir duomenų tvarkymo operacijos gali keistis, Komisija turėtų įvertinti standartinių sutarčių sąlygų taikymą atsižvelgdama į patirtį, kai atlieka to reglamento 97 straipsnyje nurodytą periodinį Reglamento (ES) 2016/679 vertinimą;</w:t>
      </w:r>
    </w:p>
    <w:p w14:paraId="7916ED6D" w14:textId="04F50EA7" w:rsidR="00D67F28" w:rsidRPr="00EE5FF0" w:rsidRDefault="00EB7ED2" w:rsidP="008521FA">
      <w:pPr>
        <w:pStyle w:val="Considrant"/>
      </w:pPr>
      <w:r w:rsidRPr="00EE5FF0">
        <w:t>Sprendimas 2001/497/EB ir Sprendimas 2010/87/ES turėtų būti panaikinti praėjus trims mėnesiams po šio sprendimo įsigaliojimo. Tuo laikotarpiu duomenų eksportuotojams ir duomenų importuotojams, taikant Reglamento (ES) 2016/679 46 straipsnio 1 dalį, turėtų būti toliau leidžiama naudotis standartinėmis sutarčių sąlygomis, nustatytomis Sprendimuose 2001/497/EB ir 2010/87/ES. Papildomą 15 mėnesių laikotarpį duomenų eksportuotojai ir duomenų importuotojai, taikant Reglamento (ES) 2016/679 46 straipsnio 1 dalį, turėtų turėti galimybę toliau remtis standartinėmis sutarčių sąlygomis, nustatytomis Sprendimuose 2001/497/EB ir 2010/87/ES, vykdydami sutartis, kurias jie sudarė iki tų sprendimų panaikinimo dienos, su sąlyga, kad duomenų tvarkymo operacijos, kurios yra sutarties objektas, nesikeičia, o rėmimasis šiomis išlygomis užtikrina, kad asmens duomenų perdavimui būtų taikomos tinkamos apsaugos priemonės pagal Reglamento (ES) 2016/679 46 straipsnio 1 dalį. Atitinkamų sutarties pakeitimų atveju turėtų būti reikalaujama, kad duomenų eksportuotojas remtųsi nauju duomenų perdavimo pagal sutartį pagrindu, visų pirma pakeisdamas esamas standartines sutarčių sąlygas šio sprendimo priede nustatytomis standartinėmis sutarčių sąlygomis. Tas pats turėtų būti taikoma ir tuo atveju, kai sutartyje numatytos duomenų tvarkymo operacijos pavedamos pagalbiniam duomenų tvarkytojui;</w:t>
      </w:r>
    </w:p>
    <w:p w14:paraId="48957417" w14:textId="7B67D10F" w:rsidR="00EB7ED2" w:rsidRPr="00EE5FF0" w:rsidRDefault="00EB7ED2" w:rsidP="00EB7ED2">
      <w:pPr>
        <w:pStyle w:val="Considrant"/>
      </w:pPr>
      <w:r w:rsidRPr="00EE5FF0">
        <w:t>pagal Reglamento (ES) 2018/1725 42 straipsnio 1 ir 2 dalis buvo konsultuojamasi su Europos duomenų apsaugos priežiūros pareigūnu ir Europos duomenų apsaugos valdyba, kurie 2021 m. sausio 14 d. pateikė bendrą nuomonę</w:t>
      </w:r>
      <w:r w:rsidRPr="00EE5FF0">
        <w:rPr>
          <w:rStyle w:val="FootnoteReference"/>
        </w:rPr>
        <w:footnoteReference w:id="12"/>
      </w:r>
      <w:r w:rsidRPr="00EE5FF0">
        <w:t>, į kurią buvo atsižvelgta rengiant šį sprendimą;</w:t>
      </w:r>
    </w:p>
    <w:p w14:paraId="289362C9" w14:textId="00811021" w:rsidR="00070205" w:rsidRPr="00EE5FF0" w:rsidRDefault="00EB7ED2" w:rsidP="00EB7ED2">
      <w:pPr>
        <w:pStyle w:val="Considrant"/>
      </w:pPr>
      <w:r w:rsidRPr="00EE5FF0">
        <w:t>šiame sprendime numatytos priemonės atitinka pagal Reglamento (ES) 2016/679 93 straipsnį įsteigto komiteto nuomonę,</w:t>
      </w:r>
    </w:p>
    <w:p w14:paraId="394176FC" w14:textId="483FDF94" w:rsidR="00070205" w:rsidRPr="00EE5FF0" w:rsidRDefault="00070205" w:rsidP="00C36A89">
      <w:pPr>
        <w:pStyle w:val="Formuledadoption"/>
      </w:pPr>
      <w:r w:rsidRPr="00EE5FF0">
        <w:t>PRIĖMĖ ŠĮ SPRENDIMĄ:</w:t>
      </w:r>
    </w:p>
    <w:p w14:paraId="1F7E83B5" w14:textId="77777777" w:rsidR="00070205" w:rsidRPr="00EE5FF0" w:rsidRDefault="00070205" w:rsidP="00C36A89">
      <w:pPr>
        <w:pStyle w:val="Titrearticle"/>
      </w:pPr>
      <w:r w:rsidRPr="00EE5FF0">
        <w:t>1 straipsnis</w:t>
      </w:r>
    </w:p>
    <w:p w14:paraId="538F6848" w14:textId="0507B179" w:rsidR="00BC3487" w:rsidRPr="00EE5FF0" w:rsidRDefault="00BC3487" w:rsidP="00C5435C">
      <w:pPr>
        <w:pStyle w:val="NumPar1"/>
        <w:numPr>
          <w:ilvl w:val="0"/>
          <w:numId w:val="2"/>
        </w:numPr>
        <w:ind w:left="567" w:hanging="567"/>
      </w:pPr>
      <w:r w:rsidRPr="00EE5FF0">
        <w:t>Priede išdėstytos standartinės sutarčių sąlygos laikomos tinkamomis apsaugos priemonėmis pagal Reglamento (ES) 2016/679 46 straipsnio 1 dalį ir 2 dalies c punktą, kai duomenų valdytojas arba duomenų tvarkytojas perduoda asmens duomenis, kurie tvarkomi pagal tą reglamentą, (duomenų eksportuotojas) duomenų valdytojui arba (pagalbiniam) duomenų tvarkytojui, kurio atliekamam duomenų tvarkymui netaikomas tas reglamentas (duomenų importuotojas).</w:t>
      </w:r>
    </w:p>
    <w:p w14:paraId="3FA06E78" w14:textId="55A2AE9E" w:rsidR="00070205" w:rsidRPr="00EE5FF0" w:rsidRDefault="00BC3487" w:rsidP="00C5435C">
      <w:pPr>
        <w:pStyle w:val="NumPar1"/>
        <w:ind w:left="567" w:hanging="567"/>
      </w:pPr>
      <w:r w:rsidRPr="00EE5FF0">
        <w:t>Standartinėse sutarčių sąlygose taip pat nustatomos duomenų valdytojų ir duomenų tvarkytojų teisės ir pareigos, susijusios su Reglamento (ES) 2016/679 28 straipsnio 3 ir 4 dalyse nurodytais klausimais, kai duomenų valdytojas perduoda asmens duomenis duomenų tvarkytojui arba duomenų tvarkytojas – pagalbiniam duomenų tvarkytojui.</w:t>
      </w:r>
    </w:p>
    <w:p w14:paraId="4CB1E645" w14:textId="651D7201" w:rsidR="00BC3487" w:rsidRPr="00EE5FF0" w:rsidRDefault="00BC3487" w:rsidP="00BC3487">
      <w:pPr>
        <w:pStyle w:val="Titrearticle"/>
      </w:pPr>
      <w:r w:rsidRPr="00EE5FF0">
        <w:t>2 straipsnis</w:t>
      </w:r>
    </w:p>
    <w:p w14:paraId="5FDBD622" w14:textId="4CF41F3F" w:rsidR="00BC3487" w:rsidRPr="00EE5FF0" w:rsidRDefault="007518A8" w:rsidP="00BC3487">
      <w:r w:rsidRPr="00EE5FF0">
        <w:t xml:space="preserve">Jei kompetentingos valstybės narės institucijos pasinaudoja įgaliojimais imtis taisomųjų veiksmų pagal Reglamento (ES) 2016/679 58 straipsnį reaguodamos į tai, kad duomenų importuotojui paskirties trečiojoje valstybėje taikomi arba pradedami taikyti teisės aktai ar praktika, dėl kurių jis negali laikytis priede nustatytų standartinių sutarčių sąlygų, ir dėl to sustabdomas arba uždraudžiamas duomenų perdavimas į trečiąsias valstybes, atitinkama valstybė narė nedelsdama informuoja Komisiją, kuri perduoda informaciją kitoms valstybėms narėms.  </w:t>
      </w:r>
    </w:p>
    <w:p w14:paraId="0FB2B3DE" w14:textId="35AB7CC9" w:rsidR="00BC3487" w:rsidRPr="00EE5FF0" w:rsidRDefault="00BC3487" w:rsidP="00BC3487">
      <w:pPr>
        <w:pStyle w:val="Titrearticle"/>
      </w:pPr>
      <w:r w:rsidRPr="00EE5FF0">
        <w:t>3 straipsnis</w:t>
      </w:r>
    </w:p>
    <w:p w14:paraId="55AAF322" w14:textId="034E1272" w:rsidR="00BC3487" w:rsidRPr="00EE5FF0" w:rsidRDefault="00BC3487" w:rsidP="00BC3487">
      <w:r w:rsidRPr="00EE5FF0">
        <w:t>Komisija, remdamasi visa turima informacija, įvertina priede išdėstytų standartinių sutarčių sąlygų praktinį taikymą atlikdama periodinį vertinimą, kuris numatytas Reglamento (ES) 2016/679 97 straipsnyje.</w:t>
      </w:r>
    </w:p>
    <w:p w14:paraId="1A3E54FE" w14:textId="0EDEFE7E" w:rsidR="00BC3487" w:rsidRPr="00EE5FF0" w:rsidRDefault="00BC3487" w:rsidP="00BC3487">
      <w:pPr>
        <w:pStyle w:val="Titrearticle"/>
      </w:pPr>
      <w:r w:rsidRPr="00EE5FF0">
        <w:t>4 straipsnis</w:t>
      </w:r>
    </w:p>
    <w:p w14:paraId="20379AF7" w14:textId="155192AA" w:rsidR="00961DA5" w:rsidRPr="00EE5FF0" w:rsidRDefault="00070205" w:rsidP="00C5435C">
      <w:pPr>
        <w:pStyle w:val="NumPar1"/>
        <w:numPr>
          <w:ilvl w:val="0"/>
          <w:numId w:val="4"/>
        </w:numPr>
      </w:pPr>
      <w:r w:rsidRPr="00EE5FF0">
        <w:t xml:space="preserve">Šis sprendimas įsigalioja dvidešimtą dieną po jo paskelbimo </w:t>
      </w:r>
      <w:r w:rsidRPr="00EE5FF0">
        <w:rPr>
          <w:i/>
        </w:rPr>
        <w:t>Europos Sąjungos oficialiajame leidinyje</w:t>
      </w:r>
      <w:r w:rsidRPr="00EE5FF0">
        <w:t>.</w:t>
      </w:r>
    </w:p>
    <w:p w14:paraId="2D0DDCC9" w14:textId="6AF97256" w:rsidR="00BC3487" w:rsidRPr="00EE5FF0" w:rsidRDefault="00BC3487" w:rsidP="00F16261">
      <w:pPr>
        <w:pStyle w:val="NumPar1"/>
        <w:numPr>
          <w:ilvl w:val="0"/>
          <w:numId w:val="4"/>
        </w:numPr>
      </w:pPr>
      <w:r w:rsidRPr="00EE5FF0">
        <w:t xml:space="preserve">Sprendimas 2001/497/EB panaikinamas nuo </w:t>
      </w:r>
      <w:r w:rsidRPr="00EE5FF0">
        <w:rPr>
          <w:highlight w:val="yellow"/>
        </w:rPr>
        <w:t>[Leidinių biurui: įrašyti datą – trys mėnesiai nuo 4 straipsnio 1 dalyje nurodytos datos]</w:t>
      </w:r>
      <w:r w:rsidRPr="00EE5FF0">
        <w:t>.</w:t>
      </w:r>
    </w:p>
    <w:p w14:paraId="07DBD49A" w14:textId="33F141C7" w:rsidR="00BC3487" w:rsidRPr="00EE5FF0" w:rsidRDefault="00BC3487" w:rsidP="00F16261">
      <w:pPr>
        <w:pStyle w:val="NumPar1"/>
      </w:pPr>
      <w:r w:rsidRPr="00EE5FF0">
        <w:t xml:space="preserve">Sprendimas 2010/87/ES panaikinamas nuo </w:t>
      </w:r>
      <w:r w:rsidRPr="00EE5FF0">
        <w:rPr>
          <w:highlight w:val="yellow"/>
        </w:rPr>
        <w:t>[Leidinių biurui: įrašyti datą – trys mėnesiai nuo 4 straipsnio 1 dalyje nurodytos datos]</w:t>
      </w:r>
      <w:r w:rsidRPr="00EE5FF0">
        <w:t>.</w:t>
      </w:r>
    </w:p>
    <w:p w14:paraId="6BE5E755" w14:textId="7248C236" w:rsidR="00BC3487" w:rsidRPr="00EE5FF0" w:rsidRDefault="00F16261" w:rsidP="001356F0">
      <w:pPr>
        <w:pStyle w:val="NumPar1"/>
      </w:pPr>
      <w:r w:rsidRPr="00EE5FF0">
        <w:t xml:space="preserve">Laikoma, kad sutartimis, sudarytomis iki </w:t>
      </w:r>
      <w:r w:rsidRPr="00EE5FF0">
        <w:rPr>
          <w:highlight w:val="yellow"/>
        </w:rPr>
        <w:t>[Leidinių biurui: įrašyti tą pačią datą kaip 4 straipsnio 2 ir 3 dalyse]</w:t>
      </w:r>
      <w:r w:rsidRPr="00EE5FF0">
        <w:t xml:space="preserve"> remiantis Sprendimu 2001/497/EB arba Sprendimu 2010/87/ES, užtikrinamos tinkamos apsaugos priemonės pagal Reglamento (ES) 2016/679 46 straipsnio 1 dalį iki </w:t>
      </w:r>
      <w:r w:rsidRPr="00EE5FF0">
        <w:rPr>
          <w:highlight w:val="yellow"/>
        </w:rPr>
        <w:t>[Leidinių biurui: įrašyti datą – 15 mėnesių nuo 4 straipsnio 2 ir 3 dalyse nurodytos datos]</w:t>
      </w:r>
      <w:r w:rsidRPr="00EE5FF0">
        <w:t xml:space="preserve"> su sąlyga, kad duomenų tvarkymo operacijos, kurios yra sutarties dalykas, išlieka nepakitusios, o remiantis tomis sąlygomis užtikrinama, jog asmens duomenų perdavimui taikomos tinkamos apsaugos priemonės.</w:t>
      </w:r>
    </w:p>
    <w:p w14:paraId="6DE897E5" w14:textId="6B9D2542" w:rsidR="00070205" w:rsidRPr="00EE5FF0" w:rsidRDefault="00497462" w:rsidP="00497462">
      <w:pPr>
        <w:pStyle w:val="Fait"/>
      </w:pPr>
      <w:r w:rsidRPr="00EE5FF0">
        <w:t>Priimta Briuselyje</w:t>
      </w:r>
    </w:p>
    <w:p w14:paraId="0F181B50" w14:textId="77777777" w:rsidR="00070205" w:rsidRPr="00EE5FF0" w:rsidRDefault="00070205" w:rsidP="00070205">
      <w:pPr>
        <w:pStyle w:val="Institutionquisigne"/>
      </w:pPr>
      <w:r w:rsidRPr="00EE5FF0">
        <w:tab/>
        <w:t>Komisijos vardu</w:t>
      </w:r>
    </w:p>
    <w:p w14:paraId="2ADC8DED" w14:textId="77777777" w:rsidR="00070205" w:rsidRPr="00EE5FF0" w:rsidRDefault="00070205" w:rsidP="00070205">
      <w:pPr>
        <w:pStyle w:val="Personnequisigne"/>
      </w:pPr>
      <w:r w:rsidRPr="00EE5FF0">
        <w:tab/>
        <w:t xml:space="preserve">Ursula VON DER LEYEN </w:t>
      </w:r>
      <w:r w:rsidRPr="00EE5FF0">
        <w:br/>
      </w:r>
      <w:r w:rsidRPr="00EE5FF0">
        <w:tab/>
        <w:t xml:space="preserve">Pirmininkė  </w:t>
      </w:r>
      <w:r w:rsidRPr="00EE5FF0">
        <w:br/>
      </w:r>
      <w:r w:rsidRPr="00EE5FF0">
        <w:tab/>
        <w:t xml:space="preserve"> </w:t>
      </w:r>
      <w:r w:rsidRPr="00EE5FF0">
        <w:br/>
      </w:r>
    </w:p>
    <w:sectPr w:rsidR="00070205" w:rsidRPr="00EE5FF0" w:rsidSect="00B7420D">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DF1A0" w14:textId="44335A20" w:rsidR="0078575F" w:rsidRPr="00B7420D" w:rsidRDefault="00B7420D" w:rsidP="00B7420D">
    <w:pPr>
      <w:pStyle w:val="Footer"/>
      <w:rPr>
        <w:rFonts w:ascii="Arial" w:hAnsi="Arial" w:cs="Arial"/>
        <w:b/>
        <w:sz w:val="48"/>
      </w:rPr>
    </w:pPr>
    <w:r w:rsidRPr="00B7420D">
      <w:rPr>
        <w:rFonts w:ascii="Arial" w:hAnsi="Arial" w:cs="Arial"/>
        <w:b/>
        <w:sz w:val="48"/>
      </w:rPr>
      <w:t>LT</w:t>
    </w:r>
    <w:r w:rsidRPr="00B7420D">
      <w:rPr>
        <w:rFonts w:ascii="Arial" w:hAnsi="Arial" w:cs="Arial"/>
        <w:b/>
        <w:sz w:val="48"/>
      </w:rPr>
      <w:tab/>
    </w:r>
    <w:r w:rsidRPr="00B7420D">
      <w:rPr>
        <w:rFonts w:ascii="Arial" w:hAnsi="Arial" w:cs="Arial"/>
        <w:b/>
        <w:sz w:val="48"/>
      </w:rPr>
      <w:tab/>
    </w:r>
    <w:r w:rsidRPr="00B7420D">
      <w:tab/>
    </w:r>
    <w:r w:rsidRPr="00B7420D">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8B88" w14:textId="6D26F89D" w:rsidR="00B7420D" w:rsidRPr="00B7420D" w:rsidRDefault="00B7420D" w:rsidP="00B7420D">
    <w:pPr>
      <w:pStyle w:val="Footer"/>
      <w:rPr>
        <w:rFonts w:ascii="Arial" w:hAnsi="Arial" w:cs="Arial"/>
        <w:b/>
        <w:sz w:val="48"/>
      </w:rPr>
    </w:pPr>
    <w:r w:rsidRPr="00B7420D">
      <w:rPr>
        <w:rFonts w:ascii="Arial" w:hAnsi="Arial" w:cs="Arial"/>
        <w:b/>
        <w:sz w:val="48"/>
      </w:rPr>
      <w:t>LT</w:t>
    </w:r>
    <w:r w:rsidRPr="00B7420D">
      <w:rPr>
        <w:rFonts w:ascii="Arial" w:hAnsi="Arial" w:cs="Arial"/>
        <w:b/>
        <w:sz w:val="48"/>
      </w:rPr>
      <w:tab/>
    </w:r>
    <w:r>
      <w:fldChar w:fldCharType="begin"/>
    </w:r>
    <w:r>
      <w:instrText xml:space="preserve"> PAGE  \* MERGEFORMAT </w:instrText>
    </w:r>
    <w:r>
      <w:fldChar w:fldCharType="separate"/>
    </w:r>
    <w:r w:rsidR="00317770">
      <w:rPr>
        <w:noProof/>
      </w:rPr>
      <w:t>1</w:t>
    </w:r>
    <w:r>
      <w:fldChar w:fldCharType="end"/>
    </w:r>
    <w:r>
      <w:tab/>
    </w:r>
    <w:r w:rsidRPr="00B7420D">
      <w:tab/>
    </w:r>
    <w:r w:rsidRPr="00B7420D">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4D83" w14:textId="77777777" w:rsidR="00B7420D" w:rsidRPr="00B7420D" w:rsidRDefault="00B7420D" w:rsidP="00B7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6A121A" w:rsidRDefault="004B5724">
      <w:pPr>
        <w:pStyle w:val="FootnoteText"/>
      </w:pPr>
      <w:r>
        <w:rPr>
          <w:rStyle w:val="FootnoteReference"/>
        </w:rPr>
        <w:footnoteRef/>
      </w:r>
      <w:r>
        <w:tab/>
        <w:t>OL L 119, 2016 5 4, p. 1.</w:t>
      </w:r>
    </w:p>
  </w:footnote>
  <w:footnote w:id="2">
    <w:p w14:paraId="14ACAFDD" w14:textId="53B6CCEA" w:rsidR="004B5724" w:rsidRPr="006A121A" w:rsidRDefault="004B5724">
      <w:pPr>
        <w:pStyle w:val="FootnoteText"/>
      </w:pPr>
      <w:r>
        <w:rPr>
          <w:rStyle w:val="FootnoteReference"/>
        </w:rPr>
        <w:footnoteRef/>
      </w:r>
      <w:r>
        <w:tab/>
        <w:t>Reglamento (ES) 2016/679 44 straipsnis.</w:t>
      </w:r>
    </w:p>
  </w:footnote>
  <w:footnote w:id="3">
    <w:p w14:paraId="1FD4A8A0" w14:textId="77777777" w:rsidR="004B5724" w:rsidRPr="004B5724" w:rsidRDefault="004B5724" w:rsidP="004B5724">
      <w:pPr>
        <w:pStyle w:val="FootnoteText"/>
      </w:pPr>
      <w:r>
        <w:rPr>
          <w:rStyle w:val="FootnoteReference"/>
        </w:rPr>
        <w:footnoteRef/>
      </w:r>
      <w:r>
        <w:tab/>
        <w:t xml:space="preserve">Taip pat žr. 2020 m. liepos 16 d. Teisingumo Teismo sprendimo </w:t>
      </w:r>
      <w:r>
        <w:rPr>
          <w:i/>
        </w:rPr>
        <w:t xml:space="preserve">Data Protection Commissioner / Facebook Ireland Ltd ir Maximillian Schrems (Schrems II) </w:t>
      </w:r>
      <w:r>
        <w:t>, C-311/18, ECLI:EU:C:2020:559, 93 punktą.</w:t>
      </w:r>
    </w:p>
    <w:p w14:paraId="69287943" w14:textId="17829B76" w:rsidR="004B5724" w:rsidRPr="004B5724" w:rsidRDefault="004B5724">
      <w:pPr>
        <w:pStyle w:val="FootnoteText"/>
      </w:pPr>
    </w:p>
  </w:footnote>
  <w:footnote w:id="4">
    <w:p w14:paraId="3B74AE4D" w14:textId="04983C74" w:rsidR="004B5724" w:rsidRPr="006A121A" w:rsidRDefault="004B5724">
      <w:pPr>
        <w:pStyle w:val="FootnoteText"/>
      </w:pPr>
      <w:r>
        <w:rPr>
          <w:rStyle w:val="FootnoteReference"/>
        </w:rPr>
        <w:footnoteRef/>
      </w:r>
      <w:r>
        <w:tab/>
        <w:t>Reglamento (ES) 2016/679 109 konstatuojamoji dalis.</w:t>
      </w:r>
    </w:p>
  </w:footnote>
  <w:footnote w:id="5">
    <w:p w14:paraId="4B4E107A" w14:textId="5733D7D2" w:rsidR="004B5724" w:rsidRPr="004B5724" w:rsidRDefault="004B5724">
      <w:pPr>
        <w:pStyle w:val="FootnoteText"/>
      </w:pPr>
      <w:r>
        <w:rPr>
          <w:rStyle w:val="FootnoteReference"/>
        </w:rPr>
        <w:footnoteRef/>
      </w:r>
      <w:r>
        <w:tab/>
        <w:t>2001 m. birželio 15 d. Komisijos sprendimas 2001/497/EB dėl sutarčių, susijusių su asmens duomenų perdavimu trečiosioms šalims, tipinių punktų, atsižvelgiant į Direktyvą 95/46/EB (OL L 181, 2001 7 4, p. 19).</w:t>
      </w:r>
    </w:p>
  </w:footnote>
  <w:footnote w:id="6">
    <w:p w14:paraId="72FA0FBB" w14:textId="1A3CC73A" w:rsidR="004B5724" w:rsidRPr="004B5724" w:rsidRDefault="004B5724">
      <w:pPr>
        <w:pStyle w:val="FootnoteText"/>
      </w:pPr>
      <w:r>
        <w:rPr>
          <w:rStyle w:val="FootnoteReference"/>
        </w:rPr>
        <w:footnoteRef/>
      </w:r>
      <w:r>
        <w:tab/>
        <w:t>2010 m. vasario 5 d. Komisijos sprendimas 2010/87/ES dėl sutarčių standartinių sąlygų, nustatytų asmens duomenų perdavimui trečiosiose šalyse įsikūrusiems tvarkytojams pagal Europos Parlamento ir Tarybos direktyvos 95/46/EB nuostatas (OL L 39, 2010 2 12, p. 5).</w:t>
      </w:r>
    </w:p>
  </w:footnote>
  <w:footnote w:id="7">
    <w:p w14:paraId="69639D4A" w14:textId="07AD5383" w:rsidR="004B5724" w:rsidRPr="004B5724" w:rsidRDefault="004B5724">
      <w:pPr>
        <w:pStyle w:val="FootnoteText"/>
      </w:pPr>
      <w:r>
        <w:rPr>
          <w:rStyle w:val="FootnoteReference"/>
        </w:rPr>
        <w:footnoteRef/>
      </w:r>
      <w:r>
        <w:tab/>
        <w:t>1995 m. spalio 24 d. Europos Parlamento ir Tarybos direktyva 95/46/EB dėl asmenų apsaugos tvarkant asmens duomenis ir dėl laisvo tokių duomenų judėjimo (OL L 281, 1995 11 23, p. 31).</w:t>
      </w:r>
    </w:p>
  </w:footnote>
  <w:footnote w:id="8">
    <w:p w14:paraId="13D8FC7C" w14:textId="243B6CBC" w:rsidR="004B5724" w:rsidRPr="004B5724" w:rsidRDefault="004B5724">
      <w:pPr>
        <w:pStyle w:val="FootnoteText"/>
      </w:pPr>
      <w:r>
        <w:rPr>
          <w:rStyle w:val="FootnoteReference"/>
        </w:rPr>
        <w:footnoteRef/>
      </w:r>
      <w:r>
        <w:tab/>
        <w:t>2018 m. spalio 23 d. Europos Parlamento ir Tarybos reglamentas (ES) 2018/1725 dėl fizinių asmenų apsaugos Sąjungos institucijoms, organams, tarnyboms ir agentūroms tvarkant asmens duomenis ir dėl laisvo tokių duomenų judėjimo, kuriuo panaikinamas Reglamentas (EB) Nr. 45/2001 ir Sprendimas Nr. 1247/2002/EB (OL L 295, 2018 11 21, p. 39); žr. 5 konstatuojamąją dalį.</w:t>
      </w:r>
    </w:p>
  </w:footnote>
  <w:footnote w:id="9">
    <w:p w14:paraId="35AD7AC6" w14:textId="7F16560E" w:rsidR="004B5724" w:rsidRPr="006A121A" w:rsidRDefault="004B5724">
      <w:pPr>
        <w:pStyle w:val="FootnoteText"/>
      </w:pPr>
      <w:r>
        <w:rPr>
          <w:rStyle w:val="FootnoteReference"/>
        </w:rPr>
        <w:footnoteRef/>
      </w:r>
      <w:r>
        <w:tab/>
        <w:t>C(2021) 3701.</w:t>
      </w:r>
    </w:p>
  </w:footnote>
  <w:footnote w:id="10">
    <w:p w14:paraId="153B3BD2" w14:textId="547EFAD1" w:rsidR="004B5724" w:rsidRPr="004B5724" w:rsidRDefault="004B5724">
      <w:pPr>
        <w:pStyle w:val="FootnoteText"/>
      </w:pPr>
      <w:r>
        <w:rPr>
          <w:rStyle w:val="FootnoteReference"/>
        </w:rPr>
        <w:footnoteRef/>
      </w:r>
      <w:r>
        <w:tab/>
        <w:t xml:space="preserve">Sprendimas </w:t>
      </w:r>
      <w:r>
        <w:rPr>
          <w:i/>
        </w:rPr>
        <w:t>Schrems II</w:t>
      </w:r>
      <w:r>
        <w:t>, 96 ir 103 punktai. Taip pat žr. Reglamento (ES) 2016/679 108 ir 114 konstatuojamąsias dalis.</w:t>
      </w:r>
    </w:p>
  </w:footnote>
  <w:footnote w:id="11">
    <w:p w14:paraId="1FFBEDA4" w14:textId="400AC41E" w:rsidR="004B5724" w:rsidRPr="006A121A" w:rsidRDefault="004B5724">
      <w:pPr>
        <w:pStyle w:val="FootnoteText"/>
      </w:pPr>
      <w:r>
        <w:rPr>
          <w:rStyle w:val="FootnoteReference"/>
        </w:rPr>
        <w:footnoteRef/>
      </w:r>
      <w:r>
        <w:tab/>
        <w:t xml:space="preserve">Sprendimas </w:t>
      </w:r>
      <w:r>
        <w:rPr>
          <w:i/>
        </w:rPr>
        <w:t>Schrems II</w:t>
      </w:r>
      <w:r>
        <w:t>.</w:t>
      </w:r>
    </w:p>
  </w:footnote>
  <w:footnote w:id="12">
    <w:p w14:paraId="58CC1499" w14:textId="72D112B4" w:rsidR="004B5724" w:rsidRPr="004B5724" w:rsidRDefault="004B5724">
      <w:pPr>
        <w:pStyle w:val="FootnoteText"/>
      </w:pPr>
      <w:r>
        <w:rPr>
          <w:rStyle w:val="FootnoteReference"/>
        </w:rPr>
        <w:footnoteRef/>
      </w:r>
      <w:r>
        <w:tab/>
        <w:t>EDAV ir EDAPP bendra nuomonė 2/2021 dėl Europos Komisijos įgyvendinimo sprendimo dėl standartinių sutarčių sąlygų, nustatytų asmens duomenų perdavimui į trečiąsias valstybes, Reglamento (ES) 2016/679 46 straipsnio 2 dalies c punkte nurodytais klausimais.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activeWritingStyle w:appName="MSWord" w:lang="fr-BE" w:vendorID="64" w:dllVersion="131078" w:nlCheck="1" w:checkStyle="0"/>
  <w:activeWritingStyle w:appName="MSWord" w:lang="en-GB" w:vendorID="64" w:dllVersion="131078" w:nlCheck="1" w:checkStyle="1"/>
  <w:attachedTemplate r:id="rId1"/>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16:3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CAB1D512-E930-4980-A3E1-3C19445AABD4"/>
    <w:docVar w:name="LW_COVERPAGE_TYPE" w:val="1"/>
    <w:docVar w:name="LW_CROSSREFERENCE" w:val="&lt;UNUSED&gt;"/>
    <w:docVar w:name="LW_DATE.ADOPT.CP" w:val="XXX"/>
    <w:docVar w:name="LW_DATE.ADOPT.CP_DATEFORMAT" w:val="%DATE%"/>
    <w:docVar w:name="LW_DATE.ADOPT.CP_ISODATE" w:val="&lt;EMPTY&gt;"/>
    <w:docVar w:name="LW_DocType" w:val="COM"/>
    <w:docVar w:name="LW_EMISSION" w:val="&lt;EMPTY&gt;"/>
    <w:docVar w:name="LW_EMISSION_ISODATE" w:val="&lt;EMPTY&gt;"/>
    <w:docVar w:name="LW_EMISSION_LOCATION" w:val="BRX"/>
    <w:docVar w:name="LW_EMISSION_PREFIX" w:val="Briuselis, "/>
    <w:docVar w:name="LW_EMISSION_SUFFIX" w:val=" "/>
    <w:docVar w:name="LW_ID_DOCMODEL" w:val="SJ-032"/>
    <w:docVar w:name="LW_ID_DOCSIGNATURE" w:val="SJ-032"/>
    <w:docVar w:name="LW_ID_DOCSTRUCTURE" w:val="COM/AA"/>
    <w:docVar w:name="LW_ID_DOCTYPE" w:val="SJ-032"/>
    <w:docVar w:name="LW_INTERETEEE" w:val="(Tekstas svarbus EEE)"/>
    <w:docVar w:name="LW_INTERETEEE.CP" w:val="(Tekstas svarbus EEE)"/>
    <w:docVar w:name="LW_LANGUE" w:val="LT"/>
    <w:docVar w:name="LW_LANGUESFAISANTFOI.CP" w:val="&lt;UNUSED&gt;"/>
    <w:docVar w:name="LW_LEVEL_OF_SENSITIVITY" w:val="Standard treatment"/>
    <w:docVar w:name="LW_NOM.INST" w:val="EUROPOS KOMISIJA"/>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d\u279?l standartini\u371? sutar\u269?i\u371? s\u261?lyg\u371?, kuriomis asmens duomenys perduodami \u303? tre\u269?i\u261?sias valstybes pagal Europos Parlamento ir Tarybos reglament\u261? (ES) 2016/679"/>
    <w:docVar w:name="LW_TITRE.OBJ.CP" w:val="d\u279?l standartini\u371? sutar\u269?i\u371? s\u261?lyg\u371?, kuriomis asmens duomenys perduodami \u303? tre\u269?i\u261?sias valstybes pagal Europos Parlamento ir Tarybos reglament\u261? (ES) 2016/679"/>
    <w:docVar w:name="LW_TYPE.DOC" w:val="KOMISIJOS \u302?GYVENDINIMO SPRENDIMAS (ES) \u8230?/..."/>
    <w:docVar w:name="LW_TYPE.DOC.CP" w:val="KOMISIJOS \u302?GYVENDINIMO SPRENDIMAS (ES) \u8230?/..."/>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17770"/>
    <w:rsid w:val="003403AA"/>
    <w:rsid w:val="00377582"/>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6F2EDC"/>
    <w:rsid w:val="0070128F"/>
    <w:rsid w:val="00705B75"/>
    <w:rsid w:val="007144A6"/>
    <w:rsid w:val="00724557"/>
    <w:rsid w:val="00745432"/>
    <w:rsid w:val="007518A8"/>
    <w:rsid w:val="00753E30"/>
    <w:rsid w:val="007731F4"/>
    <w:rsid w:val="007734FC"/>
    <w:rsid w:val="0078575F"/>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117F0"/>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557CA"/>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7420D"/>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E5FF0"/>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lt-LT"/>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lt-LT"/>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8737-882A-47BB-A06A-B35B55AC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3</Pages>
  <Words>3093</Words>
  <Characters>21819</Characters>
  <Application>Microsoft Office Word</Application>
  <DocSecurity>0</DocSecurity>
  <Lines>334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2021-05-21T14:16:00Z</dcterms:created>
  <dcterms:modified xsi:type="dcterms:W3CDTF">2021-05-21T14:16:00Z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