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275B8" w14:textId="5D4D091F" w:rsidR="00070205" w:rsidRDefault="00196896" w:rsidP="00D63167">
      <w:pPr>
        <w:pStyle w:val="Pagedecouverture"/>
      </w:pPr>
      <w:bookmarkStart w:id="0" w:name="_GoBack"/>
      <w:bookmarkEnd w:id="0"/>
      <w:r>
        <w:pict w14:anchorId="6D55D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69D72E4-5DB1-48FF-8893-A3EF58C94F67" style="width:450.75pt;height:381.75pt">
            <v:imagedata r:id="rId8" o:title=""/>
          </v:shape>
        </w:pict>
      </w:r>
    </w:p>
    <w:p w14:paraId="2C0F3411" w14:textId="77777777" w:rsidR="00F84A30" w:rsidRPr="00F84A30" w:rsidRDefault="00F84A30" w:rsidP="00F84A30">
      <w:pPr>
        <w:pStyle w:val="Pagedecouverture"/>
        <w:sectPr w:rsidR="00F84A30" w:rsidRPr="00F84A30" w:rsidSect="003864FA">
          <w:footerReference w:type="default" r:id="rId9"/>
          <w:pgSz w:w="11907" w:h="16839"/>
          <w:pgMar w:top="1134" w:right="1417" w:bottom="1134" w:left="1417" w:header="709" w:footer="709" w:gutter="0"/>
          <w:pgNumType w:start="0"/>
          <w:cols w:space="720"/>
          <w:docGrid w:linePitch="360"/>
        </w:sectPr>
      </w:pPr>
    </w:p>
    <w:p w14:paraId="19BB17F2" w14:textId="45C07A49" w:rsidR="00070205" w:rsidRPr="00F84A30" w:rsidRDefault="00497462" w:rsidP="00497462">
      <w:pPr>
        <w:pStyle w:val="Typedudocument"/>
      </w:pPr>
      <w:r w:rsidRPr="00F84A30">
        <w:lastRenderedPageBreak/>
        <w:t>KOMISJONI RAKENDUSOTSUS (EL) …/…,</w:t>
      </w:r>
    </w:p>
    <w:p w14:paraId="39925B62" w14:textId="20A4DCC4" w:rsidR="00070205" w:rsidRPr="00F84A30" w:rsidRDefault="00F84A30" w:rsidP="00497462">
      <w:pPr>
        <w:pStyle w:val="Datedadoption"/>
      </w:pPr>
      <w:r>
        <w:rPr>
          <w:rStyle w:val="Marker2"/>
        </w:rPr>
        <w:t>XXX,</w:t>
      </w:r>
    </w:p>
    <w:p w14:paraId="3EC8887B" w14:textId="530D70CF" w:rsidR="00070205" w:rsidRPr="00F84A30" w:rsidRDefault="00497462" w:rsidP="00497462">
      <w:pPr>
        <w:pStyle w:val="Titreobjet"/>
      </w:pPr>
      <w:r w:rsidRPr="00F84A30">
        <w:t>kolmandatesse riikidesse isikuandmete edastamise lepingu tüüptingimuste kohta vastavalt Euroopa Parlamendi ja nõukogu määrusele (EL) 2016/679</w:t>
      </w:r>
    </w:p>
    <w:p w14:paraId="2E28B445" w14:textId="5EA392B1" w:rsidR="00070205" w:rsidRPr="00F84A30" w:rsidRDefault="00497462" w:rsidP="00497462">
      <w:pPr>
        <w:pStyle w:val="IntrtEEE"/>
      </w:pPr>
      <w:r w:rsidRPr="00F84A30">
        <w:t>(EMPs kohaldatav tekst)</w:t>
      </w:r>
    </w:p>
    <w:p w14:paraId="6A988FE2" w14:textId="77777777" w:rsidR="00070205" w:rsidRPr="00F84A30" w:rsidRDefault="00070205" w:rsidP="00C36A89">
      <w:pPr>
        <w:pStyle w:val="Institutionquiagit"/>
      </w:pPr>
      <w:r w:rsidRPr="00F84A30">
        <w:t>EUROOPA KOMISJON,</w:t>
      </w:r>
    </w:p>
    <w:p w14:paraId="5AFA792D" w14:textId="77777777" w:rsidR="001D4EF4" w:rsidRPr="00F84A30" w:rsidRDefault="00070205" w:rsidP="00C36A89">
      <w:r w:rsidRPr="00F84A30">
        <w:rPr>
          <w:color w:val="000000"/>
        </w:rPr>
        <w:t>võttes arvesse Euroopa Liidu toimimise lepingut</w:t>
      </w:r>
      <w:r w:rsidRPr="00F84A30">
        <w:t>,</w:t>
      </w:r>
    </w:p>
    <w:p w14:paraId="723B085A" w14:textId="1190B94A" w:rsidR="00070205" w:rsidRPr="00F84A30" w:rsidRDefault="00070205" w:rsidP="00C36A89">
      <w:r w:rsidRPr="00F84A30">
        <w:t xml:space="preserve">võttes arvesse </w:t>
      </w:r>
      <w:r w:rsidRPr="00F84A30">
        <w:rPr>
          <w:color w:val="000000"/>
        </w:rPr>
        <w:t>Euroopa Parlamendi ja nõukogu 27. aprilli 2016. aasta määrust (EL) 2016/679 füüsiliste isikute kaitse kohta isikuandmete töötlemisel ja selliste andmete vaba liikumise ning direktiivi 95/46/EÜ kehtetuks tunnistamise kohta (isikuandmete kaitse üldmäärus),</w:t>
      </w:r>
      <w:r w:rsidRPr="00F84A30">
        <w:rPr>
          <w:rStyle w:val="FootnoteReference"/>
          <w:color w:val="000000"/>
        </w:rPr>
        <w:footnoteReference w:id="1"/>
      </w:r>
      <w:r w:rsidRPr="00F84A30">
        <w:rPr>
          <w:color w:val="000000"/>
        </w:rPr>
        <w:t xml:space="preserve"> </w:t>
      </w:r>
      <w:r w:rsidRPr="00F84A30">
        <w:t>eriti selle artikli </w:t>
      </w:r>
      <w:r w:rsidRPr="00F84A30">
        <w:rPr>
          <w:color w:val="000000"/>
        </w:rPr>
        <w:t>28 lõiget 7 ja artikli 46 lõike 2 punkti c</w:t>
      </w:r>
      <w:r w:rsidRPr="00F84A30">
        <w:t>,</w:t>
      </w:r>
    </w:p>
    <w:p w14:paraId="5DBC66B2" w14:textId="77777777" w:rsidR="00070205" w:rsidRPr="00F84A30" w:rsidRDefault="00070205" w:rsidP="00C36A89">
      <w:r w:rsidRPr="00F84A30">
        <w:t>ning arvestades järgmist:</w:t>
      </w:r>
    </w:p>
    <w:p w14:paraId="1FBC9A33" w14:textId="4D496B78" w:rsidR="00EB7ED2" w:rsidRPr="00F84A30" w:rsidRDefault="00EB7ED2" w:rsidP="00377582">
      <w:pPr>
        <w:pStyle w:val="Considrant"/>
        <w:numPr>
          <w:ilvl w:val="0"/>
          <w:numId w:val="1"/>
        </w:numPr>
      </w:pPr>
      <w:r w:rsidRPr="00F84A30">
        <w:t>Tehnoloogia areng teeb võimalikuks piiriülesed andmevood, mis on vajalikud rahvusvahelise koostöö ja rahvusvahelise kaubanduse laiendamiseks. Samal ajal on isikuandmete edastamisel kolmandatesse riikidesse vaja tagada, et ei kahjustataks määrusega (EL) 2016/679 tagatud füüsiliste isikute kaitse taset, sealhulgas ka edasisaatmise juhtudel</w:t>
      </w:r>
      <w:r w:rsidRPr="00F84A30">
        <w:rPr>
          <w:rStyle w:val="FootnoteReference"/>
        </w:rPr>
        <w:footnoteReference w:id="2"/>
      </w:r>
      <w:r w:rsidRPr="00F84A30">
        <w:t>. Andmeedastust käsitlevad määruse (EL) 2016/679 V peatüki sätted on mõeldud selleks, et kindlustada isikuandmete kõrgetasemelise kaitse järjepidevus andmete edastamise korral kolmandasse riiki</w:t>
      </w:r>
      <w:r w:rsidRPr="00F84A30">
        <w:rPr>
          <w:rStyle w:val="FootnoteReference"/>
        </w:rPr>
        <w:footnoteReference w:id="3"/>
      </w:r>
      <w:r w:rsidRPr="00F84A30">
        <w:t>.</w:t>
      </w:r>
    </w:p>
    <w:p w14:paraId="217460B5" w14:textId="1B3A5723" w:rsidR="00EB7ED2" w:rsidRPr="00F84A30" w:rsidRDefault="00EB7ED2" w:rsidP="00EB7ED2">
      <w:pPr>
        <w:pStyle w:val="Considrant"/>
      </w:pPr>
      <w:r w:rsidRPr="00F84A30">
        <w:t>Määruse (EL) 2016/679 artikli 46 lõike 1 kohaselt võib vastutav töötleja või volitatud töötleja artikli 45 lõike 3 kohase kaitse piisavuse otsuse puudumise korral edastada isikuandmeid kolmandale riigile või rahvusvahelisele organisatsioonile üksnes juhul, kui ta on sätestanud asjakohased kaitsemeetmed, ning tingimusel, et andmesubjektide kohtulikult kaitstavad õigused ja tõhusad õiguskaitsevahendid on kättesaadavad. Need kaitsemeetmed võidakse näha ette artikli 46 lõike 2 punkti c kohaselt vastu võetud standardsete andmekaitseklauslitega.</w:t>
      </w:r>
    </w:p>
    <w:p w14:paraId="08AED2DA" w14:textId="753633F8" w:rsidR="00EB7ED2" w:rsidRPr="00F84A30" w:rsidRDefault="00EB7ED2" w:rsidP="00EB7ED2">
      <w:pPr>
        <w:pStyle w:val="Considrant"/>
      </w:pPr>
      <w:r w:rsidRPr="00F84A30">
        <w:t xml:space="preserve">Lepingu tüüptingimuste roll piirdub andmete rahvusvahelise edastamise korral asjakohaste andmekaitsemeetmete tagamisega. Seetõttu on isikuandmeid kolmandasse riiki edastaval vastutaval või volitatud töötlejal (edaspidi „andmeeksportija“) ja isikuandmeid vastu võtval vastutaval või volitatud töötlejal (edaspidi „andmeimportija“) õigus kaasata need lepingu tüüptingimused laiemasse lepingusse ja lisada muid tingimusi või täiendavaid kaitsemeetmeid, tingimusel et need ei lähe otseselt ega kaudselt vastuollu lepingu tüüptingimustega ega piira andmesubjektide põhiõigusi ega -vabadusi. Vastutavaid töötlejaid ja volitatud töötlejaid ergutatakse nägema ette täiendavaid kaitsemeetmeid lepinguliste kohustuste abil, mis täiendavad </w:t>
      </w:r>
      <w:r w:rsidRPr="00F84A30">
        <w:lastRenderedPageBreak/>
        <w:t>lepingu tüüptingimusi</w:t>
      </w:r>
      <w:r w:rsidRPr="00F84A30">
        <w:rPr>
          <w:rStyle w:val="FootnoteReference"/>
        </w:rPr>
        <w:footnoteReference w:id="4"/>
      </w:r>
      <w:r w:rsidRPr="00F84A30">
        <w:t>. Lepingu tüüptingimuste kasutamine ei piira andmeeksportija ja/või andmeimportija mis tahes lepingulisi kohustusi tagada kohaldatavate privileegide ja immuniteetide järgimine.</w:t>
      </w:r>
    </w:p>
    <w:p w14:paraId="35DBB988" w14:textId="6EBE9457" w:rsidR="00EB7ED2" w:rsidRPr="00F84A30" w:rsidRDefault="00EB7ED2" w:rsidP="00EB7ED2">
      <w:pPr>
        <w:pStyle w:val="Considrant"/>
      </w:pPr>
      <w:r w:rsidRPr="00F84A30">
        <w:t>Lisaks lepingu tüüptingimuste kasutamisele, et näha määruse (EL) 2016/679 artikli 46 lõike 1 kohaste edastamiste puhul ette asjakohased kaitsemeetmed, peab andmeeksportija vastutava või volitatud töötlejana täitma oma üldisi määrusest (EL) 2016/679 tulenevaid kohustusi. Need kohustused hõlmavad vastutava töötleja kohustust anda määruse (EL) nr 2016/679 artikli 13 lõike 1 punkti f ja artikli 14 lõike 1 punkti f kohaselt andmesubjektidele teavet asjaolu kohta, et ta kavatseb edastada nende isikuandmed kolmandasse riiki. Määruse (EL) 2016/679 artikli 46 kohaste edastamiste puhul peab selline teave sisaldama viidet asjakohastele kaitsemeetmetele ja vastava teabe koopia saamise viisile või kohale, kus see on tehtud kättesaadavaks.</w:t>
      </w:r>
    </w:p>
    <w:p w14:paraId="4969630F" w14:textId="0B18A3BC" w:rsidR="00EB7ED2" w:rsidRPr="00F84A30" w:rsidRDefault="00EB7ED2" w:rsidP="00EB7ED2">
      <w:pPr>
        <w:pStyle w:val="Considrant"/>
      </w:pPr>
      <w:r w:rsidRPr="00F84A30">
        <w:t>Komisjoni otsused 2001/497/EÜ</w:t>
      </w:r>
      <w:r w:rsidRPr="00F84A30">
        <w:rPr>
          <w:rStyle w:val="FootnoteReference"/>
        </w:rPr>
        <w:footnoteReference w:id="5"/>
      </w:r>
      <w:r w:rsidRPr="00F84A30">
        <w:t xml:space="preserve"> ja 2010/87/EL</w:t>
      </w:r>
      <w:r w:rsidRPr="00F84A30">
        <w:rPr>
          <w:rStyle w:val="FootnoteReference"/>
        </w:rPr>
        <w:footnoteReference w:id="6"/>
      </w:r>
      <w:r w:rsidRPr="00F84A30">
        <w:t xml:space="preserve"> sisaldavad lepingu tüüptingimusi, mille eesmärk on lihtsustada liidus asutatud vastutava töötleja jaoks isikuandmete edastamist vastutavale või volitatud töötlejale kolmandas riigis, kus pakutav kaitsetase ei ole piisav. Need otsused põhinesid Euroopa Parlamendi ja nõukogu direktiivil 95/46/EÜ</w:t>
      </w:r>
      <w:r w:rsidRPr="00F84A30">
        <w:rPr>
          <w:rStyle w:val="FootnoteReference"/>
        </w:rPr>
        <w:footnoteReference w:id="7"/>
      </w:r>
      <w:r w:rsidRPr="00F84A30">
        <w:t>.</w:t>
      </w:r>
    </w:p>
    <w:p w14:paraId="6B0A0951" w14:textId="6C1C3DFB" w:rsidR="00EB7ED2" w:rsidRPr="00F84A30" w:rsidRDefault="00EB7ED2" w:rsidP="00EB7ED2">
      <w:pPr>
        <w:pStyle w:val="Considrant"/>
      </w:pPr>
      <w:r w:rsidRPr="00F84A30">
        <w:t>Määruse (EL) 2016/679 artikli 46 lõike 5 kohaselt jäävad otsus 2001/497/EÜ ja otsus 2010/87/EL kehtima, kuni neid selle määruse artikli 46 lõike 2 kohaselt vastuvõetud otsusega vajaduse korral muudetakse, nad asendatakse või tunnistatakse kehtetuks. Otsustes sisalduvaid lepingu tüüptingimusi oli määruse (EL) 2016/679 kohaseid uusi nõudeid arvestades vaja ajakohastada. Lisaks on alates nende otsuste vastuvõtmisest toimunud digitaalmajanduses märkimisväärseid muutusi, mille käigus on järjest enam kasutusele võetud uusi ja keerukamaid töötlemistoiminguid, mis sageli hõlmavad mitut andmeimportijat ja -eksportijat, pikki ja keerulisi töötlemisahelaid ning muutuvaid ärisuhteid. See nõuab lepingu tüüptingimuste ajakohastamist, et need peegeldaksid paremini uut tegelikkust ehk hõlmaksid lisandunud töötlemis- ja edastamisolukordi ning võimaldaksid suuremat paindlikkust, näiteks seoses nende isikute arvuga, kellel on võimalik lepinguga liituda.</w:t>
      </w:r>
    </w:p>
    <w:p w14:paraId="759B5088" w14:textId="77777777" w:rsidR="00F84A30" w:rsidRPr="00F84A30" w:rsidRDefault="0047771C" w:rsidP="00C36A89">
      <w:pPr>
        <w:pStyle w:val="Considrant"/>
      </w:pPr>
      <w:r w:rsidRPr="00F84A30">
        <w:t>Vastutav või volitatud töötleja võib kasutada käesoleva otsuse lisas sätestatud lepingu tüüptingimusi, et näha ette määruse (EL) 2016/679 artikli 46 lõike 1 tähenduses asjakohased kaitsemeetmed isikuandmete edastamisel kolmandas riigis asuvale vastutavale või volitatud töötlejale, ilma et see piiraks määruse (EL) 2016/679 kohase rahvusvahelise edastamise mõiste tõlgendamist. Lepingu tüüptingimusi võib selliste edastamiste puhul kasutada üksnes niivõrd, kuivõrd importija teostatav töötlemine ei kuulu määruse (EL) 2016/679 kohaldamisalasse. See hõlmab ka isikuandmete edastamist vastutavalt või volitatud töötlejalt, kes ei asu liidus, kuivõrd selle töötlemise suhtes kohaldatakse määrust (EL) 2016/679 (selle artikli 3 lõike 2 kohaselt), sest see on seotud kaupade või teenuste pakkumisega liidus asuvatele andmesubjektidele või nende tegevuse jälgimisega, kui see tegevus toimub liidus.</w:t>
      </w:r>
    </w:p>
    <w:p w14:paraId="58638138" w14:textId="1A1A14C4" w:rsidR="00EB7ED2" w:rsidRPr="00F84A30" w:rsidRDefault="000C1C57" w:rsidP="00E74673">
      <w:pPr>
        <w:pStyle w:val="Considrant"/>
        <w:numPr>
          <w:ilvl w:val="0"/>
          <w:numId w:val="12"/>
        </w:numPr>
      </w:pPr>
      <w:r w:rsidRPr="00F84A30">
        <w:t>Arvestades, et määrus (EL) 2016/679 ning Euroopa Parlamendi ja nõukogu määrus (EL) 2018/1725</w:t>
      </w:r>
      <w:r w:rsidRPr="00F84A30">
        <w:rPr>
          <w:rStyle w:val="FootnoteReference"/>
        </w:rPr>
        <w:footnoteReference w:id="8"/>
      </w:r>
      <w:r w:rsidRPr="00F84A30">
        <w:t xml:space="preserve"> on üldiselt vastavusse viidud, peaks lepingu tüüptingimusi olema võimalik kasutada määruse (EL) 2018/1725 artikli 29 lõikes 4 osutatud viisil ka lepingus, millega kolmandas riigis asuvale alamtöötlejale edastab isikuandmeid volitatud töötleja, kes ei ole liidu institutsioon ega organ, aga kelle suhtes kohaldatakse määrust (EL) 2016/679 ja kes töötleb isikuandmeid liidu institutsiooni või organi nimel vastavalt määruse (EL) 2018/1725 artiklile 29. Kui selles lepingus kajastuvad samad andmekaitsekohustused kui vastutava töötleja ja volitatud töötleja vahelises määruse (EL) 2018/1725 artikli 29 lõike 3 kohases lepingus või muus õigusaktis, eeskätt kui tehniliste ja korralduslike meetmete kohta antakse piisavad tagatised, et tagada töötlemise vastavus selle määruse nõuetele, tagatakse sellega vastavus määruse (EL) 2018/1725 artikli 29 lõikele 4. Eelkõige kehtib see siis, kui vastutav töötleja ja volitatud töötleja kasutavad lepingu tüüptingimusi, mis sisalduvad komisjoni rakendusotsuses määruse (EL) 2016/679 artikli 28 lõike 7 ning määruse (EL) 2018/1725 artikli 29 lõike 7 kohaste vastutavate töötlejate ja volitatud töötlejate vaheliste lepingute tüüptingimuste kohta</w:t>
      </w:r>
      <w:r w:rsidRPr="00F84A30">
        <w:rPr>
          <w:rStyle w:val="FootnoteReference"/>
        </w:rPr>
        <w:footnoteReference w:id="9"/>
      </w:r>
      <w:r w:rsidRPr="00F84A30">
        <w:t>.</w:t>
      </w:r>
    </w:p>
    <w:p w14:paraId="7C611A21" w14:textId="33B99914" w:rsidR="00EB7ED2" w:rsidRPr="00F84A30" w:rsidRDefault="00EB7ED2" w:rsidP="00EB7ED2">
      <w:pPr>
        <w:pStyle w:val="Considrant"/>
      </w:pPr>
      <w:r w:rsidRPr="00F84A30">
        <w:t>Kui töötlemine hõlmab andmete edastamist vastutavatelt töötlejatelt, kelle suhtes kohaldatakse määrust (EL) 2016/679, volitatud töötlejatele, kes ei kuulu selle territoriaalsesse kohaldamisalasse, või volitatud töötlejatelt, kelle suhtes kohaldatakse määrust (EL) 2016/679, alamtöötlejatele, kes ei kuulu selle territoriaalsesse kohaldamisalasse, peaksid need käesoleva otsuse lisas sätestatud lepingu tüüptingimused võimaldama täita ka määruse (EL) 2016/679 artikli 28 lõigete 3 ja 4 nõudeid.</w:t>
      </w:r>
    </w:p>
    <w:p w14:paraId="34346D8F" w14:textId="64503FB9" w:rsidR="00EB7ED2" w:rsidRPr="00F84A30" w:rsidRDefault="00EB7ED2" w:rsidP="00EB7ED2">
      <w:pPr>
        <w:pStyle w:val="Considrant"/>
      </w:pPr>
      <w:r w:rsidRPr="00F84A30">
        <w:t>Käesoleva otsuse lisas sätestatud lepingu tüüptingimustes ühendatakse üldtingimused moodulipõhise käsitlusviisiga, et võtta arvesse erinevaid edastamisstsenaariume ning tänapäevaste töötlemisahelate keerukust. Lisaks üldtingimustele peaksid vastutavad ja volitatud töötlejad valima nende olukorras kehtiva mooduli, et lähtuda lepingu tüüptingimustest neile tulenevates kohustustes sellest, milline on kõnealuse andmetöötluse puhul nende roll ja vastutus. Peaks olema võimalik, et lepingu tüüptingimusi järgib enam kui kaks poolt. Lisaks tuleks kogu aja jooksul, mil kehtib leping, mille osa need tüüptingimused moodustavad, lubada nende tingimustega ühineda ka täiendavatel vastutavatel ja volitatud töötlejatel andmeeksportijate või -importijatena.</w:t>
      </w:r>
    </w:p>
    <w:p w14:paraId="5A5BCD4E" w14:textId="4AA774DE" w:rsidR="00EB7ED2" w:rsidRPr="00F84A30" w:rsidRDefault="00EB7ED2" w:rsidP="00BD7CD0">
      <w:pPr>
        <w:pStyle w:val="Considrant"/>
      </w:pPr>
      <w:r w:rsidRPr="00F84A30">
        <w:t>Asjakohaste kaitsemeetmete pakkumiseks tuleks lepingu tüüptingimustega tagada, et sellel alusel edastatud isikuandmetele võimaldatud kaitsetase on sisuliselt samaväärne liidus tagatud kaitsetasemega</w:t>
      </w:r>
      <w:r w:rsidRPr="00F84A30">
        <w:rPr>
          <w:rStyle w:val="FootnoteReference"/>
        </w:rPr>
        <w:footnoteReference w:id="10"/>
      </w:r>
      <w:r w:rsidRPr="00F84A30">
        <w:t>. Töötlemise läbipaistvuse tagamiseks tuleks andmesubjektidele anda lepingu tüüptingimuste koopia ning neid tuleks teavitada eelkõige töödeldavate isikuandmete liikidest, õigusest saada lepingu tüüptingimuste koopia ning mis tahes edasisaatmisest. Andmeimportija teostatav edasisaatmine ühes muus kolmandas riigis asuvale kolmandale isikule peaks olema lubatud üksnes siis, kui see kolmas isik ühineb lepingu tüüptingimustega, kui kaitse jätkuvus tagatakse muul viisil, või eriolukordades, näiteks andmesubjekti sõnaselgel teavitatud nõusolekul.</w:t>
      </w:r>
    </w:p>
    <w:p w14:paraId="0EE018AF" w14:textId="6777D2A3" w:rsidR="00EB7ED2" w:rsidRPr="00F84A30" w:rsidRDefault="00EB7ED2" w:rsidP="00EB7ED2">
      <w:pPr>
        <w:pStyle w:val="Considrant"/>
      </w:pPr>
      <w:r w:rsidRPr="00F84A30">
        <w:t>Mõningate eranditega, eelkõige seoses teatavate kohustustega, mis puudutavad eranditult andmeeksportija ja andmeimportija vahelist suhet, peaksid andmesubjektid soodustatud kolmandate isikutena saama tugineda lepingu tüüptingimustele ja vajaduse korral nõuda nende täitmist. Seetõttu, kuigi pooltel peaks olema lubatud lepingu tüüptingimusi reguleeriva õigusena valida ühe liikmesriigi õigus, peavad selles õiguses olema ette nähtud soodustatud kolmandate isikute õigused. Individuaalse õiguskaitse hõlbustamiseks tuleks lepingu tüüptingimustes nõuda, et andmeimportija teeks andmesubjektidele teatavaks kontaktpunkti ning tegeleks viivitamata mis tahes kaebuste või päringutega. Andmeimportija ja oma õigustele soodustatud kolmanda isikuna tugineva andmesubjekti vahelise vaidluse korral peaks andmesubjekt saama esitada kaebuse pädevale järelevalveasutusele või pöörduda vaidlusega ELi pädevatesse kohtutesse.</w:t>
      </w:r>
    </w:p>
    <w:p w14:paraId="461FA1E7" w14:textId="6F22FFED" w:rsidR="00EB7ED2" w:rsidRPr="00F84A30" w:rsidRDefault="00EB7ED2" w:rsidP="00EB7ED2">
      <w:pPr>
        <w:pStyle w:val="Considrant"/>
      </w:pPr>
      <w:r w:rsidRPr="00F84A30">
        <w:t>Selleks et tagada tulemuslik täitmine, tuleks andmeimportijalt nõuda, et ta nõustub sellisele asutusele ja sellistele kohtutele alluma ning kohustub täitma liikmesriigis kohaldatava õiguse kohast mis tahes siduvat otsust. Eelkõige peaks andmeimportija nõustuma sellega, et ta vastab päringutele, võimaldab enda juures auditeid ning järgib järelevalveasutuse vastu võetud meetmeid, sealhulgas parandus- ja kompensatsioonimeetmeid. Lisaks peaks andmeimportijal olema võimalik pakkuda andmesubjektidele võimalust tasuta pöörduda õiguskaitse saamiseks sõltumatu vaidluste lahendamise organi poole. Kooskõlas määruse (EL) 2016/679 artikli 80 lõikega 1 peaks olema lubatud, et kui andmesubjektid seda soovivad, esindavad neid vaidlustes andmeimportijaga kas ühendused või muud organid.</w:t>
      </w:r>
    </w:p>
    <w:p w14:paraId="4692FAD3" w14:textId="0949E3EF" w:rsidR="00EB7ED2" w:rsidRPr="00F84A30" w:rsidRDefault="00EB7ED2" w:rsidP="00EB7ED2">
      <w:pPr>
        <w:pStyle w:val="Considrant"/>
      </w:pPr>
      <w:r w:rsidRPr="00F84A30">
        <w:t>Lepingu tüüptingimustega tuleks näha ette eeskirjad seoses vastutuse jagunemisega poolte vahel ja andmesubjektide suhtes ning eeskirjad kahjude hüvitamise kohta poolte vahel. Kui andmesubjekt kannab lepingu tüüptingimuste kohaste soodustatud kolmanda isiku õiguste rikkumise tagajärjel varalist või mittevaralist kahju, peaks tal olema õigus hüvitisele. See ei tohiks piirata määruse (EL) 2016/679 kohast mis tahes vastutust.</w:t>
      </w:r>
    </w:p>
    <w:p w14:paraId="0FAD5DAD" w14:textId="48999BE6" w:rsidR="00EB7ED2" w:rsidRPr="00F84A30" w:rsidRDefault="00EB7ED2" w:rsidP="00EB7ED2">
      <w:pPr>
        <w:pStyle w:val="Considrant"/>
      </w:pPr>
      <w:r w:rsidRPr="00F84A30">
        <w:t>Kui andmed edastatakse volitatud töötlejana või alamtöötlejana tegutsevale andmeimportijale, tuleks kohaldada määruse (EL) 2016/679 artikli 28 lõikele 3 vastavaid konkreetseid nõudeid. Lepingu tüüptingimustega tuleks andmeimportijalt nõuda, et ta teeks kättesaadavaks kogu teabe, mis on vajalik käesolevates tingimustes ettenähtud kohustuste täitmise tõendamiseks, ning võimaldaks andmeeksportijal teha töötlemistoimingute auditeid ja aitaks neile kaasa. Juhul, kui andmeimportija kaasab kooskõlas määruse (EL) 2016/679 artikli 28 lõigetega 2 ja 4 mis tahes alamtöötleja, tuleks lepingu tüüptingimustes sätestada eeskätt andmeeksportija antava üldise või eriloa menetlus ning nõue sõlmida alamtöötlejaga kirjalik leping, et tagada tingimuste järgimisega antava kaitsetasemega samaväärne tase.</w:t>
      </w:r>
    </w:p>
    <w:p w14:paraId="08EF7457" w14:textId="77B49352" w:rsidR="00EB7ED2" w:rsidRPr="00F84A30" w:rsidRDefault="00EB7ED2" w:rsidP="00EB7ED2">
      <w:pPr>
        <w:pStyle w:val="Considrant"/>
      </w:pPr>
      <w:r w:rsidRPr="00F84A30">
        <w:t>Asjakohane on esitada lepingu tüüptingimustes erinevad kaitsemeetmed, mis hõlmavad konkreetset olukorda, kui liidus asuv volitatud töötleja edastab isikuandmeid kolmandas riigis asuvale vastutavale töötlejale, ning kajastada määruse (EL) 2016/679 kohaseid volitatud töötlejate piiratud iseseisvaid kohustusi. Eelkõige tuleks lepingu tüüptingimustes nõuda, et volitatud töötleja teavitaks vastutavat töötlejat, kui ta ei suuda järgida viimase juhiseid, sealhulgas kui need juhised lähevad vastuollu liidu andmekaitsealaste õigusaktidega, ning nõuda, et vastutav töötleja hoiduks mis tahes tegevusest, mis takistab volitatud töötlejal täita talle määrusest (EL) 2016/679 tulenevaid kohustusi. Samuti tuleks nõuda, et pooled aitaksid üksteist, kui on vaja vastata andmeimportija suhtes kohaldatava kohaliku õiguse või ELis andmetöötluse puhul määruse (EL) 2016/679 kohastele andmesubjekti päringutele ja taotlustele. Lisanõudeid, mis käsitlevad kolmanda sihtriigi seaduste mis tahes mõjusid vastutava töötleja tingimustele vastavusele, eeskätt seda, kuidas toimida edastatud isikuandmete avalikustamiseks kolmanda riigi avaliku sektori asutuste esitatud siduvate taotlustega, tuleks kohaldada juhul, kui liidu volitatud töötleja ühendab kolmanda riigi vastutavalt töötlejalt saadud isikuandmeid liidus asuva vastutava töötleja kogutud isikuandmetega. Sellised nõuded ei ole aga õigustatud, kui tegevuse edasiandmine hõlmab pelgalt vastutavalt töötlejalt saadud isikuandmete töötlemist ja tagasisaatmist ning kui see igal juhul kuulus ja kuulub kõnealuse kolmanda riigi kohtualluvusse.</w:t>
      </w:r>
    </w:p>
    <w:p w14:paraId="501A6EB9" w14:textId="77777777" w:rsidR="00F84A30" w:rsidRPr="00F84A30" w:rsidRDefault="00EB7ED2" w:rsidP="00EB7ED2">
      <w:pPr>
        <w:pStyle w:val="Considrant"/>
      </w:pPr>
      <w:r w:rsidRPr="00F84A30">
        <w:t>Pooled peaksid suutma tõendada, et nad järgivad lepingu tüüptingimusi. Eelkõige tuleks andmeimportijalt nõuda, et ta säilitaks asjakohaseid dokumente tema vastutusel tehtavate töötlemistoimingute kohta ning teavitaks andmeeksportijat viivitamata, kui ta mis tahes põhjusel ei suuda tingimusi järgida. Kui andmeimportija rikub lepingutingimusi või ei suuda neid täita, peaks andmeeksportija omakorda peatama edastamise ning eriti tõsistel juhtudel peaks tal olema õigus leping lõpetada, kuivõrd see puudutab isikuandmete töötlemist lepingu tüüptingimuste kohaselt. Juhul kui lepingutingimuste täitmist mõjutavad kohalikud seadused, peaksid kehtima erieeskirjad. Enne lepingu lõpetamist edastatud isikuandmed ja nende mis tahes koopiad tuleks andmeeksportija valikul kas andmeeksportijale tagastada või täielikult hävitada.</w:t>
      </w:r>
    </w:p>
    <w:p w14:paraId="20EC53F9" w14:textId="3C16C1ED" w:rsidR="00EB7ED2" w:rsidRPr="00F84A30" w:rsidRDefault="00EB7ED2" w:rsidP="00EB7ED2">
      <w:pPr>
        <w:pStyle w:val="Considrant"/>
      </w:pPr>
      <w:r w:rsidRPr="00F84A30">
        <w:t>Lepingu tüüptingimustes tuleks eelkõige Euroopa Kohtu praktikat</w:t>
      </w:r>
      <w:r w:rsidRPr="00F84A30">
        <w:rPr>
          <w:rStyle w:val="FootnoteReference"/>
        </w:rPr>
        <w:footnoteReference w:id="11"/>
      </w:r>
      <w:r w:rsidRPr="00F84A30">
        <w:t xml:space="preserve"> silmas pidades ette näha konkreetsed kaitsemeetmed, et arvestada kolmanda sihtriigi õigusaktide igasugust mõju andmeimportija poolsele tingimuste täitmisele, eelkõige seda, kuidas toimida edastatud isikuandmete avalikustamiseks kolmanda riigi avaliku sektori asutuste esitatud siduvate taotlustega.</w:t>
      </w:r>
    </w:p>
    <w:p w14:paraId="255E3008" w14:textId="13B19320" w:rsidR="00EB7ED2" w:rsidRPr="00F84A30" w:rsidRDefault="00EB7ED2" w:rsidP="00EB7ED2">
      <w:pPr>
        <w:pStyle w:val="Considrant"/>
      </w:pPr>
      <w:r w:rsidRPr="00F84A30">
        <w:t>Lepingu tüüptingimuste kohast isikuandmete edastamist ja töötlemist ei tohiks toimuda, kui kolmanda riigi seadused ja tavad takistavad andmeimportijal neid tingimusi täitmast. Siinjuures ei peaks lepingu tüüptingimustega vastuolus olevaks pidama kohalikke seadusi ja tavasid, mis järgivad põhiõiguste ja -vabaduste olemust ega lähe kaugemale sellest, mis on demokraatlikus ühiskonnas vajalik ja proportsionaalne, et kaitsta mõnd määruse (EL) 2016/679 artikli 23 lõikes 1 loetletud eesmärkidest. Pooled peaksid garanteerima, et lepingu tüüptingimustes kokku leppimise ajal ei ole neil põhjust arvata, nagu ei oleks andmeimportija suhtes kohaldatavad seadused või tavad nende nõuetega kooskõlas.</w:t>
      </w:r>
    </w:p>
    <w:p w14:paraId="29655BB4" w14:textId="55B8C78F" w:rsidR="00EB7ED2" w:rsidRPr="00F84A30" w:rsidRDefault="00EB7ED2" w:rsidP="00724557">
      <w:pPr>
        <w:pStyle w:val="Considrant"/>
      </w:pPr>
      <w:r w:rsidRPr="00F84A30">
        <w:t>Pooled peaksid eelkõige võtma arvesse edastamise konkreetseid asjaolusid (nagu lepingu sisu ja kestus, edastatavate andmete laad, saaja liik, töötlemise eesmärk), edastamise asjaolude suhtes asjakohaseid kolmanda sihtriigi seadusi ja tavasid ning lisaks lepingu tüüptingimustes sisalduvatele kehtestatud kaitsemeetmeid (sealhulgas isikuandmete edastamise ja sihtriigis töötlemise suhtes kohaldatavad asjakohased lepingulised, tehnilised ja korralduslikud meetmed). Mis puudutab nende seaduste ja tavade mõju lepingu tüüptingimuste täitmisele, siis võib üldhinnangu osana kaaluda eri elemente, sealhulgas usaldusväärset teavet seaduse praktilise kohaldamise kohta (näiteks kohtupraktika ja sõltumatute järelevalveorganite aruanded), taotluste olemasolu või puudumist samas tegevusvaldkonnas ja – rangetel tingimustel – andmeeksportija ja/või andmeimportija dokumenteeritud praktilist kogemust.</w:t>
      </w:r>
    </w:p>
    <w:p w14:paraId="307BD618" w14:textId="71476955" w:rsidR="00EB7ED2" w:rsidRPr="00F84A30" w:rsidRDefault="00EB7ED2" w:rsidP="00EB7ED2">
      <w:pPr>
        <w:pStyle w:val="Considrant"/>
      </w:pPr>
      <w:r w:rsidRPr="00F84A30">
        <w:t>Andmeimportija peaks andmeeksportijat teavitama, kui tal on pärast lepingu tüüptingimustes kokku leppimist põhjust arvata, et ta ei suuda lepingu tüüptingimusi täita. Kui andmeeksportija saab sellise teate või saab muul viisil teada, et andmeimportija ei suuda enam lepingu tüüptingimusi täita, peaks ta olukorraga tegelemiseks selgitama välja asjakohased meetmed, konsulteerides vajaduse korral pädeva järelevalveasutusega. Need meetmed võivad hõlmata andmeeksportija ja/või andmeimportija võetud lisameetmeid, näiteks tehnilisi ja korralduslikke meetmeid turvalisuse ja konfidentsiaalsuse tagamiseks. Andmeeksportijalt tuleks nõuda edastamise peatamist, kui ta leiab, et asjakohaseid kaitsemeetmeid ei ole võimalik tagada või kui pädev järelevalveasutus annab sellise korralduse.</w:t>
      </w:r>
    </w:p>
    <w:p w14:paraId="19D1180F" w14:textId="66201CDA" w:rsidR="00EB7ED2" w:rsidRPr="00F84A30" w:rsidRDefault="00157877" w:rsidP="00EB7ED2">
      <w:pPr>
        <w:pStyle w:val="Considrant"/>
      </w:pPr>
      <w:r w:rsidRPr="00F84A30">
        <w:t>Võimaluse korral peaks andmeimportija teavitama andmeeksportijat ja andmesubjekti, kui ta saab avaliku sektori asutuselt (sealhulgas õigusasutuselt) sihtriigi seaduste kohaselt õiguslikult siduva taotluse avalikustada vastavalt lepingu tüüptingimustele edastatud isikuandmeid. Samamoodi peaks ta neid teavitama, kui ta saab teada, et avaliku sektori asutused on kolmanda sihtriigi seaduste kohaselt saanud nendele isikuandmetele otsejuurdepääsu. Kui andmeimportija ei suuda kõigile jõupingutustele vaatamata andmeeksportijat ja/või andmesubjekti teatavatest avalikustamistaotlustest teavitada, annab ta andmeeksportijale taotluste kohta võimalikult palju asjakohast teavet. Lisaks peaks andmeimportija andma andmeeksportijale korrapäraste ajavahemike järel koondteavet. Samuti tuleks andmeimportijalt nõuda, et ta dokumenteeriks laekunud avalikustamistaotlused ja antud vastuse ning teeks selle teabe vastava taotluse korral kättesaadavaks andmeeksportijale või pädevale järelevalveasutusele või mõlemale. Kui andmeimportija järeldab pärast nende taotluste seaduslikkuse läbivaatamist vastavalt sihtriigi seadustele, et kolmanda sihtriigi seaduste kohaselt esineb mõjuv põhjus pidada taotlust ebaseaduslikuks, peaks ta selle vaidlustama, sealhulgas asjakohasel juhul kõigi kättesaadavate kaebamisvõimaluste ärakasutamisega. Igal juhul peaks andmeimportija juhul, kui ta enam ei suuda lepingu tüüptingimusi täita, sellest teavitama andmeeksportijat, sealhulgas siis, kui see on juhtunud avalikustamistaotluse tagajärjel.</w:t>
      </w:r>
    </w:p>
    <w:p w14:paraId="0594B9EA" w14:textId="78FFB647" w:rsidR="00EB7ED2" w:rsidRPr="00F84A30" w:rsidRDefault="00EB7ED2" w:rsidP="00EB7ED2">
      <w:pPr>
        <w:pStyle w:val="Considrant"/>
      </w:pPr>
      <w:r w:rsidRPr="00F84A30">
        <w:t>Kuna sidusrühmade vajadused, tehnoloogia ja töötlemistoimingud võivad muutuda, peaks komisjon määruse (EL) 2016/679 artiklis 97 osutatud korrapärase hindamise osana ja saadud kogemusi arvestades hindama lepingu tüüptingimuste toimimist.</w:t>
      </w:r>
    </w:p>
    <w:p w14:paraId="7916ED6D" w14:textId="04F50EA7" w:rsidR="00D67F28" w:rsidRPr="00F84A30" w:rsidRDefault="00EB7ED2" w:rsidP="008521FA">
      <w:pPr>
        <w:pStyle w:val="Considrant"/>
      </w:pPr>
      <w:r w:rsidRPr="00F84A30">
        <w:t>Otsus 2001/497/EÜ ja otsus 2010/87/EL tuleks tunnistada kehtetuks kolm kuud pärast käesoleva otsuse jõustumist. Sellel ajavahemikul peaksid andmeeksportijad ja andmeimportijad saama määruse (EL) 2016/679 artikli 46 lõike 1 tähenduses ikka kasutada otsustes 2001/497/EÜ ja 2010/87/EL sätestatud lepingu tüüptingimusi. Andmeeksportijad ja andmeimportijad peaksid saama määruse (EL) 2016/679 artikli 46 lõike 1 tähenduses veel 15 kuu jooksul jätkata tuginemist otsustes 2001/497/EÜ ja 2010/87/EL sätestatud lepingu tüüptingimustele, et täita enne nende otsuste kehtetuks tunnistamise kuupäeva nende vahel sõlmitud lepingut, kui lepingu esemeks olevad töötlemistoimingud ei muutu ning tingimustele tuginemisega tagatakse, et isikuandmete edastamise suhtes kohaldatakse määruse (EL) 2016/679 artikli 46 lõike 1 tähenduses asjakohaseid kaitsemeetmeid. Kui lepingus tehakse sellesisulisi muudatusi, tuleks andmeeksportijalt nõuda tuginemist uuele lepingukohasele andmete edastamise alusele, eeskätt asendades olemasolevad lepingu tüüptingimused käesoleva otsuse lisas sätestatud lepingu tüüptingimustega. Sama peaks kehtima lepinguga hõlmatud töötlemistoimingute jaoks alltöövõtu korras volitatud töötleja (alamtöötleja) kasutamisel.</w:t>
      </w:r>
    </w:p>
    <w:p w14:paraId="48957417" w14:textId="7B67D10F" w:rsidR="00EB7ED2" w:rsidRPr="00F84A30" w:rsidRDefault="00EB7ED2" w:rsidP="00EB7ED2">
      <w:pPr>
        <w:pStyle w:val="Considrant"/>
      </w:pPr>
      <w:r w:rsidRPr="00F84A30">
        <w:t>Määruse (EL) 2018/1725 artikli 42 lõike 1 ja 2 kohaselt konsulteeriti Euroopa Andmekaitseinspektori ja Euroopa Andmekaitsenõukoguga ning 14. jaanuaril 2021. aastal esitasid nad ühisarvamuse,</w:t>
      </w:r>
      <w:r w:rsidRPr="00F84A30">
        <w:rPr>
          <w:rStyle w:val="FootnoteReference"/>
        </w:rPr>
        <w:footnoteReference w:id="12"/>
      </w:r>
      <w:r w:rsidRPr="00F84A30">
        <w:t xml:space="preserve"> mida on käesoleva otsuse koostamisel arvesse võetud.</w:t>
      </w:r>
    </w:p>
    <w:p w14:paraId="289362C9" w14:textId="00811021" w:rsidR="00070205" w:rsidRPr="00F84A30" w:rsidRDefault="00EB7ED2" w:rsidP="00EB7ED2">
      <w:pPr>
        <w:pStyle w:val="Considrant"/>
      </w:pPr>
      <w:r w:rsidRPr="00F84A30">
        <w:t>Käesoleva otsusega ette nähtud meetmed on kooskõlas määruse (EL) 2016/679 artikli 93 kohaselt loodud komitee arvamusega,</w:t>
      </w:r>
    </w:p>
    <w:p w14:paraId="394176FC" w14:textId="483FDF94" w:rsidR="00070205" w:rsidRPr="00F84A30" w:rsidRDefault="00070205" w:rsidP="00C36A89">
      <w:pPr>
        <w:pStyle w:val="Formuledadoption"/>
      </w:pPr>
      <w:r w:rsidRPr="00F84A30">
        <w:t>ON VASTU VÕTNUD KÄESOLEVA OTSUSE:</w:t>
      </w:r>
    </w:p>
    <w:p w14:paraId="1F7E83B5" w14:textId="77777777" w:rsidR="00070205" w:rsidRPr="00F84A30" w:rsidRDefault="00070205" w:rsidP="00C36A89">
      <w:pPr>
        <w:pStyle w:val="Titrearticle"/>
      </w:pPr>
      <w:r w:rsidRPr="00F84A30">
        <w:t>Artikkel 1</w:t>
      </w:r>
    </w:p>
    <w:p w14:paraId="538F6848" w14:textId="0507B179" w:rsidR="00BC3487" w:rsidRPr="00F84A30" w:rsidRDefault="00BC3487" w:rsidP="00C5435C">
      <w:pPr>
        <w:pStyle w:val="NumPar1"/>
        <w:numPr>
          <w:ilvl w:val="0"/>
          <w:numId w:val="2"/>
        </w:numPr>
        <w:ind w:left="567" w:hanging="567"/>
      </w:pPr>
      <w:r w:rsidRPr="00F84A30">
        <w:t>Lisas sätestatud lepingu tüüptingimusi peetakse asjakohaseks kaitsemeetmeks määruse (EL) 2016/679 artikli 46 lõike 1 ja lõike 2 punkti c tähenduses, kui vastutav töötleja või volitatud töötleja, kelle suhtes kõnealust määrust (andmeeksportija), edastab isikuandmeid vastutavale töötlejale või volitatud töötlejale (alamtöötlejale), kelle tehtava andmetöötluse suhtes ei kohaldata seda määrust (andmeimportija).</w:t>
      </w:r>
    </w:p>
    <w:p w14:paraId="3FA06E78" w14:textId="55A2AE9E" w:rsidR="00070205" w:rsidRPr="00F84A30" w:rsidRDefault="00BC3487" w:rsidP="00C5435C">
      <w:pPr>
        <w:pStyle w:val="NumPar1"/>
        <w:ind w:left="567" w:hanging="567"/>
      </w:pPr>
      <w:r w:rsidRPr="00F84A30">
        <w:t>Samuti sätestatakse lepingu tüüptingimustes vastutavate töötlejate ja volitatud töötlejate õigused ja kohustused määruse (EL) 2016/679 artikli 28 lõigetes 3 ja 4 osutatud küsimustes seoses isikuandmete edastamisega vastutavalt töötlejalt volitatud töötlejale või volitatud töötlejalt alamtöötlejale.</w:t>
      </w:r>
    </w:p>
    <w:p w14:paraId="4CB1E645" w14:textId="651D7201" w:rsidR="00BC3487" w:rsidRPr="00F84A30" w:rsidRDefault="00BC3487" w:rsidP="00BC3487">
      <w:pPr>
        <w:pStyle w:val="Titrearticle"/>
      </w:pPr>
      <w:r w:rsidRPr="00F84A30">
        <w:t>Artikkel 2</w:t>
      </w:r>
    </w:p>
    <w:p w14:paraId="6E54E17E" w14:textId="77777777" w:rsidR="00F84A30" w:rsidRPr="00F84A30" w:rsidRDefault="007518A8" w:rsidP="00BC3487">
      <w:r w:rsidRPr="00F84A30">
        <w:t xml:space="preserve">Kui liikmesriigi pädevad asutused kasutavad määruse (EL) 2016/679 artikli 58 kohaseid parandusvolitusi vastusena olukorrale, kus andmeimportija suhtes kohaldatakse või hakatakse kohaldama kolmanda sihtriigi seadusi või tavasid, mis takistavad tal täita lisas sätestatud lepingu tüüptingimusi ning seetõttu peatatakse või keelustatakse andmete edastamine kolmandatesse riikidesse, teavitab asjaomane liikmesriik viivitamata komisjoni, kes edastab selle teabe teistele liikmesriikidele. </w:t>
      </w:r>
    </w:p>
    <w:p w14:paraId="0FB2B3DE" w14:textId="6DF86C05" w:rsidR="00BC3487" w:rsidRPr="00F84A30" w:rsidRDefault="00BC3487" w:rsidP="00BC3487">
      <w:pPr>
        <w:pStyle w:val="Titrearticle"/>
      </w:pPr>
      <w:r w:rsidRPr="00F84A30">
        <w:t>Artikkel 3</w:t>
      </w:r>
    </w:p>
    <w:p w14:paraId="55AAF322" w14:textId="034E1272" w:rsidR="00BC3487" w:rsidRPr="00F84A30" w:rsidRDefault="00BC3487" w:rsidP="00BC3487">
      <w:r w:rsidRPr="00F84A30">
        <w:t>Osana määruse (EL) 2016/679 artiklis 97 nõutud korrapärasest hindamisest hindab komisjon lisas sätestatud lepingu tüüptingimuste praktilist kohaldamist kogu saadaoleva teabe põhjal.</w:t>
      </w:r>
    </w:p>
    <w:p w14:paraId="1A3E54FE" w14:textId="0EDEFE7E" w:rsidR="00BC3487" w:rsidRPr="00F84A30" w:rsidRDefault="00BC3487" w:rsidP="00BC3487">
      <w:pPr>
        <w:pStyle w:val="Titrearticle"/>
      </w:pPr>
      <w:r w:rsidRPr="00F84A30">
        <w:t>Artikkel 4</w:t>
      </w:r>
    </w:p>
    <w:p w14:paraId="20379AF7" w14:textId="155192AA" w:rsidR="00961DA5" w:rsidRPr="00F84A30" w:rsidRDefault="00070205" w:rsidP="00C5435C">
      <w:pPr>
        <w:pStyle w:val="NumPar1"/>
        <w:numPr>
          <w:ilvl w:val="0"/>
          <w:numId w:val="4"/>
        </w:numPr>
      </w:pPr>
      <w:r w:rsidRPr="00F84A30">
        <w:t xml:space="preserve">Käesolev otsus jõustub kahekümnendal päeval pärast selle avaldamist </w:t>
      </w:r>
      <w:r w:rsidRPr="00F84A30">
        <w:rPr>
          <w:i/>
        </w:rPr>
        <w:t>Euroopa Liidu Teatajas</w:t>
      </w:r>
      <w:r w:rsidRPr="00F84A30">
        <w:t>.</w:t>
      </w:r>
    </w:p>
    <w:p w14:paraId="2D0DDCC9" w14:textId="6AF97256" w:rsidR="00BC3487" w:rsidRPr="00F84A30" w:rsidRDefault="00BC3487" w:rsidP="00F16261">
      <w:pPr>
        <w:pStyle w:val="NumPar1"/>
        <w:numPr>
          <w:ilvl w:val="0"/>
          <w:numId w:val="4"/>
        </w:numPr>
      </w:pPr>
      <w:r w:rsidRPr="00F84A30">
        <w:t xml:space="preserve">Otsus 2001/497/EÜ tunnistatakse kehtetuks alates </w:t>
      </w:r>
      <w:r w:rsidRPr="00F84A30">
        <w:rPr>
          <w:highlight w:val="yellow"/>
        </w:rPr>
        <w:t>[Väljaannete Talitus, palun sisestada kuupäev: kolm kuud pärast artikli 4 lõikes 1 osutatud kuupäeva]</w:t>
      </w:r>
      <w:r w:rsidRPr="00F84A30">
        <w:t>.</w:t>
      </w:r>
    </w:p>
    <w:p w14:paraId="07DBD49A" w14:textId="33F141C7" w:rsidR="00BC3487" w:rsidRPr="00F84A30" w:rsidRDefault="00BC3487" w:rsidP="00F16261">
      <w:pPr>
        <w:pStyle w:val="NumPar1"/>
      </w:pPr>
      <w:r w:rsidRPr="00F84A30">
        <w:t xml:space="preserve">Otsus 2010/87/EL tunnistatakse kehtetuks alates </w:t>
      </w:r>
      <w:r w:rsidRPr="00F84A30">
        <w:rPr>
          <w:highlight w:val="yellow"/>
        </w:rPr>
        <w:t>Väljaannete Talitus, palun sisestada kuupäev: kolm kuud pärast artikli 4 lõikes 1 osutatud kuupäeva]</w:t>
      </w:r>
      <w:r w:rsidRPr="00F84A30">
        <w:t>.</w:t>
      </w:r>
    </w:p>
    <w:p w14:paraId="6BE5E755" w14:textId="7248C236" w:rsidR="00BC3487" w:rsidRPr="00F84A30" w:rsidRDefault="00F16261" w:rsidP="001356F0">
      <w:pPr>
        <w:pStyle w:val="NumPar1"/>
      </w:pPr>
      <w:r w:rsidRPr="00F84A30">
        <w:t xml:space="preserve">Otsuse 2001/497/EÜ või otsuse 2010/87/EL alusel enne </w:t>
      </w:r>
      <w:r w:rsidRPr="00F84A30">
        <w:rPr>
          <w:highlight w:val="yellow"/>
        </w:rPr>
        <w:t>[Väljaannete Talitus, palun sisestada sama kuupäev kui artikli 4 lõigetes 2 ja 3]</w:t>
      </w:r>
      <w:r w:rsidRPr="00F84A30">
        <w:t xml:space="preserve"> sõlmitud lepinguid käsitatakse nii, et need pakuvad kuni </w:t>
      </w:r>
      <w:r w:rsidRPr="00F84A30">
        <w:rPr>
          <w:highlight w:val="yellow"/>
        </w:rPr>
        <w:t>[Väljaannete Talitus, palun sisestada kuupäev: 15 kuud alates artikli 4 lõigetes 2 ja 3 osutatud kuupäevast]</w:t>
      </w:r>
      <w:r w:rsidRPr="00F84A30">
        <w:t xml:space="preserve"> asjakohaseid kaitsemeetmeid määruse (EL) 2016/679 artikli 46 lõike 1 tähenduses, tingimusel et lepingu esemeks olevad töötlemistoimingud ei muutu ning tingimustele tuginemisega tagatakse isikuandmete edastamise suhtes asjakohaste kaitsemeetmete kohaldamine.</w:t>
      </w:r>
    </w:p>
    <w:p w14:paraId="6DE897E5" w14:textId="6B9D2542" w:rsidR="00070205" w:rsidRPr="00F84A30" w:rsidRDefault="00497462" w:rsidP="00497462">
      <w:pPr>
        <w:pStyle w:val="Fait"/>
      </w:pPr>
      <w:r w:rsidRPr="00F84A30">
        <w:t>Brüssel,</w:t>
      </w:r>
    </w:p>
    <w:p w14:paraId="0F181B50" w14:textId="77777777" w:rsidR="00070205" w:rsidRPr="00F84A30" w:rsidRDefault="00070205" w:rsidP="00070205">
      <w:pPr>
        <w:pStyle w:val="Institutionquisigne"/>
      </w:pPr>
      <w:r w:rsidRPr="00F84A30">
        <w:tab/>
        <w:t>Komisjoni nimel</w:t>
      </w:r>
    </w:p>
    <w:p w14:paraId="2ADC8DED" w14:textId="2BC98DB0" w:rsidR="00070205" w:rsidRPr="00F84A30" w:rsidRDefault="00070205" w:rsidP="00070205">
      <w:pPr>
        <w:pStyle w:val="Personnequisigne"/>
      </w:pPr>
      <w:r w:rsidRPr="00F84A30">
        <w:tab/>
        <w:t>p</w:t>
      </w:r>
      <w:r w:rsidR="003864FA">
        <w:t xml:space="preserve">resident </w:t>
      </w:r>
      <w:r w:rsidR="003864FA">
        <w:br/>
      </w:r>
      <w:r w:rsidR="003864FA">
        <w:tab/>
        <w:t>Ursula VON DER LEYEN</w:t>
      </w:r>
      <w:r w:rsidRPr="00F84A30">
        <w:t xml:space="preserve"> </w:t>
      </w:r>
      <w:r w:rsidRPr="00F84A30">
        <w:br/>
      </w:r>
      <w:r w:rsidRPr="00F84A30">
        <w:tab/>
        <w:t xml:space="preserve"> </w:t>
      </w:r>
      <w:r w:rsidRPr="00F84A30">
        <w:br/>
      </w:r>
    </w:p>
    <w:sectPr w:rsidR="00070205" w:rsidRPr="00F84A30" w:rsidSect="003864FA">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51B28" w14:textId="77777777" w:rsidR="00C36A89" w:rsidRPr="006F1D4B" w:rsidRDefault="00C36A89" w:rsidP="00070205">
      <w:pPr>
        <w:spacing w:before="0" w:after="0"/>
      </w:pPr>
      <w:r>
        <w:separator/>
      </w:r>
    </w:p>
  </w:endnote>
  <w:endnote w:type="continuationSeparator" w:id="0">
    <w:p w14:paraId="0FE7D0DF" w14:textId="77777777" w:rsidR="00C36A89" w:rsidRPr="006F1D4B" w:rsidRDefault="00C36A89" w:rsidP="000702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A16E" w14:textId="41492902" w:rsidR="00C36A89" w:rsidRPr="003864FA" w:rsidRDefault="003864FA" w:rsidP="003864FA">
    <w:pPr>
      <w:pStyle w:val="Footer"/>
      <w:rPr>
        <w:rFonts w:ascii="Arial" w:hAnsi="Arial" w:cs="Arial"/>
        <w:b/>
        <w:sz w:val="48"/>
      </w:rPr>
    </w:pPr>
    <w:r w:rsidRPr="003864FA">
      <w:rPr>
        <w:rFonts w:ascii="Arial" w:hAnsi="Arial" w:cs="Arial"/>
        <w:b/>
        <w:sz w:val="48"/>
      </w:rPr>
      <w:t>ET</w:t>
    </w:r>
    <w:r w:rsidRPr="003864FA">
      <w:rPr>
        <w:rFonts w:ascii="Arial" w:hAnsi="Arial" w:cs="Arial"/>
        <w:b/>
        <w:sz w:val="48"/>
      </w:rPr>
      <w:tab/>
    </w:r>
    <w:r w:rsidRPr="003864FA">
      <w:rPr>
        <w:rFonts w:ascii="Arial" w:hAnsi="Arial" w:cs="Arial"/>
        <w:b/>
        <w:sz w:val="48"/>
      </w:rPr>
      <w:tab/>
    </w:r>
    <w:r w:rsidRPr="003864FA">
      <w:tab/>
    </w:r>
    <w:r w:rsidRPr="003864FA">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FEE17" w14:textId="0136EA77" w:rsidR="003864FA" w:rsidRPr="003864FA" w:rsidRDefault="003864FA" w:rsidP="003864FA">
    <w:pPr>
      <w:pStyle w:val="Footer"/>
      <w:rPr>
        <w:rFonts w:ascii="Arial" w:hAnsi="Arial" w:cs="Arial"/>
        <w:b/>
        <w:sz w:val="48"/>
      </w:rPr>
    </w:pPr>
    <w:r w:rsidRPr="003864FA">
      <w:rPr>
        <w:rFonts w:ascii="Arial" w:hAnsi="Arial" w:cs="Arial"/>
        <w:b/>
        <w:sz w:val="48"/>
      </w:rPr>
      <w:t>ET</w:t>
    </w:r>
    <w:r w:rsidRPr="003864FA">
      <w:rPr>
        <w:rFonts w:ascii="Arial" w:hAnsi="Arial" w:cs="Arial"/>
        <w:b/>
        <w:sz w:val="48"/>
      </w:rPr>
      <w:tab/>
    </w:r>
    <w:r>
      <w:fldChar w:fldCharType="begin"/>
    </w:r>
    <w:r>
      <w:instrText xml:space="preserve"> PAGE  \* MERGEFORMAT </w:instrText>
    </w:r>
    <w:r>
      <w:fldChar w:fldCharType="separate"/>
    </w:r>
    <w:r w:rsidR="00196896">
      <w:rPr>
        <w:noProof/>
      </w:rPr>
      <w:t>1</w:t>
    </w:r>
    <w:r>
      <w:fldChar w:fldCharType="end"/>
    </w:r>
    <w:r>
      <w:tab/>
    </w:r>
    <w:r w:rsidRPr="003864FA">
      <w:tab/>
    </w:r>
    <w:r w:rsidRPr="003864FA">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F9D1D" w14:textId="77777777" w:rsidR="003864FA" w:rsidRPr="003864FA" w:rsidRDefault="003864FA" w:rsidP="00386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D75B7" w14:textId="77777777" w:rsidR="00C36A89" w:rsidRPr="006F1D4B" w:rsidRDefault="00C36A89" w:rsidP="00070205">
      <w:pPr>
        <w:spacing w:before="0" w:after="0"/>
      </w:pPr>
      <w:r>
        <w:separator/>
      </w:r>
    </w:p>
  </w:footnote>
  <w:footnote w:type="continuationSeparator" w:id="0">
    <w:p w14:paraId="239B9F7B" w14:textId="77777777" w:rsidR="00C36A89" w:rsidRPr="006F1D4B" w:rsidRDefault="00C36A89" w:rsidP="00070205">
      <w:pPr>
        <w:spacing w:before="0" w:after="0"/>
      </w:pPr>
      <w:r>
        <w:continuationSeparator/>
      </w:r>
    </w:p>
  </w:footnote>
  <w:footnote w:id="1">
    <w:p w14:paraId="7820F4DE" w14:textId="7632ADA5" w:rsidR="004B5724" w:rsidRPr="006A121A" w:rsidRDefault="004B5724">
      <w:pPr>
        <w:pStyle w:val="FootnoteText"/>
      </w:pPr>
      <w:r>
        <w:rPr>
          <w:rStyle w:val="FootnoteReference"/>
        </w:rPr>
        <w:footnoteRef/>
      </w:r>
      <w:r>
        <w:tab/>
        <w:t>ELT L 119, 4.5.2016, lk 1.</w:t>
      </w:r>
    </w:p>
  </w:footnote>
  <w:footnote w:id="2">
    <w:p w14:paraId="14ACAFDD" w14:textId="53B6CCEA" w:rsidR="004B5724" w:rsidRPr="006A121A" w:rsidRDefault="004B5724">
      <w:pPr>
        <w:pStyle w:val="FootnoteText"/>
      </w:pPr>
      <w:r>
        <w:rPr>
          <w:rStyle w:val="FootnoteReference"/>
        </w:rPr>
        <w:footnoteRef/>
      </w:r>
      <w:r>
        <w:tab/>
        <w:t>Määruse (EL) 2016/679 artikkel 44.</w:t>
      </w:r>
    </w:p>
  </w:footnote>
  <w:footnote w:id="3">
    <w:p w14:paraId="1FD4A8A0" w14:textId="77777777" w:rsidR="004B5724" w:rsidRPr="004B5724" w:rsidRDefault="004B5724" w:rsidP="004B5724">
      <w:pPr>
        <w:pStyle w:val="FootnoteText"/>
      </w:pPr>
      <w:r>
        <w:rPr>
          <w:rStyle w:val="FootnoteReference"/>
        </w:rPr>
        <w:footnoteRef/>
      </w:r>
      <w:r>
        <w:tab/>
        <w:t xml:space="preserve">Vt ka Euroopa Kohtu 16. juuli 2020. aasta otsus kohtuasjas C-311/18, Data Protection Commissioner </w:t>
      </w:r>
      <w:r>
        <w:rPr>
          <w:i/>
          <w:iCs/>
        </w:rPr>
        <w:t>vs</w:t>
      </w:r>
      <w:r>
        <w:t>. Facebook Ireland Ltd ja Maximillian Schrems („Schrems II“), ECLI:EU:C:2020:559, punkt 93.</w:t>
      </w:r>
    </w:p>
    <w:p w14:paraId="69287943" w14:textId="17829B76" w:rsidR="004B5724" w:rsidRPr="004B5724" w:rsidRDefault="004B5724">
      <w:pPr>
        <w:pStyle w:val="FootnoteText"/>
      </w:pPr>
    </w:p>
  </w:footnote>
  <w:footnote w:id="4">
    <w:p w14:paraId="3B74AE4D" w14:textId="04983C74" w:rsidR="004B5724" w:rsidRPr="006A121A" w:rsidRDefault="004B5724">
      <w:pPr>
        <w:pStyle w:val="FootnoteText"/>
      </w:pPr>
      <w:r>
        <w:rPr>
          <w:rStyle w:val="FootnoteReference"/>
        </w:rPr>
        <w:footnoteRef/>
      </w:r>
      <w:r>
        <w:tab/>
        <w:t>Määruse (EL) 2016/679 põhjendus 109.</w:t>
      </w:r>
    </w:p>
  </w:footnote>
  <w:footnote w:id="5">
    <w:p w14:paraId="4B4E107A" w14:textId="5733D7D2" w:rsidR="004B5724" w:rsidRPr="004B5724" w:rsidRDefault="004B5724">
      <w:pPr>
        <w:pStyle w:val="FootnoteText"/>
      </w:pPr>
      <w:r>
        <w:rPr>
          <w:rStyle w:val="FootnoteReference"/>
        </w:rPr>
        <w:footnoteRef/>
      </w:r>
      <w:r>
        <w:tab/>
        <w:t>Komisjoni 15. juuni 2001. aasta otsus 2001/497/EL kolmandatesse riikidesse isikuandmete edastamise lepingu tüüptingimuste kohta direktiivi 95/46/EÜ alusel (EÜT L 181, 4.7.2001, lk 19).</w:t>
      </w:r>
    </w:p>
  </w:footnote>
  <w:footnote w:id="6">
    <w:p w14:paraId="72FA0FBB" w14:textId="1A3CC73A" w:rsidR="004B5724" w:rsidRPr="004B5724" w:rsidRDefault="004B5724">
      <w:pPr>
        <w:pStyle w:val="FootnoteText"/>
      </w:pPr>
      <w:r>
        <w:rPr>
          <w:rStyle w:val="FootnoteReference"/>
        </w:rPr>
        <w:footnoteRef/>
      </w:r>
      <w:r>
        <w:tab/>
        <w:t>Komisjoni 5. veebruari 2010. aasta otsus 2010/87/EL kolmandates riikides asuvatele volitatud töötlejatele isikuandmete edastamise lepingu tüüptingimuste kohta nõukogu ja Euroopa Parlamendi direktiivi 95/46/EÜ alusel (ELT L 39, 12.2.2010, lk 5).</w:t>
      </w:r>
    </w:p>
  </w:footnote>
  <w:footnote w:id="7">
    <w:p w14:paraId="69639D4A" w14:textId="07AD5383" w:rsidR="004B5724" w:rsidRPr="004B5724" w:rsidRDefault="004B5724">
      <w:pPr>
        <w:pStyle w:val="FootnoteText"/>
      </w:pPr>
      <w:r>
        <w:rPr>
          <w:rStyle w:val="FootnoteReference"/>
        </w:rPr>
        <w:footnoteRef/>
      </w:r>
      <w:r>
        <w:tab/>
        <w:t>Euroopa Parlamendi ja nõukogu 24. oktoobri 1995. aasta direktiiv 95/46/EÜ üksikisikute kaitse kohta isikuandmete töötlemisel ja selliste andmete vaba liikumise kohta (EÜT L 281, 23.11.1995, lk 31).</w:t>
      </w:r>
    </w:p>
  </w:footnote>
  <w:footnote w:id="8">
    <w:p w14:paraId="13D8FC7C" w14:textId="243B6CBC" w:rsidR="004B5724" w:rsidRPr="004B5724" w:rsidRDefault="004B5724">
      <w:pPr>
        <w:pStyle w:val="FootnoteText"/>
      </w:pPr>
      <w:r>
        <w:rPr>
          <w:rStyle w:val="FootnoteReference"/>
        </w:rPr>
        <w:footnoteRef/>
      </w:r>
      <w:r>
        <w:tab/>
        <w:t>Euroopa Parlamendi ja nõukogu 23. oktoobri 2018. aasta määrus (EL) 2018/1725, mis käsitleb füüsiliste isikute kaitset isikuandmete töötlemisel liidu institutsioonides, organites ja asutustes ning isikuandmete vaba liikumist, ning millega tunnistatakse kehtetuks määrus (EÜ) nr 45/2001 ja otsus nr 1247/2002/EÜ (ELT L 295, 21.11.2018, lk 39). Vt põhjendus 5.</w:t>
      </w:r>
    </w:p>
  </w:footnote>
  <w:footnote w:id="9">
    <w:p w14:paraId="35AD7AC6" w14:textId="7F16560E" w:rsidR="004B5724" w:rsidRPr="006A121A" w:rsidRDefault="004B5724">
      <w:pPr>
        <w:pStyle w:val="FootnoteText"/>
      </w:pPr>
      <w:r>
        <w:rPr>
          <w:rStyle w:val="FootnoteReference"/>
        </w:rPr>
        <w:footnoteRef/>
      </w:r>
      <w:r>
        <w:tab/>
        <w:t>C(2021)3701.</w:t>
      </w:r>
    </w:p>
  </w:footnote>
  <w:footnote w:id="10">
    <w:p w14:paraId="153B3BD2" w14:textId="547EFAD1" w:rsidR="004B5724" w:rsidRPr="004B5724" w:rsidRDefault="004B5724">
      <w:pPr>
        <w:pStyle w:val="FootnoteText"/>
      </w:pPr>
      <w:r>
        <w:rPr>
          <w:rStyle w:val="FootnoteReference"/>
        </w:rPr>
        <w:footnoteRef/>
      </w:r>
      <w:r>
        <w:tab/>
      </w:r>
      <w:r>
        <w:rPr>
          <w:i/>
        </w:rPr>
        <w:t>Schrems II</w:t>
      </w:r>
      <w:r>
        <w:t>, punktid 96 ja 103. Vt ka määruse (EL) 2016/679 põhjendused 108 ja 114.</w:t>
      </w:r>
    </w:p>
  </w:footnote>
  <w:footnote w:id="11">
    <w:p w14:paraId="1FFBEDA4" w14:textId="400AC41E" w:rsidR="004B5724" w:rsidRPr="006A121A" w:rsidRDefault="004B5724">
      <w:pPr>
        <w:pStyle w:val="FootnoteText"/>
      </w:pPr>
      <w:r>
        <w:rPr>
          <w:rStyle w:val="FootnoteReference"/>
        </w:rPr>
        <w:footnoteRef/>
      </w:r>
      <w:r>
        <w:tab/>
      </w:r>
      <w:r>
        <w:rPr>
          <w:i/>
        </w:rPr>
        <w:t>Schrems II</w:t>
      </w:r>
      <w:r>
        <w:t>.</w:t>
      </w:r>
    </w:p>
  </w:footnote>
  <w:footnote w:id="12">
    <w:p w14:paraId="58CC1499" w14:textId="72D112B4" w:rsidR="004B5724" w:rsidRPr="004B5724" w:rsidRDefault="004B5724">
      <w:pPr>
        <w:pStyle w:val="FootnoteText"/>
      </w:pPr>
      <w:r>
        <w:rPr>
          <w:rStyle w:val="FootnoteReference"/>
        </w:rPr>
        <w:footnoteRef/>
      </w:r>
      <w:r>
        <w:tab/>
        <w:t>Euroopa Andmekaitsenõukogu ja Euroopa Andmekaitseinspektori ühisarvamus 2/2021, mis käsitleb Euroopa Komisjoni rakendusotsust kolmandatesse riikidesse isikuandmete edastamise lepingu tüüptingimuste kohta määruse (EL) 2016/679 artikli 46 lõike 2 punktis c osutatud küsimustes.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6785BE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F084B0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F14C18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0F0E2C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E8868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65017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E0E7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4"/>
  </w:num>
  <w:num w:numId="8">
    <w:abstractNumId w:val="3"/>
  </w:num>
  <w:num w:numId="9">
    <w:abstractNumId w:val="2"/>
  </w:num>
  <w:num w:numId="10">
    <w:abstractNumId w:val="1"/>
  </w:num>
  <w:num w:numId="11">
    <w:abstractNumId w:val="0"/>
  </w:num>
  <w:num w:numId="12">
    <w:abstractNumId w:val="21"/>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20"/>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5-21 18:51:1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VERPAGE_EXISTS" w:val="True"/>
    <w:docVar w:name="LW_COVERPAGE_GUID" w:val="A69D72E4-5DB1-48FF-8893-A3EF58C94F67"/>
    <w:docVar w:name="LW_COVERPAGE_TYPE" w:val="1"/>
    <w:docVar w:name="LW_CROSSREFERENCE" w:val="&lt;UNUSED&gt;"/>
    <w:docVar w:name="LW_DATE.ADOPT.CP" w:val="XXX,"/>
    <w:docVar w:name="LW_DATE.ADOPT.CP_DATEFORMAT" w:val="%DATE%,"/>
    <w:docVar w:name="LW_DATE.ADOPT.CP_ISODATE" w:val="&lt;EMPTY&gt;"/>
    <w:docVar w:name="LW_DocType" w:val="COM"/>
    <w:docVar w:name="LW_EMISSION" w:val="&lt;EMPTY&gt;"/>
    <w:docVar w:name="LW_EMISSION_ISODATE" w:val="&lt;EMPTY&gt;"/>
    <w:docVar w:name="LW_EMISSION_LOCATION" w:val="BRX"/>
    <w:docVar w:name="LW_EMISSION_PREFIX" w:val="Brüssel,"/>
    <w:docVar w:name="LW_EMISSION_SUFFIX" w:val=" "/>
    <w:docVar w:name="LW_ID_DOCMODEL" w:val="SJ-032"/>
    <w:docVar w:name="LW_ID_DOCSIGNATURE" w:val="SJ-032"/>
    <w:docVar w:name="LW_ID_DOCSTRUCTURE" w:val="COM/AA"/>
    <w:docVar w:name="LW_ID_DOCTYPE" w:val="SJ-032"/>
    <w:docVar w:name="LW_INTERETEEE" w:val="(EMPs kohaldatav tekst)"/>
    <w:docVar w:name="LW_INTERETEEE.CP" w:val="(EMPs kohaldatav tekst)"/>
    <w:docVar w:name="LW_LANGUE" w:val="ET"/>
    <w:docVar w:name="LW_LANGUESFAISANTFOI.CP" w:val="&lt;UNUSED&gt;"/>
    <w:docVar w:name="LW_LEVEL_OF_SENSITIVITY" w:val="Standard treatment"/>
    <w:docVar w:name="LW_NOM.INST" w:val="EUROOPA KOMISJON"/>
    <w:docVar w:name="LW_NOM.INST_JOINTDOC" w:val="&lt;EMPTY&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 w:val="kolmandatesse riikidesse isikuandmete edastamise lepingu tüüptingimuste kohta vastavalt Euroopa Parlamendi ja nõukogu määrusele (EL) 2016/679"/>
    <w:docVar w:name="LW_TITRE.OBJ.CP" w:val="kolmandatesse riikidesse isikuandmete edastamise lepingu tüüptingimuste kohta vastavalt Euroopa Parlamendi ja nõukogu määrusele (EL) 2016/679"/>
    <w:docVar w:name="LW_TYPE.DOC" w:val="KOMISJONI RAKENDUSOTSUS (EL) \u8230?/\u8230?,"/>
    <w:docVar w:name="LW_TYPE.DOC.CP" w:val="KOMISJONI RAKENDUSOTSUS (EL) \u8230?/\u8230?,"/>
    <w:docVar w:name="Stamp" w:val="\\dossiers.dgt.cec.eu.int\dossiers\JUST\JUST-2021-01653\JUST-2021-01653-00-00-EN-EDT-00.202103301302502862626.DOCX"/>
  </w:docVars>
  <w:rsids>
    <w:rsidRoot w:val="00070205"/>
    <w:rsid w:val="00004D59"/>
    <w:rsid w:val="00015492"/>
    <w:rsid w:val="00031779"/>
    <w:rsid w:val="00043A49"/>
    <w:rsid w:val="00046169"/>
    <w:rsid w:val="00046AD0"/>
    <w:rsid w:val="000570B2"/>
    <w:rsid w:val="00070205"/>
    <w:rsid w:val="000709F2"/>
    <w:rsid w:val="00073534"/>
    <w:rsid w:val="00093AD9"/>
    <w:rsid w:val="0009706C"/>
    <w:rsid w:val="000A59C9"/>
    <w:rsid w:val="000A7517"/>
    <w:rsid w:val="000B73FE"/>
    <w:rsid w:val="000C0A91"/>
    <w:rsid w:val="000C1C57"/>
    <w:rsid w:val="000C285D"/>
    <w:rsid w:val="000C2DF4"/>
    <w:rsid w:val="000D0D65"/>
    <w:rsid w:val="000D600D"/>
    <w:rsid w:val="000D76BA"/>
    <w:rsid w:val="000D79DC"/>
    <w:rsid w:val="000E0EA5"/>
    <w:rsid w:val="000E198E"/>
    <w:rsid w:val="000E6B37"/>
    <w:rsid w:val="00115A95"/>
    <w:rsid w:val="00115F14"/>
    <w:rsid w:val="0012053D"/>
    <w:rsid w:val="00120701"/>
    <w:rsid w:val="00131575"/>
    <w:rsid w:val="0013419F"/>
    <w:rsid w:val="001356F0"/>
    <w:rsid w:val="00142728"/>
    <w:rsid w:val="00142F48"/>
    <w:rsid w:val="00157877"/>
    <w:rsid w:val="001735D5"/>
    <w:rsid w:val="0017451E"/>
    <w:rsid w:val="00181E8F"/>
    <w:rsid w:val="00195C32"/>
    <w:rsid w:val="00196896"/>
    <w:rsid w:val="001A36FE"/>
    <w:rsid w:val="001C2816"/>
    <w:rsid w:val="001D4EF4"/>
    <w:rsid w:val="001E3F0F"/>
    <w:rsid w:val="00216D82"/>
    <w:rsid w:val="00221358"/>
    <w:rsid w:val="00222641"/>
    <w:rsid w:val="00226F60"/>
    <w:rsid w:val="0023446A"/>
    <w:rsid w:val="00235DA9"/>
    <w:rsid w:val="00241172"/>
    <w:rsid w:val="00262E8A"/>
    <w:rsid w:val="00262F77"/>
    <w:rsid w:val="002800F4"/>
    <w:rsid w:val="0029032C"/>
    <w:rsid w:val="002A110A"/>
    <w:rsid w:val="002B2B40"/>
    <w:rsid w:val="002C2DFE"/>
    <w:rsid w:val="002C574D"/>
    <w:rsid w:val="002E62E0"/>
    <w:rsid w:val="00311FB2"/>
    <w:rsid w:val="003403AA"/>
    <w:rsid w:val="00377582"/>
    <w:rsid w:val="003864FA"/>
    <w:rsid w:val="003A239F"/>
    <w:rsid w:val="003B1F06"/>
    <w:rsid w:val="003D708C"/>
    <w:rsid w:val="003F12D1"/>
    <w:rsid w:val="003F7841"/>
    <w:rsid w:val="00415760"/>
    <w:rsid w:val="00434710"/>
    <w:rsid w:val="00437DA6"/>
    <w:rsid w:val="004426B1"/>
    <w:rsid w:val="00470D9B"/>
    <w:rsid w:val="0047771C"/>
    <w:rsid w:val="00484EB2"/>
    <w:rsid w:val="00497462"/>
    <w:rsid w:val="004A1BFF"/>
    <w:rsid w:val="004B0B93"/>
    <w:rsid w:val="004B5724"/>
    <w:rsid w:val="004C207A"/>
    <w:rsid w:val="004E24FC"/>
    <w:rsid w:val="004F16BA"/>
    <w:rsid w:val="0050522C"/>
    <w:rsid w:val="005220AD"/>
    <w:rsid w:val="00523439"/>
    <w:rsid w:val="005237F9"/>
    <w:rsid w:val="00523C03"/>
    <w:rsid w:val="0052761D"/>
    <w:rsid w:val="005321C1"/>
    <w:rsid w:val="0054020C"/>
    <w:rsid w:val="00553C65"/>
    <w:rsid w:val="0055728F"/>
    <w:rsid w:val="0056471C"/>
    <w:rsid w:val="00592150"/>
    <w:rsid w:val="005A47CA"/>
    <w:rsid w:val="005D31AA"/>
    <w:rsid w:val="005D6E58"/>
    <w:rsid w:val="005F6C79"/>
    <w:rsid w:val="006023A8"/>
    <w:rsid w:val="006161B9"/>
    <w:rsid w:val="0061782C"/>
    <w:rsid w:val="00654C00"/>
    <w:rsid w:val="00662CA7"/>
    <w:rsid w:val="00665C2E"/>
    <w:rsid w:val="0067053E"/>
    <w:rsid w:val="00673DAF"/>
    <w:rsid w:val="00675727"/>
    <w:rsid w:val="006806D2"/>
    <w:rsid w:val="00682A99"/>
    <w:rsid w:val="00691C4B"/>
    <w:rsid w:val="006950BF"/>
    <w:rsid w:val="006A121A"/>
    <w:rsid w:val="006A6BEF"/>
    <w:rsid w:val="006C1B9E"/>
    <w:rsid w:val="006C4C57"/>
    <w:rsid w:val="006C672A"/>
    <w:rsid w:val="006F0DCE"/>
    <w:rsid w:val="006F1D4B"/>
    <w:rsid w:val="0070128F"/>
    <w:rsid w:val="00705B75"/>
    <w:rsid w:val="007144A6"/>
    <w:rsid w:val="00724557"/>
    <w:rsid w:val="00745432"/>
    <w:rsid w:val="007518A8"/>
    <w:rsid w:val="00753E30"/>
    <w:rsid w:val="007731F4"/>
    <w:rsid w:val="007734FC"/>
    <w:rsid w:val="0079149F"/>
    <w:rsid w:val="007A4B72"/>
    <w:rsid w:val="007A7A8F"/>
    <w:rsid w:val="007B077B"/>
    <w:rsid w:val="007B13D3"/>
    <w:rsid w:val="007C06F6"/>
    <w:rsid w:val="007C1BCB"/>
    <w:rsid w:val="007E7F52"/>
    <w:rsid w:val="007F1CE7"/>
    <w:rsid w:val="00812D69"/>
    <w:rsid w:val="008243C3"/>
    <w:rsid w:val="00841AD9"/>
    <w:rsid w:val="008521FA"/>
    <w:rsid w:val="00853D11"/>
    <w:rsid w:val="00877377"/>
    <w:rsid w:val="00880ADF"/>
    <w:rsid w:val="008A20CA"/>
    <w:rsid w:val="008A708F"/>
    <w:rsid w:val="008B157E"/>
    <w:rsid w:val="008B2DE3"/>
    <w:rsid w:val="008B4CE2"/>
    <w:rsid w:val="008B5CCF"/>
    <w:rsid w:val="008C6D05"/>
    <w:rsid w:val="008F7E33"/>
    <w:rsid w:val="00921CD3"/>
    <w:rsid w:val="009268BF"/>
    <w:rsid w:val="0093581C"/>
    <w:rsid w:val="009422A2"/>
    <w:rsid w:val="00956552"/>
    <w:rsid w:val="00961DA5"/>
    <w:rsid w:val="009645DE"/>
    <w:rsid w:val="00981788"/>
    <w:rsid w:val="0098228E"/>
    <w:rsid w:val="00984CE1"/>
    <w:rsid w:val="00986B33"/>
    <w:rsid w:val="00987AD5"/>
    <w:rsid w:val="009A195B"/>
    <w:rsid w:val="009A7838"/>
    <w:rsid w:val="009B7138"/>
    <w:rsid w:val="009C07BF"/>
    <w:rsid w:val="009D56BE"/>
    <w:rsid w:val="00A17F8D"/>
    <w:rsid w:val="00A216B4"/>
    <w:rsid w:val="00A25B1F"/>
    <w:rsid w:val="00A3247B"/>
    <w:rsid w:val="00A47A2B"/>
    <w:rsid w:val="00A61E49"/>
    <w:rsid w:val="00AA2355"/>
    <w:rsid w:val="00AB4456"/>
    <w:rsid w:val="00AC0AE2"/>
    <w:rsid w:val="00AC3037"/>
    <w:rsid w:val="00AC42F2"/>
    <w:rsid w:val="00AE0D3E"/>
    <w:rsid w:val="00AE3AFE"/>
    <w:rsid w:val="00AE5258"/>
    <w:rsid w:val="00B01B7B"/>
    <w:rsid w:val="00B2380D"/>
    <w:rsid w:val="00B270E5"/>
    <w:rsid w:val="00B53906"/>
    <w:rsid w:val="00B55734"/>
    <w:rsid w:val="00B56FBE"/>
    <w:rsid w:val="00B8273E"/>
    <w:rsid w:val="00B86135"/>
    <w:rsid w:val="00B92DF9"/>
    <w:rsid w:val="00BA0EB4"/>
    <w:rsid w:val="00BA4D53"/>
    <w:rsid w:val="00BA7E14"/>
    <w:rsid w:val="00BB22F9"/>
    <w:rsid w:val="00BB266C"/>
    <w:rsid w:val="00BB427E"/>
    <w:rsid w:val="00BC3487"/>
    <w:rsid w:val="00BC5394"/>
    <w:rsid w:val="00BC6D7B"/>
    <w:rsid w:val="00BC71ED"/>
    <w:rsid w:val="00BD7CD0"/>
    <w:rsid w:val="00BE246D"/>
    <w:rsid w:val="00BF17AA"/>
    <w:rsid w:val="00BF4A5D"/>
    <w:rsid w:val="00C0517D"/>
    <w:rsid w:val="00C07B26"/>
    <w:rsid w:val="00C24556"/>
    <w:rsid w:val="00C33B16"/>
    <w:rsid w:val="00C36A89"/>
    <w:rsid w:val="00C5435C"/>
    <w:rsid w:val="00C74149"/>
    <w:rsid w:val="00C802B4"/>
    <w:rsid w:val="00C83EA3"/>
    <w:rsid w:val="00CE1C89"/>
    <w:rsid w:val="00CE5C17"/>
    <w:rsid w:val="00CF25EE"/>
    <w:rsid w:val="00D121C0"/>
    <w:rsid w:val="00D20CB6"/>
    <w:rsid w:val="00D250DD"/>
    <w:rsid w:val="00D43DA1"/>
    <w:rsid w:val="00D51DAE"/>
    <w:rsid w:val="00D63167"/>
    <w:rsid w:val="00D67E9A"/>
    <w:rsid w:val="00D67F28"/>
    <w:rsid w:val="00D735B2"/>
    <w:rsid w:val="00D75956"/>
    <w:rsid w:val="00D9261D"/>
    <w:rsid w:val="00D938F1"/>
    <w:rsid w:val="00D97432"/>
    <w:rsid w:val="00DA614F"/>
    <w:rsid w:val="00DE30E0"/>
    <w:rsid w:val="00DE42FA"/>
    <w:rsid w:val="00DE7927"/>
    <w:rsid w:val="00DF1A44"/>
    <w:rsid w:val="00DF2CC3"/>
    <w:rsid w:val="00DF43C5"/>
    <w:rsid w:val="00DF5E73"/>
    <w:rsid w:val="00E02D83"/>
    <w:rsid w:val="00E23737"/>
    <w:rsid w:val="00E307F0"/>
    <w:rsid w:val="00E376AF"/>
    <w:rsid w:val="00E40409"/>
    <w:rsid w:val="00E61BDB"/>
    <w:rsid w:val="00E63FC6"/>
    <w:rsid w:val="00E65786"/>
    <w:rsid w:val="00E74673"/>
    <w:rsid w:val="00E8693D"/>
    <w:rsid w:val="00E8713F"/>
    <w:rsid w:val="00EB4320"/>
    <w:rsid w:val="00EB4FBA"/>
    <w:rsid w:val="00EB7ED2"/>
    <w:rsid w:val="00ED2947"/>
    <w:rsid w:val="00ED2E04"/>
    <w:rsid w:val="00EF2260"/>
    <w:rsid w:val="00F13C4E"/>
    <w:rsid w:val="00F13EDC"/>
    <w:rsid w:val="00F16261"/>
    <w:rsid w:val="00F20062"/>
    <w:rsid w:val="00F416D1"/>
    <w:rsid w:val="00F55EF2"/>
    <w:rsid w:val="00F56E72"/>
    <w:rsid w:val="00F719D6"/>
    <w:rsid w:val="00F740AE"/>
    <w:rsid w:val="00F775D2"/>
    <w:rsid w:val="00F84A30"/>
    <w:rsid w:val="00F875F4"/>
    <w:rsid w:val="00FA132A"/>
    <w:rsid w:val="00FD2C01"/>
    <w:rsid w:val="00FD38AF"/>
    <w:rsid w:val="00FD6913"/>
    <w:rsid w:val="00FD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33C5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rsid w:val="009B7138"/>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3"/>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rsid w:val="00BC3487"/>
    <w:pPr>
      <w:numPr>
        <w:numId w:val="3"/>
      </w:numPr>
      <w:contextualSpacing/>
    </w:pPr>
  </w:style>
  <w:style w:type="paragraph" w:styleId="ListBullet">
    <w:name w:val="List Bullet"/>
    <w:basedOn w:val="Normal"/>
    <w:uiPriority w:val="99"/>
    <w:semiHidden/>
    <w:unhideWhenUsed/>
    <w:rsid w:val="00DF5E73"/>
    <w:pPr>
      <w:numPr>
        <w:numId w:val="5"/>
      </w:numPr>
      <w:contextualSpacing/>
    </w:pPr>
  </w:style>
  <w:style w:type="paragraph" w:styleId="ListBullet2">
    <w:name w:val="List Bullet 2"/>
    <w:basedOn w:val="Normal"/>
    <w:uiPriority w:val="99"/>
    <w:semiHidden/>
    <w:unhideWhenUsed/>
    <w:rsid w:val="00DF5E73"/>
    <w:pPr>
      <w:numPr>
        <w:numId w:val="6"/>
      </w:numPr>
      <w:contextualSpacing/>
    </w:pPr>
  </w:style>
  <w:style w:type="paragraph" w:styleId="ListBullet3">
    <w:name w:val="List Bullet 3"/>
    <w:basedOn w:val="Normal"/>
    <w:uiPriority w:val="99"/>
    <w:semiHidden/>
    <w:unhideWhenUsed/>
    <w:rsid w:val="00DF5E73"/>
    <w:pPr>
      <w:numPr>
        <w:numId w:val="7"/>
      </w:numPr>
      <w:contextualSpacing/>
    </w:pPr>
  </w:style>
  <w:style w:type="paragraph" w:styleId="ListBullet4">
    <w:name w:val="List Bullet 4"/>
    <w:basedOn w:val="Normal"/>
    <w:uiPriority w:val="99"/>
    <w:semiHidden/>
    <w:unhideWhenUsed/>
    <w:rsid w:val="00DF5E73"/>
    <w:pPr>
      <w:numPr>
        <w:numId w:val="8"/>
      </w:numPr>
      <w:contextualSpacing/>
    </w:pPr>
  </w:style>
  <w:style w:type="paragraph" w:styleId="BalloonText">
    <w:name w:val="Balloon Text"/>
    <w:basedOn w:val="Normal"/>
    <w:link w:val="BalloonTextChar"/>
    <w:uiPriority w:val="99"/>
    <w:semiHidden/>
    <w:unhideWhenUsed/>
    <w:rsid w:val="000C1C5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57"/>
    <w:rPr>
      <w:rFonts w:ascii="Segoe UI" w:hAnsi="Segoe UI" w:cs="Segoe UI"/>
      <w:sz w:val="18"/>
      <w:szCs w:val="18"/>
      <w:lang w:val="et-EE"/>
    </w:rPr>
  </w:style>
  <w:style w:type="character" w:styleId="CommentReference">
    <w:name w:val="annotation reference"/>
    <w:basedOn w:val="DefaultParagraphFont"/>
    <w:uiPriority w:val="99"/>
    <w:semiHidden/>
    <w:unhideWhenUsed/>
    <w:rsid w:val="00311FB2"/>
    <w:rPr>
      <w:sz w:val="16"/>
      <w:szCs w:val="16"/>
    </w:rPr>
  </w:style>
  <w:style w:type="paragraph" w:styleId="CommentText">
    <w:name w:val="annotation text"/>
    <w:basedOn w:val="Normal"/>
    <w:link w:val="CommentTextChar"/>
    <w:uiPriority w:val="99"/>
    <w:semiHidden/>
    <w:unhideWhenUsed/>
    <w:rsid w:val="00311FB2"/>
    <w:rPr>
      <w:sz w:val="20"/>
      <w:szCs w:val="20"/>
    </w:rPr>
  </w:style>
  <w:style w:type="character" w:customStyle="1" w:styleId="CommentTextChar">
    <w:name w:val="Comment Text Char"/>
    <w:basedOn w:val="DefaultParagraphFont"/>
    <w:link w:val="CommentText"/>
    <w:uiPriority w:val="99"/>
    <w:semiHidden/>
    <w:rsid w:val="00311FB2"/>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sid w:val="00311FB2"/>
    <w:rPr>
      <w:b/>
      <w:bCs/>
    </w:rPr>
  </w:style>
  <w:style w:type="character" w:customStyle="1" w:styleId="CommentSubjectChar">
    <w:name w:val="Comment Subject Char"/>
    <w:basedOn w:val="CommentTextChar"/>
    <w:link w:val="CommentSubject"/>
    <w:uiPriority w:val="99"/>
    <w:semiHidden/>
    <w:rsid w:val="00311FB2"/>
    <w:rPr>
      <w:rFonts w:ascii="Times New Roman" w:hAnsi="Times New Roman" w:cs="Times New Roman"/>
      <w:b/>
      <w:bCs/>
      <w:sz w:val="20"/>
      <w:szCs w:val="20"/>
      <w:lang w:val="et-EE"/>
    </w:rPr>
  </w:style>
  <w:style w:type="paragraph" w:styleId="Caption">
    <w:name w:val="caption"/>
    <w:basedOn w:val="Normal"/>
    <w:next w:val="Normal"/>
    <w:uiPriority w:val="35"/>
    <w:semiHidden/>
    <w:unhideWhenUsed/>
    <w:qFormat/>
    <w:rsid w:val="00216D8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16D82"/>
    <w:pPr>
      <w:spacing w:after="0"/>
    </w:pPr>
  </w:style>
  <w:style w:type="paragraph" w:styleId="ListNumber2">
    <w:name w:val="List Number 2"/>
    <w:basedOn w:val="Normal"/>
    <w:uiPriority w:val="99"/>
    <w:semiHidden/>
    <w:unhideWhenUsed/>
    <w:rsid w:val="00216D82"/>
    <w:pPr>
      <w:numPr>
        <w:numId w:val="9"/>
      </w:numPr>
      <w:contextualSpacing/>
    </w:pPr>
  </w:style>
  <w:style w:type="paragraph" w:styleId="ListNumber3">
    <w:name w:val="List Number 3"/>
    <w:basedOn w:val="Normal"/>
    <w:uiPriority w:val="99"/>
    <w:semiHidden/>
    <w:unhideWhenUsed/>
    <w:rsid w:val="00216D82"/>
    <w:pPr>
      <w:numPr>
        <w:numId w:val="10"/>
      </w:numPr>
      <w:contextualSpacing/>
    </w:pPr>
  </w:style>
  <w:style w:type="paragraph" w:styleId="ListNumber4">
    <w:name w:val="List Number 4"/>
    <w:basedOn w:val="Normal"/>
    <w:uiPriority w:val="99"/>
    <w:semiHidden/>
    <w:unhideWhenUsed/>
    <w:rsid w:val="00216D82"/>
    <w:pPr>
      <w:numPr>
        <w:numId w:val="11"/>
      </w:numPr>
      <w:contextualSpacing/>
    </w:pPr>
  </w:style>
  <w:style w:type="character" w:styleId="Hyperlink">
    <w:name w:val="Hyperlink"/>
    <w:basedOn w:val="DefaultParagraphFont"/>
    <w:uiPriority w:val="99"/>
    <w:unhideWhenUsed/>
    <w:rsid w:val="00E8713F"/>
    <w:rPr>
      <w:color w:val="0000FF" w:themeColor="hyperlink"/>
      <w:u w:val="single"/>
    </w:rPr>
  </w:style>
  <w:style w:type="paragraph" w:styleId="Revision">
    <w:name w:val="Revision"/>
    <w:hidden/>
    <w:uiPriority w:val="99"/>
    <w:semiHidden/>
    <w:rsid w:val="00437DA6"/>
    <w:pPr>
      <w:spacing w:after="0" w:line="240" w:lineRule="auto"/>
    </w:pPr>
    <w:rPr>
      <w:rFonts w:ascii="Times New Roman" w:hAnsi="Times New Roman" w:cs="Times New Roman"/>
      <w:sz w:val="24"/>
    </w:rPr>
  </w:style>
  <w:style w:type="paragraph" w:styleId="ListParagraph">
    <w:name w:val="List Paragraph"/>
    <w:basedOn w:val="Normal"/>
    <w:uiPriority w:val="34"/>
    <w:qFormat/>
    <w:rsid w:val="00961DA5"/>
    <w:pPr>
      <w:ind w:left="720"/>
      <w:contextualSpacing/>
    </w:pPr>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7"/>
      </w:numPr>
    </w:pPr>
  </w:style>
  <w:style w:type="paragraph" w:customStyle="1" w:styleId="Tiret1">
    <w:name w:val="Tiret 1"/>
    <w:basedOn w:val="Point1"/>
    <w:rsid w:val="009B7138"/>
    <w:pPr>
      <w:numPr>
        <w:numId w:val="28"/>
      </w:numPr>
    </w:pPr>
  </w:style>
  <w:style w:type="paragraph" w:customStyle="1" w:styleId="Tiret2">
    <w:name w:val="Tiret 2"/>
    <w:basedOn w:val="Point2"/>
    <w:rsid w:val="009B7138"/>
    <w:pPr>
      <w:numPr>
        <w:numId w:val="29"/>
      </w:numPr>
    </w:pPr>
  </w:style>
  <w:style w:type="paragraph" w:customStyle="1" w:styleId="Tiret3">
    <w:name w:val="Tiret 3"/>
    <w:basedOn w:val="Point3"/>
    <w:rsid w:val="009B7138"/>
    <w:pPr>
      <w:numPr>
        <w:numId w:val="30"/>
      </w:numPr>
    </w:pPr>
  </w:style>
  <w:style w:type="paragraph" w:customStyle="1" w:styleId="Tiret4">
    <w:name w:val="Tiret 4"/>
    <w:basedOn w:val="Point4"/>
    <w:rsid w:val="009B7138"/>
    <w:pPr>
      <w:numPr>
        <w:numId w:val="31"/>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2"/>
      </w:numPr>
    </w:pPr>
  </w:style>
  <w:style w:type="paragraph" w:customStyle="1" w:styleId="NumPar2">
    <w:name w:val="NumPar 2"/>
    <w:basedOn w:val="Normal"/>
    <w:next w:val="Text1"/>
    <w:rsid w:val="009B7138"/>
    <w:pPr>
      <w:numPr>
        <w:ilvl w:val="1"/>
        <w:numId w:val="32"/>
      </w:numPr>
    </w:pPr>
  </w:style>
  <w:style w:type="paragraph" w:customStyle="1" w:styleId="NumPar3">
    <w:name w:val="NumPar 3"/>
    <w:basedOn w:val="Normal"/>
    <w:next w:val="Text1"/>
    <w:rsid w:val="009B7138"/>
    <w:pPr>
      <w:numPr>
        <w:ilvl w:val="2"/>
        <w:numId w:val="32"/>
      </w:numPr>
    </w:pPr>
  </w:style>
  <w:style w:type="paragraph" w:customStyle="1" w:styleId="NumPar4">
    <w:name w:val="NumPar 4"/>
    <w:basedOn w:val="Normal"/>
    <w:next w:val="Text1"/>
    <w:rsid w:val="009B7138"/>
    <w:pPr>
      <w:numPr>
        <w:ilvl w:val="3"/>
        <w:numId w:val="32"/>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4"/>
      </w:numPr>
    </w:pPr>
  </w:style>
  <w:style w:type="paragraph" w:customStyle="1" w:styleId="Point1number">
    <w:name w:val="Point 1 (number)"/>
    <w:basedOn w:val="Normal"/>
    <w:rsid w:val="009B7138"/>
    <w:pPr>
      <w:numPr>
        <w:ilvl w:val="2"/>
        <w:numId w:val="34"/>
      </w:numPr>
    </w:pPr>
  </w:style>
  <w:style w:type="paragraph" w:customStyle="1" w:styleId="Point2number">
    <w:name w:val="Point 2 (number)"/>
    <w:basedOn w:val="Normal"/>
    <w:rsid w:val="009B7138"/>
    <w:pPr>
      <w:numPr>
        <w:ilvl w:val="4"/>
        <w:numId w:val="34"/>
      </w:numPr>
    </w:pPr>
  </w:style>
  <w:style w:type="paragraph" w:customStyle="1" w:styleId="Point3number">
    <w:name w:val="Point 3 (number)"/>
    <w:basedOn w:val="Normal"/>
    <w:rsid w:val="009B7138"/>
    <w:pPr>
      <w:numPr>
        <w:ilvl w:val="6"/>
        <w:numId w:val="34"/>
      </w:numPr>
    </w:pPr>
  </w:style>
  <w:style w:type="paragraph" w:customStyle="1" w:styleId="Point0letter">
    <w:name w:val="Point 0 (letter)"/>
    <w:basedOn w:val="Normal"/>
    <w:rsid w:val="009B7138"/>
    <w:pPr>
      <w:numPr>
        <w:ilvl w:val="1"/>
        <w:numId w:val="34"/>
      </w:numPr>
    </w:pPr>
  </w:style>
  <w:style w:type="paragraph" w:customStyle="1" w:styleId="Point1letter">
    <w:name w:val="Point 1 (letter)"/>
    <w:basedOn w:val="Normal"/>
    <w:rsid w:val="009B7138"/>
    <w:pPr>
      <w:numPr>
        <w:ilvl w:val="3"/>
        <w:numId w:val="34"/>
      </w:numPr>
    </w:pPr>
  </w:style>
  <w:style w:type="paragraph" w:customStyle="1" w:styleId="Point2letter">
    <w:name w:val="Point 2 (letter)"/>
    <w:basedOn w:val="Normal"/>
    <w:rsid w:val="009B7138"/>
    <w:pPr>
      <w:numPr>
        <w:ilvl w:val="5"/>
        <w:numId w:val="34"/>
      </w:numPr>
    </w:pPr>
  </w:style>
  <w:style w:type="paragraph" w:customStyle="1" w:styleId="Point3letter">
    <w:name w:val="Point 3 (letter)"/>
    <w:basedOn w:val="Normal"/>
    <w:rsid w:val="009B7138"/>
    <w:pPr>
      <w:numPr>
        <w:ilvl w:val="7"/>
        <w:numId w:val="34"/>
      </w:numPr>
    </w:pPr>
  </w:style>
  <w:style w:type="paragraph" w:customStyle="1" w:styleId="Point4letter">
    <w:name w:val="Point 4 (letter)"/>
    <w:basedOn w:val="Normal"/>
    <w:rsid w:val="009B7138"/>
    <w:pPr>
      <w:numPr>
        <w:ilvl w:val="8"/>
        <w:numId w:val="34"/>
      </w:numPr>
    </w:pPr>
  </w:style>
  <w:style w:type="paragraph" w:customStyle="1" w:styleId="Bullet0">
    <w:name w:val="Bullet 0"/>
    <w:basedOn w:val="Normal"/>
    <w:rsid w:val="009B7138"/>
    <w:pPr>
      <w:numPr>
        <w:numId w:val="35"/>
      </w:numPr>
    </w:pPr>
  </w:style>
  <w:style w:type="paragraph" w:customStyle="1" w:styleId="Bullet1">
    <w:name w:val="Bullet 1"/>
    <w:basedOn w:val="Normal"/>
    <w:rsid w:val="009B7138"/>
    <w:pPr>
      <w:numPr>
        <w:numId w:val="36"/>
      </w:numPr>
    </w:pPr>
  </w:style>
  <w:style w:type="paragraph" w:customStyle="1" w:styleId="Bullet2">
    <w:name w:val="Bullet 2"/>
    <w:basedOn w:val="Normal"/>
    <w:rsid w:val="009B7138"/>
    <w:pPr>
      <w:numPr>
        <w:numId w:val="37"/>
      </w:numPr>
    </w:pPr>
  </w:style>
  <w:style w:type="paragraph" w:customStyle="1" w:styleId="Bullet3">
    <w:name w:val="Bullet 3"/>
    <w:basedOn w:val="Normal"/>
    <w:rsid w:val="009B7138"/>
    <w:pPr>
      <w:numPr>
        <w:numId w:val="38"/>
      </w:numPr>
    </w:pPr>
  </w:style>
  <w:style w:type="paragraph" w:customStyle="1" w:styleId="Bullet4">
    <w:name w:val="Bullet 4"/>
    <w:basedOn w:val="Normal"/>
    <w:rsid w:val="009B7138"/>
    <w:pPr>
      <w:numPr>
        <w:numId w:val="39"/>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0"/>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957876">
      <w:bodyDiv w:val="1"/>
      <w:marLeft w:val="0"/>
      <w:marRight w:val="0"/>
      <w:marTop w:val="0"/>
      <w:marBottom w:val="0"/>
      <w:divBdr>
        <w:top w:val="none" w:sz="0" w:space="0" w:color="auto"/>
        <w:left w:val="none" w:sz="0" w:space="0" w:color="auto"/>
        <w:bottom w:val="none" w:sz="0" w:space="0" w:color="auto"/>
        <w:right w:val="none" w:sz="0" w:space="0" w:color="auto"/>
      </w:divBdr>
    </w:div>
    <w:div w:id="1885671473">
      <w:bodyDiv w:val="1"/>
      <w:marLeft w:val="0"/>
      <w:marRight w:val="0"/>
      <w:marTop w:val="0"/>
      <w:marBottom w:val="0"/>
      <w:divBdr>
        <w:top w:val="none" w:sz="0" w:space="0" w:color="auto"/>
        <w:left w:val="none" w:sz="0" w:space="0" w:color="auto"/>
        <w:bottom w:val="none" w:sz="0" w:space="0" w:color="auto"/>
        <w:right w:val="none" w:sz="0" w:space="0" w:color="auto"/>
      </w:divBdr>
    </w:div>
    <w:div w:id="20291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D0B2B-70CC-4055-9857-1C58136E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Pages>
  <Words>2712</Words>
  <Characters>20125</Characters>
  <Application>Microsoft Office Word</Application>
  <DocSecurity>0</DocSecurity>
  <Lines>309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2021-05-21T16:50:00Z</dcterms:created>
  <dcterms:modified xsi:type="dcterms:W3CDTF">2021-05-21T16:51:00Z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SJ-032</vt:lpwstr>
  </property>
  <property fmtid="{D5CDD505-2E9C-101B-9397-08002B2CF9AE}" pid="7" name="DQCStatus">
    <vt:lpwstr>Green (DQC version 03)</vt:lpwstr>
  </property>
</Properties>
</file>