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60F6AEB4" w:rsidR="00070205" w:rsidRDefault="00C97173" w:rsidP="00A91BCA">
      <w:pPr>
        <w:pStyle w:val="Pagedecouverture"/>
      </w:pPr>
      <w:bookmarkStart w:id="0" w:name="_GoBack"/>
      <w:bookmarkEnd w:id="0"/>
      <w:r>
        <w:pict w14:anchorId="7A4377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43220D5-B811-469D-B3F4-866174D68337" style="width:450.4pt;height:395.15pt">
            <v:imagedata r:id="rId8" o:title=""/>
          </v:shape>
        </w:pict>
      </w:r>
    </w:p>
    <w:p w14:paraId="38B6B0C4" w14:textId="77777777" w:rsidR="00A91BCA" w:rsidRPr="00A91BCA" w:rsidRDefault="00A91BCA" w:rsidP="00A91BCA">
      <w:pPr>
        <w:pStyle w:val="Pagedecouverture"/>
        <w:sectPr w:rsidR="00A91BCA" w:rsidRPr="00A91BCA" w:rsidSect="00495407">
          <w:footerReference w:type="default" r:id="rId9"/>
          <w:pgSz w:w="11907" w:h="16839"/>
          <w:pgMar w:top="1134" w:right="1417" w:bottom="1134" w:left="1417" w:header="709" w:footer="709" w:gutter="0"/>
          <w:pgNumType w:start="0"/>
          <w:cols w:space="720"/>
          <w:docGrid w:linePitch="360"/>
        </w:sectPr>
      </w:pPr>
    </w:p>
    <w:p w14:paraId="19BB17F2" w14:textId="6582DE90" w:rsidR="00070205" w:rsidRPr="00A91BCA" w:rsidRDefault="00A91BCA" w:rsidP="00A91BCA">
      <w:pPr>
        <w:pStyle w:val="Typedudocument"/>
      </w:pPr>
      <w:r w:rsidRPr="00A91BCA">
        <w:lastRenderedPageBreak/>
        <w:t>РЕШЕНИЕ ЗА ИЗПЪЛНЕНИЕ (EC) …/… НА КОМИСИЯТА</w:t>
      </w:r>
    </w:p>
    <w:p w14:paraId="39925B62" w14:textId="26386E10" w:rsidR="00070205" w:rsidRPr="00A91BCA" w:rsidRDefault="00A91BCA" w:rsidP="00A91BCA">
      <w:pPr>
        <w:pStyle w:val="Datedadoption"/>
      </w:pPr>
      <w:r w:rsidRPr="00A91BCA">
        <w:t xml:space="preserve">от </w:t>
      </w:r>
      <w:r w:rsidRPr="00A91BCA">
        <w:rPr>
          <w:rStyle w:val="Marker2"/>
        </w:rPr>
        <w:t>XXX</w:t>
      </w:r>
      <w:r w:rsidRPr="00A91BCA">
        <w:t xml:space="preserve"> година</w:t>
      </w:r>
    </w:p>
    <w:p w14:paraId="3EC8887B" w14:textId="378EA6C1" w:rsidR="00070205" w:rsidRPr="00A91BCA" w:rsidRDefault="00A91BCA" w:rsidP="00A91BCA">
      <w:pPr>
        <w:pStyle w:val="Titreobjet"/>
      </w:pPr>
      <w:r w:rsidRPr="00A91BCA">
        <w:t>относно стандартни договорни клаузи за предаването на лични данни на трети държави съгласно Регламент (ЕС) 2016/679 на Европейския парламент и на Съвета</w:t>
      </w:r>
    </w:p>
    <w:p w14:paraId="2E28B445" w14:textId="22F45480" w:rsidR="00070205" w:rsidRPr="00A91BCA" w:rsidRDefault="00A91BCA" w:rsidP="00A91BCA">
      <w:pPr>
        <w:pStyle w:val="IntrtEEE"/>
      </w:pPr>
      <w:r w:rsidRPr="00A91BCA">
        <w:t>(текст от значение за ЕИП)</w:t>
      </w:r>
    </w:p>
    <w:p w14:paraId="6A988FE2" w14:textId="77777777" w:rsidR="00070205" w:rsidRPr="00A91BCA" w:rsidRDefault="00070205" w:rsidP="00C36A89">
      <w:pPr>
        <w:pStyle w:val="Institutionquiagit"/>
      </w:pPr>
      <w:r w:rsidRPr="00A91BCA">
        <w:t>ЕВРОПЕЙСКАТА КОМИСИЯ,</w:t>
      </w:r>
    </w:p>
    <w:p w14:paraId="5AFA792D" w14:textId="77777777" w:rsidR="001D4EF4" w:rsidRPr="00A91BCA" w:rsidRDefault="00070205" w:rsidP="00C36A89">
      <w:r w:rsidRPr="00A91BCA">
        <w:rPr>
          <w:color w:val="000000"/>
        </w:rPr>
        <w:t>като взе предвид Договора за функционирането на Европейския съюз</w:t>
      </w:r>
      <w:r w:rsidRPr="00A91BCA">
        <w:t>,</w:t>
      </w:r>
    </w:p>
    <w:p w14:paraId="723B085A" w14:textId="1190B94A" w:rsidR="00070205" w:rsidRPr="00A91BCA" w:rsidRDefault="00070205" w:rsidP="00C36A89">
      <w:r w:rsidRPr="00A91BCA">
        <w:t xml:space="preserve">като взе предвид </w:t>
      </w:r>
      <w:r w:rsidRPr="00A91BCA">
        <w:rPr>
          <w:color w:val="000000"/>
        </w:rPr>
        <w:t>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95/46/ЕО (Общ регламент относно защитата на данните)</w:t>
      </w:r>
      <w:r w:rsidRPr="00A91BCA">
        <w:rPr>
          <w:rStyle w:val="FootnoteReference"/>
          <w:color w:val="000000"/>
        </w:rPr>
        <w:footnoteReference w:id="1"/>
      </w:r>
      <w:r w:rsidRPr="00A91BCA">
        <w:t xml:space="preserve">, и по-специално </w:t>
      </w:r>
      <w:r w:rsidRPr="00A91BCA">
        <w:rPr>
          <w:color w:val="000000"/>
        </w:rPr>
        <w:t>член 28, параграф 7 и член 46, параграф 2, буква в) от него</w:t>
      </w:r>
      <w:r w:rsidRPr="00A91BCA">
        <w:t>,</w:t>
      </w:r>
    </w:p>
    <w:p w14:paraId="5DBC66B2" w14:textId="77777777" w:rsidR="00070205" w:rsidRPr="00A91BCA" w:rsidRDefault="00070205" w:rsidP="00C36A89">
      <w:r w:rsidRPr="00A91BCA">
        <w:t>като има предвид, че:</w:t>
      </w:r>
    </w:p>
    <w:p w14:paraId="1FBC9A33" w14:textId="4D496B78" w:rsidR="00EB7ED2" w:rsidRPr="00A91BCA" w:rsidRDefault="00EB7ED2" w:rsidP="00377582">
      <w:pPr>
        <w:pStyle w:val="Considrant"/>
        <w:numPr>
          <w:ilvl w:val="0"/>
          <w:numId w:val="1"/>
        </w:numPr>
      </w:pPr>
      <w:r w:rsidRPr="00A91BCA">
        <w:t>Технологичното развитие улеснява трансграничните потоци от данни, необходими за разширяване на международното сътрудничество и международната търговия. Същевременно е необходимо да се гарантира, че нивото на защита на физическите лица, гарантирано от Регламент (ЕС) 2016/679, не е застрашено, когато личните данни се предават на трети държави, включително в случаи на последващо предаване</w:t>
      </w:r>
      <w:r w:rsidRPr="00A91BCA">
        <w:rPr>
          <w:rStyle w:val="FootnoteReference"/>
        </w:rPr>
        <w:footnoteReference w:id="2"/>
      </w:r>
      <w:r w:rsidRPr="00A91BCA">
        <w:t>. Разпоредбите относно предаването на данни в глава V от Регламент (ЕС) 2016/679 имат за цел да гарантират непрекъснатостта на тази висока степен на защита, когато личните данни се предават на трета държава</w:t>
      </w:r>
      <w:r w:rsidRPr="00A91BCA">
        <w:rPr>
          <w:rStyle w:val="FootnoteReference"/>
        </w:rPr>
        <w:footnoteReference w:id="3"/>
      </w:r>
      <w:r w:rsidRPr="00A91BCA">
        <w:t>.</w:t>
      </w:r>
    </w:p>
    <w:p w14:paraId="217460B5" w14:textId="1B3A5723" w:rsidR="00EB7ED2" w:rsidRPr="00A91BCA" w:rsidRDefault="00EB7ED2" w:rsidP="00EB7ED2">
      <w:pPr>
        <w:pStyle w:val="Considrant"/>
      </w:pPr>
      <w:r w:rsidRPr="00A91BCA">
        <w:t>Съгласно член 46, параграф 1 от Регламент (ЕС) 2016/679 при липса на решение на Комисията относно адекватното ниво на защита съгласно член 45, параграф 3, администраторът или обработващият лични данни може да предава лични данни на трета държава само ако е предвидил подходящи гаранции и при условие че са налице приложими права на субектите на данни и ефективни правни средства за защита. Такива гаранции могат да бъдат предвидени чрез стандартни клаузи за защита на данните, приети от Комисията съгласно член 46, параграф 2, буква в).</w:t>
      </w:r>
    </w:p>
    <w:p w14:paraId="08AED2DA" w14:textId="753633F8" w:rsidR="00EB7ED2" w:rsidRPr="00A91BCA" w:rsidRDefault="00EB7ED2" w:rsidP="00EB7ED2">
      <w:pPr>
        <w:pStyle w:val="Considrant"/>
      </w:pPr>
      <w:r w:rsidRPr="00A91BCA">
        <w:t xml:space="preserve">Ролята на стандартните договорни клаузи е ограничена до осигуряването на подходящи гаранции за защита на данните при международни предавания на данни. Следователно администраторът или обработващият лични данни, който предава личните данни на трета държава („износителят на данни“), и администраторът или обработващият лични данни, който получава личните данни („вносителят на данни“), могат да включат тези стандартни договорни </w:t>
      </w:r>
      <w:r w:rsidRPr="00A91BCA">
        <w:lastRenderedPageBreak/>
        <w:t>клаузи в по-широк договор и да добавят други клаузи или допълнителни гаранции, при условие че те не противоречат, пряко или непряко, на стандартните договорни клаузи или не засягат основни права или свободи на субектите на данни. Администраторите и обработващите лични данни се насърчават да предоставят допълнителни гаранции чрез договорни ангажименти, които допълват стандартните договорни клаузи</w:t>
      </w:r>
      <w:r w:rsidRPr="00A91BCA">
        <w:rPr>
          <w:rStyle w:val="FootnoteReference"/>
        </w:rPr>
        <w:footnoteReference w:id="4"/>
      </w:r>
      <w:r w:rsidRPr="00A91BCA">
        <w:t>. Използването на стандартните договорни клаузи не засяга договорните задължения на износителя и/или вносителя на данни да гарантират спазването на приложимите привилегии и имунитети.</w:t>
      </w:r>
    </w:p>
    <w:p w14:paraId="35DBB988" w14:textId="6EBE9457" w:rsidR="00EB7ED2" w:rsidRPr="00A91BCA" w:rsidRDefault="00EB7ED2" w:rsidP="00EB7ED2">
      <w:pPr>
        <w:pStyle w:val="Considrant"/>
      </w:pPr>
      <w:r w:rsidRPr="00A91BCA">
        <w:t>Освен че използва стандартни договорни клаузи, за да осигури подходящи гаранции при предавания на данни съгласно член 46, параграф 1 от Регламент (ЕС) 2016/679, износителят на данни трябва да изпълнява общите си отговорности като администратор или обработващ лични данни съгласно Регламент (ЕС) 2016/679. Тези отговорности включват задължение за администратора да предоставя на субектите на данни информация относно факта, че възнамерява да предаде личните им данни на трета държава съгласно член 13, параграф 1, буква е) и член 14, параграф 1, буква е) от Регламент (ЕС) 2016/679. В случай на предавания съгласно член 46 от Регламент (ЕС) 2016/679, такава информация трябва да включва позоваване на подходящите гаранции и начините за получаване на копие от тях или на информация къде са налични.</w:t>
      </w:r>
    </w:p>
    <w:p w14:paraId="4969630F" w14:textId="0B18A3BC" w:rsidR="00EB7ED2" w:rsidRPr="00A91BCA" w:rsidRDefault="00EB7ED2" w:rsidP="00EB7ED2">
      <w:pPr>
        <w:pStyle w:val="Considrant"/>
      </w:pPr>
      <w:r w:rsidRPr="00A91BCA">
        <w:t>Решения 2001/497/ЕО</w:t>
      </w:r>
      <w:r w:rsidRPr="00A91BCA">
        <w:rPr>
          <w:rStyle w:val="FootnoteReference"/>
        </w:rPr>
        <w:footnoteReference w:id="5"/>
      </w:r>
      <w:r w:rsidRPr="00A91BCA">
        <w:t xml:space="preserve"> и 2010/87/ЕС</w:t>
      </w:r>
      <w:r w:rsidRPr="00A91BCA">
        <w:rPr>
          <w:rStyle w:val="FootnoteReference"/>
        </w:rPr>
        <w:footnoteReference w:id="6"/>
      </w:r>
      <w:r w:rsidRPr="00A91BCA">
        <w:t xml:space="preserve"> на Комисията съдържат стандартни договорни клаузи за улесняване на предаването на лични данни от администратор на лични данни, установен в Съюза, на администратор или обработващ лични данни, установен в трета държава, която не предлага адекватно ниво на защита. Тези решения се основават на Директива 95/46/ЕО на Европейския парламент и на Съвета</w:t>
      </w:r>
      <w:r w:rsidRPr="00A91BCA">
        <w:rPr>
          <w:rStyle w:val="FootnoteReference"/>
        </w:rPr>
        <w:footnoteReference w:id="7"/>
      </w:r>
      <w:r w:rsidRPr="00A91BCA">
        <w:t>.</w:t>
      </w:r>
    </w:p>
    <w:p w14:paraId="6B0A0951" w14:textId="6C1C3DFB" w:rsidR="00EB7ED2" w:rsidRPr="00A91BCA" w:rsidRDefault="00EB7ED2" w:rsidP="00EB7ED2">
      <w:pPr>
        <w:pStyle w:val="Considrant"/>
      </w:pPr>
      <w:r w:rsidRPr="00A91BCA">
        <w:t xml:space="preserve">Съгласно член 46, параграф 5 от Регламент (ЕС) 2016/679 Решение 2001/497/ЕО и Решение 2010/87/ЕС остават в сила, докато не бъдат изменени, заменени или отменени, ако е необходимо, с решение на Комисията, прието съгласно член 46, параграф 2 от този регламент. Стандартните договорни клаузи в решенията се нуждаят от актуализиране с оглед на новите изисквания в Регламент (ЕС) 2016/679. Освен това от приемането на решенията насам цифровата икономика претърпя значителни промени и се характеризира с широко разпространено използване на нови и по-сложни операции по обработване, които често включват множество вносители и износители на данни, дълги и сложни вериги на обработване и непрекъснато развиващи се стопански взаимоотношения. Това изисква модернизиране на стандартните договорни клаузи, за да отразяват по-добре тези реалности, като обхванат допълнителни ситуации на обработване и </w:t>
      </w:r>
      <w:r w:rsidRPr="00A91BCA">
        <w:lastRenderedPageBreak/>
        <w:t>предаване, и за да се даде възможност за по-гъвкав подход, например по отношение на броя на страните, които могат да се присъединят към договора.</w:t>
      </w:r>
    </w:p>
    <w:p w14:paraId="33EBD438" w14:textId="7FA72C7C" w:rsidR="00D20CB6" w:rsidRPr="00A91BCA" w:rsidRDefault="0047771C" w:rsidP="00C36A89">
      <w:pPr>
        <w:pStyle w:val="Considrant"/>
      </w:pPr>
      <w:r w:rsidRPr="00A91BCA">
        <w:t xml:space="preserve">Администраторът или обработващият лични данни може да използва стандартните договорни клаузи, заложени в приложението към настоящото решение, за да осигури подходящи гаранции по смисъла на член 46, параграф 1 от Регламент (ЕС) 2016/679 за предаването на лични данни на обработващ лични данни или администратор, установен в трета държава, без да се засяга тълкуването на понятието за международно предаване в Регламент (ЕС) 2016/679. Стандартните договорни клаузи могат да се използват за такива предавания само доколкото обработването от вносителя не попада в обхвата на Регламент (ЕС) 2016/679. Това включва и предаването на лични данни от администратор или обработващ лични данни, който не е установен в Съюза, доколкото обработването попада в обхвата на Регламент (ЕС) 2016/679 (съгласно член 3, параграф 2 от него), тъй като то е свързано с предлагането на стоки или услуги на субекти на данни в Съюза или с наблюдението на тяхното поведение, доколкото то </w:t>
      </w:r>
      <w:r w:rsidR="00373BCA">
        <w:t>се проявява в рамките на Съюза.</w:t>
      </w:r>
    </w:p>
    <w:p w14:paraId="58638138" w14:textId="67BE8AA0" w:rsidR="00EB7ED2" w:rsidRPr="00A91BCA" w:rsidRDefault="000C1C57" w:rsidP="00E74673">
      <w:pPr>
        <w:pStyle w:val="Considrant"/>
        <w:numPr>
          <w:ilvl w:val="0"/>
          <w:numId w:val="12"/>
        </w:numPr>
      </w:pPr>
      <w:r w:rsidRPr="00A91BCA">
        <w:t>Като се има предвид общото съгласуване между Регламент (ЕС) 2016/679 и Регламент (ЕС) 2018/1725 на Европейския парламент и на Съвета</w:t>
      </w:r>
      <w:r w:rsidRPr="00A91BCA">
        <w:rPr>
          <w:rStyle w:val="FootnoteReference"/>
        </w:rPr>
        <w:footnoteReference w:id="8"/>
      </w:r>
      <w:r w:rsidRPr="00A91BCA">
        <w:t>, следва да бъде възможно стандартните договорни клаузи да се използват и в контекста на договор, както е посочено в член 29, параграф 4 от Регламент (ЕС) 2018/1725, за предаването на лични данни на обработващ лични данни подизпълнител в трета държава от обработващ лични данни, който не е институция или орган на Съюза, но попада в обхвата на Регламент (ЕС) 2016/679, и който обработва лични данни от името на институция или орган на Съюза в съответствие с член 29 от Регламент (ЕС) 2018/1725. Ако в договора са отразени същите задължения за защита на данните, предвидени в договора или друг правен акт между администратора и обработващия лични данни съгласно член 29, параграф 3 от Регламент (ЕС) 2018/1725, по-специално като се предоставят достатъчно гаранции за технически и организационни мерки, за да се гарантира, че обработването отговаря на изискванията на този регламент, това ще осигури спазването на член 29, параграф 4 от Регламент (ЕС) 2018/1725. По-специално това ще важи за случаите, в които администраторът и обработващият лични данни използват стандартните договорни клаузи в Решение за изпълнение на Комисията относно стандартни договорни клаузи между администратори и обработващи лични данни съгласно член 28, параграф 7 от Регламент (ЕС) 2016/679 на Европейския парламент и на Съвета и член 29, параграф 7 от Регламент (ЕС) 2018/1725 на Европейския парламент и на Съвета</w:t>
      </w:r>
      <w:r w:rsidRPr="00A91BCA">
        <w:rPr>
          <w:rStyle w:val="FootnoteReference"/>
        </w:rPr>
        <w:footnoteReference w:id="9"/>
      </w:r>
      <w:r w:rsidRPr="00A91BCA">
        <w:t>.</w:t>
      </w:r>
    </w:p>
    <w:p w14:paraId="7C611A21" w14:textId="33B99914" w:rsidR="00EB7ED2" w:rsidRPr="00A91BCA" w:rsidRDefault="00EB7ED2" w:rsidP="00EB7ED2">
      <w:pPr>
        <w:pStyle w:val="Considrant"/>
      </w:pPr>
      <w:r w:rsidRPr="00A91BCA">
        <w:t>Когато обработването включва предавания на данни от администратори, попадащи в обхвата на Регламент (ЕС) 2016/679, на обработващи лични данни извън неговия териториален обхват или от обработващи лични данни, попадащи в обхвата на Регламент (ЕС) 2016/679, на обработващи лични данни подизпълнители извън неговия териториален обхват, стандартните договорни клаузи, заложени в приложението към настоящото решение, също следва да позволяват изпълнението на изискванията по член 28, параграфи 3 и 4 от Регламент (ЕС) 2016/679.</w:t>
      </w:r>
    </w:p>
    <w:p w14:paraId="34346D8F" w14:textId="64503FB9" w:rsidR="00EB7ED2" w:rsidRPr="00A91BCA" w:rsidRDefault="00EB7ED2" w:rsidP="00EB7ED2">
      <w:pPr>
        <w:pStyle w:val="Considrant"/>
      </w:pPr>
      <w:r w:rsidRPr="00A91BCA">
        <w:t>В стандартните договорни клаузи, заложени в приложението към настоящото решение, са съчетани общи клаузи и модулен подход, за да бъдат обхванати различните сценарии на предаване и да бъде отчетена сложността на съвременните вериги на обработване. В допълнение към общите клаузи администраторите и обработващите лични данни следва да изберат модула, приложим в техния случай, така че задълженията им по стандартните договорни клаузи да бъдат съобразени с ролята и отговорностите им във връзка с въпросното обработване на данни. Следва да е възможно повече от две страни да се присъединят към стандартните договорни клаузи. Освен това следва да се допусне допълнителни администратори и обработващи лични данни да се присъединяват към стандартните договорни клаузи като износители или вносители на данни през целия срок на договора, по който са страна.</w:t>
      </w:r>
    </w:p>
    <w:p w14:paraId="5A5BCD4E" w14:textId="4AA774DE" w:rsidR="00EB7ED2" w:rsidRPr="00A91BCA" w:rsidRDefault="00EB7ED2" w:rsidP="00BD7CD0">
      <w:pPr>
        <w:pStyle w:val="Considrant"/>
      </w:pPr>
      <w:r w:rsidRPr="00A91BCA">
        <w:t>За да се осигурят подходящи гаранции, стандартните договорни клаузи следва да гарантират, че на личните данни, предавани на това основание, се осигурява ниво на защита, което по същество е равностойно на гарантираното в Съюза</w:t>
      </w:r>
      <w:r w:rsidRPr="00A91BCA">
        <w:rPr>
          <w:rStyle w:val="FootnoteReference"/>
        </w:rPr>
        <w:footnoteReference w:id="10"/>
      </w:r>
      <w:r w:rsidRPr="00A91BCA">
        <w:t>. За да се гарантира прозрачност на обработването, на субектите на данни следва да се предостави копие от стандартните договорни клаузи и те следва да бъдат информирани по-специално за категориите обработвани лични данни, правото да получат копие от стандартните договорни клаузи и всяко последващо предаване. Последващите предавания от вносителя на данни на трета страна в друга трета държава следва да бъдат допустими само ако третата страна се присъедини към стандартните договорни клаузи, ако непрекъснатостта на защитата е гарантирана по друг начин или в специфични ситуации, например въз основа на изричното информирано съгласие на субекта на данни.</w:t>
      </w:r>
    </w:p>
    <w:p w14:paraId="0EE018AF" w14:textId="6777D2A3" w:rsidR="00EB7ED2" w:rsidRPr="00A91BCA" w:rsidRDefault="00EB7ED2" w:rsidP="00EB7ED2">
      <w:pPr>
        <w:pStyle w:val="Considrant"/>
      </w:pPr>
      <w:r w:rsidRPr="00A91BCA">
        <w:t>С някои изключения, по-специално по отношение на някои задължения, които се отнасят изключително до отношенията между износителя на данни и вносителя на данни, субектите на данни следва да могат да се позовават и при необходимост да налагат спазването на стандартните договорни клаузи като трети страни бенефициери. Поради това, въпреки че страните следва да могат да изберат правото на една от държавите членки като приложимо към стандартните договорни клаузи, в това право трябва да бъдат предвидени права за трети страни бенефициери. С цел да се улесни индивидуалната правна защита, в стандартните договорни клаузи от вносителя на данни следва да се изисква да информира субектите на данни за координатите за връзка с точка за контакт и своевременно да разглежда всички жалби или искания. В случай на спор между вносителя на данни и субект на данни, който се позовава на правата си като трета страна бенефициер, субектът на данни следва да може да подаде жалба до компетентния надзорен орган или да отнесе спора до компетентните съдилища в ЕС.</w:t>
      </w:r>
    </w:p>
    <w:p w14:paraId="461FA1E7" w14:textId="6F22FFED" w:rsidR="00EB7ED2" w:rsidRPr="00A91BCA" w:rsidRDefault="00EB7ED2" w:rsidP="00EB7ED2">
      <w:pPr>
        <w:pStyle w:val="Considrant"/>
      </w:pPr>
      <w:r w:rsidRPr="00A91BCA">
        <w:t>За да се гарантира ефективно прилагане, вносителят на данни следва да бъде длъжен да приеме юрисдикцията на такъв орган и съдилищата и да се ангажира да спазва всяко задължително решение съгласно приложимото право на държавата членка. По-специално вносителят на данни следва да приеме да отговаря на запитвания, да бъде подлаган на одити и да спазва мерките, приети от надзорния орган, включително коригиращите и компенсаторните мерки. Освен това вносителят на данни следва да разполага с варианта да предлага на субектите на данни възможността да търсят правна защита пред независим орган за разрешаване на спорове без разходи за тях. В съответствие с член 80, параграф 1 от Регламент (ЕС) 2016/679 субектите на данни следва да могат да бъдат представлявани от сдружения или други структури при спорове срещу вносителя на данни, ако желаят това.</w:t>
      </w:r>
    </w:p>
    <w:p w14:paraId="4692FAD3" w14:textId="0949E3EF" w:rsidR="00EB7ED2" w:rsidRPr="00A91BCA" w:rsidRDefault="00EB7ED2" w:rsidP="00EB7ED2">
      <w:pPr>
        <w:pStyle w:val="Considrant"/>
      </w:pPr>
      <w:r w:rsidRPr="00A91BCA">
        <w:t>В стандартните договорни клаузи следва да бъдат предвидени правила за отговорността между страните и по отношение на субектите на данни и правила за обезщетяването между страните. Когато субектът на данни понесе имуществени или неимуществени вреди в резултат на нарушение на правата на третата страна бенефициер съгласно стандартните договорни клаузи, той следва да има право на обезщетение. Това не следва да засяга отговорността съгласно Регламент (ЕС) 2016/679.</w:t>
      </w:r>
    </w:p>
    <w:p w14:paraId="0FAD5DAD" w14:textId="48999BE6" w:rsidR="00EB7ED2" w:rsidRPr="00A91BCA" w:rsidRDefault="00EB7ED2" w:rsidP="00EB7ED2">
      <w:pPr>
        <w:pStyle w:val="Considrant"/>
      </w:pPr>
      <w:r w:rsidRPr="00A91BCA">
        <w:t>В случай на предаване на данни на вносител на данни, действащ като обработващ лични данни или обработващ лични данни подизпълнител, следва да се прилагат специфични изисквания в съответствие с член 28, параграф 3 от Регламент (ЕС) 2016/679. В стандартните договорни клаузи следва от вносителя на данни да се изисква да предоставя цялата информация, необходима за доказване на спазването на задълженията, посочени в клаузите, и да позволява и допринася за извършването от износителя на данни на одити на дейностите му по обработване. По отношение на включването на обработващ лични данни подизпълнител от страна на вносителя на данни, в съответствие с член 28, параграфи 2 и 4 от Регламент (ЕС) 2016/679 в стандартните договорни клаузи следва по-специално да се предвиди процедура за общо или специфично разрешение от страна на износителя на данни и изискването за писмен договор с обработващия лични данни подизпълнител, осигуряващ същото ниво на защита, както съгласно тези клаузи.</w:t>
      </w:r>
    </w:p>
    <w:p w14:paraId="08EF7457" w14:textId="77B49352" w:rsidR="00EB7ED2" w:rsidRPr="00A91BCA" w:rsidRDefault="00EB7ED2" w:rsidP="00EB7ED2">
      <w:pPr>
        <w:pStyle w:val="Considrant"/>
      </w:pPr>
      <w:r w:rsidRPr="00A91BCA">
        <w:t>Целесъобразно е в стандартните договорни клаузи да се предвидят различни гаранции за специфичната ситуация на предаване на лични данни от обработващ лични данни в Съюза на неговия администратор в трета държава, които да отразяват ограничените самостоятелни задължения на обработващите лични данни съгласно Регламент (ЕС) 2016/679. По-специално в стандартните договорни клаузи от обработващия лични данни следва да се изисква да информира администратора, ако не е в състояние да изпълни неговите указания, включително ако тези указания нарушават правото на Съюза в областта на защитата на данните, и от администратора да се изисква да се въздържа от всякакви действия, които биха попречили на обработващия лични данни да изпълни задълженията си по Регламент (ЕС) 2016/679. В тях следва също да се изисква от страните да си помагат взаимно, за да отговарят на запитвания и искания от субекти на данни съгласно местното право, приложимо по отношение на вносителя на данни, или съгласно Регламент (ЕС) 2016/679 по отношение на обработването на данни в Съюза. Следва да се прилагат допълнителни изисквания, имащи за цел справяне с последиците от законодателството на трета държава на получаване върху спазването на клаузите от администратора, и по-специално как да се третират правнообвързващи искания от публични органи в третата държава за разкриване на предадените лични данни, когато обработващият лични данни от Съюза съчетава личните данни, получени от администратора в третата държава, с лични данни, които обработващият лични данни е събрал в Съюза. Обратно, такива изисквания не са оправдани, когато възлагането на подизпълнители включва само обработване и обратно предаване на лични данни, които са били получени от администратора и във всички случаи са били и ще останат под юрисдикцията на въпросната трета държава.</w:t>
      </w:r>
    </w:p>
    <w:p w14:paraId="654EF3D0" w14:textId="58D57E6D" w:rsidR="00EB7ED2" w:rsidRPr="00A91BCA" w:rsidRDefault="00EB7ED2" w:rsidP="00EB7ED2">
      <w:pPr>
        <w:pStyle w:val="Considrant"/>
      </w:pPr>
      <w:r w:rsidRPr="00A91BCA">
        <w:t>Страните следва да могат да докажат, че спазват задълженията си по стандартните договорни клаузи. По-специално от вносителя на данни следва да се изисква да съхранява подходяща документация за дейностите по обработване, за които отговаря, и своевременно да уведомява износителя на данни, ако не е в състояние да спазва клаузите, независимо от причината. На свой ред износителят на данни следва да спре предаването и в особено сериозни случаи да има право да прекрати договора, доколкото той се отнася до обработването на лични данни съгласно стандартни договорни клаузи, когато вносителят на данни е допуснал нарушение на клаузите или не е в състояние да ги спазва. Следва да се прилагат специални правила, когато местното законодателство засяга спазването на клаузите. Личните данни, които са били предадени преди прекратяването на договора, и всички техни копия, по избор на износителя на данни следва да се бъдат върнати на износителя на данни</w:t>
      </w:r>
      <w:r w:rsidR="00373BCA">
        <w:t xml:space="preserve"> или да бъдат изцяло унищожени.</w:t>
      </w:r>
    </w:p>
    <w:p w14:paraId="20EC53F9" w14:textId="6A2B7387" w:rsidR="00EB7ED2" w:rsidRPr="00A91BCA" w:rsidRDefault="00EB7ED2" w:rsidP="00EB7ED2">
      <w:pPr>
        <w:pStyle w:val="Considrant"/>
      </w:pPr>
      <w:r w:rsidRPr="00A91BCA">
        <w:t>В стандартните договорни клаузи следва да се предвидят специфични гаранции, по-специално с оглед на съдебната практика на Съда на Европейския съюз</w:t>
      </w:r>
      <w:r w:rsidRPr="00A91BCA">
        <w:rPr>
          <w:rStyle w:val="FootnoteReference"/>
        </w:rPr>
        <w:footnoteReference w:id="11"/>
      </w:r>
      <w:r w:rsidRPr="00A91BCA">
        <w:t>, за справяне с последиците от законодателството на трета държава на получаване върху спазването на клаузите от вносителя на данни, и по-специално как да се третират правнообвързващи искания от публични органи в тази държава за разкриване на предадените лични данни.</w:t>
      </w:r>
    </w:p>
    <w:p w14:paraId="255E3008" w14:textId="13B19320" w:rsidR="00EB7ED2" w:rsidRPr="00A91BCA" w:rsidRDefault="00EB7ED2" w:rsidP="00EB7ED2">
      <w:pPr>
        <w:pStyle w:val="Considrant"/>
      </w:pPr>
      <w:r w:rsidRPr="00A91BCA">
        <w:t>Предаването и обработването на лични данни съгласно стандартни договорни клаузи не следва да се извършва, ако законите и практиките в третата държава на получаване възпрепятстват вносителя на данни да спазва клаузите. В този контекст законите и практиките, които зачитат същността на основните права и свободи и са пропорционални, и не надхвърлят необходимото в едно демократично общество за защита на някоя от целите, изброени в член 23, параграф 1 от Регламент (ЕС) 2016/679, не следва да се смятат за такива в противоречие със стандартните договорни клаузи. Страните следва да гарантират, че към момента на договаряне на стандартните договорни клаузи нямат основание да смятат, че законите и практиките, приложими по отношение на вносителя на данни, не са в съответствие с тези изисквания.</w:t>
      </w:r>
    </w:p>
    <w:p w14:paraId="29655BB4" w14:textId="55B8C78F" w:rsidR="00EB7ED2" w:rsidRPr="00A91BCA" w:rsidRDefault="00EB7ED2" w:rsidP="00724557">
      <w:pPr>
        <w:pStyle w:val="Considrant"/>
      </w:pPr>
      <w:r w:rsidRPr="00A91BCA">
        <w:t>Страните следва да вземат предвид по-специално специфичните обстоятелства на предаването (като например съдържанието и срока на договора, естеството на предаваните данни, вида на получателя, целта на обработването), законите и практиките на третата държава на получаване, които са от значение с оглед на обстоятелствата на предаването, и всички гаранции, въведени в допълнение към гаранциите съгласно стандартните договорни клаузи (включително съответните договорни, технически и организационни мерки, приложими за предаването на лични данни и тяхното обработване в държавата на получаване). По отношение на въздействието на такива закони и практики върху спазването на стандартните договорни клаузи различни елементи могат да се разглеждат като част от цялостната оценка, включително надеждна информация за прилагането на правото на практика (като например съдебната практика и докладите от независими надзорни органи), съществуването или липсата на искания в същия сектор и, при строги условия, документирания практически опит на износителя на данни и/или вносителя на данни.</w:t>
      </w:r>
    </w:p>
    <w:p w14:paraId="307BD618" w14:textId="71476955" w:rsidR="00EB7ED2" w:rsidRPr="00A91BCA" w:rsidRDefault="00EB7ED2" w:rsidP="00EB7ED2">
      <w:pPr>
        <w:pStyle w:val="Considrant"/>
      </w:pPr>
      <w:r w:rsidRPr="00A91BCA">
        <w:t>Вносителят на данни следва да уведоми износителя на данни, ако след като е приел стандартните договорни клаузи, има основания да смята, че не е в състояние да спазва стандартните договорни клаузи. Ако износителят на данни получи такова уведомление или по друг начин разбере, че вносителят на данни повече не е в състояние да спазва стандартните договорни клаузи, той следва да определи подходящи мерки за справяне със ситуацията, ако е необходимо в консултации с компетентния надзорен орган. Такива мерки могат да включват допълнителни мерки, приети от износителя на данни и/или вносителя на данни, като например технически или организационни мерки за осигуряване на сигурност и поверителност. От износителя на данни следва да се изисква да спре предаването, ако смята, че не могат да бъдат осигурени подходящи гаранции, или ако компетентният надзорен орган даде указания за това.</w:t>
      </w:r>
    </w:p>
    <w:p w14:paraId="19D1180F" w14:textId="66201CDA" w:rsidR="00EB7ED2" w:rsidRPr="00A91BCA" w:rsidRDefault="00157877" w:rsidP="00EB7ED2">
      <w:pPr>
        <w:pStyle w:val="Considrant"/>
      </w:pPr>
      <w:r w:rsidRPr="00A91BCA">
        <w:t>Когато е възможно, вносителят на данни следва да уведоми износителя на данни и субекта на данни, ако получи от публичен (включително съдебен) орган правнообвързващо искане съгласно правото на държавата на получаване за разкриване на лични данни, предадени съгласно стандартните договорни клаузи. По същия начин той следва да ги уведоми, ако узнае за какъвто и да е пряк достъп на публични органи до такива лични данни в съответствие с правото на третата държава на получаване. Ако въпреки максимално положените усилия вносителят на данни не е в състояние да уведоми износителя на данни и/или субекта на данни за конкретни искания за разкриване, той следва да предостави на износителя на данни възможно най-пълна съответна информация относно исканията. Освен това вносителят на данни следва периодично да предоставя на износителя на данни обобщена информация. От вносителя на данни следва също да се изисква да документира всяко получено искане за разкриване на информация и предоставения отговор и при поискване да предоставя тази информация на износителя на данни или на компетентния надзорен орган, или и на двамата. Ако, след като провери законосъобразността на такова искане съгласно законодателството на държавата на получаване, вносителят на данни стигне до заключението, че има разумни основания да се смята, че искането е незаконосъобразно съгласно законодателството на третата държава на получаване, той следва да го оспори, включително, когато е целесъобразно, като изчерпи наличните възможности за обжалване. Във всички случаи, ако вносителят на данни повече не е в състояние да спазва стандартните договорни клаузи, той следва да информира съответно износителя на данни, включително когато това е следствие от искане за разкриване.</w:t>
      </w:r>
    </w:p>
    <w:p w14:paraId="0594B9EA" w14:textId="78FFB647" w:rsidR="00EB7ED2" w:rsidRPr="00A91BCA" w:rsidRDefault="00EB7ED2" w:rsidP="00EB7ED2">
      <w:pPr>
        <w:pStyle w:val="Considrant"/>
      </w:pPr>
      <w:r w:rsidRPr="00A91BCA">
        <w:t>Тъй като нуждите на заинтересованите страни, технологиите и операциите по обработване могат да се променят, Комисията следва да оцени действието на стандартните договорни клаузи в светлината на натрупания опит като част от периодичната оценка на Регламент (ЕС) 2016/679, предвидена в член 97 от този регламент.</w:t>
      </w:r>
    </w:p>
    <w:p w14:paraId="7916ED6D" w14:textId="04F50EA7" w:rsidR="00D67F28" w:rsidRPr="00A91BCA" w:rsidRDefault="00EB7ED2" w:rsidP="008521FA">
      <w:pPr>
        <w:pStyle w:val="Considrant"/>
      </w:pPr>
      <w:r w:rsidRPr="00A91BCA">
        <w:t>Решение 2001/497/ЕО и Решение 2010/87/ЕС следва да бъдат отменени три месеца след влизането в сила на настоящото решение. През този период, за целите на член 46, параграф 1 от Регламент (ЕС) 2016/679, износителите на данни и вносителите на данни следва да продължат да могат да използват стандартните договорни клаузи, заложени в решения 2001/497/ЕО и 2010/87/ЕС. През допълнителен период от 15 месеца, за целите на член 46, параграф 1 от Регламент (ЕС) 2016/679, износителите на данни и вносителите на данни следва да могат да продължат да използват стандартните договорни клаузи, заложени в решения 2001/497/ЕО и 2010/87/ЕС, за изпълнението на договори, сключени между тях преди датата на отмяна на тези решения, при условие че операциите по обработване, които са предмет на договора, остават непроменени и че използването на клаузите гарантира, че предаването на лични данни се извършва при наличието на подходящи гаранции по смисъла на член 46, параграф 1 от Регламент (ЕС) 2016/679. В случай на съответни промени в договора от износителя на данни следва да се изисква да използва ново основание за предаванията на данни съгласно договора, по-специално като замени съществуващите стандартни договорни клаузи със стандартните договорни клаузи, заложени в приложението към настоящото решение. Същото следва да се прилага и за всяко възлагане на обработващ лични данни (или обработващ лични данни подизпълнител) на операции по обработване, обхванати от договора.</w:t>
      </w:r>
    </w:p>
    <w:p w14:paraId="48957417" w14:textId="7B67D10F" w:rsidR="00EB7ED2" w:rsidRPr="00A91BCA" w:rsidRDefault="00EB7ED2" w:rsidP="00EB7ED2">
      <w:pPr>
        <w:pStyle w:val="Considrant"/>
      </w:pPr>
      <w:r w:rsidRPr="00A91BCA">
        <w:t>В съответствие с член 42, параграфи 1 и 2 от Регламент (ЕС) 2018/1725 бяха проведени консултации с Европейския надзорен орган по защита на данните и Европейския комитет по защита на данните. На 14 януари 2021 г.</w:t>
      </w:r>
      <w:r w:rsidRPr="00A91BCA">
        <w:rPr>
          <w:rStyle w:val="FootnoteReference"/>
        </w:rPr>
        <w:footnoteReference w:id="12"/>
      </w:r>
      <w:r w:rsidRPr="00A91BCA">
        <w:t xml:space="preserve"> те представиха съвместно становище, което беше взето предвид при изготвянето на настоящото решение.</w:t>
      </w:r>
    </w:p>
    <w:p w14:paraId="289362C9" w14:textId="00811021" w:rsidR="00070205" w:rsidRPr="00A91BCA" w:rsidRDefault="00EB7ED2" w:rsidP="00EB7ED2">
      <w:pPr>
        <w:pStyle w:val="Considrant"/>
      </w:pPr>
      <w:r w:rsidRPr="00A91BCA">
        <w:t>Мерките, предвидени в настоящото решение, са в съответствие със становището на комитета, създаден съгласно член 93 от Регламент (ЕС) 2016/679,</w:t>
      </w:r>
    </w:p>
    <w:p w14:paraId="394176FC" w14:textId="483FDF94" w:rsidR="00070205" w:rsidRPr="00A91BCA" w:rsidRDefault="00070205" w:rsidP="00C36A89">
      <w:pPr>
        <w:pStyle w:val="Formuledadoption"/>
      </w:pPr>
      <w:r w:rsidRPr="00A91BCA">
        <w:t>ПРИЕ НАСТОЯЩОТО РЕШЕНИЕ:</w:t>
      </w:r>
    </w:p>
    <w:p w14:paraId="1F7E83B5" w14:textId="77777777" w:rsidR="00070205" w:rsidRPr="00A91BCA" w:rsidRDefault="00070205" w:rsidP="00C36A89">
      <w:pPr>
        <w:pStyle w:val="Titrearticle"/>
      </w:pPr>
      <w:r w:rsidRPr="00A91BCA">
        <w:t>Член 1</w:t>
      </w:r>
    </w:p>
    <w:p w14:paraId="538F6848" w14:textId="0507B179" w:rsidR="00BC3487" w:rsidRPr="00A91BCA" w:rsidRDefault="00BC3487" w:rsidP="00C5435C">
      <w:pPr>
        <w:pStyle w:val="NumPar1"/>
        <w:numPr>
          <w:ilvl w:val="0"/>
          <w:numId w:val="2"/>
        </w:numPr>
        <w:ind w:left="567" w:hanging="567"/>
      </w:pPr>
      <w:r w:rsidRPr="00A91BCA">
        <w:t>Смята се, че стандартните договорни клаузи, заложени в приложението, осигуряват подходящи гаранции по смисъла на член 46, параграф 1 и член 46, параграф 2, буква в) от Регламент (ЕС) 2016/679 за предаването от администратор или обработващ лични данни, спрямо чието обработване се прилага този регламент (износител на данни), на администратор или обработващ лични данни (или обработващ лични данни подизпълнител), спрямо чието обработване не се прилага този регламент (вносител на данни).</w:t>
      </w:r>
    </w:p>
    <w:p w14:paraId="3FA06E78" w14:textId="55A2AE9E" w:rsidR="00070205" w:rsidRPr="00A91BCA" w:rsidRDefault="00BC3487" w:rsidP="00C5435C">
      <w:pPr>
        <w:pStyle w:val="NumPar1"/>
        <w:ind w:left="567" w:hanging="567"/>
      </w:pPr>
      <w:r w:rsidRPr="00A91BCA">
        <w:t>В стандартните договорни клаузи също така се определят правата и задълженията на администраторите и обработващите лични данни по отношение на въпросите, посочени в член 28, параграфи 3 и 4 от Регламент (ЕС) 2016/679, що се отнася до предаването на лични данни от администратор на лични данни на обработващ лични данни или от обработващ лични данни на обработващ лични данни подизпълнител.</w:t>
      </w:r>
    </w:p>
    <w:p w14:paraId="4CB1E645" w14:textId="651D7201" w:rsidR="00BC3487" w:rsidRPr="00A91BCA" w:rsidRDefault="00BC3487" w:rsidP="00BC3487">
      <w:pPr>
        <w:pStyle w:val="Titrearticle"/>
      </w:pPr>
      <w:r w:rsidRPr="00A91BCA">
        <w:t>Член 2</w:t>
      </w:r>
    </w:p>
    <w:p w14:paraId="5FDBD622" w14:textId="3D901011" w:rsidR="00BC3487" w:rsidRPr="00A91BCA" w:rsidRDefault="007518A8" w:rsidP="00BC3487">
      <w:r w:rsidRPr="00A91BCA">
        <w:t>Когато компетентните органи на държава членка упражняват корективни правомощия съгласно член 58 от Регламент (ЕС) 2016/679 в отговор на това, че спрямо вносителя на данни с прилагат или ще се прилагат закони или практики в трета държава на получаване, които го възпрепятстват да спазва стандартните договорни клаузи, заложени в приложението, водещи до спиране или забрана на предаванията на данни на трети държави, съответната държава членка незабавно информира Комисията, която препраща информаци</w:t>
      </w:r>
      <w:r w:rsidR="00373BCA">
        <w:t>ята на другите държави членки.</w:t>
      </w:r>
    </w:p>
    <w:p w14:paraId="0FB2B3DE" w14:textId="35AB7CC9" w:rsidR="00BC3487" w:rsidRPr="00A91BCA" w:rsidRDefault="00BC3487" w:rsidP="00BC3487">
      <w:pPr>
        <w:pStyle w:val="Titrearticle"/>
      </w:pPr>
      <w:r w:rsidRPr="00A91BCA">
        <w:t>Член 3</w:t>
      </w:r>
    </w:p>
    <w:p w14:paraId="55AAF322" w14:textId="034E1272" w:rsidR="00BC3487" w:rsidRPr="00A91BCA" w:rsidRDefault="00BC3487" w:rsidP="00BC3487">
      <w:r w:rsidRPr="00A91BCA">
        <w:t>Комисията оценява практическото прилагане на стандартните договорни клаузи, заложени в приложението, въз основа на цялата налична информация като част от периодичната оценка, изисквана съгласно член 97 от Регламент (ЕС) 2016/679.</w:t>
      </w:r>
    </w:p>
    <w:p w14:paraId="1A3E54FE" w14:textId="0EDEFE7E" w:rsidR="00BC3487" w:rsidRPr="00A91BCA" w:rsidRDefault="00BC3487" w:rsidP="00BC3487">
      <w:pPr>
        <w:pStyle w:val="Titrearticle"/>
      </w:pPr>
      <w:r w:rsidRPr="00A91BCA">
        <w:t>Член 4</w:t>
      </w:r>
    </w:p>
    <w:p w14:paraId="20379AF7" w14:textId="155192AA" w:rsidR="00961DA5" w:rsidRPr="00A91BCA" w:rsidRDefault="00070205" w:rsidP="00C5435C">
      <w:pPr>
        <w:pStyle w:val="NumPar1"/>
        <w:numPr>
          <w:ilvl w:val="0"/>
          <w:numId w:val="4"/>
        </w:numPr>
      </w:pPr>
      <w:r w:rsidRPr="00A91BCA">
        <w:t>Настоящото решение влиза в сила на двадесетия ден след деня на публикуването му в Официален вестник на Европейския съюз.</w:t>
      </w:r>
    </w:p>
    <w:p w14:paraId="2D0DDCC9" w14:textId="6AF97256" w:rsidR="00BC3487" w:rsidRPr="00A91BCA" w:rsidRDefault="00BC3487" w:rsidP="00F16261">
      <w:pPr>
        <w:pStyle w:val="NumPar1"/>
        <w:numPr>
          <w:ilvl w:val="0"/>
          <w:numId w:val="4"/>
        </w:numPr>
      </w:pPr>
      <w:r w:rsidRPr="00A91BCA">
        <w:t xml:space="preserve">Решение 2001/497/ЕО се отменя, считано от </w:t>
      </w:r>
      <w:r w:rsidRPr="00A91BCA">
        <w:rPr>
          <w:highlight w:val="yellow"/>
        </w:rPr>
        <w:t>[Служба за публикации, моля въведете дата три месеца след датата по член 4, параграф 1]</w:t>
      </w:r>
      <w:r w:rsidRPr="00A91BCA">
        <w:t>.</w:t>
      </w:r>
    </w:p>
    <w:p w14:paraId="07DBD49A" w14:textId="33F141C7" w:rsidR="00BC3487" w:rsidRPr="00A91BCA" w:rsidRDefault="00BC3487" w:rsidP="00F16261">
      <w:pPr>
        <w:pStyle w:val="NumPar1"/>
      </w:pPr>
      <w:r w:rsidRPr="00A91BCA">
        <w:t xml:space="preserve">Решение 2010/87/ЕС се отменя, считано от </w:t>
      </w:r>
      <w:r w:rsidRPr="00A91BCA">
        <w:rPr>
          <w:highlight w:val="yellow"/>
        </w:rPr>
        <w:t>[Служба за публикации, моля въведете дата три месеца след датата по член 4, параграф 1]</w:t>
      </w:r>
      <w:r w:rsidRPr="00A91BCA">
        <w:t>.</w:t>
      </w:r>
    </w:p>
    <w:p w14:paraId="6BE5E755" w14:textId="7248C236" w:rsidR="00BC3487" w:rsidRPr="00A91BCA" w:rsidRDefault="00F16261" w:rsidP="001356F0">
      <w:pPr>
        <w:pStyle w:val="NumPar1"/>
      </w:pPr>
      <w:r w:rsidRPr="00A91BCA">
        <w:t xml:space="preserve">Смята се, че договорите, сключени преди </w:t>
      </w:r>
      <w:r w:rsidRPr="00A91BCA">
        <w:rPr>
          <w:highlight w:val="yellow"/>
        </w:rPr>
        <w:t>[Служба за публикации, моля въведете същата дата като в член 4, параграфи 2 и 3]</w:t>
      </w:r>
      <w:r w:rsidRPr="00A91BCA">
        <w:t xml:space="preserve"> въз основа на Решение 2001/497/ЕО или Решение 2010/87/ЕС, осигуряват подходящи гаранции по смисъла на член 46, параграф 1 от Регламент (ЕС) 2016/679 до </w:t>
      </w:r>
      <w:r w:rsidRPr="00A91BCA">
        <w:rPr>
          <w:highlight w:val="yellow"/>
        </w:rPr>
        <w:t>[Служба за публикации, моля добавете дата 15 месеца от датата в член 4, параграфи 2 и 3]</w:t>
      </w:r>
      <w:r w:rsidRPr="00A91BCA">
        <w:t>, при условие че операциите по обработване, които са предмет на договора, остават непроменени и че използването на тези клаузи гарантира, че предаването на лични данни се извършва при наличието на подходящи гаранции.</w:t>
      </w:r>
    </w:p>
    <w:p w14:paraId="6DE897E5" w14:textId="709E3371" w:rsidR="00070205" w:rsidRPr="00A91BCA" w:rsidRDefault="00A91BCA" w:rsidP="00A91BCA">
      <w:pPr>
        <w:pStyle w:val="Fait"/>
      </w:pPr>
      <w:r w:rsidRPr="00A91BCA">
        <w:t xml:space="preserve">Съставено в Брюксел на </w:t>
      </w:r>
      <w:r w:rsidRPr="00A91BCA">
        <w:rPr>
          <w:rStyle w:val="Marker"/>
        </w:rPr>
        <w:t>[…]</w:t>
      </w:r>
      <w:r w:rsidRPr="00A91BCA">
        <w:t xml:space="preserve"> година.</w:t>
      </w:r>
    </w:p>
    <w:p w14:paraId="0F181B50" w14:textId="77777777" w:rsidR="00070205" w:rsidRPr="00A91BCA" w:rsidRDefault="00070205" w:rsidP="00070205">
      <w:pPr>
        <w:pStyle w:val="Institutionquisigne"/>
      </w:pPr>
      <w:r w:rsidRPr="00A91BCA">
        <w:tab/>
        <w:t>За Комисията</w:t>
      </w:r>
    </w:p>
    <w:p w14:paraId="2ADC8DED" w14:textId="704DEB9D" w:rsidR="00070205" w:rsidRPr="00A91BCA" w:rsidRDefault="00070205" w:rsidP="00070205">
      <w:pPr>
        <w:pStyle w:val="Personnequisigne"/>
      </w:pPr>
      <w:r w:rsidRPr="00A91BCA">
        <w:tab/>
        <w:t xml:space="preserve">Ursula VON DER LEYEN </w:t>
      </w:r>
      <w:r w:rsidRPr="00A91BCA">
        <w:br/>
      </w:r>
      <w:r w:rsidRPr="00A91BCA">
        <w:tab/>
        <w:t>Председате</w:t>
      </w:r>
      <w:r w:rsidR="00373BCA">
        <w:t>л</w:t>
      </w:r>
    </w:p>
    <w:sectPr w:rsidR="00070205" w:rsidRPr="00A91BCA" w:rsidSect="00495407">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C481B" w14:textId="011690D8" w:rsidR="00A91BCA" w:rsidRPr="00495407" w:rsidRDefault="00495407" w:rsidP="00495407">
    <w:pPr>
      <w:pStyle w:val="Footer"/>
      <w:rPr>
        <w:rFonts w:ascii="Arial" w:hAnsi="Arial" w:cs="Arial"/>
        <w:b/>
        <w:sz w:val="48"/>
      </w:rPr>
    </w:pPr>
    <w:r w:rsidRPr="00495407">
      <w:rPr>
        <w:rFonts w:ascii="Arial" w:hAnsi="Arial" w:cs="Arial"/>
        <w:b/>
        <w:sz w:val="48"/>
      </w:rPr>
      <w:t>BG</w:t>
    </w:r>
    <w:r w:rsidRPr="00495407">
      <w:rPr>
        <w:rFonts w:ascii="Arial" w:hAnsi="Arial" w:cs="Arial"/>
        <w:b/>
        <w:sz w:val="48"/>
      </w:rPr>
      <w:tab/>
    </w:r>
    <w:r w:rsidRPr="00495407">
      <w:rPr>
        <w:rFonts w:ascii="Arial" w:hAnsi="Arial" w:cs="Arial"/>
        <w:b/>
        <w:sz w:val="48"/>
      </w:rPr>
      <w:tab/>
    </w:r>
    <w:r w:rsidRPr="00495407">
      <w:tab/>
    </w:r>
    <w:r w:rsidRPr="00495407">
      <w:rPr>
        <w:rFonts w:ascii="Arial" w:hAnsi="Arial" w:cs="Arial"/>
        <w:b/>
        <w:sz w:val="48"/>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046A1" w14:textId="75546DBA" w:rsidR="00495407" w:rsidRPr="00495407" w:rsidRDefault="00495407" w:rsidP="00495407">
    <w:pPr>
      <w:pStyle w:val="Footer"/>
      <w:rPr>
        <w:rFonts w:ascii="Arial" w:hAnsi="Arial" w:cs="Arial"/>
        <w:b/>
        <w:sz w:val="48"/>
      </w:rPr>
    </w:pPr>
    <w:r w:rsidRPr="00495407">
      <w:rPr>
        <w:rFonts w:ascii="Arial" w:hAnsi="Arial" w:cs="Arial"/>
        <w:b/>
        <w:sz w:val="48"/>
      </w:rPr>
      <w:t>BG</w:t>
    </w:r>
    <w:r w:rsidRPr="00495407">
      <w:rPr>
        <w:rFonts w:ascii="Arial" w:hAnsi="Arial" w:cs="Arial"/>
        <w:b/>
        <w:sz w:val="48"/>
      </w:rPr>
      <w:tab/>
    </w:r>
    <w:r>
      <w:fldChar w:fldCharType="begin"/>
    </w:r>
    <w:r>
      <w:instrText xml:space="preserve"> PAGE  \* MERGEFORMAT </w:instrText>
    </w:r>
    <w:r>
      <w:fldChar w:fldCharType="separate"/>
    </w:r>
    <w:r w:rsidR="00C97173">
      <w:rPr>
        <w:noProof/>
      </w:rPr>
      <w:t>1</w:t>
    </w:r>
    <w:r>
      <w:fldChar w:fldCharType="end"/>
    </w:r>
    <w:r>
      <w:tab/>
    </w:r>
    <w:r w:rsidRPr="00495407">
      <w:tab/>
    </w:r>
    <w:r w:rsidRPr="00495407">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06ACB" w14:textId="77777777" w:rsidR="00495407" w:rsidRPr="00495407" w:rsidRDefault="00495407" w:rsidP="004954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6A121A" w:rsidRDefault="004B5724">
      <w:pPr>
        <w:pStyle w:val="FootnoteText"/>
      </w:pPr>
      <w:r>
        <w:rPr>
          <w:rStyle w:val="FootnoteReference"/>
        </w:rPr>
        <w:footnoteRef/>
      </w:r>
      <w:r>
        <w:tab/>
        <w:t>OB L 119, 4.5.2016 г., стр. 1.</w:t>
      </w:r>
    </w:p>
  </w:footnote>
  <w:footnote w:id="2">
    <w:p w14:paraId="14ACAFDD" w14:textId="53B6CCEA" w:rsidR="004B5724" w:rsidRPr="006A121A" w:rsidRDefault="004B5724">
      <w:pPr>
        <w:pStyle w:val="FootnoteText"/>
      </w:pPr>
      <w:r>
        <w:rPr>
          <w:rStyle w:val="FootnoteReference"/>
        </w:rPr>
        <w:footnoteRef/>
      </w:r>
      <w:r>
        <w:tab/>
        <w:t>Член 44 от Регламент (ЕС) 2016/679.</w:t>
      </w:r>
    </w:p>
  </w:footnote>
  <w:footnote w:id="3">
    <w:p w14:paraId="69287943" w14:textId="31B9A63E" w:rsidR="004B5724" w:rsidRPr="004B5724" w:rsidRDefault="004B5724">
      <w:pPr>
        <w:pStyle w:val="FootnoteText"/>
      </w:pPr>
      <w:r>
        <w:rPr>
          <w:rStyle w:val="FootnoteReference"/>
        </w:rPr>
        <w:footnoteRef/>
      </w:r>
      <w:r>
        <w:tab/>
        <w:t xml:space="preserve">Вж. също решение на Съда от 16 юли 2020 г., </w:t>
      </w:r>
      <w:r>
        <w:rPr>
          <w:i/>
        </w:rPr>
        <w:t>Data Protection Commissioner</w:t>
      </w:r>
      <w:r>
        <w:t>/</w:t>
      </w:r>
      <w:r>
        <w:rPr>
          <w:i/>
        </w:rPr>
        <w:t>Facebook Ireland Ltd и Maximillian Schrems („Schrems II“)</w:t>
      </w:r>
      <w:r>
        <w:t>, C-311/18, ECLI:EU:C:2020:559, т. 93.</w:t>
      </w:r>
    </w:p>
  </w:footnote>
  <w:footnote w:id="4">
    <w:p w14:paraId="3B74AE4D" w14:textId="04983C74" w:rsidR="004B5724" w:rsidRPr="006A121A" w:rsidRDefault="004B5724">
      <w:pPr>
        <w:pStyle w:val="FootnoteText"/>
      </w:pPr>
      <w:r>
        <w:rPr>
          <w:rStyle w:val="FootnoteReference"/>
        </w:rPr>
        <w:footnoteRef/>
      </w:r>
      <w:r>
        <w:tab/>
        <w:t>Съображение 109 от Регламент (ЕС) 2016/679.</w:t>
      </w:r>
    </w:p>
  </w:footnote>
  <w:footnote w:id="5">
    <w:p w14:paraId="4B4E107A" w14:textId="5733D7D2" w:rsidR="004B5724" w:rsidRPr="004B5724" w:rsidRDefault="004B5724">
      <w:pPr>
        <w:pStyle w:val="FootnoteText"/>
      </w:pPr>
      <w:r>
        <w:rPr>
          <w:rStyle w:val="FootnoteReference"/>
        </w:rPr>
        <w:footnoteRef/>
      </w:r>
      <w:r>
        <w:tab/>
        <w:t>Решение 2001/497/ЕО на Комисията от 15 юни 2001 г. относно общите договорни клаузи за трансфера на лични данни към трети страни съгласно Директива 95/46/ЕО (ОВ L 181, 4.7.2001 г., стр. 19).</w:t>
      </w:r>
    </w:p>
  </w:footnote>
  <w:footnote w:id="6">
    <w:p w14:paraId="72FA0FBB" w14:textId="1A3CC73A" w:rsidR="004B5724" w:rsidRPr="004B5724" w:rsidRDefault="004B5724">
      <w:pPr>
        <w:pStyle w:val="FootnoteText"/>
      </w:pPr>
      <w:r>
        <w:rPr>
          <w:rStyle w:val="FootnoteReference"/>
        </w:rPr>
        <w:footnoteRef/>
      </w:r>
      <w:r>
        <w:tab/>
        <w:t>Решение 2010/87/ЕС на Комисията от 5 февруари 2010 г. относно стандартните договорни клаузи при предаването на лични данни към лицата, които ги обработват, установени в трети страни, съгласно Директива 95/46/ЕО на Европейския парламент и на Съвета (ОВ L 39, 12.2.2010 г., стр. 5).</w:t>
      </w:r>
    </w:p>
  </w:footnote>
  <w:footnote w:id="7">
    <w:p w14:paraId="69639D4A" w14:textId="07AD5383" w:rsidR="004B5724" w:rsidRPr="004B5724" w:rsidRDefault="004B5724">
      <w:pPr>
        <w:pStyle w:val="FootnoteText"/>
      </w:pPr>
      <w:r>
        <w:rPr>
          <w:rStyle w:val="FootnoteReference"/>
        </w:rPr>
        <w:footnoteRef/>
      </w:r>
      <w:r>
        <w:tab/>
        <w:t>Директива 95/46/ЕО на Европейския парламент и на Съвета от 24 октомври 1995 г. за защита на физическите лица при обработването на лични данни и за свободното движение на тези данни (ОВ L 281, 23.11.1995 г., стр. 31).</w:t>
      </w:r>
    </w:p>
  </w:footnote>
  <w:footnote w:id="8">
    <w:p w14:paraId="13D8FC7C" w14:textId="243B6CBC" w:rsidR="004B5724" w:rsidRPr="004B5724" w:rsidRDefault="004B5724">
      <w:pPr>
        <w:pStyle w:val="FootnoteText"/>
      </w:pPr>
      <w:r>
        <w:rPr>
          <w:rStyle w:val="FootnoteReference"/>
        </w:rPr>
        <w:footnoteRef/>
      </w:r>
      <w:r>
        <w:tab/>
        <w:t>Регламент (ЕС) 2018/1725 на Европейския парламент и на Съвета от 23 октомври 2018 г. относно защитата на физическите лица във връзка с обработването на лични данни от институциите, органите, службите и агенциите на Съюза и относно свободното движение на такива данни и за отмяна на Регламент (ЕО) № 45/2001 и Решение № 1247/2002/ЕО (ОВ L 295, 21.11.2018 г., стр. 39), вж. съображение 5.</w:t>
      </w:r>
    </w:p>
  </w:footnote>
  <w:footnote w:id="9">
    <w:p w14:paraId="35AD7AC6" w14:textId="7F16560E" w:rsidR="004B5724" w:rsidRPr="006A121A" w:rsidRDefault="004B5724">
      <w:pPr>
        <w:pStyle w:val="FootnoteText"/>
      </w:pPr>
      <w:r>
        <w:rPr>
          <w:rStyle w:val="FootnoteReference"/>
        </w:rPr>
        <w:footnoteRef/>
      </w:r>
      <w:r>
        <w:tab/>
        <w:t>C(2021) 3701.</w:t>
      </w:r>
    </w:p>
  </w:footnote>
  <w:footnote w:id="10">
    <w:p w14:paraId="153B3BD2" w14:textId="547EFAD1" w:rsidR="004B5724" w:rsidRPr="004B5724" w:rsidRDefault="004B5724">
      <w:pPr>
        <w:pStyle w:val="FootnoteText"/>
      </w:pPr>
      <w:r>
        <w:rPr>
          <w:rStyle w:val="FootnoteReference"/>
        </w:rPr>
        <w:footnoteRef/>
      </w:r>
      <w:r>
        <w:tab/>
        <w:t xml:space="preserve">Решение по дело </w:t>
      </w:r>
      <w:r>
        <w:rPr>
          <w:i/>
        </w:rPr>
        <w:t>Schrems II</w:t>
      </w:r>
      <w:r>
        <w:t>, т. 96 и 103. Вж. също Регламент (ЕС) 2016/679, съображения 108 и 114.</w:t>
      </w:r>
    </w:p>
  </w:footnote>
  <w:footnote w:id="11">
    <w:p w14:paraId="1FFBEDA4" w14:textId="400AC41E" w:rsidR="004B5724" w:rsidRPr="006A121A" w:rsidRDefault="004B5724">
      <w:pPr>
        <w:pStyle w:val="FootnoteText"/>
      </w:pPr>
      <w:r>
        <w:rPr>
          <w:rStyle w:val="FootnoteReference"/>
        </w:rPr>
        <w:footnoteRef/>
      </w:r>
      <w:r>
        <w:tab/>
        <w:t xml:space="preserve">Решение по дело </w:t>
      </w:r>
      <w:r>
        <w:rPr>
          <w:i/>
        </w:rPr>
        <w:t>Schrems II</w:t>
      </w:r>
      <w:r>
        <w:t>.</w:t>
      </w:r>
    </w:p>
  </w:footnote>
  <w:footnote w:id="12">
    <w:p w14:paraId="58CC1499" w14:textId="72D112B4" w:rsidR="004B5724" w:rsidRPr="004B5724" w:rsidRDefault="004B5724">
      <w:pPr>
        <w:pStyle w:val="FootnoteText"/>
      </w:pPr>
      <w:r>
        <w:rPr>
          <w:rStyle w:val="FootnoteReference"/>
        </w:rPr>
        <w:footnoteRef/>
      </w:r>
      <w:r>
        <w:tab/>
        <w:t>Съвместно становище 2/2021 на ЕКЗД и ЕНОЗД във връзка с Решението за изпълнение на Европейската комисия относно общите договорни клаузи за трансфера на лични данни към трети държави по въпросите, посочени в член 46, параграф 2, буква в) от Регламент (ЕС)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 w:numId="27">
    <w:abstractNumId w:val="18"/>
  </w:num>
  <w:num w:numId="28">
    <w:abstractNumId w:val="12"/>
  </w:num>
  <w:num w:numId="29">
    <w:abstractNumId w:val="20"/>
  </w:num>
  <w:num w:numId="30">
    <w:abstractNumId w:val="11"/>
  </w:num>
  <w:num w:numId="31">
    <w:abstractNumId w:val="13"/>
  </w:num>
  <w:num w:numId="32">
    <w:abstractNumId w:val="9"/>
  </w:num>
  <w:num w:numId="33">
    <w:abstractNumId w:val="19"/>
  </w:num>
  <w:num w:numId="34">
    <w:abstractNumId w:val="8"/>
  </w:num>
  <w:num w:numId="35">
    <w:abstractNumId w:val="14"/>
  </w:num>
  <w:num w:numId="36">
    <w:abstractNumId w:val="16"/>
  </w:num>
  <w:num w:numId="37">
    <w:abstractNumId w:val="17"/>
  </w:num>
  <w:num w:numId="38">
    <w:abstractNumId w:val="10"/>
  </w:num>
  <w:num w:numId="39">
    <w:abstractNumId w:val="15"/>
  </w:num>
  <w:num w:numId="40">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ttachedTemplate r:id="rId1"/>
  <w:defaultTabStop w:val="720"/>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8:39:01"/>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043220D5-B811-469D-B3F4-866174D68337"/>
    <w:docVar w:name="LW_COVERPAGE_TYPE" w:val="1"/>
    <w:docVar w:name="LW_CROSSREFERENCE" w:val="&lt;UNUSED&gt;"/>
    <w:docVar w:name="LW_DATE.ADOPT.CP" w:val="\u1086?\u1090? XXX \u1075?\u1086?\u1076?\u1080?\u1085?\u1072?"/>
    <w:docVar w:name="LW_DATE.ADOPT.CP_DATEFORMAT" w:val="\u1086?\u1090? %DATE% \u1075?\u1086?\u1076?\u1080?\u1085?\u1072?"/>
    <w:docVar w:name="LW_DATE.ADOPT.CP_ISODATE" w:val="&lt;EMPTY&gt;"/>
    <w:docVar w:name="LW_DocType" w:val="COM"/>
    <w:docVar w:name="LW_EMISSION" w:val="&lt;EMPTY&gt;"/>
    <w:docVar w:name="LW_EMISSION_ISODATE" w:val="&lt;EMPTY&gt;"/>
    <w:docVar w:name="LW_EMISSION_LOCATION" w:val="BRX"/>
    <w:docVar w:name="LW_EMISSION_PREFIX" w:val="\u1041?\u1088?\u1102?\u1082?\u1089?\u1077?\u1083?, "/>
    <w:docVar w:name="LW_EMISSION_SUFFIX" w:val=" \u1075?."/>
    <w:docVar w:name="LW_ID_DOCMODEL" w:val="SJ-032"/>
    <w:docVar w:name="LW_ID_DOCSIGNATURE" w:val="SJ-032"/>
    <w:docVar w:name="LW_ID_DOCSTRUCTURE" w:val="COM/AA"/>
    <w:docVar w:name="LW_ID_DOCTYPE" w:val="SJ-032"/>
    <w:docVar w:name="LW_INTERETEEE.CP" w:val="(\u1090?\u1077?\u1082?\u1089?\u1090? \u1086?\u1090? \u1079?\u1085?\u1072?\u1095?\u1077?\u1085?\u1080?\u1077? \u1079?\u1072? \u1045?\u1048?\u1055?)"/>
    <w:docVar w:name="LW_LANGUE" w:val="BG"/>
    <w:docVar w:name="LW_LANGUESFAISANTFOI.CP" w:val="&lt;UNUSED&gt;"/>
    <w:docVar w:name="LW_LEVEL_OF_SENSITIVITY" w:val="Standard treatment"/>
    <w:docVar w:name="LW_NOM.INST" w:val="\u1045?\u1042?\u1056?\u1054?\u1055?\u1045?\u1049?\u1057?\u1050?\u1040? \u1050?\u1054?\u1052?\u1048?\u1057?\u1048?\u1071?"/>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1086?\u1090?\u1085?\u1086?\u1089?\u1085?\u1086? \u1089?\u1090?\u1072?\u1085?\u1076?\u1072?\u1088?\u1090?\u1085?\u1080? \u1076?\u1086?\u1075?\u1086?\u1074?\u1086?\u1088?\u1085?\u1080? \u1082?\u1083?\u1072?\u1091?\u1079?\u1080? \u1079?\u1072? \u1087?\u1088?\u1077?\u1076?\u1072?\u1074?\u1072?\u1085?\u1077?\u1090?\u1086? \u1085?\u1072? \u1083?\u1080?\u1095?\u1085?\u1080? \u1076?\u1072?\u1085?\u1085?\u1080? \u1085?\u1072? \u1090?\u1088?\u1077?\u1090?\u1080? \u1076?\u1098?\u1088?\u1078?\u1072?\u1074?\u1080? \u1089?\u1098?\u1075?\u1083?\u1072?\u1089?\u1085?\u1086? \u1056?\u1077?\u1075?\u1083?\u1072?\u1084?\u1077?\u1085?\u1090? (\u1045?\u1057?) 2016/679 \u1085?\u1072? \u1045?\u1074?\u1088?\u1086?\u1087?\u1077?\u1081?\u1089?\u1082?\u1080?\u1103? \u1087?\u1072?\u1088?\u1083?\u1072?\u1084?\u1077?\u1085?\u1090? \u1080? \u1085?\u1072? \u1057?\u1098?\u1074?\u1077?\u1090?\u1072?"/>
    <w:docVar w:name="LW_TYPE.DOC.CP" w:val="\u1056?\u1045?\u1064?\u1045?\u1053?\u1048?\u1045? \u1047?\u1040? \u1048?\u1047?\u1055?\u1066?\u1051?\u1053?\u1045?\u1053?\u1048?\u1045? (EC) \u8230?/\u8230? \u1053?\u1040? \u1050?\u1054?\u1052?\u1048?\u1057?\u1048?\u1071?\u1058?\u1040?"/>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D0D65"/>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3F0F"/>
    <w:rsid w:val="00216D82"/>
    <w:rsid w:val="00221358"/>
    <w:rsid w:val="00222641"/>
    <w:rsid w:val="00226F60"/>
    <w:rsid w:val="0023446A"/>
    <w:rsid w:val="00235DA9"/>
    <w:rsid w:val="00241172"/>
    <w:rsid w:val="00262E8A"/>
    <w:rsid w:val="00262F77"/>
    <w:rsid w:val="002800F4"/>
    <w:rsid w:val="0029032C"/>
    <w:rsid w:val="002A110A"/>
    <w:rsid w:val="002B2B40"/>
    <w:rsid w:val="002C574D"/>
    <w:rsid w:val="002E62E0"/>
    <w:rsid w:val="00304A07"/>
    <w:rsid w:val="00311FB2"/>
    <w:rsid w:val="003403AA"/>
    <w:rsid w:val="00373BCA"/>
    <w:rsid w:val="00377582"/>
    <w:rsid w:val="003A239F"/>
    <w:rsid w:val="003B1F06"/>
    <w:rsid w:val="003D708C"/>
    <w:rsid w:val="003F12D1"/>
    <w:rsid w:val="003F7841"/>
    <w:rsid w:val="00415760"/>
    <w:rsid w:val="00434710"/>
    <w:rsid w:val="00437DA6"/>
    <w:rsid w:val="004426B1"/>
    <w:rsid w:val="00470D9B"/>
    <w:rsid w:val="0047771C"/>
    <w:rsid w:val="00484EB2"/>
    <w:rsid w:val="00495407"/>
    <w:rsid w:val="00497462"/>
    <w:rsid w:val="004A1BFF"/>
    <w:rsid w:val="004B0B93"/>
    <w:rsid w:val="004B5724"/>
    <w:rsid w:val="004B5FC5"/>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D31AA"/>
    <w:rsid w:val="005D6E58"/>
    <w:rsid w:val="005F2FAA"/>
    <w:rsid w:val="005F5619"/>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70128F"/>
    <w:rsid w:val="00705B75"/>
    <w:rsid w:val="007144A6"/>
    <w:rsid w:val="00724557"/>
    <w:rsid w:val="00745432"/>
    <w:rsid w:val="007518A8"/>
    <w:rsid w:val="00753E30"/>
    <w:rsid w:val="007731F4"/>
    <w:rsid w:val="007734FC"/>
    <w:rsid w:val="0079149F"/>
    <w:rsid w:val="007A4B72"/>
    <w:rsid w:val="007A7A8F"/>
    <w:rsid w:val="007B077B"/>
    <w:rsid w:val="007B13D3"/>
    <w:rsid w:val="007C06F6"/>
    <w:rsid w:val="007C1BCB"/>
    <w:rsid w:val="007E7F52"/>
    <w:rsid w:val="007F1CE7"/>
    <w:rsid w:val="00812D69"/>
    <w:rsid w:val="008243C3"/>
    <w:rsid w:val="00841AD9"/>
    <w:rsid w:val="008521FA"/>
    <w:rsid w:val="00853D11"/>
    <w:rsid w:val="00857770"/>
    <w:rsid w:val="00877377"/>
    <w:rsid w:val="00880ADF"/>
    <w:rsid w:val="008A20CA"/>
    <w:rsid w:val="008A708F"/>
    <w:rsid w:val="008B157E"/>
    <w:rsid w:val="008B2DE3"/>
    <w:rsid w:val="008B5CCF"/>
    <w:rsid w:val="008C6D05"/>
    <w:rsid w:val="008F7E33"/>
    <w:rsid w:val="00921CD3"/>
    <w:rsid w:val="009268BF"/>
    <w:rsid w:val="0093581C"/>
    <w:rsid w:val="009422A2"/>
    <w:rsid w:val="00956552"/>
    <w:rsid w:val="00961DA5"/>
    <w:rsid w:val="009645DE"/>
    <w:rsid w:val="00971AB4"/>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61E49"/>
    <w:rsid w:val="00A91BCA"/>
    <w:rsid w:val="00A95D23"/>
    <w:rsid w:val="00AA2355"/>
    <w:rsid w:val="00AB4456"/>
    <w:rsid w:val="00AC0AE2"/>
    <w:rsid w:val="00AC3037"/>
    <w:rsid w:val="00AC42F2"/>
    <w:rsid w:val="00AE0D3E"/>
    <w:rsid w:val="00AE3AFE"/>
    <w:rsid w:val="00AE5258"/>
    <w:rsid w:val="00B01B7B"/>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97173"/>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bg-BG"/>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bg-BG"/>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F41EB-557E-4601-B2EA-00327915E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3</Pages>
  <Words>3883</Words>
  <Characters>22138</Characters>
  <Application>Microsoft Office Word</Application>
  <DocSecurity>0</DocSecurity>
  <Lines>381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2021-05-21T16:38:00Z</dcterms:created>
  <dcterms:modified xsi:type="dcterms:W3CDTF">2021-05-21T16:39:00Z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SJ-032</vt:lpwstr>
  </property>
  <property fmtid="{D5CDD505-2E9C-101B-9397-08002B2CF9AE}" pid="8" name="DQCStatus">
    <vt:lpwstr>Green (DQC version 03)</vt:lpwstr>
  </property>
</Properties>
</file>