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10484A" w14:textId="604AE5BE" w:rsidR="00D45A17" w:rsidRDefault="00782779" w:rsidP="00782779">
      <w:pPr>
        <w:pStyle w:val="Pagedecouverture"/>
      </w:pPr>
      <w:bookmarkStart w:id="0" w:name="LW_BM_COVERPAGE"/>
      <w:r>
        <w:pict w14:anchorId="3FB02F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alt="C8E9A943-405D-458F-9DDF-B7929216AFAE" style="width:450.75pt;height:393pt">
            <v:imagedata r:id="rId8" o:title=""/>
          </v:shape>
        </w:pict>
      </w:r>
    </w:p>
    <w:bookmarkEnd w:id="0"/>
    <w:p w14:paraId="2CB20864" w14:textId="77777777" w:rsidR="00D45A17" w:rsidRDefault="00D45A17" w:rsidP="00D45A17">
      <w:pPr>
        <w:sectPr w:rsidR="00D45A17" w:rsidSect="00782779">
          <w:headerReference w:type="even" r:id="rId9"/>
          <w:headerReference w:type="default" r:id="rId10"/>
          <w:footerReference w:type="even" r:id="rId11"/>
          <w:footerReference w:type="default" r:id="rId12"/>
          <w:headerReference w:type="first" r:id="rId13"/>
          <w:footerReference w:type="first" r:id="rId14"/>
          <w:pgSz w:w="11906" w:h="16838"/>
          <w:pgMar w:top="1134" w:right="1417" w:bottom="1134" w:left="1417" w:header="709" w:footer="709" w:gutter="0"/>
          <w:pgNumType w:start="0"/>
          <w:cols w:space="720"/>
          <w:docGrid w:linePitch="360"/>
        </w:sectPr>
      </w:pPr>
    </w:p>
    <w:p w14:paraId="44F89F12" w14:textId="77777777" w:rsidR="00D45A17" w:rsidRPr="00D45A17" w:rsidRDefault="00D45A17" w:rsidP="00D45A17">
      <w:pPr>
        <w:spacing w:before="120" w:after="120" w:line="240" w:lineRule="auto"/>
        <w:jc w:val="center"/>
        <w:rPr>
          <w:rFonts w:ascii="Times New Roman" w:hAnsi="Times New Roman" w:cs="Times New Roman"/>
          <w:b/>
          <w:sz w:val="24"/>
          <w:u w:val="single"/>
        </w:rPr>
      </w:pPr>
      <w:bookmarkStart w:id="1" w:name="_GoBack"/>
      <w:bookmarkEnd w:id="1"/>
      <w:r>
        <w:rPr>
          <w:rFonts w:ascii="Times New Roman" w:hAnsi="Times New Roman"/>
          <w:b/>
          <w:sz w:val="24"/>
          <w:u w:val="single"/>
        </w:rPr>
        <w:lastRenderedPageBreak/>
        <w:t xml:space="preserve">ANEXO </w:t>
      </w:r>
    </w:p>
    <w:p w14:paraId="10FB5EF7" w14:textId="77777777" w:rsidR="00D45A17" w:rsidRPr="00D45A17" w:rsidRDefault="00D45A17" w:rsidP="00D45A17">
      <w:pPr>
        <w:spacing w:before="120" w:after="120" w:line="240" w:lineRule="auto"/>
        <w:jc w:val="center"/>
        <w:rPr>
          <w:rFonts w:ascii="Times New Roman" w:hAnsi="Times New Roman" w:cs="Times New Roman"/>
          <w:sz w:val="24"/>
        </w:rPr>
      </w:pPr>
    </w:p>
    <w:p w14:paraId="1676F303" w14:textId="77777777" w:rsidR="00D45A17" w:rsidRPr="00D45A17" w:rsidRDefault="00D45A17" w:rsidP="00D45A17">
      <w:pPr>
        <w:spacing w:before="120" w:after="120" w:line="240" w:lineRule="auto"/>
        <w:jc w:val="center"/>
        <w:rPr>
          <w:rFonts w:ascii="Times New Roman" w:hAnsi="Times New Roman" w:cs="Times New Roman"/>
          <w:b/>
          <w:sz w:val="24"/>
        </w:rPr>
      </w:pPr>
      <w:r>
        <w:rPr>
          <w:rFonts w:ascii="Times New Roman" w:hAnsi="Times New Roman"/>
          <w:b/>
          <w:sz w:val="24"/>
        </w:rPr>
        <w:t>CLÁUSULAS CONTRACTUALES TIPO</w:t>
      </w:r>
    </w:p>
    <w:p w14:paraId="6C55864A" w14:textId="77777777" w:rsidR="00D45A17" w:rsidRPr="00D45A17" w:rsidRDefault="00D45A17" w:rsidP="00D45A17">
      <w:pPr>
        <w:spacing w:before="120" w:after="120" w:line="240" w:lineRule="auto"/>
        <w:jc w:val="center"/>
        <w:rPr>
          <w:rFonts w:ascii="Times New Roman" w:hAnsi="Times New Roman" w:cs="Times New Roman"/>
          <w:b/>
          <w:sz w:val="24"/>
        </w:rPr>
      </w:pPr>
    </w:p>
    <w:p w14:paraId="280DBAAC" w14:textId="77777777" w:rsidR="00D45A17" w:rsidRPr="00D45A17" w:rsidRDefault="00D45A17" w:rsidP="00D45A17">
      <w:pPr>
        <w:spacing w:before="120" w:after="120" w:line="240" w:lineRule="auto"/>
        <w:jc w:val="center"/>
        <w:rPr>
          <w:rFonts w:ascii="Times New Roman" w:hAnsi="Times New Roman" w:cs="Times New Roman"/>
          <w:b/>
          <w:sz w:val="24"/>
          <w:u w:val="single"/>
        </w:rPr>
      </w:pPr>
      <w:r>
        <w:rPr>
          <w:rFonts w:ascii="Times New Roman" w:hAnsi="Times New Roman"/>
          <w:b/>
          <w:sz w:val="24"/>
          <w:u w:val="single"/>
        </w:rPr>
        <w:t>SECCIÓN I</w:t>
      </w:r>
    </w:p>
    <w:p w14:paraId="31BF20A4"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Cláusula 1</w:t>
      </w:r>
    </w:p>
    <w:p w14:paraId="0C540A59" w14:textId="77777777" w:rsidR="00D45A17" w:rsidRPr="00D45A17" w:rsidRDefault="00D45A17" w:rsidP="00D45A17">
      <w:pPr>
        <w:keepNext/>
        <w:spacing w:before="120" w:after="120" w:line="240" w:lineRule="auto"/>
        <w:jc w:val="center"/>
        <w:rPr>
          <w:rFonts w:ascii="Times New Roman" w:hAnsi="Times New Roman" w:cs="Times New Roman"/>
          <w:b/>
          <w:i/>
          <w:sz w:val="24"/>
        </w:rPr>
      </w:pPr>
      <w:r>
        <w:rPr>
          <w:rFonts w:ascii="Times New Roman" w:hAnsi="Times New Roman"/>
          <w:b/>
          <w:i/>
          <w:sz w:val="24"/>
        </w:rPr>
        <w:t xml:space="preserve">Finalidad y ámbito de aplicación </w:t>
      </w:r>
    </w:p>
    <w:p w14:paraId="0F1DB8D9" w14:textId="77777777" w:rsidR="00D45A17" w:rsidRPr="00D45A17" w:rsidRDefault="00D45A17" w:rsidP="00DE5834">
      <w:pPr>
        <w:pStyle w:val="Point0letter"/>
        <w:numPr>
          <w:ilvl w:val="1"/>
          <w:numId w:val="53"/>
        </w:numPr>
      </w:pPr>
      <w:r>
        <w:t>La finalidad de estas cláusulas contractuales tipo es garantizar que se cumplan los requisitos que el Reglamento (UE) 2016/679 del Parlamento Europeo y del Consejo, de 27 de abril de 2016, relativo a la protección de las personas físicas en lo que respecta al tratamiento de datos personales y a la libre circulación de estos datos</w:t>
      </w:r>
      <w:r>
        <w:rPr>
          <w:vertAlign w:val="superscript"/>
        </w:rPr>
        <w:footnoteReference w:id="1"/>
      </w:r>
      <w:r>
        <w:t xml:space="preserve"> (Reglamento general de protección de datos), exige para la transferencia de datos personales a un tercer país.</w:t>
      </w:r>
    </w:p>
    <w:p w14:paraId="02491F5F"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Las partes:</w:t>
      </w:r>
    </w:p>
    <w:p w14:paraId="4A453E60" w14:textId="77777777" w:rsidR="00D45A17" w:rsidRPr="00D45A17" w:rsidRDefault="00D45A17" w:rsidP="009A3C90">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la(s) persona(s) física(s) o jurídica(s), autoridad(es) pública(s), servicio(s) u organismo(s) (en lo sucesivo, «entidad» o «entidades») que va(n) a transferir los datos personales, enumerada(s) en el anexo I.A (cada una denominada en lo sucesivo «exportador de datos»), y</w:t>
      </w:r>
    </w:p>
    <w:p w14:paraId="5D76D1ED"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la(s) entidad(es) en un tercer país que va(n) a recibir los datos personales del exportador de datos directamente o indirectamente por medio de otra entidad que también sea parte en el presente pliego de cláusulas, enumerada(s) en el anexo I.A (cada una denominada en lo sucesivo «importador de datos»),</w:t>
      </w:r>
    </w:p>
    <w:p w14:paraId="326054E7" w14:textId="77777777"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r>
        <w:rPr>
          <w:rFonts w:ascii="Times New Roman" w:hAnsi="Times New Roman"/>
          <w:sz w:val="24"/>
        </w:rPr>
        <w:t xml:space="preserve">han pactado las presentes cláusulas contractuales tipo (en lo sucesivo, «pliego de cláusulas»). </w:t>
      </w:r>
    </w:p>
    <w:p w14:paraId="34A5F9A9"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El presente pliego de cláusulas se aplica a la transferencia de datos personales especificada en el anexo I.B. </w:t>
      </w:r>
    </w:p>
    <w:p w14:paraId="5E6796C5"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El apéndice del presente pliego de cláusulas, que contiene los anexos que se citan en estas, forman parte del pliego.</w:t>
      </w:r>
    </w:p>
    <w:p w14:paraId="470FDD41"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lastRenderedPageBreak/>
        <w:t>Cláusula 2</w:t>
      </w:r>
    </w:p>
    <w:p w14:paraId="46A7F0B6" w14:textId="77777777" w:rsidR="00D45A17" w:rsidRPr="00D45A17" w:rsidRDefault="00D45A17" w:rsidP="00D45A17">
      <w:pPr>
        <w:keepNext/>
        <w:spacing w:before="120" w:after="120" w:line="240" w:lineRule="auto"/>
        <w:jc w:val="center"/>
        <w:rPr>
          <w:rFonts w:ascii="Times New Roman" w:hAnsi="Times New Roman" w:cs="Times New Roman"/>
          <w:b/>
          <w:i/>
          <w:sz w:val="24"/>
        </w:rPr>
      </w:pPr>
      <w:r>
        <w:rPr>
          <w:rFonts w:ascii="Times New Roman" w:hAnsi="Times New Roman"/>
          <w:b/>
          <w:i/>
          <w:sz w:val="24"/>
        </w:rPr>
        <w:t>Efecto e invariabilidad de las cláusulas</w:t>
      </w:r>
    </w:p>
    <w:p w14:paraId="33CA57C0" w14:textId="77777777" w:rsidR="00D45A17" w:rsidRPr="00D45A17" w:rsidRDefault="00D45A17" w:rsidP="00DE5834">
      <w:pPr>
        <w:numPr>
          <w:ilvl w:val="5"/>
          <w:numId w:val="46"/>
        </w:numPr>
        <w:tabs>
          <w:tab w:val="clear" w:pos="1984"/>
          <w:tab w:val="num" w:pos="2127"/>
        </w:tabs>
        <w:spacing w:before="120" w:after="120" w:line="240" w:lineRule="auto"/>
        <w:ind w:left="851" w:hanging="851"/>
        <w:jc w:val="both"/>
        <w:rPr>
          <w:rFonts w:ascii="Times New Roman" w:hAnsi="Times New Roman" w:cs="Times New Roman"/>
          <w:sz w:val="24"/>
        </w:rPr>
      </w:pPr>
      <w:r>
        <w:rPr>
          <w:rFonts w:ascii="Times New Roman" w:hAnsi="Times New Roman"/>
          <w:sz w:val="24"/>
        </w:rPr>
        <w:t xml:space="preserve">El presente pliego de cláusulas establece garantías adecuadas, incluidos derechos exigibles de los interesados y acciones judiciales eficaces, de conformidad con el artículo 46, apartado 1, y el artículo 46, apartado 2, letra c), del Reglamento (UE) 2016/679 y, en relación con las transferencias de datos de responsables a encargados o de encargados a otros encargados, de conformidad con las cláusulas contractuales tipo a que se refiere el artículo 28, apartado 7, del Reglamento (UE) 2016/679 siempre que no se modifiquen, salvo para seleccionar el módulo o módulos adecuados o para añadir o actualizar información del apéndice. Esto no es óbice para que las partes incluyan en un contrato más amplio las cláusulas contractuales tipo que contiene el presente pliego, ni para que añadan otras cláusulas o garantías adicionales siempre que no contradigan, directa o indirectamente, al presente pliego de cláusulas ni perjudiquen los derechos o libertades fundamentales de los interesados. </w:t>
      </w:r>
    </w:p>
    <w:p w14:paraId="74952E39" w14:textId="77777777" w:rsidR="00D45A17" w:rsidRPr="00D45A17" w:rsidRDefault="00D45A17" w:rsidP="00D45A17">
      <w:pPr>
        <w:numPr>
          <w:ilvl w:val="5"/>
          <w:numId w:val="46"/>
        </w:numPr>
        <w:tabs>
          <w:tab w:val="num" w:pos="851"/>
        </w:tabs>
        <w:spacing w:before="120" w:after="120" w:line="240" w:lineRule="auto"/>
        <w:ind w:left="851" w:hanging="851"/>
        <w:jc w:val="both"/>
        <w:rPr>
          <w:rFonts w:ascii="Times New Roman" w:hAnsi="Times New Roman" w:cs="Times New Roman"/>
          <w:sz w:val="24"/>
        </w:rPr>
      </w:pPr>
      <w:r>
        <w:rPr>
          <w:rFonts w:ascii="Times New Roman" w:hAnsi="Times New Roman"/>
          <w:sz w:val="24"/>
        </w:rPr>
        <w:t>El presente pliego de cláusulas se entiende sin perjuicio de las obligaciones a las que esté sujeto el exportador de datos en virtud del Reglamento (UE) 2016/679.</w:t>
      </w:r>
    </w:p>
    <w:p w14:paraId="1A1B39DE"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Cláusula 3</w:t>
      </w:r>
    </w:p>
    <w:p w14:paraId="2187C88D" w14:textId="68D32D29" w:rsidR="00D45A17" w:rsidRPr="00D45A17" w:rsidRDefault="00D45A17" w:rsidP="00D45A17">
      <w:pPr>
        <w:keepNext/>
        <w:spacing w:before="120" w:after="120" w:line="240" w:lineRule="auto"/>
        <w:jc w:val="center"/>
        <w:rPr>
          <w:rFonts w:ascii="Times New Roman" w:hAnsi="Times New Roman" w:cs="Times New Roman"/>
          <w:b/>
          <w:i/>
          <w:sz w:val="24"/>
        </w:rPr>
      </w:pPr>
      <w:r>
        <w:rPr>
          <w:rFonts w:ascii="Times New Roman" w:hAnsi="Times New Roman"/>
          <w:b/>
          <w:i/>
          <w:sz w:val="24"/>
        </w:rPr>
        <w:t>Terceros beneficiarios</w:t>
      </w:r>
    </w:p>
    <w:p w14:paraId="712586F6" w14:textId="78FE3158" w:rsidR="00D45A17" w:rsidRPr="00D45A17" w:rsidRDefault="00D45A17" w:rsidP="00D45A17">
      <w:pPr>
        <w:numPr>
          <w:ilvl w:val="1"/>
          <w:numId w:val="37"/>
        </w:numPr>
        <w:spacing w:before="120" w:after="120" w:line="240" w:lineRule="auto"/>
        <w:jc w:val="both"/>
        <w:rPr>
          <w:rFonts w:ascii="Times New Roman" w:hAnsi="Times New Roman" w:cs="Times New Roman"/>
          <w:sz w:val="24"/>
        </w:rPr>
      </w:pPr>
      <w:r>
        <w:rPr>
          <w:rFonts w:ascii="Times New Roman" w:hAnsi="Times New Roman"/>
          <w:sz w:val="24"/>
        </w:rPr>
        <w:t>Los interesados podrán invocar, como terceros beneficiarios, el presente pliego de cláusulas contra el exportador y/o el importador de datos y exigirles su cumplimiento, con las excepciones siguientes.</w:t>
      </w:r>
    </w:p>
    <w:p w14:paraId="47B77EFB"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Cláusulas 1, 2, 3, 6 y 7.</w:t>
      </w:r>
    </w:p>
    <w:p w14:paraId="658F4783" w14:textId="0FC9F3E8"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Cláusula 8: [módulo uno] cláusula 8.5, letra e), y cláusula 8.9, letra b); [módulo dos] cláusula 8.1, letra b), y cláusula 8.9, letras a), c), d) y e); [módulo tres] cláusula 8.1, letras a), c) y d), y cláusula 8.9, letras a), c), d), e), f) y g); [módulo cuatro] cláusula 8.1, letra b), y cláusula 8.3, letra b).</w:t>
      </w:r>
    </w:p>
    <w:p w14:paraId="44B74EBF" w14:textId="55224674"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Cláusula 9: [módulo dos] cláusula 9, letras a), c), d) y e); [módulo tres] cláusula 9, letras a, c), d) y e).</w:t>
      </w:r>
    </w:p>
    <w:p w14:paraId="4754CD47"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Cláusula 12: [módulo uno] cláusula 12, letras a) y d); [módulos dos y tres] cláusula 12, letras a), d) y f).</w:t>
      </w:r>
    </w:p>
    <w:p w14:paraId="1B53F91B" w14:textId="517E4970"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Cláusula 13.</w:t>
      </w:r>
    </w:p>
    <w:p w14:paraId="7F885241"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Cláusula 15.1, letras c), d) y e).</w:t>
      </w:r>
    </w:p>
    <w:p w14:paraId="2BC87276"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Cláusula 16, letra e).</w:t>
      </w:r>
    </w:p>
    <w:p w14:paraId="43DBF39B" w14:textId="3623229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Cláusula 18: [módulos uno, dos y tres] cláusula 18, letras a) y b); [módulo cuatro] cláusula 18.</w:t>
      </w:r>
    </w:p>
    <w:p w14:paraId="681D59DF" w14:textId="694263B6" w:rsidR="00D45A17" w:rsidRPr="00DE5834"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Lo dispuesto en la letra a) se entiende sin perjuicio de los derechos que el Reglamento (UE) 2016/679 otorga a los interesados.</w:t>
      </w:r>
    </w:p>
    <w:p w14:paraId="32F825CB" w14:textId="77777777" w:rsidR="00DE5834" w:rsidRPr="00D45A17" w:rsidRDefault="00DE5834" w:rsidP="00DE5834">
      <w:pPr>
        <w:spacing w:before="120" w:after="120" w:line="240" w:lineRule="auto"/>
        <w:ind w:left="850"/>
        <w:jc w:val="both"/>
        <w:rPr>
          <w:rFonts w:ascii="Times New Roman" w:hAnsi="Times New Roman" w:cs="Times New Roman"/>
          <w:sz w:val="24"/>
        </w:rPr>
      </w:pPr>
    </w:p>
    <w:p w14:paraId="490DB4AD"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lastRenderedPageBreak/>
        <w:t>Cláusula 4</w:t>
      </w:r>
    </w:p>
    <w:p w14:paraId="2DD92392"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Interpretación</w:t>
      </w:r>
    </w:p>
    <w:p w14:paraId="7E365FE4" w14:textId="1B3D4F2F" w:rsidR="00D45A17" w:rsidRPr="00D45A17" w:rsidRDefault="00D45A17" w:rsidP="00D45A17">
      <w:pPr>
        <w:numPr>
          <w:ilvl w:val="1"/>
          <w:numId w:val="9"/>
        </w:numPr>
        <w:spacing w:before="120" w:after="120" w:line="240" w:lineRule="auto"/>
        <w:jc w:val="both"/>
        <w:rPr>
          <w:rFonts w:ascii="Times New Roman" w:hAnsi="Times New Roman" w:cs="Times New Roman"/>
          <w:sz w:val="24"/>
        </w:rPr>
      </w:pPr>
      <w:r>
        <w:rPr>
          <w:rFonts w:ascii="Times New Roman" w:hAnsi="Times New Roman"/>
          <w:sz w:val="24"/>
        </w:rPr>
        <w:t>Cuando en el presente pliego de cláusulas se utilizan términos definidos en el Reglamento (UE) 2016/679, se entiende que tienen el mismo significado que en dicho Reglamento.</w:t>
      </w:r>
    </w:p>
    <w:p w14:paraId="0709B574"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El presente pliego de cláusulas deberá leerse e interpretarse con arreglo a las disposiciones del Reglamento (UE) 2016/679.</w:t>
      </w:r>
    </w:p>
    <w:p w14:paraId="05C280D2" w14:textId="53ACB041" w:rsidR="00F63790" w:rsidRPr="00DE5834" w:rsidRDefault="00D45A17" w:rsidP="00DE5834">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El presente pliego de cláusulas no se podrá interpretar de manera que entre en conflicto con los derechos y obligaciones establecidos en el Reglamento</w:t>
      </w:r>
      <w:r w:rsidR="00DE5834">
        <w:rPr>
          <w:rFonts w:ascii="Times New Roman" w:hAnsi="Times New Roman"/>
          <w:sz w:val="24"/>
        </w:rPr>
        <w:t> (UE) </w:t>
      </w:r>
      <w:r>
        <w:rPr>
          <w:rFonts w:ascii="Times New Roman" w:hAnsi="Times New Roman"/>
          <w:sz w:val="24"/>
        </w:rPr>
        <w:t xml:space="preserve">2016/679. </w:t>
      </w:r>
    </w:p>
    <w:p w14:paraId="7CFBB99C" w14:textId="6AD84456"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Cláusula 5</w:t>
      </w:r>
    </w:p>
    <w:p w14:paraId="600C852A"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Jerarquía</w:t>
      </w:r>
    </w:p>
    <w:p w14:paraId="5B5D80E3" w14:textId="3BFD91F5"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En caso de contradicción entre el presente pliego de cláusulas y las disposiciones de acuerdos conexos entre las partes que estuvieren en vigor en el momento en que se pactare o comenzare a aplicarse el presente pliego de cláusulas, prevalecerá el presente pliego de cláusulas.</w:t>
      </w:r>
    </w:p>
    <w:p w14:paraId="2D265C22"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Cláusula 6</w:t>
      </w:r>
    </w:p>
    <w:p w14:paraId="33A94BC2"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Descripción de la transferencia o transferencias</w:t>
      </w:r>
    </w:p>
    <w:p w14:paraId="00CC2F4A" w14:textId="5488F3FA"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 xml:space="preserve">Los datos de la transferencia o transferencias y, en particular, las categorías de datos personales que se transfieren y los fines para los que se transfieren se especifican </w:t>
      </w:r>
      <w:r w:rsidR="00DE5834">
        <w:rPr>
          <w:rFonts w:ascii="Times New Roman" w:hAnsi="Times New Roman"/>
          <w:sz w:val="24"/>
        </w:rPr>
        <w:t>en el anexo </w:t>
      </w:r>
      <w:r>
        <w:rPr>
          <w:rFonts w:ascii="Times New Roman" w:hAnsi="Times New Roman"/>
          <w:sz w:val="24"/>
        </w:rPr>
        <w:t>I.B.</w:t>
      </w:r>
    </w:p>
    <w:p w14:paraId="343EED3F"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Cláusula 7 (opcional)</w:t>
      </w:r>
    </w:p>
    <w:p w14:paraId="6D2048AD"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Cláusula de incorporación</w:t>
      </w:r>
    </w:p>
    <w:p w14:paraId="0A91026F" w14:textId="77777777" w:rsidR="00D45A17" w:rsidRPr="00D45A17" w:rsidRDefault="00D45A17" w:rsidP="00D45A17">
      <w:pPr>
        <w:numPr>
          <w:ilvl w:val="1"/>
          <w:numId w:val="10"/>
        </w:numPr>
        <w:spacing w:before="120" w:after="120" w:line="240" w:lineRule="auto"/>
        <w:jc w:val="both"/>
        <w:rPr>
          <w:rFonts w:ascii="Times New Roman" w:hAnsi="Times New Roman" w:cs="Times New Roman"/>
          <w:sz w:val="24"/>
        </w:rPr>
      </w:pPr>
      <w:r>
        <w:rPr>
          <w:rFonts w:ascii="Times New Roman" w:hAnsi="Times New Roman"/>
          <w:sz w:val="24"/>
        </w:rPr>
        <w:t xml:space="preserve">Cualquier entidad que no sea parte en el presente pliego de cláusulas podrá, previo consentimiento de todas las partes, adherirse al presente pliego de cláusulas en cualquier momento, ya sea como exportador de datos o como importador de datos, cumplimentando el apéndice y firmando el anexo I.A.  </w:t>
      </w:r>
    </w:p>
    <w:p w14:paraId="781715A4" w14:textId="58C26D5E"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Una vez haya cumplimentado el apéndice y firmado el anexo I.A, la entidad que se adhiera se considerará parte en el presente pliego de cláusulas y tendrá los derechos y obligaciones de un exportador de datos o un importador de datos, según la categoría en la que se haya inscrito en el anexo I.A.</w:t>
      </w:r>
    </w:p>
    <w:p w14:paraId="5630226B" w14:textId="5594C4A2" w:rsidR="00D45A17" w:rsidRPr="00DE5834"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La entidad que se adhiera no adquirirá derechos y obligaciones del presente pliego de cláusulas derivados del período anterior a la adhesión.</w:t>
      </w:r>
    </w:p>
    <w:p w14:paraId="4748689F" w14:textId="6575E85E" w:rsidR="00DE5834" w:rsidRDefault="00DE5834" w:rsidP="00DE5834">
      <w:pPr>
        <w:pStyle w:val="Point0number"/>
        <w:numPr>
          <w:ilvl w:val="0"/>
          <w:numId w:val="0"/>
        </w:numPr>
        <w:ind w:left="850" w:hanging="850"/>
      </w:pPr>
    </w:p>
    <w:p w14:paraId="77604F23" w14:textId="39590EA3" w:rsidR="00DE5834" w:rsidRDefault="00DE5834" w:rsidP="00DE5834">
      <w:pPr>
        <w:pStyle w:val="Point0number"/>
        <w:numPr>
          <w:ilvl w:val="0"/>
          <w:numId w:val="0"/>
        </w:numPr>
        <w:ind w:left="850" w:hanging="850"/>
      </w:pPr>
    </w:p>
    <w:p w14:paraId="289355F0" w14:textId="302A0BD9" w:rsidR="00DE5834" w:rsidRDefault="00DE5834" w:rsidP="00DE5834">
      <w:pPr>
        <w:pStyle w:val="Point0number"/>
        <w:numPr>
          <w:ilvl w:val="0"/>
          <w:numId w:val="0"/>
        </w:numPr>
        <w:ind w:left="850" w:hanging="850"/>
      </w:pPr>
    </w:p>
    <w:p w14:paraId="581543F8" w14:textId="77777777" w:rsidR="00DE5834" w:rsidRDefault="00DE5834" w:rsidP="00DE5834">
      <w:pPr>
        <w:pStyle w:val="Point0number"/>
        <w:numPr>
          <w:ilvl w:val="0"/>
          <w:numId w:val="0"/>
        </w:numPr>
        <w:ind w:left="850" w:hanging="850"/>
      </w:pPr>
    </w:p>
    <w:p w14:paraId="4A9A1170" w14:textId="77777777" w:rsidR="000F4E53" w:rsidRPr="000F4E53" w:rsidRDefault="000F4E53" w:rsidP="000F4E53">
      <w:pPr>
        <w:spacing w:before="120" w:after="120" w:line="240" w:lineRule="auto"/>
        <w:jc w:val="both"/>
        <w:rPr>
          <w:rFonts w:ascii="Times New Roman" w:hAnsi="Times New Roman" w:cs="Times New Roman"/>
          <w:sz w:val="24"/>
        </w:rPr>
      </w:pPr>
    </w:p>
    <w:p w14:paraId="0FA54ED9" w14:textId="77777777" w:rsidR="00D45A17" w:rsidRPr="00D45A17" w:rsidRDefault="00D45A17" w:rsidP="00D45A17">
      <w:pPr>
        <w:spacing w:before="120" w:after="120" w:line="240" w:lineRule="auto"/>
        <w:jc w:val="center"/>
        <w:rPr>
          <w:rFonts w:ascii="Times New Roman" w:hAnsi="Times New Roman" w:cs="Times New Roman"/>
          <w:b/>
          <w:sz w:val="24"/>
          <w:u w:val="single"/>
        </w:rPr>
      </w:pPr>
      <w:r>
        <w:rPr>
          <w:rFonts w:ascii="Times New Roman" w:hAnsi="Times New Roman"/>
          <w:b/>
          <w:sz w:val="24"/>
          <w:u w:val="single"/>
        </w:rPr>
        <w:lastRenderedPageBreak/>
        <w:t>SECCIÓN II: OBLIGACIONES DE LAS PARTES</w:t>
      </w:r>
    </w:p>
    <w:p w14:paraId="53CE847E"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Cláusula 8</w:t>
      </w:r>
    </w:p>
    <w:p w14:paraId="34BDAF50"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Garantías en materia de protección de datos</w:t>
      </w:r>
    </w:p>
    <w:p w14:paraId="6BFB6C39" w14:textId="49F2EA64"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 xml:space="preserve">El exportador de datos garantiza que ha hecho esfuerzos razonables para determinar que el importador de datos puede, aplicando medidas técnicas y organizativas adecuadas, cumplir las obligaciones que le atribuye el presente pliego de cláusulas. </w:t>
      </w:r>
    </w:p>
    <w:p w14:paraId="2773B095" w14:textId="77777777" w:rsidR="00D45A17" w:rsidRPr="00D45A17" w:rsidRDefault="00D45A17" w:rsidP="00D45A17">
      <w:pPr>
        <w:spacing w:before="120" w:after="120" w:line="240" w:lineRule="auto"/>
        <w:jc w:val="both"/>
        <w:rPr>
          <w:rFonts w:ascii="Times New Roman" w:hAnsi="Times New Roman" w:cs="Times New Roman"/>
          <w:b/>
          <w:sz w:val="24"/>
          <w:highlight w:val="magenta"/>
        </w:rPr>
      </w:pPr>
    </w:p>
    <w:p w14:paraId="1C4A10EF" w14:textId="77777777" w:rsidR="00D45A17" w:rsidRPr="00D45A17" w:rsidRDefault="00D45A17" w:rsidP="00D45A17">
      <w:pPr>
        <w:spacing w:before="120" w:after="120" w:line="240" w:lineRule="auto"/>
        <w:jc w:val="both"/>
        <w:rPr>
          <w:rFonts w:ascii="Times New Roman" w:hAnsi="Times New Roman" w:cs="Times New Roman"/>
          <w:b/>
          <w:i/>
          <w:sz w:val="24"/>
        </w:rPr>
      </w:pPr>
      <w:r>
        <w:rPr>
          <w:rFonts w:ascii="Times New Roman" w:hAnsi="Times New Roman"/>
          <w:b/>
          <w:sz w:val="24"/>
          <w:highlight w:val="lightGray"/>
        </w:rPr>
        <w:t>MÓDULO UNO: transferencia de responsable a responsable</w:t>
      </w:r>
    </w:p>
    <w:p w14:paraId="60785B44" w14:textId="77777777" w:rsidR="00D45A17" w:rsidRPr="00D45A17" w:rsidRDefault="00D45A17" w:rsidP="00D45A17">
      <w:pPr>
        <w:spacing w:before="240" w:after="120" w:line="240" w:lineRule="auto"/>
        <w:ind w:left="851" w:hanging="851"/>
        <w:jc w:val="both"/>
        <w:rPr>
          <w:rFonts w:ascii="Times New Roman" w:hAnsi="Times New Roman" w:cs="Times New Roman"/>
          <w:b/>
          <w:sz w:val="24"/>
        </w:rPr>
      </w:pPr>
      <w:r>
        <w:rPr>
          <w:rFonts w:ascii="Times New Roman" w:hAnsi="Times New Roman"/>
          <w:b/>
          <w:sz w:val="24"/>
        </w:rPr>
        <w:t>8.1.</w:t>
      </w:r>
      <w:r>
        <w:tab/>
      </w:r>
      <w:r>
        <w:rPr>
          <w:rFonts w:ascii="Times New Roman" w:hAnsi="Times New Roman"/>
          <w:b/>
          <w:sz w:val="24"/>
        </w:rPr>
        <w:t>Limitación de la finalidad</w:t>
      </w:r>
    </w:p>
    <w:p w14:paraId="0452339F" w14:textId="737A75A1"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 xml:space="preserve">El importador de datos tratará los datos personales únicamente para los fines específicos de la transferencia indicados en el anexo I.B. Solo podrá tratar los datos personales con otros fines: </w:t>
      </w:r>
    </w:p>
    <w:p w14:paraId="60930E29"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cuando haya recabado el consentimiento previo del interesado; </w:t>
      </w:r>
    </w:p>
    <w:p w14:paraId="04932BF7"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cuando sea necesario para la formulación, el ejercicio o la defensa de reclamaciones en el marco de procedimientos administrativos, reglamentarios o judiciales específicos; </w:t>
      </w:r>
    </w:p>
    <w:p w14:paraId="1D0A59E1"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cuando el tratamiento sea necesario para proteger intereses vitales del interesado o de otra persona física.</w:t>
      </w:r>
    </w:p>
    <w:p w14:paraId="3126DA97"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8.2.</w:t>
      </w:r>
      <w:r>
        <w:tab/>
      </w:r>
      <w:r>
        <w:rPr>
          <w:rFonts w:ascii="Times New Roman" w:hAnsi="Times New Roman"/>
          <w:b/>
          <w:sz w:val="24"/>
        </w:rPr>
        <w:t xml:space="preserve">Transparencia </w:t>
      </w:r>
    </w:p>
    <w:p w14:paraId="3A9CA221" w14:textId="77777777" w:rsidR="00D45A17" w:rsidRPr="00D45A17" w:rsidRDefault="00D45A17" w:rsidP="00D45A17">
      <w:pPr>
        <w:numPr>
          <w:ilvl w:val="1"/>
          <w:numId w:val="11"/>
        </w:numPr>
        <w:spacing w:before="120" w:after="120" w:line="240" w:lineRule="auto"/>
        <w:jc w:val="both"/>
        <w:rPr>
          <w:rFonts w:ascii="Times New Roman" w:hAnsi="Times New Roman" w:cs="Times New Roman"/>
          <w:sz w:val="24"/>
        </w:rPr>
      </w:pPr>
      <w:r>
        <w:rPr>
          <w:rFonts w:ascii="Times New Roman" w:hAnsi="Times New Roman"/>
          <w:sz w:val="24"/>
        </w:rPr>
        <w:t>A fin de que los interesados puedan ejercer de forma eficaz los derechos que les otorga la cláusula 10, el importador de datos les informará, directamente o a través del exportador de datos:</w:t>
      </w:r>
    </w:p>
    <w:p w14:paraId="2604AC93"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de su identidad y datos de contacto;</w:t>
      </w:r>
    </w:p>
    <w:p w14:paraId="1C5D3C0D"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de las categorías de datos personales tratados;</w:t>
      </w:r>
    </w:p>
    <w:p w14:paraId="3FD57E7D"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del derecho a solicitar una copia del presente pliego de cláusulas;</w:t>
      </w:r>
    </w:p>
    <w:p w14:paraId="7C624AFD" w14:textId="1FC3678B"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cuando tenga la intención de realizar transferencias ulteriores de los datos personales a terceros, del destinatario o de las categorías de destinatarios (según proceda con el fin de proporcionar información significativa), la finalidad de dicha transferencia ulterior y el motivo de la misma con arreglo a la cláusula 8.7.</w:t>
      </w:r>
    </w:p>
    <w:p w14:paraId="61E3B3FC" w14:textId="6FFC227C"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Lo dispuesto en la letra a) no será de aplicación cuando el interesado ya disponga de la información (por ejemplo, si el exportador de datos ya ha proporcionado dicha información) o cuando la comunicación de dicha información resulte imposible o suponga un esfuerzo desproporcionado para el importador de datos. En este último caso, el importador de datos hará pública la información en la medida de lo posible.</w:t>
      </w:r>
    </w:p>
    <w:p w14:paraId="777CAFEC" w14:textId="08F24D33" w:rsidR="00D45A17" w:rsidRPr="00D45A17" w:rsidRDefault="000A0951"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Previa solicitud, las partes pondrán gratuitamente a disposición del interesado una copia del presente pliego de cláusulas, incluido el apéndice cumplimentado por las partes. En la medida en que sea necesario para proteger secretos comerciales u otro tipo de información confidencial, como datos personales, las partes podrán expurgar el texto del apéndice antes de compartir una copia, pero deberán aportar un resumen </w:t>
      </w:r>
      <w:r>
        <w:rPr>
          <w:rFonts w:ascii="Times New Roman" w:hAnsi="Times New Roman"/>
          <w:sz w:val="24"/>
        </w:rPr>
        <w:lastRenderedPageBreak/>
        <w:t>significativo si, de no hacerlo, el interesado no pudiere comprender el tenor del apéndice o ejercer sus derechos. Previa solicitud, las partes comunicarán al interesado los motivos del expurgo, en la medida de lo posible sin revelar la información expurgada.</w:t>
      </w:r>
    </w:p>
    <w:p w14:paraId="0575E7B9" w14:textId="2DAA062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Lo dispuesto en las letras a) a c) se entiende sin perjuicio de las obligaciones que los artículos 13 y 14 del Reglamento (UE) 2016/679 atribuyen al exportador de datos.  </w:t>
      </w:r>
    </w:p>
    <w:p w14:paraId="174768C5"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8.3.</w:t>
      </w:r>
      <w:r>
        <w:tab/>
      </w:r>
      <w:r>
        <w:rPr>
          <w:rFonts w:ascii="Times New Roman" w:hAnsi="Times New Roman"/>
          <w:b/>
          <w:sz w:val="24"/>
        </w:rPr>
        <w:t>Exactitud y minimización de datos</w:t>
      </w:r>
    </w:p>
    <w:p w14:paraId="298B08C3" w14:textId="77777777" w:rsidR="00D45A17" w:rsidRPr="00D45A17" w:rsidRDefault="00D45A17" w:rsidP="00D45A17">
      <w:pPr>
        <w:numPr>
          <w:ilvl w:val="1"/>
          <w:numId w:val="12"/>
        </w:numPr>
        <w:spacing w:before="120" w:after="120" w:line="240" w:lineRule="auto"/>
        <w:jc w:val="both"/>
        <w:rPr>
          <w:rFonts w:ascii="Times New Roman" w:hAnsi="Times New Roman" w:cs="Times New Roman"/>
          <w:sz w:val="24"/>
        </w:rPr>
      </w:pPr>
      <w:r>
        <w:rPr>
          <w:rFonts w:ascii="Times New Roman" w:hAnsi="Times New Roman"/>
          <w:sz w:val="24"/>
        </w:rPr>
        <w:t>Cada parte se asegurará de que los datos personales sean exactos y, cuando proceda, estén actualizados. El importador de datos adoptará todas las medidas razonables para que se supriman o rectifiquen sin dilación los datos personales que sean inexactos con respecto a los fines para los que se tratan.</w:t>
      </w:r>
    </w:p>
    <w:p w14:paraId="55DBE759"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Si una de las partes tiene conocimiento de que los datos personales que ha transferido o recibido son inexactos o han quedado obsoletos, informará de ello a la otra parte sin dilación indebida.</w:t>
      </w:r>
    </w:p>
    <w:p w14:paraId="7047183F"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El importador de datos se asegurará de que los datos personales sean adecuados, pertinentes y limitados a lo necesario en relación con los fines del tratamiento. </w:t>
      </w:r>
    </w:p>
    <w:p w14:paraId="727A1DB2"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8.4.</w:t>
      </w:r>
      <w:r>
        <w:tab/>
      </w:r>
      <w:r>
        <w:rPr>
          <w:rFonts w:ascii="Times New Roman" w:hAnsi="Times New Roman"/>
          <w:b/>
          <w:sz w:val="24"/>
        </w:rPr>
        <w:t>Limitación del plazo de conservación</w:t>
      </w:r>
    </w:p>
    <w:p w14:paraId="51D23CC2" w14:textId="2C6614AC"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El importador de datos no conservará los datos personales más tiempo del necesario para los fines para los que se traten. Establecerá las medidas técnicas u organizativas adecuadas para garantizar el cumplimiento de esta obligación, como la supresión o anonimización</w:t>
      </w:r>
      <w:r>
        <w:rPr>
          <w:rFonts w:ascii="Times New Roman" w:hAnsi="Times New Roman" w:cs="Times New Roman"/>
          <w:sz w:val="24"/>
          <w:vertAlign w:val="superscript"/>
        </w:rPr>
        <w:footnoteReference w:id="2"/>
      </w:r>
      <w:r>
        <w:rPr>
          <w:rFonts w:ascii="Times New Roman" w:hAnsi="Times New Roman"/>
          <w:sz w:val="24"/>
        </w:rPr>
        <w:t xml:space="preserve"> de los datos y de todas las copias de seguridad al finalizar el período de conservación. </w:t>
      </w:r>
    </w:p>
    <w:p w14:paraId="0971CB80"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8.5.</w:t>
      </w:r>
      <w:r>
        <w:tab/>
      </w:r>
      <w:r>
        <w:rPr>
          <w:rFonts w:ascii="Times New Roman" w:hAnsi="Times New Roman"/>
          <w:b/>
          <w:sz w:val="24"/>
        </w:rPr>
        <w:t>Seguridad del tratamiento</w:t>
      </w:r>
    </w:p>
    <w:p w14:paraId="6D98ABFD" w14:textId="5E0ED6BA" w:rsidR="00D45A17" w:rsidRPr="00D45A17" w:rsidRDefault="00D45A17" w:rsidP="00D45A17">
      <w:pPr>
        <w:numPr>
          <w:ilvl w:val="1"/>
          <w:numId w:val="13"/>
        </w:numPr>
        <w:spacing w:before="120" w:after="120" w:line="240" w:lineRule="auto"/>
        <w:jc w:val="both"/>
        <w:rPr>
          <w:rFonts w:ascii="Times New Roman" w:hAnsi="Times New Roman" w:cs="Times New Roman"/>
          <w:sz w:val="24"/>
        </w:rPr>
      </w:pPr>
      <w:r>
        <w:rPr>
          <w:rFonts w:ascii="Times New Roman" w:hAnsi="Times New Roman"/>
          <w:sz w:val="24"/>
        </w:rPr>
        <w:t xml:space="preserve">El importador de datos y, durante la transferencia, también el exportador de datos aplicarán medidas técnicas y organizativas adecuadas para garantizar la seguridad de los datos personales; en particular, la protección contra violaciones de la seguridad que ocasionen la destrucción, pérdida o alteración accidental o ilícita de datos personales, o la comunicación o acceso no autorizados a dichos datos (en lo sucesivo, «violación de la seguridad de los datos personales»). A la hora de determinar un nivel adecuado de seguridad, tendrán debidamente en cuenta el estado de la técnica, los costes de aplicación, la naturaleza, el alcance, el contexto y los fines del tratamiento, y los riesgos que entraña el tratamiento para el interesado. Las partes deberán considerar, en particular, el cifrado o la seudonimización, especialmente durante la transmisión, si de este modo se puede cumplir la finalidad del tratamiento. </w:t>
      </w:r>
    </w:p>
    <w:p w14:paraId="150AF57C" w14:textId="77777777" w:rsidR="00D45A17" w:rsidRPr="00D45A17" w:rsidRDefault="00D45A17" w:rsidP="00D45A17">
      <w:pPr>
        <w:numPr>
          <w:ilvl w:val="1"/>
          <w:numId w:val="13"/>
        </w:numPr>
        <w:spacing w:before="120" w:after="120" w:line="240" w:lineRule="auto"/>
        <w:jc w:val="both"/>
        <w:rPr>
          <w:rFonts w:ascii="Times New Roman" w:hAnsi="Times New Roman" w:cs="Times New Roman"/>
          <w:sz w:val="24"/>
        </w:rPr>
      </w:pPr>
      <w:r>
        <w:rPr>
          <w:rFonts w:ascii="Times New Roman" w:hAnsi="Times New Roman"/>
          <w:sz w:val="24"/>
        </w:rPr>
        <w:t>Las partes han pactado las medidas técnicas y organizativas que figuran en el anexo II. El importador de datos llevará a cabo controles periódicos para garantizar que estas medidas sigan proporcionando un nivel de seguridad adecuado.</w:t>
      </w:r>
    </w:p>
    <w:p w14:paraId="6078512A"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El importador de datos garantizará que las personas autorizadas para tratar los datos personales se hayan comprometido a respetar la confidencialidad o estén sujetas a una obligación de confidencialidad de naturaleza estatutaria.</w:t>
      </w:r>
    </w:p>
    <w:p w14:paraId="02CE9E2A"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lastRenderedPageBreak/>
        <w:t>En caso de violación de la seguridad de datos personales tratados por el importador de datos en virtud del presente pliego de cláusulas, el importador de datos adoptará medidas adecuadas para ponerle remedio y, en particular, medidas para mitigar los posibles efectos negativos.</w:t>
      </w:r>
    </w:p>
    <w:p w14:paraId="4B9665EF" w14:textId="3C22DB23"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En caso de violación de la seguridad de los datos personales que sea probable que entrañe un riesgo para los derechos y libertades de las personas físicas, el importador de datos lo notificará sin dilación indebida tanto al exportador de datos como a la autoridad de control competente con arreglo a la cláusula 13. Dicha notificación contendrá i) una descripción de la naturaleza de la violación (en la que figuren, cuando sea posible, las categorías y el número aproximado de interesados y registros de datos personales afectados), ii) las consecuencias probables, iii) las medidas adoptadas o propuestas para poner remedio a la violación de la seguridad y iv) los datos de un punto de contacto en el que pueda obtenerse más información. En la medida en que el importador de datos no pueda proporcionar toda la información al mismo tiempo, podrá hacerlo por fases sin más dilaciones indebidas. </w:t>
      </w:r>
    </w:p>
    <w:p w14:paraId="63D14FE6" w14:textId="7A508DBC"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En caso de violación de la seguridad de los datos personales que sea probable que entrañe un riesgo elevado para los derechos y libertades de las personas físicas, el importador de datos también notificará sin dilación indebida a los interesados la violación de la seguridad de los datos personales y su naturaleza —en caso necesario con la colaboración del exportador de datos— junto con la información a que se refiere la letra e), incisos ii) a iv), a menos que dicha notificación suponga un esfuerzo desproporcionado o que el importador de datos haya aplicado medidas para reducir significativamente el riesgo para los derechos o libertades de las personas físicas. En este último caso, el importador de datos realizará una comunicación pública o adoptará una medida semejante para informar al público de la violación de la seguridad de los datos personales. </w:t>
      </w:r>
    </w:p>
    <w:p w14:paraId="6FF325BC"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El importador de datos documentará todos los hechos pertinentes relacionados con la violación de la seguridad de los datos personales, como sus efectos y las medidas correctivas adoptadas, y llevará un registro de las mismas.</w:t>
      </w:r>
    </w:p>
    <w:p w14:paraId="5DFB8ED0"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8.6.</w:t>
      </w:r>
      <w:r>
        <w:tab/>
      </w:r>
      <w:r>
        <w:rPr>
          <w:rFonts w:ascii="Times New Roman" w:hAnsi="Times New Roman"/>
          <w:b/>
          <w:sz w:val="24"/>
        </w:rPr>
        <w:t>Datos sensibles</w:t>
      </w:r>
    </w:p>
    <w:p w14:paraId="16A2A299" w14:textId="76A763B2" w:rsidR="00D45A17" w:rsidRDefault="00297A13" w:rsidP="00D45A17">
      <w:pPr>
        <w:spacing w:before="120" w:after="120" w:line="240" w:lineRule="auto"/>
        <w:jc w:val="both"/>
        <w:rPr>
          <w:rFonts w:ascii="Times New Roman" w:hAnsi="Times New Roman"/>
          <w:sz w:val="24"/>
        </w:rPr>
      </w:pPr>
      <w:r>
        <w:rPr>
          <w:rFonts w:ascii="Times New Roman" w:hAnsi="Times New Roman"/>
          <w:sz w:val="24"/>
        </w:rPr>
        <w:t>En la medida en que la transferencia incluya datos personales que revelen el origen étnico o racial, las opiniones políticas, las convicciones religiosas o filosóficas, o la afiliación sindical, datos genéticos o datos biométricos dirigidos a identificar de manera unívoca a una persona física, datos relativos a la salud o datos relativos a la vida sexual o la orientación sexual de una persona física, o datos relativos a condenas o infracciones penales (en lo sucesivo, «datos sensibles»), el importador de datos aplicará restricciones específicas y/o garantías adicionales adaptadas a la naturaleza específica de los datos y el riesgo de que se trate. Una de estas puede ser, por ejemplo, la reducción del personal autorizado a acceder a los datos personales, medidas de seguridad adicionales (como la seudonimización) y/o restricciones adicionales con respecto a la comunicación ulterior.</w:t>
      </w:r>
    </w:p>
    <w:p w14:paraId="0EA8A90A" w14:textId="430B1A53" w:rsidR="00DE5834" w:rsidRDefault="00DE5834" w:rsidP="00D45A17">
      <w:pPr>
        <w:spacing w:before="120" w:after="120" w:line="240" w:lineRule="auto"/>
        <w:jc w:val="both"/>
        <w:rPr>
          <w:rFonts w:ascii="Times New Roman" w:hAnsi="Times New Roman"/>
          <w:sz w:val="24"/>
        </w:rPr>
      </w:pPr>
    </w:p>
    <w:p w14:paraId="1BFDAA89" w14:textId="0F965ED2" w:rsidR="00DE5834" w:rsidRDefault="00DE5834" w:rsidP="00D45A17">
      <w:pPr>
        <w:spacing w:before="120" w:after="120" w:line="240" w:lineRule="auto"/>
        <w:jc w:val="both"/>
        <w:rPr>
          <w:rFonts w:ascii="Times New Roman" w:hAnsi="Times New Roman"/>
          <w:sz w:val="24"/>
        </w:rPr>
      </w:pPr>
    </w:p>
    <w:p w14:paraId="16C0499A" w14:textId="77777777" w:rsidR="00DE5834" w:rsidRPr="00D45A17" w:rsidRDefault="00DE5834" w:rsidP="00D45A17">
      <w:pPr>
        <w:spacing w:before="120" w:after="120" w:line="240" w:lineRule="auto"/>
        <w:jc w:val="both"/>
        <w:rPr>
          <w:rFonts w:ascii="Times New Roman" w:hAnsi="Times New Roman" w:cs="Times New Roman"/>
          <w:sz w:val="24"/>
        </w:rPr>
      </w:pPr>
    </w:p>
    <w:p w14:paraId="784483AC"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lastRenderedPageBreak/>
        <w:t>8.7.</w:t>
      </w:r>
      <w:r>
        <w:tab/>
      </w:r>
      <w:r>
        <w:rPr>
          <w:rFonts w:ascii="Times New Roman" w:hAnsi="Times New Roman"/>
          <w:b/>
          <w:sz w:val="24"/>
        </w:rPr>
        <w:t>Transferencias ulteriores</w:t>
      </w:r>
    </w:p>
    <w:p w14:paraId="777C513F" w14:textId="4C3C93A0"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El importador de datos no comunicará los datos personales a terceros situados fuera de la Unión Europea</w:t>
      </w:r>
      <w:r>
        <w:rPr>
          <w:rFonts w:ascii="Times New Roman" w:hAnsi="Times New Roman" w:cs="Times New Roman"/>
          <w:sz w:val="24"/>
          <w:vertAlign w:val="superscript"/>
        </w:rPr>
        <w:footnoteReference w:id="3"/>
      </w:r>
      <w:r>
        <w:rPr>
          <w:rFonts w:ascii="Times New Roman" w:hAnsi="Times New Roman"/>
          <w:sz w:val="24"/>
        </w:rPr>
        <w:t xml:space="preserve"> (en el mismo país que el importador de datos o en otro tercer país; en lo sucesivo, «transferencia ulterior») a menos que el tercero esté vinculado por el presente pliego de cláusulas o consienta a someterse a este, con elección del módulo correspondiente. De no ser así, el importador de datos solo podrá efectuar una transferencia ulterior si: </w:t>
      </w:r>
    </w:p>
    <w:p w14:paraId="7745D026"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esta va dirigida a un país sobre el que haya recaído una decisión de adecuación, con arreglo al artículo 45 del Reglamento (UE) 2016/679, que abarque la transferencia ulterior; </w:t>
      </w:r>
    </w:p>
    <w:p w14:paraId="4C4F4228" w14:textId="4023713D"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el tercero aporta de otro modo garantías adecuad</w:t>
      </w:r>
      <w:r w:rsidR="00DE5834">
        <w:rPr>
          <w:rFonts w:ascii="Times New Roman" w:hAnsi="Times New Roman"/>
          <w:sz w:val="24"/>
        </w:rPr>
        <w:t>as, con arreglo a los artículos </w:t>
      </w:r>
      <w:r>
        <w:rPr>
          <w:rFonts w:ascii="Times New Roman" w:hAnsi="Times New Roman"/>
          <w:sz w:val="24"/>
        </w:rPr>
        <w:t>46 o 47 del Reglamento (UE) 2016/679, respecto del tratamiento en cuestión;</w:t>
      </w:r>
    </w:p>
    <w:p w14:paraId="17A9D838"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el tercero suscribe un instrumento vinculante con el importador de datos que garantice el mismo nivel de protección de datos que el del presente pliego de cláusulas, y el importador de datos entrega una copia de estas garantías al exportador de datos;</w:t>
      </w:r>
    </w:p>
    <w:p w14:paraId="33D01FF0" w14:textId="7132F5F0"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si es necesario para la formulación, el ejercicio o la defensa de reclamaciones en el marco de procedimientos administrativos, reglamentarios o judiciales específicos;</w:t>
      </w:r>
    </w:p>
    <w:p w14:paraId="5265FF45" w14:textId="4B11E535" w:rsid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si es necesario para proteger intereses vitales del interesado o de otra persona física; o</w:t>
      </w:r>
    </w:p>
    <w:p w14:paraId="29E9AEDC" w14:textId="08930730" w:rsidR="00B63302" w:rsidRPr="00B63302" w:rsidRDefault="00B63302" w:rsidP="00B63302">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de no concurrir las demás condiciones, el importador de datos ha recabado el consentimiento expreso del interesado para una transferencia ulterior en una situación específica, tras haberle informado de su finalidad, de la identidad del destinatario y de los posibles riesgos de dicha transferencia para el interesado debido a la falta de garantías adecuadas en materia de protección de datos. En este caso, el importador de datos informará al exportador de datos y, a petición de este, le remitirá una copia de la información proporcionada al interesado.</w:t>
      </w:r>
    </w:p>
    <w:p w14:paraId="2DFEE60A" w14:textId="021C06A2" w:rsidR="00D45A17" w:rsidRPr="00D45A17" w:rsidRDefault="00D45A17" w:rsidP="00D45A17">
      <w:pPr>
        <w:spacing w:after="160" w:line="259" w:lineRule="auto"/>
        <w:contextualSpacing/>
        <w:jc w:val="both"/>
        <w:rPr>
          <w:rFonts w:ascii="Times New Roman" w:hAnsi="Times New Roman" w:cs="Times New Roman"/>
          <w:sz w:val="24"/>
        </w:rPr>
      </w:pPr>
      <w:r>
        <w:rPr>
          <w:rFonts w:ascii="Times New Roman" w:hAnsi="Times New Roman"/>
          <w:sz w:val="24"/>
        </w:rPr>
        <w:t>La validez de las transferencias ulteriores depende de que el importador de datos aporte las demás garantías previstas en el presente pliego de cláusulas y, en particular, la limitación de la finalidad.</w:t>
      </w:r>
    </w:p>
    <w:p w14:paraId="26CBDDA8"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8.8.</w:t>
      </w:r>
      <w:r>
        <w:tab/>
      </w:r>
      <w:r>
        <w:rPr>
          <w:rFonts w:ascii="Times New Roman" w:hAnsi="Times New Roman"/>
          <w:b/>
          <w:sz w:val="24"/>
        </w:rPr>
        <w:t>Tratamiento bajo la autoridad del importador de datos</w:t>
      </w:r>
    </w:p>
    <w:p w14:paraId="76034F91" w14:textId="3606DA26" w:rsidR="00D45A17" w:rsidRPr="00D45A17" w:rsidRDefault="00D45A17" w:rsidP="00D45A17">
      <w:pPr>
        <w:spacing w:after="160" w:line="259" w:lineRule="auto"/>
        <w:contextualSpacing/>
        <w:jc w:val="both"/>
        <w:rPr>
          <w:rFonts w:ascii="Times New Roman" w:hAnsi="Times New Roman" w:cs="Times New Roman"/>
          <w:sz w:val="24"/>
        </w:rPr>
      </w:pPr>
      <w:r>
        <w:rPr>
          <w:rFonts w:ascii="Times New Roman" w:hAnsi="Times New Roman"/>
          <w:sz w:val="24"/>
        </w:rPr>
        <w:t xml:space="preserve">El importador de datos se asegurará de que las personas que actúen bajo su autoridad, especialmente el encargado, solo trate los datos siguiendo instrucciones del importador de datos. </w:t>
      </w:r>
    </w:p>
    <w:p w14:paraId="78107033"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lastRenderedPageBreak/>
        <w:t>8.9.</w:t>
      </w:r>
      <w:r>
        <w:tab/>
      </w:r>
      <w:r>
        <w:rPr>
          <w:rFonts w:ascii="Times New Roman" w:hAnsi="Times New Roman"/>
          <w:b/>
          <w:sz w:val="24"/>
        </w:rPr>
        <w:t>Documentación y cumplimiento</w:t>
      </w:r>
    </w:p>
    <w:p w14:paraId="29AD3E8D" w14:textId="15036B8C" w:rsidR="00D45A17" w:rsidRPr="00D45A17" w:rsidRDefault="00D45A17" w:rsidP="00D45A17">
      <w:pPr>
        <w:numPr>
          <w:ilvl w:val="1"/>
          <w:numId w:val="14"/>
        </w:numPr>
        <w:spacing w:before="120" w:after="120" w:line="240" w:lineRule="auto"/>
        <w:jc w:val="both"/>
        <w:rPr>
          <w:rFonts w:ascii="Times New Roman" w:hAnsi="Times New Roman" w:cs="Times New Roman"/>
          <w:sz w:val="24"/>
        </w:rPr>
      </w:pPr>
      <w:r>
        <w:rPr>
          <w:rFonts w:ascii="Times New Roman" w:hAnsi="Times New Roman"/>
          <w:sz w:val="24"/>
        </w:rPr>
        <w:t>Las partes deberán poder demostrar el cumplimiento de las obligaciones derivadas del presente pliego de cláusulas. En particular, el importador de datos conservará suficiente documentación de las actividades de tratamiento que se realicen bajo su responsabilidad.</w:t>
      </w:r>
    </w:p>
    <w:p w14:paraId="764581F5" w14:textId="7F654D2B"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El importador de datos pondrá dicha documentación a disposición de la autoridad de control competente previa solicitud.</w:t>
      </w:r>
    </w:p>
    <w:p w14:paraId="639792EE" w14:textId="2A41008F" w:rsidR="00DE5834" w:rsidRDefault="00DE5834">
      <w:pPr>
        <w:rPr>
          <w:rFonts w:ascii="Times New Roman" w:hAnsi="Times New Roman" w:cs="Times New Roman"/>
          <w:sz w:val="24"/>
        </w:rPr>
      </w:pPr>
    </w:p>
    <w:p w14:paraId="48ECA946" w14:textId="77777777" w:rsidR="00D45A17" w:rsidRPr="00D45A17" w:rsidRDefault="00D45A17" w:rsidP="00D45A17">
      <w:pPr>
        <w:spacing w:before="120" w:after="120" w:line="240" w:lineRule="auto"/>
        <w:jc w:val="both"/>
        <w:rPr>
          <w:rFonts w:ascii="Times New Roman" w:hAnsi="Times New Roman" w:cs="Times New Roman"/>
          <w:b/>
          <w:i/>
          <w:sz w:val="24"/>
        </w:rPr>
      </w:pPr>
      <w:r>
        <w:rPr>
          <w:rFonts w:ascii="Times New Roman" w:hAnsi="Times New Roman"/>
          <w:b/>
          <w:sz w:val="24"/>
          <w:highlight w:val="lightGray"/>
        </w:rPr>
        <w:t>MÓDULO DOS: transferencia de responsable a encargado</w:t>
      </w:r>
    </w:p>
    <w:p w14:paraId="3A26C316" w14:textId="77777777" w:rsidR="00D45A17" w:rsidRPr="00D45A17" w:rsidRDefault="00D45A17" w:rsidP="0065789E">
      <w:pPr>
        <w:spacing w:before="240" w:after="120" w:line="240" w:lineRule="auto"/>
        <w:ind w:left="851" w:hanging="851"/>
        <w:jc w:val="both"/>
        <w:rPr>
          <w:rFonts w:ascii="Times New Roman" w:hAnsi="Times New Roman" w:cs="Times New Roman"/>
          <w:b/>
          <w:sz w:val="24"/>
        </w:rPr>
      </w:pPr>
      <w:r>
        <w:rPr>
          <w:rFonts w:ascii="Times New Roman" w:hAnsi="Times New Roman"/>
          <w:b/>
          <w:sz w:val="24"/>
        </w:rPr>
        <w:t>8.1.</w:t>
      </w:r>
      <w:r>
        <w:tab/>
      </w:r>
      <w:r>
        <w:rPr>
          <w:rFonts w:ascii="Times New Roman" w:hAnsi="Times New Roman"/>
          <w:b/>
          <w:sz w:val="24"/>
        </w:rPr>
        <w:t>Instrucciones</w:t>
      </w:r>
    </w:p>
    <w:p w14:paraId="7C1708F7" w14:textId="77777777" w:rsidR="00D45A17" w:rsidRPr="00D45A17" w:rsidRDefault="00D45A17" w:rsidP="00D45A17">
      <w:pPr>
        <w:numPr>
          <w:ilvl w:val="1"/>
          <w:numId w:val="15"/>
        </w:numPr>
        <w:spacing w:before="120" w:after="120" w:line="240" w:lineRule="auto"/>
        <w:jc w:val="both"/>
        <w:rPr>
          <w:rFonts w:ascii="Times New Roman" w:hAnsi="Times New Roman" w:cs="Times New Roman"/>
          <w:sz w:val="24"/>
        </w:rPr>
      </w:pPr>
      <w:r>
        <w:rPr>
          <w:rFonts w:ascii="Times New Roman" w:hAnsi="Times New Roman"/>
          <w:sz w:val="24"/>
        </w:rPr>
        <w:t>El importador de datos solo tratará los datos personales siguiendo instrucciones documentadas del exportador de datos. El exportador de datos podrá dar dichas instrucciones durante todo el período de vigencia del contrato.</w:t>
      </w:r>
    </w:p>
    <w:p w14:paraId="1ABFF41A"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El importador de datos informará inmediatamente al exportador de datos en caso de que no pueda seguir dichas instrucciones. </w:t>
      </w:r>
    </w:p>
    <w:p w14:paraId="51045366"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8.2.</w:t>
      </w:r>
      <w:r>
        <w:tab/>
      </w:r>
      <w:r>
        <w:rPr>
          <w:rFonts w:ascii="Times New Roman" w:hAnsi="Times New Roman"/>
          <w:b/>
          <w:sz w:val="24"/>
        </w:rPr>
        <w:t>Limitación de la finalidad</w:t>
      </w:r>
    </w:p>
    <w:p w14:paraId="2E00549C"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 xml:space="preserve">El importador de datos tratará los datos personales únicamente para los fines específicos de la transferencia indicados en el anexo I.B, salvo cuando siga instrucciones adicionales del exportador de datos. </w:t>
      </w:r>
    </w:p>
    <w:p w14:paraId="5DBAB55E"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8.3.</w:t>
      </w:r>
      <w:r>
        <w:tab/>
      </w:r>
      <w:r>
        <w:rPr>
          <w:rFonts w:ascii="Times New Roman" w:hAnsi="Times New Roman"/>
          <w:b/>
          <w:sz w:val="24"/>
        </w:rPr>
        <w:t xml:space="preserve">Transparencia </w:t>
      </w:r>
    </w:p>
    <w:p w14:paraId="5ECCC90A" w14:textId="4C2EEFA2" w:rsidR="00D45A17" w:rsidRPr="00D45A17" w:rsidRDefault="00225355" w:rsidP="00D45A17">
      <w:pPr>
        <w:spacing w:before="120" w:after="120" w:line="240" w:lineRule="auto"/>
        <w:jc w:val="both"/>
        <w:rPr>
          <w:rFonts w:ascii="Times New Roman" w:hAnsi="Times New Roman" w:cs="Times New Roman"/>
          <w:sz w:val="24"/>
        </w:rPr>
      </w:pPr>
      <w:r>
        <w:rPr>
          <w:rFonts w:ascii="Times New Roman" w:hAnsi="Times New Roman"/>
          <w:sz w:val="24"/>
        </w:rPr>
        <w:t xml:space="preserve">Previa solicitud, el exportador de datos pondrá gratuitamente a disposición del interesado una copia del presente pliego de cláusulas, incluido el apéndice cumplimentado por las partes. En la medida en que sea necesario para proteger secretos comerciales u otro tipo de información confidencial, como las medidas descritas en el anexo II y datos personales, el exportador de datos podrá expurgar el texto del apéndice del presente pliego de cláusulas antes de compartir una copia, pero deberá aportar un resumen significativo si, de no hacerlo, el interesado no pudiere comprender el tenor del apéndice o ejercer sus derechos. Previa solicitud, las partes comunicarán al interesado los motivos del expurgo, en la medida de lo posible sin revelar la información expurgada. La presente cláusula se entiende sin perjuicio de las obligaciones que los artículos 13 y 14 del Reglamento (UE) 2016/679 atribuyen al exportador de datos.  </w:t>
      </w:r>
    </w:p>
    <w:p w14:paraId="71496211"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8.4.</w:t>
      </w:r>
      <w:r>
        <w:tab/>
      </w:r>
      <w:r>
        <w:rPr>
          <w:rFonts w:ascii="Times New Roman" w:hAnsi="Times New Roman"/>
          <w:b/>
          <w:sz w:val="24"/>
        </w:rPr>
        <w:t>Exactitud</w:t>
      </w:r>
    </w:p>
    <w:p w14:paraId="2744136C"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Si el importador de datos tiene conocimiento de que los datos personales que ha recibido son inexactos o han quedado obsoletos, informará de ello al exportador de datos sin dilación indebida. En este caso, el importador de datos colaborará con el exportador de datos para suprimir o rectificar los datos.</w:t>
      </w:r>
    </w:p>
    <w:p w14:paraId="79A9E9C7" w14:textId="5B710099"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8.5.</w:t>
      </w:r>
      <w:r>
        <w:tab/>
      </w:r>
      <w:r>
        <w:rPr>
          <w:rFonts w:ascii="Times New Roman" w:hAnsi="Times New Roman"/>
          <w:b/>
          <w:sz w:val="24"/>
        </w:rPr>
        <w:t>Duración del tratamiento y supresión o devolución de los datos</w:t>
      </w:r>
    </w:p>
    <w:p w14:paraId="067A6571" w14:textId="1C40C106" w:rsidR="00D45A17" w:rsidRPr="00D45A17" w:rsidRDefault="00D45A17" w:rsidP="00D45A17">
      <w:pPr>
        <w:spacing w:after="160" w:line="259" w:lineRule="auto"/>
        <w:contextualSpacing/>
        <w:jc w:val="both"/>
        <w:rPr>
          <w:rFonts w:ascii="Times New Roman" w:hAnsi="Times New Roman" w:cs="Times New Roman"/>
          <w:sz w:val="24"/>
        </w:rPr>
      </w:pPr>
      <w:r>
        <w:rPr>
          <w:rFonts w:ascii="Times New Roman" w:hAnsi="Times New Roman"/>
          <w:sz w:val="24"/>
        </w:rPr>
        <w:lastRenderedPageBreak/>
        <w:t xml:space="preserve">El tratamiento por parte del importador de datos solo se realizará durante el período especificado en el anexo I.B. Una vez se hayan prestado los servicios de tratamiento, el importador de datos suprimirá, a petición del exportador de datos, todos los datos personales tratados por cuenta del exportador de datos y acreditará al exportador de datos que lo ha hecho, o devolverá al exportador de datos todos los datos personales tratados en su nombre y suprimirá las copias existentes. Hasta que se destruyan o devuelvan los datos, el importador de datos seguirá garantizando el cumplimiento con el presente pliego de cláusulas. Si el Derecho del país aplicable al importador de datos prohíbe la devolución o la destrucción de los datos personales, el importador de datos se compromete a seguir garantizando el cumplimiento del presente pliego de cláusulas y solo tratará los datos en la medida y durante el tiempo que exija el Derecho del país. Lo anterior se entiende sin perjuicio de la cláusula 14 y, en particular, de la obligación que esta impone al importador de datos de informar al exportador de datos durante todo el período de vigencia del contrato si tiene motivos para creer que está o ha estado sujeto a normativa o prácticas que no se ajustan a los requisitos de la cláusula 14, letra a). </w:t>
      </w:r>
    </w:p>
    <w:p w14:paraId="20925421"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8.6.</w:t>
      </w:r>
      <w:r>
        <w:tab/>
      </w:r>
      <w:r>
        <w:rPr>
          <w:rFonts w:ascii="Times New Roman" w:hAnsi="Times New Roman"/>
          <w:b/>
          <w:sz w:val="24"/>
        </w:rPr>
        <w:t>Seguridad del tratamiento</w:t>
      </w:r>
    </w:p>
    <w:p w14:paraId="28B232AF" w14:textId="629F827D" w:rsidR="00D45A17" w:rsidRPr="00D45A17" w:rsidRDefault="00D45A17" w:rsidP="00D45A17">
      <w:pPr>
        <w:numPr>
          <w:ilvl w:val="1"/>
          <w:numId w:val="16"/>
        </w:numPr>
        <w:spacing w:before="120" w:after="120" w:line="240" w:lineRule="auto"/>
        <w:jc w:val="both"/>
        <w:rPr>
          <w:rFonts w:ascii="Times New Roman" w:hAnsi="Times New Roman" w:cs="Times New Roman"/>
          <w:sz w:val="24"/>
        </w:rPr>
      </w:pPr>
      <w:r>
        <w:rPr>
          <w:rFonts w:ascii="Times New Roman" w:hAnsi="Times New Roman"/>
          <w:sz w:val="24"/>
        </w:rPr>
        <w:t xml:space="preserve">El importador de datos y, durante la transferencia, también el exportador de datos aplicarán medidas técnicas y organizativas adecuadas para garantizar la seguridad de los datos; en particular, la protección contra violaciones de la seguridad que ocasionen la destrucción, pérdida o alteración accidental o ilícita de datos personales, o la comunicación o acceso no autorizados (en lo sucesivo, «violación de la seguridad de los datos personales»). A la hora de determinar un nivel adecuado de seguridad, las partes tendrán debidamente en cuenta el estado de la técnica, los costes de aplicación, la naturaleza, el alcance, el contexto y los fines del tratamiento, y los riesgos que entraña el tratamiento para los interesados. Las partes deberán considerar, en particular, el cifrado o la seudonimización, especialmente durante la transmisión, si de este modo se puede cumplir la finalidad del tratamiento. En caso de seudonimización, la información adicional necesaria para atribuir los datos personales a un interesado específico quedará, en la medida de lo posible, bajo el control exclusivo del exportador de datos. Al cumplir las obligaciones que le impone el presente párrafo, el importador de datos aplicará, al menos, las medidas técnicas y organizativas que figuran en el anexo II. El importador de datos llevará a cabo controles periódicos para garantizar que estas medidas sigan proporcionando un nivel de seguridad adecuado. </w:t>
      </w:r>
    </w:p>
    <w:p w14:paraId="574F1BFE" w14:textId="5D5E914B"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El importador de datos solo concederá acceso a los datos personales a los miembros de su personal en la medida en que sea estrictamente necesario para la ejecución, la gestión y el seguimiento del contrato. Garantizará que las personas autorizadas para tratar los datos personales se hayan comprometido a respetar la confidencialidad o estén sujetas a una obligación de confidencialidad de naturaleza estatutaria. </w:t>
      </w:r>
    </w:p>
    <w:p w14:paraId="10F1D6DD" w14:textId="480D05AC"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En caso de violación de la seguridad de datos personales tratados por el importador de datos en virtud del presente pliego de cláusulas, el importador de datos adoptará medidas adecuadas para ponerle remedio y, en particular, medidas para mitigar los efectos negativos. El importador de datos también lo notificará al exportador de datos sin dilación indebida una vez tenga conocimiento de la violación de la seguridad. Dicha notificación incluirá los datos de un punto de contacto en el que pueda obtenerse más información, una descripción de la naturaleza de la violación (en la </w:t>
      </w:r>
      <w:r>
        <w:rPr>
          <w:rFonts w:ascii="Times New Roman" w:hAnsi="Times New Roman"/>
          <w:sz w:val="24"/>
        </w:rPr>
        <w:lastRenderedPageBreak/>
        <w:t xml:space="preserve">que figuren, cuando sea posible, las categorías y el número aproximado de interesados y registros de datos personales afectados), las consecuencias probables y las medidas adoptadas o propuestas para poner remedio a la violación de la seguridad, especialmente, en su caso, medidas para mitigar sus posibles efectos negativos. Cuando y en la medida en que no se pueda proporcionar toda la información al mismo tiempo, en la notificación inicial se proporcionará la información de que se disponga en ese momento y, a medida que se vaya recabando, la información adicional se irá proporcionando sin dilación indebida. </w:t>
      </w:r>
    </w:p>
    <w:p w14:paraId="28CC8BDE" w14:textId="65E9F7B6"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El importador de datos deberá colaborar con el exportador de datos y ayudarle para que pueda cumplir las obligaciones que le atribuye el Reglamento (UE) 2016/679, especialmente en cuanto a la notificación a la autoridad de control competente y a los interesados afectados, teniendo en cuenta la naturaleza del tratamiento y la información de que disponga el importador de datos.</w:t>
      </w:r>
    </w:p>
    <w:p w14:paraId="4A1E843D"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8.7.</w:t>
      </w:r>
      <w:r>
        <w:tab/>
      </w:r>
      <w:r>
        <w:rPr>
          <w:rFonts w:ascii="Times New Roman" w:hAnsi="Times New Roman"/>
          <w:b/>
          <w:sz w:val="24"/>
        </w:rPr>
        <w:t>Datos sensibles</w:t>
      </w:r>
    </w:p>
    <w:p w14:paraId="0FC3E1AB" w14:textId="277E03AB" w:rsidR="00D45A17" w:rsidRPr="00D45A17" w:rsidRDefault="008F299C" w:rsidP="00D45A17">
      <w:pPr>
        <w:spacing w:after="160" w:line="259" w:lineRule="auto"/>
        <w:contextualSpacing/>
        <w:jc w:val="both"/>
        <w:rPr>
          <w:rFonts w:ascii="Times New Roman" w:hAnsi="Times New Roman" w:cs="Times New Roman"/>
          <w:sz w:val="24"/>
        </w:rPr>
      </w:pPr>
      <w:r>
        <w:rPr>
          <w:rFonts w:ascii="Times New Roman" w:hAnsi="Times New Roman"/>
          <w:sz w:val="24"/>
        </w:rPr>
        <w:t>En la medida en que la transferencia incluya datos personales que revelen el origen étnico o racial, las opiniones políticas, las convicciones religiosas o filosóficas, o la afiliación sindical, datos genéticos o datos biométricos dirigidos a identificar de manera unívoca a una persona física, datos relativos a la salud o datos relativos a la vida sexual o la orientación sexual de una persona física, o datos relativos a condenas e infracciones penales (en lo sucesivo, «datos sensibles»), el importador de datos aplicará las restricciones específicas y/o las garantías adicionales descritas en el anexo I.B.</w:t>
      </w:r>
    </w:p>
    <w:p w14:paraId="68B517DD"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8.8.</w:t>
      </w:r>
      <w:r>
        <w:tab/>
      </w:r>
      <w:r>
        <w:rPr>
          <w:rFonts w:ascii="Times New Roman" w:hAnsi="Times New Roman"/>
          <w:b/>
          <w:sz w:val="24"/>
        </w:rPr>
        <w:t>Transferencias ulteriores</w:t>
      </w:r>
    </w:p>
    <w:p w14:paraId="066162B7" w14:textId="543F0565" w:rsidR="00D45A17" w:rsidRPr="00D45A17" w:rsidRDefault="00D45A17" w:rsidP="007054A4">
      <w:pPr>
        <w:spacing w:after="120" w:line="259" w:lineRule="auto"/>
        <w:jc w:val="both"/>
        <w:rPr>
          <w:rFonts w:ascii="Times New Roman" w:hAnsi="Times New Roman" w:cs="Times New Roman"/>
          <w:sz w:val="24"/>
        </w:rPr>
      </w:pPr>
      <w:r>
        <w:rPr>
          <w:rFonts w:ascii="Times New Roman" w:hAnsi="Times New Roman"/>
          <w:sz w:val="24"/>
        </w:rPr>
        <w:t>El importador de datos solo comunicará los datos personales a un tercero siguiendo instrucciones documentadas del exportador de datos. Por otra parte, solo se podrán comunicar los datos a terceros situados fuera de la Unión Europea</w:t>
      </w:r>
      <w:r>
        <w:rPr>
          <w:rFonts w:ascii="Times New Roman" w:hAnsi="Times New Roman" w:cs="Times New Roman"/>
          <w:sz w:val="24"/>
          <w:vertAlign w:val="superscript"/>
        </w:rPr>
        <w:footnoteReference w:id="4"/>
      </w:r>
      <w:r>
        <w:rPr>
          <w:rFonts w:ascii="Times New Roman" w:hAnsi="Times New Roman"/>
          <w:sz w:val="24"/>
        </w:rPr>
        <w:t xml:space="preserve"> (en el mismo país que el importador de datos o en otro tercer país; en lo sucesivo, «transferencia ulterior») si el tercero está vinculado por el presente pliego de cláusulas o consiente a someterse a este, con elección del módulo correspondiente, o si: </w:t>
      </w:r>
    </w:p>
    <w:p w14:paraId="6114A965" w14:textId="20CA63FF" w:rsidR="00D45A17" w:rsidRPr="00D45A17" w:rsidRDefault="005A2898"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la transferencia ulterior va dirigida a un país sobre el que haya recaído una decisión de adecuación, con arreglo al </w:t>
      </w:r>
      <w:r w:rsidR="00DE5834">
        <w:rPr>
          <w:rFonts w:ascii="Times New Roman" w:hAnsi="Times New Roman"/>
          <w:sz w:val="24"/>
        </w:rPr>
        <w:t>artículo 45 del Reglamento (UE) </w:t>
      </w:r>
      <w:r>
        <w:rPr>
          <w:rFonts w:ascii="Times New Roman" w:hAnsi="Times New Roman"/>
          <w:sz w:val="24"/>
        </w:rPr>
        <w:t xml:space="preserve">2016/679, que abarque la transferencia ulterior; </w:t>
      </w:r>
    </w:p>
    <w:p w14:paraId="70B37A41" w14:textId="5AC8BC73"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el tercero aporta de otro modo garantías adecuad</w:t>
      </w:r>
      <w:r w:rsidR="00DE5834">
        <w:rPr>
          <w:rFonts w:ascii="Times New Roman" w:hAnsi="Times New Roman"/>
          <w:sz w:val="24"/>
        </w:rPr>
        <w:t>as, con arreglo a los artículos </w:t>
      </w:r>
      <w:r>
        <w:rPr>
          <w:rFonts w:ascii="Times New Roman" w:hAnsi="Times New Roman"/>
          <w:sz w:val="24"/>
        </w:rPr>
        <w:t>46 o 47 del Reglamento (UE) 2016/679, respecto del tratamiento en cuestión;</w:t>
      </w:r>
    </w:p>
    <w:p w14:paraId="30660567" w14:textId="1E713832" w:rsidR="00D45A17" w:rsidRPr="00D45A17" w:rsidRDefault="005A2898"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lastRenderedPageBreak/>
        <w:t>si la transferencia ulterior es necesaria para la formulación, el ejercicio o la defensa de reclamaciones en el marco de procedimientos administrativos, reglamentarios o judiciales específicos; o</w:t>
      </w:r>
    </w:p>
    <w:p w14:paraId="54EA0893" w14:textId="7885A0A4" w:rsidR="00D45A17" w:rsidRPr="00D45A17" w:rsidRDefault="005A2898"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si la transferencia ulterior es necesaria para proteger intereses vitales del interesado o de otra persona física.</w:t>
      </w:r>
    </w:p>
    <w:p w14:paraId="3157C62C" w14:textId="25C574AA" w:rsidR="00D45A17" w:rsidRPr="00D45A17" w:rsidRDefault="00D45A17" w:rsidP="00D45A17">
      <w:pPr>
        <w:spacing w:after="160" w:line="259" w:lineRule="auto"/>
        <w:contextualSpacing/>
        <w:jc w:val="both"/>
        <w:rPr>
          <w:rFonts w:ascii="Times New Roman" w:hAnsi="Times New Roman" w:cs="Times New Roman"/>
          <w:sz w:val="24"/>
        </w:rPr>
      </w:pPr>
      <w:r>
        <w:rPr>
          <w:rFonts w:ascii="Times New Roman" w:hAnsi="Times New Roman"/>
          <w:sz w:val="24"/>
        </w:rPr>
        <w:t>La validez de las transferencias ulteriores depende de que el importador de datos aporte las demás garantías previstas en el presente pliego de cláusulas y, en particular, la limitación de la finalidad.</w:t>
      </w:r>
    </w:p>
    <w:p w14:paraId="0F5A4680" w14:textId="089C0A56"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8.9.</w:t>
      </w:r>
      <w:r>
        <w:tab/>
      </w:r>
      <w:r>
        <w:rPr>
          <w:rFonts w:ascii="Times New Roman" w:hAnsi="Times New Roman"/>
          <w:b/>
          <w:sz w:val="24"/>
        </w:rPr>
        <w:t>Documentación y cumplimiento</w:t>
      </w:r>
    </w:p>
    <w:p w14:paraId="154F5F0A" w14:textId="1E87600F" w:rsidR="00D45A17" w:rsidRPr="00D45A17" w:rsidRDefault="00D45A17" w:rsidP="00D45A17">
      <w:pPr>
        <w:numPr>
          <w:ilvl w:val="1"/>
          <w:numId w:val="17"/>
        </w:numPr>
        <w:spacing w:before="120" w:after="120" w:line="240" w:lineRule="auto"/>
        <w:jc w:val="both"/>
        <w:rPr>
          <w:rFonts w:ascii="Times New Roman" w:hAnsi="Times New Roman" w:cs="Times New Roman"/>
          <w:sz w:val="24"/>
        </w:rPr>
      </w:pPr>
      <w:r>
        <w:rPr>
          <w:rFonts w:ascii="Times New Roman" w:hAnsi="Times New Roman"/>
          <w:sz w:val="24"/>
        </w:rPr>
        <w:t xml:space="preserve">El importador de datos resolverá con presteza y de forma adecuada las consultas del exportador de datos relacionadas con el tratamiento con arreglo al presente pliego de cláusulas. </w:t>
      </w:r>
    </w:p>
    <w:p w14:paraId="20FDC180" w14:textId="00EA30D2"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Las partes deberán poder demostrar el cumplimiento del presente pliego de cláusulas. En particular, el importador de datos conservará suficiente documentación de las actividades de tratamiento que se realicen por cuenta del exportador de datos.</w:t>
      </w:r>
    </w:p>
    <w:p w14:paraId="41F50E30"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El importador de datos pondrá a disposición del exportador de datos toda la información necesaria para demostrar el cumplimiento de las obligaciones contempladas en el presente pliego de cláusulas y, a instancia del exportador de datos, permitirá y contribuirá a la realización de auditorías de las actividades de tratamiento cubiertas por el presente pliego de cláusulas, a intervalos razonables o si existen indicios de incumplimiento. Al decidir si se realiza un examen o una auditoría, el exportador de datos podrá tener en cuenta las certificaciones pertinentes que obren en poder del importador de datos.   </w:t>
      </w:r>
    </w:p>
    <w:p w14:paraId="712E143C" w14:textId="290AB793"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El exportador de datos podrá optar por realizar la auditoría por sí mismo o autorizar a un auditor independiente. Las auditorías podrán consistir en inspecciones de los locales o instalaciones físicas del importador de datos y, cuando proceda, realizarse con un preaviso razonable. </w:t>
      </w:r>
    </w:p>
    <w:p w14:paraId="0FCB48F9"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Las partes pondrán a disposición de la autoridad de control competente, a instancia de esta, la información a que se refieren las letras b) y c) y, en particular, los resultados de las auditorías.</w:t>
      </w:r>
    </w:p>
    <w:p w14:paraId="04BB1FA6" w14:textId="06C62047" w:rsidR="00DE5834" w:rsidRDefault="00DE5834">
      <w:pPr>
        <w:rPr>
          <w:rFonts w:ascii="Times New Roman" w:hAnsi="Times New Roman" w:cs="Times New Roman"/>
          <w:sz w:val="24"/>
        </w:rPr>
      </w:pPr>
    </w:p>
    <w:p w14:paraId="19B9D6B5" w14:textId="77777777" w:rsidR="00D45A17" w:rsidRPr="00D45A17" w:rsidRDefault="00D45A17" w:rsidP="00D45A17">
      <w:pPr>
        <w:spacing w:before="120" w:after="120" w:line="240" w:lineRule="auto"/>
        <w:jc w:val="both"/>
        <w:rPr>
          <w:rFonts w:ascii="Times New Roman" w:hAnsi="Times New Roman" w:cs="Times New Roman"/>
          <w:b/>
          <w:sz w:val="24"/>
        </w:rPr>
      </w:pPr>
      <w:r>
        <w:rPr>
          <w:rFonts w:ascii="Times New Roman" w:hAnsi="Times New Roman"/>
          <w:b/>
          <w:sz w:val="24"/>
          <w:highlight w:val="lightGray"/>
        </w:rPr>
        <w:t>MÓDULO TRES: transferencia de encargado a encargado</w:t>
      </w:r>
    </w:p>
    <w:p w14:paraId="096EA876" w14:textId="77777777" w:rsidR="00D45A17" w:rsidRPr="00D45A17" w:rsidRDefault="00D45A17" w:rsidP="0065789E">
      <w:pPr>
        <w:spacing w:before="240" w:after="120" w:line="240" w:lineRule="auto"/>
        <w:ind w:left="851" w:hanging="851"/>
        <w:jc w:val="both"/>
        <w:rPr>
          <w:rFonts w:ascii="Times New Roman" w:hAnsi="Times New Roman" w:cs="Times New Roman"/>
          <w:b/>
          <w:sz w:val="24"/>
        </w:rPr>
      </w:pPr>
      <w:r>
        <w:rPr>
          <w:rFonts w:ascii="Times New Roman" w:hAnsi="Times New Roman"/>
          <w:b/>
          <w:sz w:val="24"/>
        </w:rPr>
        <w:t>8.1.</w:t>
      </w:r>
      <w:r>
        <w:tab/>
      </w:r>
      <w:r>
        <w:rPr>
          <w:rFonts w:ascii="Times New Roman" w:hAnsi="Times New Roman"/>
          <w:b/>
          <w:sz w:val="24"/>
        </w:rPr>
        <w:t>Instrucciones</w:t>
      </w:r>
    </w:p>
    <w:p w14:paraId="75416E03" w14:textId="77777777" w:rsidR="00D45A17" w:rsidRPr="00D45A17" w:rsidRDefault="00D45A17" w:rsidP="00D45A17">
      <w:pPr>
        <w:numPr>
          <w:ilvl w:val="1"/>
          <w:numId w:val="18"/>
        </w:numPr>
        <w:spacing w:before="120" w:after="120" w:line="240" w:lineRule="auto"/>
        <w:jc w:val="both"/>
        <w:rPr>
          <w:rFonts w:ascii="Times New Roman" w:hAnsi="Times New Roman" w:cs="Times New Roman"/>
          <w:sz w:val="24"/>
        </w:rPr>
      </w:pPr>
      <w:r>
        <w:rPr>
          <w:rFonts w:ascii="Times New Roman" w:hAnsi="Times New Roman"/>
          <w:sz w:val="24"/>
        </w:rPr>
        <w:t xml:space="preserve">El exportador de datos ha informado al importador de datos de que actúa como encargado del tratamiento siguiendo las instrucciones de su responsable o responsables, que el exportador de datos deberá poner a disposición del importador de datos antes del tratamiento. </w:t>
      </w:r>
    </w:p>
    <w:p w14:paraId="6A265D4D" w14:textId="1295BE00"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El importador de datos solo tratará los datos personales siguiendo instrucciones documentadas del responsable del tratamiento, comunicadas al importador por el exportador de datos, así como instrucciones documentadas adicionales del exportador de datos. Dichas instrucciones adicionales no podrán estar en conflicto con las instrucciones del responsable. El responsable o el exportador de datos podrán </w:t>
      </w:r>
      <w:r>
        <w:rPr>
          <w:rFonts w:ascii="Times New Roman" w:hAnsi="Times New Roman"/>
          <w:sz w:val="24"/>
        </w:rPr>
        <w:lastRenderedPageBreak/>
        <w:t>dar instrucciones documentadas adicionales sobre el tratamiento de datos durante todo el período de vigencia del contrato.</w:t>
      </w:r>
    </w:p>
    <w:p w14:paraId="5CD648AF" w14:textId="085008EA"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El importador de datos informará inmediatamente al exportador de datos en caso de que no pueda seguir dichas instrucciones. Si el importador de datos no puede seguir las instrucciones del responsable, el exportador de datos lo notificará inmediatamente al responsable.</w:t>
      </w:r>
    </w:p>
    <w:p w14:paraId="23AF4921" w14:textId="28217FC5"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El exportador de datos asegura que ha impuesto al importador de datos las obligaciones en materia de protección de datos establecidas en el contrato u otro acto jurídico con arreglo al Derecho de la Unión o del Estado miembro entre el responsable y el exportador de datos</w:t>
      </w:r>
      <w:r>
        <w:rPr>
          <w:rFonts w:ascii="Times New Roman" w:hAnsi="Times New Roman" w:cs="Times New Roman"/>
          <w:sz w:val="24"/>
          <w:vertAlign w:val="superscript"/>
        </w:rPr>
        <w:footnoteReference w:id="5"/>
      </w:r>
      <w:r>
        <w:rPr>
          <w:rFonts w:ascii="Times New Roman" w:hAnsi="Times New Roman"/>
          <w:sz w:val="24"/>
        </w:rPr>
        <w:t>.</w:t>
      </w:r>
    </w:p>
    <w:p w14:paraId="16952B84" w14:textId="39AE0C7A"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8.2.</w:t>
      </w:r>
      <w:r>
        <w:tab/>
      </w:r>
      <w:r>
        <w:rPr>
          <w:rFonts w:ascii="Times New Roman" w:hAnsi="Times New Roman"/>
          <w:b/>
          <w:sz w:val="24"/>
        </w:rPr>
        <w:t>Limitación de la finalidad</w:t>
      </w:r>
    </w:p>
    <w:p w14:paraId="73B32717" w14:textId="2A1D004A"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El importador de datos tratará los datos personales únicamente para los fines específicos de la transferencia indicados en el anexo I.B, salvo cuando siga instrucciones adicionales del responsable, comunicadas al importador de datos por el exportador de datos, o del exportador de datos.</w:t>
      </w:r>
    </w:p>
    <w:p w14:paraId="3AEF89C7"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8.3.</w:t>
      </w:r>
      <w:r>
        <w:tab/>
      </w:r>
      <w:r>
        <w:rPr>
          <w:rFonts w:ascii="Times New Roman" w:hAnsi="Times New Roman"/>
          <w:b/>
          <w:sz w:val="24"/>
        </w:rPr>
        <w:t xml:space="preserve">Transparencia </w:t>
      </w:r>
    </w:p>
    <w:p w14:paraId="12856AD7" w14:textId="1C5DECB3" w:rsidR="00D45A17" w:rsidRPr="00D45A17" w:rsidRDefault="002719A9" w:rsidP="00D45A17">
      <w:pPr>
        <w:spacing w:before="120" w:after="120" w:line="240" w:lineRule="auto"/>
        <w:jc w:val="both"/>
        <w:rPr>
          <w:rFonts w:ascii="Times New Roman" w:hAnsi="Times New Roman" w:cs="Times New Roman"/>
          <w:sz w:val="24"/>
        </w:rPr>
      </w:pPr>
      <w:r>
        <w:rPr>
          <w:rFonts w:ascii="Times New Roman" w:hAnsi="Times New Roman"/>
          <w:sz w:val="24"/>
        </w:rPr>
        <w:t>Previa solicitud, el exportador de datos pondrá gratuitamente a disposición del interesado una copia del presente pliego de cláusulas, incluido el apéndice cumplimentado por las partes. En la medida en que sea necesario para proteger secretos comerciales u otro tipo de información confidencial, como datos personales, el exportador de datos podrá expurgar el texto del apéndice antes de compartir una copia, pero deberá aportar un resumen significativo si, de no hacerlo, el interesado no pudiere comprender el tenor del apéndice o ejercer sus derechos. Previa solicitud, las partes comunicarán al interesado los motivos del expurgo, en la medida de lo posible sin revelar la información expurgada.</w:t>
      </w:r>
    </w:p>
    <w:p w14:paraId="236081E4"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8.4.</w:t>
      </w:r>
      <w:r>
        <w:tab/>
      </w:r>
      <w:r>
        <w:rPr>
          <w:rFonts w:ascii="Times New Roman" w:hAnsi="Times New Roman"/>
          <w:b/>
          <w:sz w:val="24"/>
        </w:rPr>
        <w:t>Exactitud</w:t>
      </w:r>
    </w:p>
    <w:p w14:paraId="4863BBC1"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Si el importador de datos tiene conocimiento de que los datos personales que ha recibido son inexactos o han quedado obsoletos, informará de ello al exportador de datos sin dilación indebida. En este caso, el importador de datos colaborará con el exportador de datos para suprimir o rectificar los datos.</w:t>
      </w:r>
    </w:p>
    <w:p w14:paraId="3526B03C" w14:textId="14C90771"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8.5.</w:t>
      </w:r>
      <w:r>
        <w:tab/>
      </w:r>
      <w:r>
        <w:rPr>
          <w:rFonts w:ascii="Times New Roman" w:hAnsi="Times New Roman"/>
          <w:b/>
          <w:sz w:val="24"/>
        </w:rPr>
        <w:t>Duración del tratamiento y supresión o devolución de los datos</w:t>
      </w:r>
    </w:p>
    <w:p w14:paraId="2843AE76" w14:textId="63EC74F9" w:rsidR="00D45A17" w:rsidRPr="00B04FF3" w:rsidRDefault="00D45A17" w:rsidP="00B04FF3">
      <w:pPr>
        <w:pStyle w:val="CommentText"/>
      </w:pPr>
      <w:r>
        <w:rPr>
          <w:sz w:val="24"/>
        </w:rPr>
        <w:t xml:space="preserve">El tratamiento por parte del importador de datos solo se realizará durante el período especificado en el anexo I.B. Una vez se hayan prestado los servicios de tratamiento, el importador de datos suprimirá, a petición del exportador de datos, todos los datos personales tratados por cuenta del responsable y acreditará al exportador de datos que lo ha hecho, o devolverá al exportador de datos todos los datos personales tratados en su nombre y suprimirá las copias existentes. Hasta que se destruyan o devuelvan los datos, el importador de datos seguirá garantizando el cumplimiento con el presente pliego de cláusulas. Si el Derecho del país aplicable al importador de datos prohíbe la devolución o la destrucción de los datos </w:t>
      </w:r>
      <w:r>
        <w:rPr>
          <w:sz w:val="24"/>
        </w:rPr>
        <w:lastRenderedPageBreak/>
        <w:t>personales, el importador de datos se compromete a seguir garantizando el cumplimiento del presente pliego de cláusulas y solo tratará los datos en la medida y durante el tiempo que exija el Derecho del país. Lo anterior se entiende sin perjuicio de la cláusula 14 y, en particular, de la obligación que esta impone al importador de datos de informar al exportador de datos durante todo el período de vigencia del contrato si tiene motivos para creer que está o ha estado sujeto a normativa o prácticas que no se ajustan a los requ</w:t>
      </w:r>
      <w:r w:rsidR="00DE5834">
        <w:rPr>
          <w:sz w:val="24"/>
        </w:rPr>
        <w:t>isitos de la cláusula 14, letra </w:t>
      </w:r>
      <w:r>
        <w:rPr>
          <w:sz w:val="24"/>
        </w:rPr>
        <w:t xml:space="preserve">a). </w:t>
      </w:r>
    </w:p>
    <w:p w14:paraId="4788B557"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8.6.</w:t>
      </w:r>
      <w:r>
        <w:tab/>
      </w:r>
      <w:r>
        <w:rPr>
          <w:rFonts w:ascii="Times New Roman" w:hAnsi="Times New Roman"/>
          <w:b/>
          <w:sz w:val="24"/>
        </w:rPr>
        <w:t>Seguridad del tratamiento</w:t>
      </w:r>
    </w:p>
    <w:p w14:paraId="62A1A797" w14:textId="5A4E4918" w:rsidR="00D45A17" w:rsidRPr="00D45A17" w:rsidRDefault="00D45A17" w:rsidP="00D45A17">
      <w:pPr>
        <w:numPr>
          <w:ilvl w:val="1"/>
          <w:numId w:val="19"/>
        </w:numPr>
        <w:spacing w:before="120" w:after="120" w:line="240" w:lineRule="auto"/>
        <w:jc w:val="both"/>
        <w:rPr>
          <w:rFonts w:ascii="Times New Roman" w:hAnsi="Times New Roman" w:cs="Times New Roman"/>
          <w:sz w:val="24"/>
        </w:rPr>
      </w:pPr>
      <w:r>
        <w:rPr>
          <w:rFonts w:ascii="Times New Roman" w:hAnsi="Times New Roman"/>
          <w:sz w:val="24"/>
        </w:rPr>
        <w:t xml:space="preserve">El importador de datos y, durante la transferencia, también el exportador de datos aplicarán medidas técnicas y organizativas adecuadas para garantizar la seguridad de los datos; en particular, la protección contra violaciones de la seguridad que ocasionen la destrucción, pérdida o alteración accidental o ilícita de datos personales, o la comunicación o acceso no autorizados (en lo sucesivo, «violación de la seguridad de los datos personales»). A la hora de determinar un nivel adecuado de seguridad, tendrán debidamente en cuenta el estado de la técnica, los costes de aplicación, la naturaleza, el alcance, el contexto y los fines del tratamiento, y los riesgos que entraña el tratamiento para el interesado. Las partes deberán considerar, en particular, el cifrado o la seudonimización, especialmente durante la transmisión, si de este modo se puede cumplir la finalidad del tratamiento. En caso de seudonimización, la información adicional necesaria para atribuir los datos personales a un interesado específico quedará, en la medida de lo posible, bajo el control exclusivo del exportador de datos o del responsable. Al cumplir las obligaciones que le impone el presente párrafo, el importador de datos aplicará, al menos, las medidas técnicas y organizativas que figuran en el anexo II. El importador de datos llevará a cabo controles periódicos para garantizar que estas medidas sigan proporcionando un nivel de seguridad adecuado. </w:t>
      </w:r>
    </w:p>
    <w:p w14:paraId="6EA735A7" w14:textId="750F931C"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El importador de datos solo concederá acceso a los datos a los miembros de su personal en la medida en que sea estrictamente necesario para la ejecución, la gestión y el seguimiento del contrato. Garantizará que las personas autorizadas para tratar los datos personales se hayan comprometido a respetar la confidencialidad o estén sujetas a una obligación de confidencialidad de naturaleza estatutaria.</w:t>
      </w:r>
    </w:p>
    <w:p w14:paraId="1FC233CB"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En caso de violación de la seguridad de datos personales tratados por el importador de datos en virtud del presente pliego de cláusulas, el importador de datos adoptará medidas adecuadas para ponerle remedio y, en particular, medidas para mitigar los efectos negativos. El importador de datos también notificará sin dilación indebida al exportador de datos y, cuando proceda y sea viable, al responsable cuando tenga conocimiento de la violación de la seguridad. Dicha notificación incluirá los datos de un punto de contacto en el que pueda obtenerse más información, una descripción de la naturaleza de la violación (en la que figuren, cuando sea posible, las categorías y el número aproximado de interesados y registros de datos personales afectados), las consecuencias probables y las medidas adoptadas o propuestas para poner remedio a la violación de la seguridad, especialmente medidas para mitigar sus posibles efectos negativos. Cuando y en la medida en que no se pueda proporcionar toda la información al mismo tiempo, en la notificación inicial se proporcionará la información de que se disponga en ese momento y, a medida que se vaya recabando, la información adicional se irá proporcionando sin dilación indebida. </w:t>
      </w:r>
    </w:p>
    <w:p w14:paraId="7849AA6A" w14:textId="1CE979C0"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lastRenderedPageBreak/>
        <w:t>El importador de datos deberá colaborar con el exportador de datos y ayudarle para que pueda cumplir las obligaciones que le atribuye el Reglamento (UE) 2016/679, especialmente en cuanto a la notificación al responsable para que este luego lo notifique a la autoridad de control competente y a los interesados afectados, teniendo en cuenta la naturaleza del tratamiento y la información de que disponga el importador de datos.</w:t>
      </w:r>
    </w:p>
    <w:p w14:paraId="3D1BA323"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8.7.</w:t>
      </w:r>
      <w:r>
        <w:tab/>
      </w:r>
      <w:r>
        <w:rPr>
          <w:rFonts w:ascii="Times New Roman" w:hAnsi="Times New Roman"/>
          <w:b/>
          <w:sz w:val="24"/>
        </w:rPr>
        <w:t>Datos sensibles</w:t>
      </w:r>
    </w:p>
    <w:p w14:paraId="684E4EA7" w14:textId="79579E32" w:rsidR="00D45A17" w:rsidRPr="00D45A17" w:rsidRDefault="002719A9" w:rsidP="00D45A17">
      <w:pPr>
        <w:spacing w:after="160" w:line="259" w:lineRule="auto"/>
        <w:contextualSpacing/>
        <w:jc w:val="both"/>
        <w:rPr>
          <w:rFonts w:ascii="Times New Roman" w:hAnsi="Times New Roman" w:cs="Times New Roman"/>
          <w:sz w:val="24"/>
        </w:rPr>
      </w:pPr>
      <w:r>
        <w:rPr>
          <w:rFonts w:ascii="Times New Roman" w:hAnsi="Times New Roman"/>
          <w:sz w:val="24"/>
        </w:rPr>
        <w:t>En la medida en que la transferencia incluya datos personales que revelen el origen étnico o racial, las opiniones políticas, las convicciones religiosas o filosóficas, o la afiliación sindical, datos genéticos o datos biométricos dirigidos a identificar de manera unívoca a una persona física, datos relativos a la salud o datos relativos a la vida sexual o la orientación sexual de una persona física, o datos relativos a condenas e infracciones penales (en lo sucesivo, «datos sensibles»), el importador de datos aplicará las restricciones específicas y/o las garantías adicionales descritas en el anexo I.B.</w:t>
      </w:r>
    </w:p>
    <w:p w14:paraId="1F2C4DD0"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8.8.</w:t>
      </w:r>
      <w:r>
        <w:tab/>
      </w:r>
      <w:r>
        <w:rPr>
          <w:rFonts w:ascii="Times New Roman" w:hAnsi="Times New Roman"/>
          <w:b/>
          <w:sz w:val="24"/>
        </w:rPr>
        <w:t>Transferencias ulteriores</w:t>
      </w:r>
    </w:p>
    <w:p w14:paraId="01B1E2AF" w14:textId="012B83B9"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El importador de datos solo comunicará los datos personales a un tercero siguiendo instrucciones documentadas del responsable, tal y como las haya comunicado el exportador de datos al importador de datos. Por otra parte, solo se podrán comunicar los datos a terceros situados fuera de la Unión Europea</w:t>
      </w:r>
      <w:r>
        <w:rPr>
          <w:rFonts w:ascii="Times New Roman" w:hAnsi="Times New Roman" w:cs="Times New Roman"/>
          <w:sz w:val="24"/>
          <w:vertAlign w:val="superscript"/>
        </w:rPr>
        <w:footnoteReference w:id="6"/>
      </w:r>
      <w:r>
        <w:rPr>
          <w:rFonts w:ascii="Times New Roman" w:hAnsi="Times New Roman"/>
          <w:sz w:val="24"/>
        </w:rPr>
        <w:t xml:space="preserve"> (en el mismo país que el importador de datos o en otro tercer país; en lo sucesivo, «transferencia ulterior») si el tercero está vinculado por el presente pliego de cláusulas o consiente a someterse a este, con elección del módulo correspondiente, o si: </w:t>
      </w:r>
    </w:p>
    <w:p w14:paraId="2051F6F1" w14:textId="5B34861B" w:rsidR="00D45A17" w:rsidRPr="00D45A17" w:rsidRDefault="005A2898"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la transferencia ulterior va dirigida a un país sobre el que haya recaído una decisión de adecuación, con arreglo al artículo 45 del Reglamen</w:t>
      </w:r>
      <w:r w:rsidR="00DE5834">
        <w:rPr>
          <w:rFonts w:ascii="Times New Roman" w:hAnsi="Times New Roman"/>
          <w:sz w:val="24"/>
        </w:rPr>
        <w:t>to (UE) </w:t>
      </w:r>
      <w:r>
        <w:rPr>
          <w:rFonts w:ascii="Times New Roman" w:hAnsi="Times New Roman"/>
          <w:sz w:val="24"/>
        </w:rPr>
        <w:t>2016/679, que abarque la transferencia ulterior;</w:t>
      </w:r>
    </w:p>
    <w:p w14:paraId="037B4B35" w14:textId="5CAAEC0C"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el tercero aporta de otro modo garantías adecuad</w:t>
      </w:r>
      <w:r w:rsidR="00DE5834">
        <w:rPr>
          <w:rFonts w:ascii="Times New Roman" w:hAnsi="Times New Roman"/>
          <w:sz w:val="24"/>
        </w:rPr>
        <w:t>as, con arreglo a los artículos </w:t>
      </w:r>
      <w:r>
        <w:rPr>
          <w:rFonts w:ascii="Times New Roman" w:hAnsi="Times New Roman"/>
          <w:sz w:val="24"/>
        </w:rPr>
        <w:t>46 o 47 del Reglamento (UE) 2016/679;</w:t>
      </w:r>
    </w:p>
    <w:p w14:paraId="2C00D798" w14:textId="45BDCCA1" w:rsidR="00D45A17" w:rsidRPr="00D45A17" w:rsidRDefault="005A2898"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si la transferencia ulterior es necesaria para la formulación, el ejercicio o la defensa de reclamaciones en el marco de procedimientos administrativos, reglamentarios o judiciales específicos; o</w:t>
      </w:r>
    </w:p>
    <w:p w14:paraId="375BA38F" w14:textId="1D600DCA" w:rsidR="00D45A17" w:rsidRPr="00D45A17" w:rsidRDefault="005A2898"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si la transferencia ulterior es necesaria para proteger intereses vitales del interesado o de otra persona física.</w:t>
      </w:r>
    </w:p>
    <w:p w14:paraId="519E6769" w14:textId="6464D7AB" w:rsidR="00D45A17" w:rsidRDefault="00D45A17" w:rsidP="00D45A17">
      <w:pPr>
        <w:spacing w:after="160" w:line="259" w:lineRule="auto"/>
        <w:contextualSpacing/>
        <w:jc w:val="both"/>
        <w:rPr>
          <w:rFonts w:ascii="Times New Roman" w:hAnsi="Times New Roman"/>
          <w:sz w:val="24"/>
        </w:rPr>
      </w:pPr>
      <w:r>
        <w:rPr>
          <w:rFonts w:ascii="Times New Roman" w:hAnsi="Times New Roman"/>
          <w:sz w:val="24"/>
        </w:rPr>
        <w:t>La validez de las transferencias ulteriores depende de que el importador de datos aporte las demás garantías previstas en el presente pliego de cláusulas y, en particular, la limitación de la finalidad.</w:t>
      </w:r>
    </w:p>
    <w:p w14:paraId="44F20568"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lastRenderedPageBreak/>
        <w:t>8.9.</w:t>
      </w:r>
      <w:r>
        <w:tab/>
      </w:r>
      <w:r>
        <w:rPr>
          <w:rFonts w:ascii="Times New Roman" w:hAnsi="Times New Roman"/>
          <w:b/>
          <w:sz w:val="24"/>
        </w:rPr>
        <w:t>Documentación y cumplimiento</w:t>
      </w:r>
    </w:p>
    <w:p w14:paraId="13C62D97" w14:textId="2675090C" w:rsidR="00D45A17" w:rsidRPr="00D45A17" w:rsidRDefault="00D45A17" w:rsidP="00D45A17">
      <w:pPr>
        <w:numPr>
          <w:ilvl w:val="1"/>
          <w:numId w:val="20"/>
        </w:numPr>
        <w:spacing w:before="120" w:after="120" w:line="240" w:lineRule="auto"/>
        <w:jc w:val="both"/>
        <w:rPr>
          <w:rFonts w:ascii="Times New Roman" w:hAnsi="Times New Roman" w:cs="Times New Roman"/>
          <w:sz w:val="24"/>
        </w:rPr>
      </w:pPr>
      <w:r>
        <w:rPr>
          <w:rFonts w:ascii="Times New Roman" w:hAnsi="Times New Roman"/>
          <w:sz w:val="24"/>
        </w:rPr>
        <w:t xml:space="preserve">El importador de datos resolverá con presteza y de forma adecuada las consultas del exportador de datos o del responsable relacionadas con el tratamiento con arreglo al presente pliego de cláusulas. </w:t>
      </w:r>
    </w:p>
    <w:p w14:paraId="34CFC649" w14:textId="08FDB4EF"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Las partes deberán poder demostrar el cumplimiento del presente pliego de cláusulas. En particular, el importador de datos conservará suficiente documentación de las actividades de tratamiento que se realicen por cuenta del responsable.</w:t>
      </w:r>
    </w:p>
    <w:p w14:paraId="21F69C7D"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El importador de datos pondrá a disposición del exportador de datos toda la información necesaria para demostrar el cumplimiento de las obligaciones establecidas en el presente pliego de cláusulas; el exportador de datos luego la proporcionará al responsable.</w:t>
      </w:r>
    </w:p>
    <w:p w14:paraId="0CDE2335" w14:textId="6D74DB1E"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El importador de datos permitirá y contribuirá a las auditorías que realice el exportador de datos sobre las actividades de tratamiento cubiertas por el presente pliego de cláusulas, a intervalos razonables o si existen indicios de incumplimiento. Lo mismo se aplicará cuando el exportador de datos solicite una auditoría siguiendo instrucciones del responsable. Al decidir si se realiza una auditoría, el exportador de datos podrá tener en cuenta las certificaciones pertinentes que obren en poder del importador de datos. </w:t>
      </w:r>
    </w:p>
    <w:p w14:paraId="40F959C8" w14:textId="37070C3A"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Cuando la auditoría se realice siguiendo instrucciones del responsable del tratamiento, el exportador de datos pondrá los resultados a disposición del responsable.</w:t>
      </w:r>
    </w:p>
    <w:p w14:paraId="38F629F8" w14:textId="246CF081"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El exportador de datos podrá optar por realizar la auditoría por sí mismo o autorizar a un auditor independiente. Las auditorías podrán consistir en inspecciones de los locales o instalaciones físicas del importador de datos y, cuando proceda, realizarse con un preaviso razonable. </w:t>
      </w:r>
    </w:p>
    <w:p w14:paraId="56B4E08A" w14:textId="12F7B61F" w:rsidR="00DE5834" w:rsidRDefault="00D45A17" w:rsidP="00D45A17">
      <w:pPr>
        <w:numPr>
          <w:ilvl w:val="1"/>
          <w:numId w:val="46"/>
        </w:numPr>
        <w:spacing w:before="120" w:after="120" w:line="240" w:lineRule="auto"/>
        <w:jc w:val="both"/>
        <w:rPr>
          <w:rFonts w:ascii="Times New Roman" w:hAnsi="Times New Roman"/>
          <w:sz w:val="24"/>
        </w:rPr>
      </w:pPr>
      <w:r>
        <w:rPr>
          <w:rFonts w:ascii="Times New Roman" w:hAnsi="Times New Roman"/>
          <w:sz w:val="24"/>
        </w:rPr>
        <w:t>Las partes pondrán a disposición de la autoridad de control competente, a instancia de esta, la información a que se refieren las letras b) y c) y, en particular, los resultados de las auditorías.</w:t>
      </w:r>
    </w:p>
    <w:p w14:paraId="23AA9653" w14:textId="77777777" w:rsidR="00DE5834" w:rsidRDefault="00DE5834">
      <w:pPr>
        <w:rPr>
          <w:rFonts w:ascii="Times New Roman" w:hAnsi="Times New Roman"/>
          <w:sz w:val="24"/>
        </w:rPr>
      </w:pPr>
    </w:p>
    <w:p w14:paraId="305A8FC6" w14:textId="77777777" w:rsidR="00D45A17" w:rsidRPr="00D45A17" w:rsidRDefault="00D45A17" w:rsidP="00D45A17">
      <w:pPr>
        <w:spacing w:before="120" w:after="120" w:line="240" w:lineRule="auto"/>
        <w:jc w:val="both"/>
        <w:rPr>
          <w:rFonts w:ascii="Times New Roman" w:hAnsi="Times New Roman" w:cs="Times New Roman"/>
          <w:b/>
          <w:sz w:val="24"/>
        </w:rPr>
      </w:pPr>
      <w:r>
        <w:rPr>
          <w:rFonts w:ascii="Times New Roman" w:hAnsi="Times New Roman"/>
          <w:b/>
          <w:sz w:val="24"/>
          <w:highlight w:val="lightGray"/>
        </w:rPr>
        <w:t>MÓDULO CUATRO: transferencia de encargado a responsable</w:t>
      </w:r>
    </w:p>
    <w:p w14:paraId="1D4A69A3" w14:textId="77777777" w:rsidR="00D45A17" w:rsidRPr="00D45A17" w:rsidRDefault="00D45A17" w:rsidP="00D45A17">
      <w:pPr>
        <w:spacing w:before="240" w:after="120" w:line="240" w:lineRule="auto"/>
        <w:ind w:left="851" w:hanging="851"/>
        <w:jc w:val="both"/>
        <w:rPr>
          <w:rFonts w:ascii="Times New Roman" w:hAnsi="Times New Roman" w:cs="Times New Roman"/>
          <w:b/>
          <w:sz w:val="24"/>
        </w:rPr>
      </w:pPr>
      <w:r>
        <w:rPr>
          <w:rFonts w:ascii="Times New Roman" w:hAnsi="Times New Roman"/>
          <w:b/>
          <w:sz w:val="24"/>
        </w:rPr>
        <w:t>8.1.</w:t>
      </w:r>
      <w:r>
        <w:tab/>
      </w:r>
      <w:r>
        <w:rPr>
          <w:rFonts w:ascii="Times New Roman" w:hAnsi="Times New Roman"/>
          <w:b/>
          <w:sz w:val="24"/>
        </w:rPr>
        <w:t>Instrucciones</w:t>
      </w:r>
    </w:p>
    <w:p w14:paraId="4AC3495D" w14:textId="77777777" w:rsidR="00D45A17" w:rsidRPr="00D45A17" w:rsidRDefault="00D45A17" w:rsidP="00D45A17">
      <w:pPr>
        <w:numPr>
          <w:ilvl w:val="1"/>
          <w:numId w:val="21"/>
        </w:numPr>
        <w:spacing w:before="120" w:after="120" w:line="240" w:lineRule="auto"/>
        <w:jc w:val="both"/>
        <w:rPr>
          <w:rFonts w:ascii="Times New Roman" w:hAnsi="Times New Roman" w:cs="Times New Roman"/>
          <w:sz w:val="24"/>
        </w:rPr>
      </w:pPr>
      <w:r>
        <w:rPr>
          <w:rFonts w:ascii="Times New Roman" w:hAnsi="Times New Roman"/>
          <w:sz w:val="24"/>
        </w:rPr>
        <w:t>El exportador de datos solo tratará los datos personales siguiendo instrucciones documentadas del importador de datos que actúe como su responsable.</w:t>
      </w:r>
    </w:p>
    <w:p w14:paraId="40E242A3"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El exportador de datos informará inmediatamente al importador de datos si no puede seguir dichas instrucciones, especialmente si dichas instrucciones infringen el Reglamento (UE) 2016/679 u otro instrumento normativo del Derecho de la Unión o del Estado miembro en materia de protección de datos. </w:t>
      </w:r>
    </w:p>
    <w:p w14:paraId="4323367D" w14:textId="0FD3678A"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El importador de datos no obrará de forma que pueda impedir al exportador de datos cumplir las obligaciones que le atribuye el Reglamento (UE) 2016/679 y, en particular, en el marco del subtratamiento o de la cooperación con las autoridades de control competentes.</w:t>
      </w:r>
    </w:p>
    <w:p w14:paraId="38EE39FE"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Una vez se hayan prestado los servicios de tratamiento, el exportador de datos suprimirá, a petición del importador de datos, todos los datos personales tratados por </w:t>
      </w:r>
      <w:r>
        <w:rPr>
          <w:rFonts w:ascii="Times New Roman" w:hAnsi="Times New Roman"/>
          <w:sz w:val="24"/>
        </w:rPr>
        <w:lastRenderedPageBreak/>
        <w:t>cuenta del importador de datos y acreditará al importador de datos que lo ha hecho, o devolverá al importador de datos todos los datos personales tratados en su nombre y suprimirá las copias existentes.</w:t>
      </w:r>
    </w:p>
    <w:p w14:paraId="2633A449"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8.2.</w:t>
      </w:r>
      <w:r>
        <w:tab/>
      </w:r>
      <w:r>
        <w:rPr>
          <w:rFonts w:ascii="Times New Roman" w:hAnsi="Times New Roman"/>
          <w:b/>
          <w:sz w:val="24"/>
        </w:rPr>
        <w:t>Seguridad del tratamiento</w:t>
      </w:r>
    </w:p>
    <w:p w14:paraId="26324449" w14:textId="0812F14C" w:rsidR="00D45A17" w:rsidRPr="00D45A17" w:rsidRDefault="00D45A17" w:rsidP="00D45A17">
      <w:pPr>
        <w:numPr>
          <w:ilvl w:val="1"/>
          <w:numId w:val="35"/>
        </w:numPr>
        <w:spacing w:before="120" w:after="120" w:line="240" w:lineRule="auto"/>
        <w:jc w:val="both"/>
        <w:rPr>
          <w:rFonts w:ascii="Times New Roman" w:hAnsi="Times New Roman" w:cs="Times New Roman"/>
          <w:sz w:val="24"/>
        </w:rPr>
      </w:pPr>
      <w:r>
        <w:rPr>
          <w:rFonts w:ascii="Times New Roman" w:hAnsi="Times New Roman"/>
          <w:sz w:val="24"/>
        </w:rPr>
        <w:t>Las partes aplicarán medidas técnicas y organizativas adecuadas para garantizar la seguridad de los datos personales, especialmente durante la transferencia; en particular, la protección contra violaciones de la seguridad que ocasionen la destrucción, pérdida o alteración accidental o ilícita de datos personales, o la comunicación o acceso no autorizados a dichos datos (en lo sucesivo, «violación de la seguridad de los datos personales»). A la hora de determinar un nivel adecuado de seguridad, tendrán debidamente en cuenta el estado de la técnica, los costes de aplicación, la naturaleza de los datos personales</w:t>
      </w:r>
      <w:r>
        <w:rPr>
          <w:rFonts w:ascii="Times New Roman" w:hAnsi="Times New Roman" w:cs="Times New Roman"/>
          <w:sz w:val="24"/>
          <w:vertAlign w:val="superscript"/>
        </w:rPr>
        <w:footnoteReference w:id="7"/>
      </w:r>
      <w:r>
        <w:rPr>
          <w:rFonts w:ascii="Times New Roman" w:hAnsi="Times New Roman"/>
          <w:sz w:val="24"/>
        </w:rPr>
        <w:t xml:space="preserve">, la naturaleza, el alcance, el contexto y los fines del tratamiento, y los riesgos que entraña el tratamiento para los interesados, y considerarán, en particular, el cifrado o la seudonimización, especialmente durante la transmisión, si de este modo se puede cumplir la finalidad del tratamiento. </w:t>
      </w:r>
    </w:p>
    <w:p w14:paraId="71726E19" w14:textId="680D5611"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El exportador de datos ayudará al importador de datos a garantizar una seguridad adecuada de los datos de conformidad con la letra a). En caso de violación de la seguridad de los datos personales tratados por el exportador de datos en virtud del presente pliego de cláusulas, el exportador de datos lo notificará sin dilación indebida al importador de datos, una vez que tenga conocimiento de ello, y le ayudará a poner remedio a la violación de la seguridad.</w:t>
      </w:r>
    </w:p>
    <w:p w14:paraId="4DF69D28"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El exportador de datos garantizará que las personas autorizadas para tratar los datos personales se hayan comprometido a respetar la confidencialidad o estén sujetas a una obligación de confidencialidad de naturaleza estatutaria.</w:t>
      </w:r>
    </w:p>
    <w:p w14:paraId="08F7ECEA"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8.3.</w:t>
      </w:r>
      <w:r>
        <w:tab/>
      </w:r>
      <w:r>
        <w:rPr>
          <w:rFonts w:ascii="Times New Roman" w:hAnsi="Times New Roman"/>
          <w:b/>
          <w:sz w:val="24"/>
        </w:rPr>
        <w:t>Documentación y cumplimiento</w:t>
      </w:r>
    </w:p>
    <w:p w14:paraId="2A487745" w14:textId="77777777" w:rsidR="00D45A17" w:rsidRPr="00D45A17" w:rsidRDefault="00D45A17" w:rsidP="00D45A17">
      <w:pPr>
        <w:numPr>
          <w:ilvl w:val="1"/>
          <w:numId w:val="36"/>
        </w:numPr>
        <w:spacing w:before="120" w:after="120" w:line="240" w:lineRule="auto"/>
        <w:jc w:val="both"/>
        <w:rPr>
          <w:rFonts w:ascii="Times New Roman" w:hAnsi="Times New Roman" w:cs="Times New Roman"/>
          <w:sz w:val="24"/>
        </w:rPr>
      </w:pPr>
      <w:r>
        <w:rPr>
          <w:rFonts w:ascii="Times New Roman" w:hAnsi="Times New Roman"/>
          <w:sz w:val="24"/>
        </w:rPr>
        <w:t xml:space="preserve">Las partes deberán poder demostrar el cumplimiento del presente pliego de cláusulas. </w:t>
      </w:r>
    </w:p>
    <w:p w14:paraId="391456A0"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El exportador de datos pondrá a disposición del importador de datos toda la información necesaria para demostrar el cumplimiento de las obligaciones que le atribuye el presente pliego de cláusulas y permitirá y contribuirá a las auditorías.</w:t>
      </w:r>
    </w:p>
    <w:p w14:paraId="5C4C19AE"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Cláusula 9</w:t>
      </w:r>
    </w:p>
    <w:p w14:paraId="6E821514"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Recurso a subencargados</w:t>
      </w:r>
    </w:p>
    <w:p w14:paraId="0F6F9D8D" w14:textId="77777777" w:rsidR="00D45A17" w:rsidRPr="00D45A17" w:rsidRDefault="00D45A17" w:rsidP="00D45A17">
      <w:pPr>
        <w:numPr>
          <w:ilvl w:val="1"/>
          <w:numId w:val="0"/>
        </w:numPr>
        <w:spacing w:before="120" w:after="120" w:line="240" w:lineRule="auto"/>
        <w:jc w:val="center"/>
        <w:rPr>
          <w:rFonts w:ascii="Times New Roman" w:hAnsi="Times New Roman" w:cs="Times New Roman"/>
          <w:sz w:val="24"/>
        </w:rPr>
      </w:pPr>
    </w:p>
    <w:p w14:paraId="47FBD24F"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MÓDULO DOS: transferencia de responsable a encargado</w:t>
      </w:r>
    </w:p>
    <w:p w14:paraId="22C0015C" w14:textId="173A3E7B" w:rsidR="00D45A17" w:rsidRPr="00D45A17" w:rsidRDefault="00D45A17" w:rsidP="00D45A17">
      <w:pPr>
        <w:numPr>
          <w:ilvl w:val="1"/>
          <w:numId w:val="25"/>
        </w:numPr>
        <w:spacing w:before="120" w:after="120" w:line="240" w:lineRule="auto"/>
        <w:jc w:val="both"/>
        <w:rPr>
          <w:rFonts w:ascii="Times New Roman" w:hAnsi="Times New Roman" w:cs="Times New Roman"/>
          <w:sz w:val="24"/>
        </w:rPr>
      </w:pPr>
      <w:r>
        <w:rPr>
          <w:rFonts w:ascii="Times New Roman" w:hAnsi="Times New Roman"/>
          <w:sz w:val="24"/>
        </w:rPr>
        <w:t xml:space="preserve">OPCIÓN 1: AUTORIZACIÓN PREVIA ESPECÍFICA: El importador de datos solo podrá subcontratar a un subencargado las actividades de tratamiento que realice por </w:t>
      </w:r>
      <w:r>
        <w:rPr>
          <w:rFonts w:ascii="Times New Roman" w:hAnsi="Times New Roman"/>
          <w:sz w:val="24"/>
        </w:rPr>
        <w:lastRenderedPageBreak/>
        <w:t>cuenta del exportador de datos en virtud del presente pliego de cláusulas con la autorización previa específica por escrito del exportador de datos. El importador de datos presentará la solicitud de autorización específica al menos [</w:t>
      </w:r>
      <w:r>
        <w:rPr>
          <w:rFonts w:ascii="Times New Roman" w:hAnsi="Times New Roman"/>
          <w:i/>
          <w:sz w:val="24"/>
        </w:rPr>
        <w:t>especificar periodo de tiempo</w:t>
      </w:r>
      <w:r>
        <w:rPr>
          <w:rFonts w:ascii="Times New Roman" w:hAnsi="Times New Roman"/>
          <w:sz w:val="24"/>
        </w:rPr>
        <w:t>] antes de la contratación del subencargado de que se trate, junto con la información necesaria para que el exportador de datos pueda resolver la solicitud. La lista de subencargados ya autorizados por el exporta</w:t>
      </w:r>
      <w:r w:rsidR="00DE5834">
        <w:rPr>
          <w:rFonts w:ascii="Times New Roman" w:hAnsi="Times New Roman"/>
          <w:sz w:val="24"/>
        </w:rPr>
        <w:t>dor de datos figura en el anexo </w:t>
      </w:r>
      <w:r>
        <w:rPr>
          <w:rFonts w:ascii="Times New Roman" w:hAnsi="Times New Roman"/>
          <w:sz w:val="24"/>
        </w:rPr>
        <w:t>III. Las partes mantendrán actualizado el anexo III.</w:t>
      </w:r>
    </w:p>
    <w:p w14:paraId="3B00E609" w14:textId="2079BADD" w:rsidR="00D45A17" w:rsidRPr="00D45A17" w:rsidRDefault="00D45A17" w:rsidP="00D45A17">
      <w:pPr>
        <w:numPr>
          <w:ilvl w:val="1"/>
          <w:numId w:val="0"/>
        </w:numPr>
        <w:tabs>
          <w:tab w:val="left" w:pos="720"/>
        </w:tabs>
        <w:spacing w:before="120" w:after="120" w:line="240" w:lineRule="auto"/>
        <w:ind w:left="850"/>
        <w:jc w:val="both"/>
        <w:rPr>
          <w:rFonts w:ascii="Times New Roman" w:hAnsi="Times New Roman" w:cs="Times New Roman"/>
          <w:sz w:val="24"/>
          <w:szCs w:val="24"/>
        </w:rPr>
      </w:pPr>
      <w:r>
        <w:rPr>
          <w:rFonts w:ascii="Times New Roman" w:hAnsi="Times New Roman"/>
          <w:sz w:val="24"/>
        </w:rPr>
        <w:t>OPCIÓN 2: AUTORIZACIÓN GENERAL POR ESCRITO: El importador de datos cuenta con una autorización general del exportador de datos para contratar a subencargados que figuren en una lista acordada. El importador de datos informará al exportador de datos específicamente y por escrito de las adiciones o sustituciones de subencargados previstas en dicha lista con al menos [</w:t>
      </w:r>
      <w:r>
        <w:rPr>
          <w:rFonts w:ascii="Times New Roman" w:hAnsi="Times New Roman"/>
          <w:i/>
          <w:sz w:val="24"/>
        </w:rPr>
        <w:t>especificar periodo de tiempo</w:t>
      </w:r>
      <w:r>
        <w:rPr>
          <w:rFonts w:ascii="Times New Roman" w:hAnsi="Times New Roman"/>
          <w:sz w:val="24"/>
        </w:rPr>
        <w:t xml:space="preserve">] de antelación, de modo que el exportador de datos tenga tiempo suficiente para formular objeción a tales cambios antes de que se contrate al subencargado o subencargados de que se trate. </w:t>
      </w:r>
      <w:r>
        <w:rPr>
          <w:rFonts w:ascii="Times New Roman" w:hAnsi="Times New Roman"/>
          <w:sz w:val="24"/>
          <w:szCs w:val="24"/>
        </w:rPr>
        <w:t xml:space="preserve">El importador de datos proporcionará al exportador de datos la información necesaria para que este pueda ejercer su derecho a formular objeción. </w:t>
      </w:r>
    </w:p>
    <w:p w14:paraId="2C85C947" w14:textId="1CD60779"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Cuando el importador de datos recurra a un subencargado para llevar a cabo actividades específicas de tratamiento (por cuenta del exportador de datos), lo hará por medio de un contrato escrito que establezca, en esencia, las mismas obligaciones en materia de protección de datos que las impuestas al importador de datos en virtud del presente pliego de cláusulas, especialmente en lo que se refiere a los derechos de los interesados en cuanto que terceros beneficiarios</w:t>
      </w:r>
      <w:r>
        <w:rPr>
          <w:rStyle w:val="FootnoteReference"/>
          <w:rFonts w:ascii="Times New Roman" w:hAnsi="Times New Roman" w:cs="Times New Roman"/>
          <w:sz w:val="24"/>
        </w:rPr>
        <w:footnoteReference w:id="8"/>
      </w:r>
      <w:r>
        <w:t>.</w:t>
      </w:r>
      <w:r>
        <w:rPr>
          <w:rFonts w:ascii="Times New Roman" w:hAnsi="Times New Roman"/>
          <w:sz w:val="24"/>
        </w:rPr>
        <w:t xml:space="preserve"> Las Partes convienen que, al cumplir el presente pliego de cláusulas, el importador de datos también da cumplimiento a las obligaciones que le atribuye la cláusula 8.8. El importador de datos se asegurará de que el subencargado cumpla las obligaciones que le atribuya el presente pliego de cláusulas.</w:t>
      </w:r>
    </w:p>
    <w:p w14:paraId="238772C0"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El importador de datos proporcionará al exportador de datos, a instancia de este, una copia del contrato con el subencargado y de cualquier modificación posterior del mismo. En la medida en que sea necesario para proteger secretos comerciales u otro tipo de información confidencial, como datos personales, el importador de datos podrá expurgar el texto del contrato antes de compartir la copia.</w:t>
      </w:r>
    </w:p>
    <w:p w14:paraId="1E49EDF1"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El importador de datos seguirá siendo plenamente responsable ante el exportador de datos del cumplimiento de las obligaciones que imponga al subencargado su contrato con el importador de datos. El importador de datos notificará al exportador de datos los incumplimientos por parte del subencargado de las obligaciones que le atribuye dicho contrato. </w:t>
      </w:r>
    </w:p>
    <w:p w14:paraId="153A0740" w14:textId="46D190A4"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El importador de datos pactará con el subencargado una cláusula de tercero beneficiario en virtud de la cual, en caso de que el importador de datos desaparezca de facto, cese de existir jurídicamente o sea insolvente, el exportador de datos tendrá derecho a rescindir el contrato del subencargado y ordenar a este que suprima o devuelva los datos personales.</w:t>
      </w:r>
    </w:p>
    <w:p w14:paraId="6E34EDC6" w14:textId="42E0E010" w:rsidR="00D45A17" w:rsidRDefault="00D45A17" w:rsidP="00D45A17">
      <w:pPr>
        <w:numPr>
          <w:ilvl w:val="1"/>
          <w:numId w:val="0"/>
        </w:numPr>
        <w:spacing w:before="120" w:after="120" w:line="240" w:lineRule="auto"/>
        <w:ind w:left="850"/>
        <w:jc w:val="both"/>
        <w:rPr>
          <w:rFonts w:ascii="Times New Roman" w:hAnsi="Times New Roman" w:cs="Times New Roman"/>
          <w:sz w:val="24"/>
        </w:rPr>
      </w:pPr>
    </w:p>
    <w:p w14:paraId="48008F64" w14:textId="77777777" w:rsidR="00782779" w:rsidRPr="00D45A17" w:rsidRDefault="00782779" w:rsidP="00D45A17">
      <w:pPr>
        <w:numPr>
          <w:ilvl w:val="1"/>
          <w:numId w:val="0"/>
        </w:numPr>
        <w:spacing w:before="120" w:after="120" w:line="240" w:lineRule="auto"/>
        <w:ind w:left="850"/>
        <w:jc w:val="both"/>
        <w:rPr>
          <w:rFonts w:ascii="Times New Roman" w:hAnsi="Times New Roman" w:cs="Times New Roman"/>
          <w:sz w:val="24"/>
        </w:rPr>
      </w:pPr>
    </w:p>
    <w:p w14:paraId="7F92C8BA"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lastRenderedPageBreak/>
        <w:t>MÓDULO TRES: transferencia de encargado a encargado</w:t>
      </w:r>
    </w:p>
    <w:p w14:paraId="3D2B74E4" w14:textId="25A26D36" w:rsidR="00D45A17" w:rsidRPr="00D45A17" w:rsidRDefault="00D45A17" w:rsidP="00D45A17">
      <w:pPr>
        <w:numPr>
          <w:ilvl w:val="1"/>
          <w:numId w:val="26"/>
        </w:numPr>
        <w:spacing w:before="120" w:after="120" w:line="240" w:lineRule="auto"/>
        <w:jc w:val="both"/>
        <w:rPr>
          <w:rFonts w:ascii="Times New Roman" w:hAnsi="Times New Roman" w:cs="Times New Roman"/>
          <w:sz w:val="24"/>
        </w:rPr>
      </w:pPr>
      <w:r>
        <w:rPr>
          <w:rFonts w:ascii="Times New Roman" w:hAnsi="Times New Roman"/>
          <w:sz w:val="24"/>
        </w:rPr>
        <w:t>OPCIÓN 1: AUTORIZACIÓN PREVIA ESPECÍFICA: El importador de datos solo podrá subcontratar a un subencargado las actividades de tratamiento que realice por cuenta del exportador de datos en virtud del presente pliego de cláusulas con la autorización previa específica por escrito del responsable. El importador de datos presentará la solicitud de autorización específica al menos [</w:t>
      </w:r>
      <w:r>
        <w:rPr>
          <w:rFonts w:ascii="Times New Roman" w:hAnsi="Times New Roman"/>
          <w:i/>
          <w:sz w:val="24"/>
        </w:rPr>
        <w:t>especificar periodo de tiempo</w:t>
      </w:r>
      <w:r>
        <w:rPr>
          <w:rFonts w:ascii="Times New Roman" w:hAnsi="Times New Roman"/>
          <w:sz w:val="24"/>
        </w:rPr>
        <w:t>] antes de la contratación del subencargado de que se trate, junto con la información necesaria para que el responsable pueda resolver la solicitud. Informará de dicha subcontratación al exportador de datos. La lista de subencargados ya autorizados por el responsable figura en el anexo III. Las partes mantendrán actualizado el anexo III.</w:t>
      </w:r>
    </w:p>
    <w:p w14:paraId="47302944" w14:textId="2BBC1F59" w:rsidR="00D45A17" w:rsidRPr="00D45A17" w:rsidRDefault="00D45A17" w:rsidP="00D45A17">
      <w:pPr>
        <w:numPr>
          <w:ilvl w:val="1"/>
          <w:numId w:val="0"/>
        </w:numPr>
        <w:tabs>
          <w:tab w:val="left" w:pos="720"/>
        </w:tabs>
        <w:spacing w:before="120" w:after="120" w:line="240" w:lineRule="auto"/>
        <w:ind w:left="850"/>
        <w:jc w:val="both"/>
        <w:rPr>
          <w:rFonts w:ascii="Times New Roman" w:hAnsi="Times New Roman" w:cs="Times New Roman"/>
          <w:sz w:val="24"/>
        </w:rPr>
      </w:pPr>
      <w:r>
        <w:rPr>
          <w:rFonts w:ascii="Times New Roman" w:hAnsi="Times New Roman"/>
          <w:sz w:val="24"/>
        </w:rPr>
        <w:t>OPCIÓN 2: AUTORIZACIÓN GENERAL POR ESCRITO: El importador de datos cuenta con una autorización general del responsable para contratar a subencargados que figuren en una lista acordada. El importador de datos informará al responsable específicamente y por escrito de las adiciones o sustituciones de subencargados previstas en dicha lista con al menos [</w:t>
      </w:r>
      <w:r>
        <w:rPr>
          <w:rFonts w:ascii="Times New Roman" w:hAnsi="Times New Roman"/>
          <w:i/>
          <w:sz w:val="24"/>
        </w:rPr>
        <w:t>especificar periodo de tiempo</w:t>
      </w:r>
      <w:r>
        <w:rPr>
          <w:rFonts w:ascii="Times New Roman" w:hAnsi="Times New Roman"/>
          <w:sz w:val="24"/>
        </w:rPr>
        <w:t xml:space="preserve">] de antelación, de modo que el responsable tenga tiempo suficiente para formular objeción a tales cambios antes de que se contrate al subencargado o subencargados de que se trate. </w:t>
      </w:r>
      <w:r>
        <w:rPr>
          <w:rFonts w:ascii="Times New Roman" w:hAnsi="Times New Roman"/>
          <w:sz w:val="24"/>
          <w:szCs w:val="24"/>
        </w:rPr>
        <w:t xml:space="preserve">El importador de datos proporcionará al responsable la información necesaria para que pueda ejercer su derecho a formular objeción. </w:t>
      </w:r>
      <w:r>
        <w:rPr>
          <w:rFonts w:ascii="Times New Roman" w:hAnsi="Times New Roman"/>
          <w:sz w:val="24"/>
        </w:rPr>
        <w:t xml:space="preserve">El importador de datos informará al exportador de datos de la contratación del subencargado o subencargados. </w:t>
      </w:r>
    </w:p>
    <w:p w14:paraId="1DABF8C3" w14:textId="60FD7A65"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Cuando el importador de datos recurra a un subencargado para llevar a cabo actividades específicas de tratamiento (por cuenta del responsable), lo hará por medio de un contrato escrito que establezca, en esencia, las mismas obligaciones en materia de protección de datos que las impuestas al importador de datos en virtud del presente pliego de cláusulas, especialmente en lo que se refiere a los derechos de los interesados en cuanto que terceros beneficiarios</w:t>
      </w:r>
      <w:r>
        <w:rPr>
          <w:rStyle w:val="FootnoteReference"/>
          <w:rFonts w:ascii="Times New Roman" w:hAnsi="Times New Roman" w:cs="Times New Roman"/>
          <w:sz w:val="24"/>
        </w:rPr>
        <w:footnoteReference w:id="9"/>
      </w:r>
      <w:r>
        <w:t>.</w:t>
      </w:r>
      <w:r>
        <w:rPr>
          <w:rFonts w:ascii="Times New Roman" w:hAnsi="Times New Roman"/>
          <w:sz w:val="24"/>
        </w:rPr>
        <w:t xml:space="preserve"> Las Partes convienen que, al cumplir el presente pliego de cláusulas, el importador de datos también da cumplimiento a las obligaciones que le atribuye la cláusula 8.8. El importador de datos se asegurará de que el subencargado cumpla las obligaciones que le atribuya el presente pliego de cláusulas.</w:t>
      </w:r>
    </w:p>
    <w:p w14:paraId="69730942"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El importador de datos proporcionará al exportador de datos o al responsable, a instancia del exportador de datos o el responsable, respectivamente, una copia del contrato con el subencargado y de cualquier modificación posterior del mismo. En la medida en que sea necesario para proteger secretos comerciales u otro tipo de información confidencial, como datos personales, el importador de datos podrá expurgar el texto del contrato antes de compartir la copia.</w:t>
      </w:r>
    </w:p>
    <w:p w14:paraId="7D37208F"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El importador de datos seguirá siendo plenamente responsable ante el exportador de datos del cumplimiento de las obligaciones que imponga al subencargado su contrato con el importador de datos. El importador de datos notificará al exportador de datos los incumplimientos por parte del subencargado de las obligaciones que le atribuye dicho contrato. </w:t>
      </w:r>
    </w:p>
    <w:p w14:paraId="753B46A3" w14:textId="6344856F" w:rsidR="00D45A17" w:rsidRPr="000F4E53" w:rsidRDefault="00D45A17" w:rsidP="000F4E53">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El importador de datos pactará con el subencargado una cláusula de tercero beneficiario en virtud de la cual, en caso de que el importador de datos desaparezca de facto, cese de existir jurídicamente o sea insolvente, el exportador de datos tendrá </w:t>
      </w:r>
      <w:r>
        <w:rPr>
          <w:rFonts w:ascii="Times New Roman" w:hAnsi="Times New Roman"/>
          <w:sz w:val="24"/>
        </w:rPr>
        <w:lastRenderedPageBreak/>
        <w:t>derecho a rescindir el contrato del subencargado y ordenar a este que suprima o devuelva los datos personales.</w:t>
      </w:r>
    </w:p>
    <w:p w14:paraId="7E11D20C"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Cláusula 10</w:t>
      </w:r>
    </w:p>
    <w:p w14:paraId="0CB419DD"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Derechos del interesado</w:t>
      </w:r>
    </w:p>
    <w:p w14:paraId="7450DE5E"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p>
    <w:p w14:paraId="5D6FA6FF"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MÓDULO UNO: transferencia de responsable a responsable</w:t>
      </w:r>
    </w:p>
    <w:p w14:paraId="1F665F61" w14:textId="10255A4E" w:rsidR="00D45A17" w:rsidRPr="00D45A17" w:rsidRDefault="00D45A17" w:rsidP="00D45A17">
      <w:pPr>
        <w:numPr>
          <w:ilvl w:val="1"/>
          <w:numId w:val="27"/>
        </w:numPr>
        <w:spacing w:before="240" w:after="120" w:line="240" w:lineRule="auto"/>
        <w:jc w:val="both"/>
        <w:rPr>
          <w:rFonts w:ascii="Times New Roman" w:hAnsi="Times New Roman" w:cs="Times New Roman"/>
          <w:sz w:val="24"/>
        </w:rPr>
      </w:pPr>
      <w:r>
        <w:rPr>
          <w:rFonts w:ascii="Times New Roman" w:hAnsi="Times New Roman"/>
          <w:sz w:val="24"/>
        </w:rPr>
        <w:t>El importador de datos, en su caso con la asistencia del exportador de datos, tramitará, sin dilación indebida y como tarde en un plazo de un mes desde la recepción de la consulta o solicitud, las consultas y solicitudes que reciba de interesados en relación con el tratamiento de sus datos personales y el ejercicio de los derechos que les otorga el presente pliego de cláusulas</w:t>
      </w:r>
      <w:r>
        <w:rPr>
          <w:rFonts w:ascii="Times New Roman" w:hAnsi="Times New Roman" w:cstheme="minorHAnsi"/>
          <w:sz w:val="24"/>
          <w:vertAlign w:val="superscript"/>
        </w:rPr>
        <w:footnoteReference w:id="10"/>
      </w:r>
      <w:r>
        <w:rPr>
          <w:rFonts w:ascii="Times New Roman" w:hAnsi="Times New Roman"/>
          <w:sz w:val="24"/>
        </w:rPr>
        <w:t>. El importador de datos adoptará medidas adecuadas para facilitar dichas consultas y solicitudes y el ejercicio de los derechos de los interesados. Toda la información que se proporcione a los interesados deberá ser inteligible y de fácil acceso, con un lenguaje claro y sencillo.</w:t>
      </w:r>
    </w:p>
    <w:p w14:paraId="3565BE71" w14:textId="77AF624D"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En particular, el importador de datos deberá, a petición del interesado y de forma gratuita:</w:t>
      </w:r>
    </w:p>
    <w:p w14:paraId="1B47C35A" w14:textId="08CAE54D"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confirmar al interesado si se están tratando datos personales que le conciernan y, en su caso, proporcionar una copia de los datos que le conciernan, así como la información que figura en el anexo I; si los datos personales han sido o serán ulteriormente transferidos, información sobre los destinatarios o las categorías de destinatarios (según proceda, con vistas a proporcionar información significativa) a los que se haya realizado o vaya realizarse la transferencia ulterior de los datos personales, la finalidad de dichas transferencias ulteriores y su motivo de conformidad con la cláusula 8.7; e información sobre el derecho a presentar una reclamación ante una autoridad de control en virtud de la cláusula 12, letra c), inciso i); </w:t>
      </w:r>
    </w:p>
    <w:p w14:paraId="2B1E266B"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rectificar los datos inexactos o incompletos relativos al interesado; </w:t>
      </w:r>
    </w:p>
    <w:p w14:paraId="3EB49EBA" w14:textId="6122D2E5"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suprimir los datos personales relativos al interesado si dichos datos se están tratando o han sido tratados en contravención de cualquiera de las cláusulas que garantizan los derechos de terceros beneficiarios o si el interesado retira el consentimiento en que se basa el tratamiento. </w:t>
      </w:r>
    </w:p>
    <w:p w14:paraId="323A26D4"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Cuando el importador de datos trate los datos personales con fines de mercadotecnia directa, dejará de tratarlos para tales fines si el interesado se opone a ello. </w:t>
      </w:r>
    </w:p>
    <w:p w14:paraId="7BF06403" w14:textId="6106E313"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El importador de datos no tomará una decisión, basándose únicamente en el tratamiento automatizado de los datos personales transferidos («decisión automatizada»), que produzca efectos jurídicos para el interesado o le afecte de forma igualmente significativa, salvo con el consentimiento expreso del interesado o si así lo autoriza el Derecho del país de destino, siempre que dicho Derecho disponga medidas adecuadas para garantizar los intereses legítimos y los derechos del </w:t>
      </w:r>
      <w:r>
        <w:rPr>
          <w:rFonts w:ascii="Times New Roman" w:hAnsi="Times New Roman"/>
          <w:sz w:val="24"/>
        </w:rPr>
        <w:lastRenderedPageBreak/>
        <w:t>interesado. En este caso, el importador de datos, con la colaboración del exportador de datos cuando sea necesario:</w:t>
      </w:r>
    </w:p>
    <w:p w14:paraId="5039AE7D" w14:textId="7064A9E0"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informará al interesado de la decisión automatizada prevista y de las consecuencias previstas, así como de la lógica aplicada; y</w:t>
      </w:r>
    </w:p>
    <w:p w14:paraId="4FE7E4B9" w14:textId="4057CB81"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aplicará garantías adecuadas, como mínimo permitiendo al interesado impugnar la decisión, expresar su punto de vista y solicitar una revisión por parte de un ser humano. </w:t>
      </w:r>
    </w:p>
    <w:p w14:paraId="0E3E7BF4"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Cuando las solicitudes de un interesado sean excesivas, especialmente debido a su carácter repetitivo, el importador de datos podrá establecer una tasa razonable en función del coste administrativo que implique la concesión de la solicitud o negarse a actuar respecto de la solicitud.</w:t>
      </w:r>
    </w:p>
    <w:p w14:paraId="0E2604F4"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El importador de datos podrá denegar la solicitud de un interesado cuando ello esté permitido con arreglo al Derecho del país de destino y sea necesario y proporcionado en una sociedad democrática para salvaguardar uno de los objetivos enumerados en el artículo 23, apartado 1, del Reglamento (UE) 2016/679.</w:t>
      </w:r>
    </w:p>
    <w:p w14:paraId="6398B8CA" w14:textId="4342D0FD"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Si el importador de datos pretende denegar la solicitud de un interesado, le informará de los motivos de la denegación y de la posibilidad de presentar una reclamación ante la autoridad de control competente o de ejercitar una acción judicial.</w:t>
      </w:r>
    </w:p>
    <w:p w14:paraId="74F60767"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p>
    <w:p w14:paraId="1D86FB72"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MÓDULO DOS: transferencia de responsable a encargado</w:t>
      </w:r>
    </w:p>
    <w:p w14:paraId="5E691629" w14:textId="4F831E1A" w:rsidR="00D45A17" w:rsidRPr="00D45A17" w:rsidRDefault="00D45A17" w:rsidP="00D45A17">
      <w:pPr>
        <w:numPr>
          <w:ilvl w:val="1"/>
          <w:numId w:val="28"/>
        </w:numPr>
        <w:spacing w:before="240" w:after="120" w:line="240" w:lineRule="auto"/>
        <w:jc w:val="both"/>
        <w:rPr>
          <w:rFonts w:ascii="Times New Roman" w:hAnsi="Times New Roman" w:cs="Times New Roman"/>
          <w:sz w:val="24"/>
        </w:rPr>
      </w:pPr>
      <w:r>
        <w:rPr>
          <w:rFonts w:ascii="Times New Roman" w:hAnsi="Times New Roman"/>
          <w:sz w:val="24"/>
        </w:rPr>
        <w:t>El importador de datos notificará con presteza al exportador de datos las solicitudes que reciba del interesado. No responderá a dicha solicitud por sí mismo, a menos que el exportador de datos le haya autorizado a hacerlo.</w:t>
      </w:r>
    </w:p>
    <w:p w14:paraId="00840342" w14:textId="24AE21D8"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El importador de datos ayudará al exportador de datos a cumplir sus obligaciones al responder a las solicitudes de ejercicio de </w:t>
      </w:r>
      <w:r w:rsidR="00782779">
        <w:rPr>
          <w:rFonts w:ascii="Times New Roman" w:hAnsi="Times New Roman"/>
          <w:sz w:val="24"/>
        </w:rPr>
        <w:t>derechos que el Reglamento (UE) </w:t>
      </w:r>
      <w:r>
        <w:rPr>
          <w:rFonts w:ascii="Times New Roman" w:hAnsi="Times New Roman"/>
          <w:sz w:val="24"/>
        </w:rPr>
        <w:t xml:space="preserve">2016/679 atribuye a los interesados. A este respecto, las partes establecerán en el anexo II medidas técnicas y organizativas apropiadas, teniendo en cuenta la naturaleza del tratamiento, por las que se garantice que se prestará ayuda al responsable a aplicar la presente cláusula, así como el objeto y el alcance de la ayuda requerida. </w:t>
      </w:r>
    </w:p>
    <w:p w14:paraId="637D9EB7"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En el cumplimiento de las obligaciones que le atribuyen las letras a) y b), el importador de datos seguirá las instrucciones del exportador de datos.</w:t>
      </w:r>
    </w:p>
    <w:p w14:paraId="653EC4F8"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highlight w:val="lightGray"/>
        </w:rPr>
      </w:pPr>
    </w:p>
    <w:p w14:paraId="34175861"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MÓDULO TRES: transferencia de encargado a encargado</w:t>
      </w:r>
    </w:p>
    <w:p w14:paraId="7EA6457F" w14:textId="0E9CB4D8" w:rsidR="00D45A17" w:rsidRPr="00D45A17" w:rsidRDefault="00D45A17" w:rsidP="00D45A17">
      <w:pPr>
        <w:numPr>
          <w:ilvl w:val="1"/>
          <w:numId w:val="29"/>
        </w:numPr>
        <w:spacing w:before="240" w:after="120" w:line="240" w:lineRule="auto"/>
        <w:jc w:val="both"/>
        <w:rPr>
          <w:rFonts w:ascii="Times New Roman" w:hAnsi="Times New Roman" w:cs="Times New Roman"/>
          <w:sz w:val="24"/>
        </w:rPr>
      </w:pPr>
      <w:r>
        <w:rPr>
          <w:rFonts w:ascii="Times New Roman" w:hAnsi="Times New Roman"/>
          <w:sz w:val="24"/>
        </w:rPr>
        <w:t>El importador de datos notificará con presteza al exportador de datos y, en su caso, al responsable toda solicitud que reciba de un interesado, sin responder a dicha solicitud, a menos que haya sido autorizado a hacerlo por el responsable.</w:t>
      </w:r>
    </w:p>
    <w:p w14:paraId="4BC5052F"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El importador de datos ayudará al exportador de datos, cuando proceda con la colaboración del exportador de datos, a cumplir sus obligaciones al responder a las solicitudes de ejercicio de derechos que el Reglamento (UE) 2016/679 o el Reglamento (UE) 2018/1725 atribuyen a los interesados. A este respecto, las partes establecerán en el anexo II medidas técnicas y organizativas apropiadas, teniendo en cuenta la naturaleza del tratamiento, por las que se garantice que se prestará ayuda al </w:t>
      </w:r>
      <w:r>
        <w:rPr>
          <w:rFonts w:ascii="Times New Roman" w:hAnsi="Times New Roman"/>
          <w:sz w:val="24"/>
        </w:rPr>
        <w:lastRenderedPageBreak/>
        <w:t xml:space="preserve">responsable a aplicar la presente cláusula, así como el objeto y el alcance de la ayuda requerida. </w:t>
      </w:r>
    </w:p>
    <w:p w14:paraId="28E43F8A" w14:textId="6B8767A4" w:rsidR="00D45A17" w:rsidRPr="00FF4DD2" w:rsidRDefault="00D45A17" w:rsidP="00FF4DD2">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En el cumplimiento de las obligaciones que le atribuyen las letras a) y b), el importador de datos seguirá las instrucciones del responsable, comunicadas por el exportador de datos.</w:t>
      </w:r>
    </w:p>
    <w:p w14:paraId="576651DF"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p>
    <w:p w14:paraId="0B5FAF75" w14:textId="77777777" w:rsidR="00D45A17" w:rsidRPr="00D45A17" w:rsidRDefault="00D45A17" w:rsidP="00D45A17">
      <w:pPr>
        <w:spacing w:before="120" w:after="120" w:line="240" w:lineRule="auto"/>
        <w:ind w:left="850" w:hanging="850"/>
        <w:jc w:val="both"/>
        <w:rPr>
          <w:rFonts w:ascii="Times New Roman" w:hAnsi="Times New Roman" w:cs="Times New Roman"/>
          <w:b/>
          <w:sz w:val="24"/>
        </w:rPr>
      </w:pPr>
      <w:r>
        <w:rPr>
          <w:rFonts w:ascii="Times New Roman" w:hAnsi="Times New Roman"/>
          <w:b/>
          <w:sz w:val="24"/>
          <w:highlight w:val="lightGray"/>
        </w:rPr>
        <w:t>MÓDULO CUATRO: transferencia de encargado a responsable</w:t>
      </w:r>
      <w:r>
        <w:rPr>
          <w:rFonts w:ascii="Times New Roman" w:hAnsi="Times New Roman"/>
          <w:b/>
          <w:sz w:val="24"/>
        </w:rPr>
        <w:t xml:space="preserve"> </w:t>
      </w:r>
    </w:p>
    <w:p w14:paraId="70DACE01" w14:textId="08C9C799" w:rsidR="00D45A17" w:rsidRPr="00D45A17" w:rsidRDefault="00D45A17" w:rsidP="00D45A17">
      <w:pPr>
        <w:spacing w:before="240" w:after="120" w:line="240" w:lineRule="auto"/>
        <w:jc w:val="both"/>
        <w:rPr>
          <w:rFonts w:ascii="Times New Roman" w:hAnsi="Times New Roman" w:cstheme="minorHAnsi"/>
          <w:sz w:val="24"/>
        </w:rPr>
      </w:pPr>
      <w:r>
        <w:rPr>
          <w:rFonts w:ascii="Times New Roman" w:hAnsi="Times New Roman"/>
          <w:sz w:val="24"/>
        </w:rPr>
        <w:t xml:space="preserve">Las partes se prestarán ayuda recíproca para responder a las consultas y solicitudes de los interesados en virtud del Derecho doméstico aplicable al importador de datos o, respecto del tratamiento de datos por parte del exportador de datos en la </w:t>
      </w:r>
      <w:r w:rsidR="00782779">
        <w:rPr>
          <w:rFonts w:ascii="Times New Roman" w:hAnsi="Times New Roman"/>
          <w:sz w:val="24"/>
        </w:rPr>
        <w:t>Unión, en virtud del Reglamento </w:t>
      </w:r>
      <w:r>
        <w:rPr>
          <w:rFonts w:ascii="Times New Roman" w:hAnsi="Times New Roman"/>
          <w:sz w:val="24"/>
        </w:rPr>
        <w:t>(UE) 2016/679.</w:t>
      </w:r>
    </w:p>
    <w:p w14:paraId="151DE68A"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Cláusula 11</w:t>
      </w:r>
    </w:p>
    <w:p w14:paraId="3721FE72"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Reparación</w:t>
      </w:r>
    </w:p>
    <w:p w14:paraId="2E2B2BBD" w14:textId="2FF5CB51" w:rsidR="00D45A17" w:rsidRPr="00D45A17" w:rsidRDefault="00D45A17" w:rsidP="00D45A17">
      <w:pPr>
        <w:numPr>
          <w:ilvl w:val="1"/>
          <w:numId w:val="30"/>
        </w:numPr>
        <w:spacing w:before="120" w:after="120" w:line="240" w:lineRule="auto"/>
        <w:jc w:val="both"/>
        <w:rPr>
          <w:rFonts w:ascii="Times New Roman" w:hAnsi="Times New Roman" w:cs="Times New Roman"/>
          <w:sz w:val="24"/>
        </w:rPr>
      </w:pPr>
      <w:r>
        <w:rPr>
          <w:rFonts w:ascii="Times New Roman" w:hAnsi="Times New Roman"/>
          <w:sz w:val="24"/>
        </w:rPr>
        <w:t xml:space="preserve">El importador de datos informará a los interesados, de forma transparente y en un formato de fácil acceso, mediante notificación individual o en su página web, del punto de contacto autorizado para tramitar reclamaciones. Este tramitará con presteza las reclamaciones que reciba de los interesados. </w:t>
      </w:r>
    </w:p>
    <w:p w14:paraId="4939C0B6" w14:textId="03A14DBF"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r>
        <w:rPr>
          <w:rFonts w:ascii="Times New Roman" w:hAnsi="Times New Roman"/>
          <w:sz w:val="24"/>
        </w:rPr>
        <w:t>[OPCIÓN: El importador de datos se aviene a que los interesados también puedan presentar una reclamación ante un organismo independiente de resolución de litigios</w:t>
      </w:r>
      <w:r>
        <w:rPr>
          <w:rFonts w:ascii="Times New Roman" w:hAnsi="Times New Roman" w:cs="Times New Roman"/>
          <w:sz w:val="24"/>
          <w:vertAlign w:val="superscript"/>
        </w:rPr>
        <w:footnoteReference w:id="11"/>
      </w:r>
      <w:r>
        <w:rPr>
          <w:rFonts w:ascii="Times New Roman" w:hAnsi="Times New Roman"/>
          <w:sz w:val="24"/>
        </w:rPr>
        <w:t xml:space="preserve"> sin coste alguno para el interesado. Informará a los interesados, en la forma establecida en la letra a), de este mecanismo de reparación y de que no están obligados a recurrir a este ni a seguir una secuencia concreta de vías de reparación.]</w:t>
      </w:r>
    </w:p>
    <w:p w14:paraId="47A2D1CB" w14:textId="77777777" w:rsidR="00D45A17" w:rsidRPr="00D45A17" w:rsidRDefault="00D45A17" w:rsidP="00D45A17">
      <w:pPr>
        <w:numPr>
          <w:ilvl w:val="1"/>
          <w:numId w:val="0"/>
        </w:numPr>
        <w:spacing w:before="120" w:after="120" w:line="240" w:lineRule="auto"/>
        <w:ind w:left="850" w:hanging="850"/>
        <w:jc w:val="both"/>
        <w:rPr>
          <w:rFonts w:ascii="Times New Roman" w:hAnsi="Times New Roman" w:cs="Times New Roman"/>
          <w:sz w:val="24"/>
        </w:rPr>
      </w:pPr>
    </w:p>
    <w:p w14:paraId="4C57441E"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MÓDULO UNO: transferencia de responsable a responsable</w:t>
      </w:r>
    </w:p>
    <w:p w14:paraId="4ADD17E7"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MÓDULO DOS: transferencia de responsable a encargado</w:t>
      </w:r>
    </w:p>
    <w:p w14:paraId="1EEACD11"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MÓDULO TRES: transferencia de encargado a encargado</w:t>
      </w:r>
    </w:p>
    <w:p w14:paraId="30C9B7FA" w14:textId="10A3FF58" w:rsidR="00D45A17" w:rsidRPr="00D45A17" w:rsidRDefault="00D45A17" w:rsidP="00D45A17">
      <w:pPr>
        <w:numPr>
          <w:ilvl w:val="1"/>
          <w:numId w:val="30"/>
        </w:numPr>
        <w:spacing w:before="240" w:after="120" w:line="240" w:lineRule="auto"/>
        <w:jc w:val="both"/>
        <w:rPr>
          <w:rFonts w:ascii="Times New Roman" w:hAnsi="Times New Roman" w:cs="Times New Roman"/>
          <w:sz w:val="24"/>
        </w:rPr>
      </w:pPr>
      <w:r>
        <w:rPr>
          <w:rFonts w:ascii="Times New Roman" w:hAnsi="Times New Roman"/>
          <w:sz w:val="24"/>
        </w:rPr>
        <w:t xml:space="preserve">En caso de litigio entre un interesado y una de las partes en relación con el cumplimiento del presente pliego de cláusulas, dicha parte hará todo lo posible para resolver amistosamente el problema de forma oportuna. Las partes se mantendrán mutuamente informadas de tales litigios y, cuando proceda, colaborarán para resolverlos.   </w:t>
      </w:r>
    </w:p>
    <w:p w14:paraId="45A3D181" w14:textId="68FD1C38"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El importador de datos se compromete a aceptar, cuando el interesado invoque un derecho de tercero beneficiario con arreglo a la cláusula 3, la decisión del interesado de: </w:t>
      </w:r>
    </w:p>
    <w:p w14:paraId="38A919FB" w14:textId="6B795F9B"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presentar una reclamación ante la autoridad de control del Estado miembro de su residencia habitual o su lugar de trabajo o ante la autoridad de control competente con arreglo a la cláusula 13;</w:t>
      </w:r>
    </w:p>
    <w:p w14:paraId="4A567D09" w14:textId="37778263"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lastRenderedPageBreak/>
        <w:t>ejercitar una acción judicial en el sentido de la cláusula 18.</w:t>
      </w:r>
    </w:p>
    <w:p w14:paraId="7307ADB7"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Las partes aceptan que el interesado pueda estar representado por una entidad, organización o asociación sin ánimo de lucro en las condiciones establecidas en el artículo 80, apartado 1, del Reglamento (UE) 2016/679. </w:t>
      </w:r>
    </w:p>
    <w:p w14:paraId="08A03175" w14:textId="3FE1D5FC"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El importador de datos acepta acatar las resoluciones que sean vinculantes con arreglo al Derecho aplicable de la UE o del Estado miembro de que se trate.</w:t>
      </w:r>
    </w:p>
    <w:p w14:paraId="0495FF3E" w14:textId="6B8AAEB9"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El importador de datos acepta que la elección del interesado no menoscabe sus derechos sustantivos y procesales a obtener reparación de conformidad con el Derecho aplicable.</w:t>
      </w:r>
    </w:p>
    <w:p w14:paraId="096DA7AC"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Cláusula 12</w:t>
      </w:r>
    </w:p>
    <w:p w14:paraId="4EC62329"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Responsabilidad</w:t>
      </w:r>
    </w:p>
    <w:p w14:paraId="223FC625"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p>
    <w:p w14:paraId="03A142A6"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MÓDULO UNO: transferencia de responsable a responsable</w:t>
      </w:r>
    </w:p>
    <w:p w14:paraId="5C869F89" w14:textId="77777777" w:rsidR="00D45A17" w:rsidRPr="00D45A17" w:rsidRDefault="00D45A17" w:rsidP="00D45A17">
      <w:pPr>
        <w:spacing w:before="120" w:after="120" w:line="240" w:lineRule="auto"/>
        <w:ind w:left="850" w:hanging="850"/>
        <w:jc w:val="both"/>
        <w:rPr>
          <w:rFonts w:ascii="Times New Roman" w:hAnsi="Times New Roman" w:cs="Times New Roman"/>
          <w:b/>
          <w:sz w:val="24"/>
        </w:rPr>
      </w:pPr>
      <w:r>
        <w:rPr>
          <w:rFonts w:ascii="Times New Roman" w:hAnsi="Times New Roman"/>
          <w:b/>
          <w:sz w:val="24"/>
          <w:highlight w:val="lightGray"/>
        </w:rPr>
        <w:t>MÓDULO CUATRO: transferencia de encargado a responsable</w:t>
      </w:r>
      <w:r>
        <w:rPr>
          <w:rFonts w:ascii="Times New Roman" w:hAnsi="Times New Roman"/>
          <w:b/>
          <w:sz w:val="24"/>
        </w:rPr>
        <w:t xml:space="preserve"> </w:t>
      </w:r>
    </w:p>
    <w:p w14:paraId="33A344AE" w14:textId="77777777" w:rsidR="00D45A17" w:rsidRPr="00D45A17" w:rsidRDefault="00D45A17" w:rsidP="00D45A17">
      <w:pPr>
        <w:numPr>
          <w:ilvl w:val="1"/>
          <w:numId w:val="31"/>
        </w:numPr>
        <w:spacing w:before="240" w:after="120" w:line="240" w:lineRule="auto"/>
        <w:jc w:val="both"/>
        <w:rPr>
          <w:rFonts w:ascii="Times New Roman" w:hAnsi="Times New Roman" w:cs="Times New Roman"/>
          <w:sz w:val="24"/>
        </w:rPr>
      </w:pPr>
      <w:r>
        <w:rPr>
          <w:rFonts w:ascii="Times New Roman" w:hAnsi="Times New Roman"/>
          <w:sz w:val="24"/>
        </w:rPr>
        <w:t xml:space="preserve">Cada parte será responsable ante la(s) otra(s) de cualquier daño y perjuicio que le(s) cause por cualquier vulneración del presente pliego de cláusulas. </w:t>
      </w:r>
    </w:p>
    <w:p w14:paraId="198E8EFF" w14:textId="30094B8B"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Cada parte será responsable ante el interesado; el interesado tendrá derecho a que se le indemnice por los daños y perjuicios materiales o inmateriales que la parte ocasione al interesado por vulnerar los derechos de terceros beneficiarios que deriven del presente pliego de cláusulas. Ello se entiende sin perjuicio de la responsabilidad que le atribuye el Reglamento (UE) 2016/679 al exportador de datos.</w:t>
      </w:r>
    </w:p>
    <w:p w14:paraId="0D108091" w14:textId="7A4F4388"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Cuando más de una parte sea responsable de un daño o perjuicio ocasionado al interesado como consecuencia de una vulneración del presente pliego de cláusulas, todas las partes responsables serán responsables solidariamente.</w:t>
      </w:r>
    </w:p>
    <w:p w14:paraId="4D20E96E"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Las partes acuerdan que, si una parte es considerada responsable con arreglo a la letra c), estará legitimada para exigir a la otra parte la parte de la indemnización correspondiente a su responsabilidad por el daño o perjuicio.</w:t>
      </w:r>
    </w:p>
    <w:p w14:paraId="02A807FE" w14:textId="3304B0D4"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El importador de datos no puede alegar la conducta de un encargado o subencargado del tratamiento para eludir su propia responsabilidad.</w:t>
      </w:r>
    </w:p>
    <w:p w14:paraId="03474563"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p>
    <w:p w14:paraId="603D9D97"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MÓDULO DOS: transferencia de responsable a encargado</w:t>
      </w:r>
    </w:p>
    <w:p w14:paraId="36D3844A"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MÓDULO TRES: transferencia de encargado a encargado</w:t>
      </w:r>
    </w:p>
    <w:p w14:paraId="6B86E64B" w14:textId="77777777" w:rsidR="00D45A17" w:rsidRPr="00D45A17" w:rsidRDefault="00D45A17" w:rsidP="00D45A17">
      <w:pPr>
        <w:numPr>
          <w:ilvl w:val="1"/>
          <w:numId w:val="32"/>
        </w:numPr>
        <w:spacing w:before="240" w:after="120" w:line="240" w:lineRule="auto"/>
        <w:jc w:val="both"/>
        <w:rPr>
          <w:rFonts w:ascii="Times New Roman" w:hAnsi="Times New Roman" w:cs="Times New Roman"/>
          <w:sz w:val="24"/>
        </w:rPr>
      </w:pPr>
      <w:r>
        <w:rPr>
          <w:rFonts w:ascii="Times New Roman" w:hAnsi="Times New Roman"/>
          <w:sz w:val="24"/>
        </w:rPr>
        <w:t xml:space="preserve">Cada parte será responsable ante la(s) otra(s) de cualquier daño y perjuicio que le(s) cause por cualquier vulneración del presente pliego de cláusulas. </w:t>
      </w:r>
    </w:p>
    <w:p w14:paraId="313DBC2A" w14:textId="75584210"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El importador de datos será responsable ante el interesado; el interesado tendrá derecho a que se le indemnice por los daños y perjuicios materiales o inmateriales que el importador de datos o su subencargado ocasionen al interesado por vulnerar los derechos de terceros beneficiarios que deriven del presente pliego de cláusulas. </w:t>
      </w:r>
    </w:p>
    <w:p w14:paraId="286866E9" w14:textId="41597094"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lastRenderedPageBreak/>
        <w:t>A pesar de lo dispuesto en la letra b), el exportador de datos será responsable ante el interesado; el interesado tendrá derecho a que se le indemnice por los daños y perjuicios materiales o inmateriales que el exportador de datos o el importador de datos (o su subencargado) ocasionen al interesado por vulnerar los derechos de terceros beneficiarios que deriven del presente pliego de cláusulas. Lo anterior se entiende sin perjuicio de la responsabilidad del exportador de datos y, cuando el exportador de datos sea un encargado que actúe por cuenta de un responsable, de la responsabilidad del responsable con arreglo al Reglamento (UE) 2016/679 o el Reglamento (UE) 2018/1725, según cuál sea de aplicación.</w:t>
      </w:r>
    </w:p>
    <w:p w14:paraId="4840AF58"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Las partes acuerdan que, si el exportador de datos es considerado responsable, de conformidad con la letra c), de los daños o perjuicios causados por el importador de datos (o su subencargado), estará legitimado para exigir al importador de datos la parte de la indemnización que sea responsabilidad del importador de los datos.</w:t>
      </w:r>
    </w:p>
    <w:p w14:paraId="74938D5F" w14:textId="26E65DAF"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Cuando más de una parte sea responsable de un daño o perjuicio ocasionado al interesado como consecuencia de una vulneración del presente pliego de cláusulas, todas las partes responsables serán responsables solidariamente.</w:t>
      </w:r>
    </w:p>
    <w:p w14:paraId="5BA35D83"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Las partes acuerdan que, si una parte es considerada responsable con arreglo a la letra e), estará legitimada para exigir a la otra parte la parte de la indemnización correspondiente a su responsabilidad por el daño o perjuicio.</w:t>
      </w:r>
    </w:p>
    <w:p w14:paraId="254748ED"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El importador de datos no puede alegar la conducta de un subencargado del tratamiento para eludir su propia responsabilidad.</w:t>
      </w:r>
    </w:p>
    <w:p w14:paraId="3AC579E0"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Cláusula 13</w:t>
      </w:r>
    </w:p>
    <w:p w14:paraId="44E14EAE"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Supervisión</w:t>
      </w:r>
    </w:p>
    <w:p w14:paraId="12944DEB"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MÓDULO UNO: transferencia de responsable a responsable</w:t>
      </w:r>
    </w:p>
    <w:p w14:paraId="5E7DE8A4"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MÓDULO DOS: transferencia de responsable a encargado</w:t>
      </w:r>
    </w:p>
    <w:p w14:paraId="1F52C53B"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MÓDULO TRES: transferencia de encargado a encargado</w:t>
      </w:r>
    </w:p>
    <w:p w14:paraId="45652041" w14:textId="77777777" w:rsidR="00D45A17" w:rsidRPr="00D45A17" w:rsidRDefault="00D45A17" w:rsidP="00D45A17">
      <w:pPr>
        <w:numPr>
          <w:ilvl w:val="1"/>
          <w:numId w:val="33"/>
        </w:numPr>
        <w:spacing w:before="120" w:after="120" w:line="240" w:lineRule="auto"/>
        <w:jc w:val="both"/>
        <w:rPr>
          <w:rFonts w:ascii="Times New Roman" w:hAnsi="Times New Roman" w:cs="Times New Roman"/>
          <w:sz w:val="24"/>
        </w:rPr>
      </w:pPr>
      <w:r>
        <w:rPr>
          <w:rFonts w:ascii="Times New Roman" w:hAnsi="Times New Roman"/>
          <w:sz w:val="24"/>
        </w:rPr>
        <w:t>[Cuando el exportador de datos esté establecido en un Estado miembro de la UE:] La autoridad de control responsable de garantizar que el exportador de datos cumpla el Reglamento (UE) 2016/679 en cuanto a la transferencia de los datos, indicada en el anexo I.C, actuará como autoridad de control competente.</w:t>
      </w:r>
    </w:p>
    <w:p w14:paraId="539343D1" w14:textId="625ECD09"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r>
        <w:rPr>
          <w:rFonts w:ascii="Times New Roman" w:hAnsi="Times New Roman"/>
          <w:sz w:val="24"/>
        </w:rPr>
        <w:t>[Cuando exportador de datos no esté establecido en un Estado miembro de la UE, pero sí en un lugar que entre dentro del ámbito territorial de aplicación del Reglamento (UE) 2016/679, de conformidad con el artículo 3, apartado 2, y haya nombrado a un representante con arreglo al artículo 27, apart</w:t>
      </w:r>
      <w:r w:rsidR="00782779">
        <w:rPr>
          <w:rFonts w:ascii="Times New Roman" w:hAnsi="Times New Roman"/>
          <w:sz w:val="24"/>
        </w:rPr>
        <w:t>ado 1, del Reglamento </w:t>
      </w:r>
      <w:r>
        <w:rPr>
          <w:rFonts w:ascii="Times New Roman" w:hAnsi="Times New Roman"/>
          <w:sz w:val="24"/>
        </w:rPr>
        <w:t xml:space="preserve">(UE) 2016/679:] La autoridad de control del Estado miembro en que esté establecido el representante en el sentido del artículo 27, apartado 1, del Reglamento (UE) 2016/679, indicada en el anexo I.C, actuará como autoridad de control competente. </w:t>
      </w:r>
    </w:p>
    <w:p w14:paraId="539D7979" w14:textId="5275703D"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r>
        <w:rPr>
          <w:rFonts w:ascii="Times New Roman" w:hAnsi="Times New Roman"/>
          <w:sz w:val="24"/>
        </w:rPr>
        <w:t xml:space="preserve">[Cuando exportador de datos no esté establecido en un Estado miembro de la UE, pero sí en un lugar que entre dentro del ámbito territorial de aplicación del Reglamento (UE) 2016/679 de la Comisión, de conformidad con el artículo 3, apartado 2, y no haya nombrado a un representante con arreglo al artículo 27, apartado 2, del Reglamento (UE) 2016/679 de la Comisión:] La autoridad de control </w:t>
      </w:r>
      <w:r>
        <w:rPr>
          <w:rFonts w:ascii="Times New Roman" w:hAnsi="Times New Roman"/>
          <w:sz w:val="24"/>
        </w:rPr>
        <w:lastRenderedPageBreak/>
        <w:t xml:space="preserve">de uno de los Estado miembros en que estén situados los interesados cuyos datos personales se transfieran en virtud del presente pliego de cláusulas en el contexto de una oferta de bienes o servicios, o cuyo comportamiento esté siendo controlado, indicada en el anexo I.C, actuará como autoridad de control competente. </w:t>
      </w:r>
    </w:p>
    <w:p w14:paraId="402BA253" w14:textId="4C12B4A7" w:rsidR="00D45A17" w:rsidRPr="00504F34"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El importador de datos da su consentimiento a someterse a la jurisdicción de la autoridad de control competente y a cooperar con ella en cualquier procedimiento destinado a garantizar el cumplimiento del presente pliego de cláusulas. En particular, el importador de datos se compromete a responder a consultas, someterse a auditorías y cumplir las medidas adoptadas por la autoridad de control y, en particular, las medidas correctivas e indemnizatorias. Remitirá a la autoridad de control confirmación por escrito de que se han tomado las medidas necesarias.</w:t>
      </w:r>
    </w:p>
    <w:p w14:paraId="5AE5D9D4" w14:textId="77777777" w:rsidR="00F63790" w:rsidRDefault="00F63790" w:rsidP="00D45A17">
      <w:pPr>
        <w:spacing w:before="120" w:after="120" w:line="240" w:lineRule="auto"/>
        <w:jc w:val="center"/>
        <w:rPr>
          <w:rFonts w:ascii="Times New Roman" w:hAnsi="Times New Roman" w:cs="Times New Roman"/>
          <w:b/>
          <w:sz w:val="24"/>
          <w:u w:val="single"/>
        </w:rPr>
      </w:pPr>
    </w:p>
    <w:p w14:paraId="79AE4237" w14:textId="7EA25D5F" w:rsidR="00782779" w:rsidRDefault="00782779">
      <w:pPr>
        <w:rPr>
          <w:rFonts w:ascii="Times New Roman" w:hAnsi="Times New Roman" w:cs="Times New Roman"/>
          <w:b/>
          <w:sz w:val="24"/>
          <w:u w:val="single"/>
        </w:rPr>
      </w:pPr>
      <w:r>
        <w:rPr>
          <w:rFonts w:ascii="Times New Roman" w:hAnsi="Times New Roman" w:cs="Times New Roman"/>
          <w:b/>
          <w:sz w:val="24"/>
          <w:u w:val="single"/>
        </w:rPr>
        <w:br w:type="page"/>
      </w:r>
    </w:p>
    <w:p w14:paraId="64FF1049" w14:textId="5F9BDE5B" w:rsidR="00D45A17" w:rsidRPr="00D45A17" w:rsidRDefault="00D45A17" w:rsidP="00D45A17">
      <w:pPr>
        <w:spacing w:before="120" w:after="120" w:line="240" w:lineRule="auto"/>
        <w:jc w:val="center"/>
        <w:rPr>
          <w:rFonts w:ascii="Times New Roman" w:hAnsi="Times New Roman" w:cs="Times New Roman"/>
          <w:b/>
          <w:sz w:val="24"/>
          <w:u w:val="single"/>
        </w:rPr>
      </w:pPr>
      <w:r>
        <w:rPr>
          <w:rFonts w:ascii="Times New Roman" w:hAnsi="Times New Roman"/>
          <w:b/>
          <w:sz w:val="24"/>
          <w:u w:val="single"/>
        </w:rPr>
        <w:lastRenderedPageBreak/>
        <w:t>SECCIÓN III: DERECHO DEL PAÍS Y OBLIGACIONES EN CASO DE ACCESO POR PARTE DE LAS AUTORIDADES PÚBLICAS</w:t>
      </w:r>
    </w:p>
    <w:p w14:paraId="28209AF6"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Cláusula 14</w:t>
      </w:r>
    </w:p>
    <w:p w14:paraId="05E58C10"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Derecho y prácticas del país que afectan al cumplimiento de las cláusulas</w:t>
      </w:r>
    </w:p>
    <w:p w14:paraId="523AFA3C" w14:textId="77777777" w:rsidR="00D45A17" w:rsidRPr="00D45A17" w:rsidRDefault="00D45A17" w:rsidP="00D45A17">
      <w:pPr>
        <w:spacing w:before="120" w:after="120" w:line="240" w:lineRule="auto"/>
        <w:jc w:val="both"/>
        <w:rPr>
          <w:rFonts w:ascii="Times New Roman" w:hAnsi="Times New Roman" w:cs="Times New Roman"/>
          <w:b/>
          <w:sz w:val="24"/>
        </w:rPr>
      </w:pPr>
    </w:p>
    <w:p w14:paraId="3B9EA105"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MÓDULO UNO: transferencia de responsable a responsable</w:t>
      </w:r>
    </w:p>
    <w:p w14:paraId="4F9412C2"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MÓDULO DOS: transferencia de responsable a encargado</w:t>
      </w:r>
    </w:p>
    <w:p w14:paraId="7EA0836D"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MÓDULO TRES: transferencia de encargado a encargado</w:t>
      </w:r>
    </w:p>
    <w:p w14:paraId="6EDEDC77" w14:textId="5F9E0E44"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b/>
          <w:sz w:val="24"/>
          <w:highlight w:val="lightGray"/>
        </w:rPr>
        <w:t>MÓDULO CUATRO: transferencia de encargado a responsable</w:t>
      </w:r>
      <w:r>
        <w:rPr>
          <w:rFonts w:ascii="Times New Roman" w:hAnsi="Times New Roman"/>
          <w:sz w:val="24"/>
        </w:rPr>
        <w:t xml:space="preserve"> </w:t>
      </w:r>
      <w:r>
        <w:rPr>
          <w:rFonts w:ascii="Times New Roman" w:hAnsi="Times New Roman"/>
          <w:i/>
          <w:sz w:val="24"/>
        </w:rPr>
        <w:t>(solo si el encargado de la UE combina los datos personales recibidos del responsable del tercer país con los datos personales recopilados por el encargado en la UE)</w:t>
      </w:r>
    </w:p>
    <w:p w14:paraId="76BCA269" w14:textId="4891C55B" w:rsidR="00D45A17" w:rsidRPr="00D45A17" w:rsidRDefault="00D45A17" w:rsidP="00D45A17">
      <w:pPr>
        <w:numPr>
          <w:ilvl w:val="1"/>
          <w:numId w:val="22"/>
        </w:numPr>
        <w:spacing w:before="240" w:after="120" w:line="240" w:lineRule="auto"/>
        <w:jc w:val="both"/>
        <w:rPr>
          <w:rFonts w:ascii="Times New Roman" w:hAnsi="Times New Roman" w:cs="Times New Roman"/>
          <w:sz w:val="24"/>
        </w:rPr>
      </w:pPr>
      <w:r>
        <w:rPr>
          <w:rFonts w:ascii="Times New Roman" w:hAnsi="Times New Roman"/>
          <w:sz w:val="24"/>
        </w:rPr>
        <w:t>Las partes aseguran que no tienen motivos para creer que el Derecho y las prácticas del tercer país de destino aplicables al tratamiento de los datos personales por el importador de datos, especialmente los requisitos para la comunicación de los datos personales o las medidas de autorización de acceso por parte de las autoridades públicas, impidan al importador de datos cumplir las obligaciones que le atribuye el presente pliego de cláusulas. Dicha aseveración se fundamenta en la premisa de que no se oponen al presente pliego de cláusulas el Derecho y las prácticas que respeten en lo esencial los derechos y libertades fundamentales y no excedan de lo que es necesario y proporcionado en una sociedad democrática para salvaguardar uno de los objetivos enumerados en el artículo 23, apartado 1, del Reglamento (UE) 2016/679.</w:t>
      </w:r>
    </w:p>
    <w:p w14:paraId="3DAF869D"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Las partes declaran que, al aportar la garantía a que se refiere la letra a), han tenido debidamente en cuenta, en particular, los aspectos siguientes:</w:t>
      </w:r>
    </w:p>
    <w:p w14:paraId="11CC013E" w14:textId="4F6CCBEC"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las circunstancias específicas de la transferencia, como la longitud de la cadena de tratamiento, el número de agentes implicados y los canales de transmisión utilizados; las transferencias ulteriores previstas; el tipo de destinatario; la finalidad del tratamiento; las categorías y el formato de los datos personales transferidos; el sector económico en el que tiene lugar la transferencia; el lugar de almacenamiento de los datos transferidos; </w:t>
      </w:r>
    </w:p>
    <w:p w14:paraId="5A585095" w14:textId="1057AB48"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el Derecho y las prácticas del tercer país de destino —especialmente las que exijan comunicar datos a las autoridades públicas o autorizar el acceso de dichas autoridades— que sean pertinentes dadas las circunstancias específicas de la transferencia, así como las limitaciones y garantías aplicables</w:t>
      </w:r>
      <w:r>
        <w:rPr>
          <w:rFonts w:ascii="Times New Roman" w:hAnsi="Times New Roman" w:cs="Times New Roman"/>
          <w:sz w:val="24"/>
          <w:vertAlign w:val="superscript"/>
          <w:lang w:eastAsia="en-GB"/>
        </w:rPr>
        <w:footnoteReference w:id="12"/>
      </w:r>
      <w:r>
        <w:rPr>
          <w:rFonts w:ascii="Times New Roman" w:hAnsi="Times New Roman"/>
          <w:sz w:val="24"/>
        </w:rPr>
        <w:t xml:space="preserve">; </w:t>
      </w:r>
    </w:p>
    <w:p w14:paraId="091852A7"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lastRenderedPageBreak/>
        <w:t>las garantías contractuales, técnicas u organizativas pertinentes aportadas para complementar las garantías previstas en el presente pliego de cláusulas, especialmente incluidas las medidas aplicadas durante la transferencia y el tratamiento de los datos personales en el país de destino.</w:t>
      </w:r>
    </w:p>
    <w:p w14:paraId="05278113" w14:textId="00123B1D"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El importador de datos asegura que, al llevar a cabo la valoración a que se refiere la letra b), ha hecho todo lo posible por proporcionar al exportador de datos la información pertinente y se compromete a seguir colaborando con el exportador de datos para garantizar el cumplimiento del presente pliego de cláusulas.</w:t>
      </w:r>
    </w:p>
    <w:p w14:paraId="578F766A" w14:textId="2745825B"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Las partes acuerdan documentar la evaluación a que se refiere la letra b) y ponerla a disposición de la autoridad de control competente previa solicitud.</w:t>
      </w:r>
    </w:p>
    <w:p w14:paraId="35BEA969" w14:textId="02B33D49"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El importador de datos se compromete a notificar con presteza al exportador de datos si, tras haberse vinculado por el presente pliego de cláusulas y durante el período de vigencia del contrato, tiene motivos para creer que está o ha estado sujeto a normativa o prácticas que no se ajustan a los requisitos de la letra a), incluso a raíz de un cambio de la normativa en el tercer país o de una medida (como una solicitud de comunicación) que indique una aplicación de dicha normativa en la práctica que no se ajuste a los requisitos de la letra a). [Módulo tres: El exportador de datos notificará al responsable.]</w:t>
      </w:r>
    </w:p>
    <w:p w14:paraId="6E75E002" w14:textId="547CEBAE"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De realizarse la notificación a que se refiere la letra e) o si el exportador de datos tiene motivos para creer que el importador de datos ya no puede cumplir las obligaciones que le atribuye el presente pliego de cláusulas, el exportador de datos determinará con presteza las medidas adecuadas (por ejemplo, medidas técnicas u organizativas para garantizar la seguridad y la confidencialidad) que deberán adoptar el exportador de datos y/o el importador de datos para poner remedio a la situación [módulo tres: , si procede, tras consultar al responsable]. El exportador de datos suspenderá la transferencia de los datos si considera que no hay garantías adecuadas o si así lo dispone [módulo tres: el responsable o] la autoridad de control competente. En este supuesto, el exportador de datos estará facultado para resolver el contrato en lo que se refiera al tratamiento de datos personales en virtud del presente pliego de cláusulas. Si el contrato tiene más de dos partes contratantes, el exportador de datos solo podrá ejercer este derecho de resolución con respecto a la parte pertinente, a menos que las partes hayan acordado otra cosa. En caso de resolución del contrato en virtud de la presente cláusula, será de aplicación la cláusula 16, letras d) y e). </w:t>
      </w:r>
      <w:r>
        <w:rPr>
          <w:rFonts w:ascii="Times New Roman" w:hAnsi="Times New Roman"/>
          <w:color w:val="444444"/>
          <w:sz w:val="27"/>
          <w:szCs w:val="27"/>
          <w:shd w:val="clear" w:color="auto" w:fill="FFFFFF"/>
        </w:rPr>
        <w:t xml:space="preserve"> </w:t>
      </w:r>
    </w:p>
    <w:p w14:paraId="3B1F95C7"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Cláusula 15</w:t>
      </w:r>
    </w:p>
    <w:p w14:paraId="45C1C03F" w14:textId="534F8E21"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Obligaciones del importador de datos en caso de acceso por parte de las autoridades públicas</w:t>
      </w:r>
    </w:p>
    <w:p w14:paraId="34F8F945" w14:textId="77777777" w:rsidR="00D45A17" w:rsidRPr="00D45A17" w:rsidRDefault="00D45A17" w:rsidP="00D45A17">
      <w:pPr>
        <w:spacing w:before="120" w:after="120" w:line="240" w:lineRule="auto"/>
        <w:jc w:val="both"/>
        <w:rPr>
          <w:rFonts w:ascii="Times New Roman" w:hAnsi="Times New Roman" w:cs="Times New Roman"/>
          <w:b/>
          <w:sz w:val="24"/>
        </w:rPr>
      </w:pPr>
    </w:p>
    <w:p w14:paraId="4E7F9160"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MÓDULO UNO: transferencia de responsable a responsable</w:t>
      </w:r>
    </w:p>
    <w:p w14:paraId="0EF8EA64"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MÓDULO DOS: transferencia de responsable a encargado</w:t>
      </w:r>
    </w:p>
    <w:p w14:paraId="7E44C1FC"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MÓDULO TRES: transferencia de encargado a encargado</w:t>
      </w:r>
    </w:p>
    <w:p w14:paraId="2ED2E193" w14:textId="35697C7D"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b/>
          <w:sz w:val="24"/>
          <w:highlight w:val="lightGray"/>
        </w:rPr>
        <w:lastRenderedPageBreak/>
        <w:t>MÓDULO CUATRO: transferencia de encargado a responsable</w:t>
      </w:r>
      <w:r>
        <w:rPr>
          <w:rFonts w:ascii="Times New Roman" w:hAnsi="Times New Roman"/>
          <w:sz w:val="24"/>
        </w:rPr>
        <w:t xml:space="preserve"> </w:t>
      </w:r>
      <w:r>
        <w:rPr>
          <w:rFonts w:ascii="Times New Roman" w:hAnsi="Times New Roman"/>
          <w:i/>
          <w:sz w:val="24"/>
        </w:rPr>
        <w:t>(solo si el encargado de la UE combina los datos personales recibidos del responsable del tercer país con los datos personales recopilados por el encargado en la UE)</w:t>
      </w:r>
    </w:p>
    <w:p w14:paraId="6B249626" w14:textId="77777777" w:rsidR="00D45A17" w:rsidRPr="00D45A17" w:rsidRDefault="00D45A17" w:rsidP="00D45A17">
      <w:pPr>
        <w:spacing w:before="240" w:after="120" w:line="240" w:lineRule="auto"/>
        <w:ind w:left="851" w:hanging="851"/>
        <w:jc w:val="both"/>
        <w:rPr>
          <w:rFonts w:ascii="Times New Roman" w:hAnsi="Times New Roman" w:cs="Times New Roman"/>
          <w:b/>
          <w:sz w:val="24"/>
        </w:rPr>
      </w:pPr>
      <w:r>
        <w:rPr>
          <w:rFonts w:ascii="Times New Roman" w:hAnsi="Times New Roman"/>
          <w:b/>
          <w:sz w:val="24"/>
        </w:rPr>
        <w:t>15.1.</w:t>
      </w:r>
      <w:r>
        <w:tab/>
      </w:r>
      <w:r>
        <w:rPr>
          <w:rFonts w:ascii="Times New Roman" w:hAnsi="Times New Roman"/>
          <w:b/>
          <w:sz w:val="24"/>
        </w:rPr>
        <w:t>Notificación</w:t>
      </w:r>
    </w:p>
    <w:p w14:paraId="75A11029" w14:textId="1CBEC9C6" w:rsidR="00D45A17" w:rsidRPr="00D45A17" w:rsidRDefault="00D45A17" w:rsidP="00D45A17">
      <w:pPr>
        <w:numPr>
          <w:ilvl w:val="1"/>
          <w:numId w:val="23"/>
        </w:numPr>
        <w:spacing w:before="120" w:after="120" w:line="240" w:lineRule="auto"/>
        <w:jc w:val="both"/>
        <w:rPr>
          <w:rFonts w:ascii="Times New Roman" w:hAnsi="Times New Roman" w:cs="Times New Roman"/>
          <w:sz w:val="24"/>
        </w:rPr>
      </w:pPr>
      <w:r>
        <w:rPr>
          <w:rFonts w:ascii="Times New Roman" w:hAnsi="Times New Roman"/>
          <w:sz w:val="24"/>
        </w:rPr>
        <w:t xml:space="preserve">El importador de datos se compromete a notificar con presteza al exportador de datos y, cuando sea posible, al interesado (de ser necesario, con la ayuda del exportador de datos) si: </w:t>
      </w:r>
    </w:p>
    <w:p w14:paraId="3EF5E583" w14:textId="7E5FC04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recibe una solicitud jurídicamente vinculante de comunicación de datos personales transferidos con arreglo al presente pliego de cláusulas presentada por una autoridad pública (sobre todo, judicial) en virtud del Derecho del país de destino; dicha notificación contendrá información sobre los datos personales solicitados, la autoridad solicitante, la base jurídica de la solicitud y la respuesta dada; o</w:t>
      </w:r>
    </w:p>
    <w:p w14:paraId="7A72ACBA"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tiene conocimiento de que las autoridades públicas han tenido acceso directo a los datos personales transferidos con arreglo al presente pliego de cláusulas en virtud del Derecho del país de destino; dicha notificación incluirá toda la información de que disponga el importador de datos.</w:t>
      </w:r>
    </w:p>
    <w:p w14:paraId="1C59491E" w14:textId="77777777"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r>
        <w:rPr>
          <w:rFonts w:ascii="Times New Roman" w:hAnsi="Times New Roman"/>
          <w:sz w:val="24"/>
        </w:rPr>
        <w:t>[Módulo tres: El exportador de datos notificará al responsable.]</w:t>
      </w:r>
    </w:p>
    <w:p w14:paraId="2856CCF5" w14:textId="057F3CC3"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Si se prohíbe al importador de datos enviar la notificación al exportador de datos y/o al interesado en virtud del Derecho del país de destino, el importador de datos se compromete a hacer todo lo posible para obtener una dispensa de la prohibición, con el fin de comunicar toda la información disponible y lo antes posible. El importador de datos se compromete a documentar las actuaciones que realice a tal fin para poder justificar su diligencia si se lo pide el exportador de datos. </w:t>
      </w:r>
    </w:p>
    <w:p w14:paraId="25018A4E" w14:textId="779DF0AD" w:rsidR="00D45A17" w:rsidRPr="00D45A17" w:rsidRDefault="007E2161"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En la medida en que lo permita el Derecho del país de destino, el importador de datos se compromete a proporcionar al exportador de datos, a intervalos regulares durante el período de vigencia del contrato, la mayor cantidad posible de información pertinente sobre las solicitudes recibidas (en particular, el número de solicitudes, el tipo de datos solicitados, la autoridad o autoridades solicitantes, la impugnación de las solicitudes, el resultado de tales impugnaciones, etc.). [Módulo tres: El exportador de datos remitirá la información al responsable.]</w:t>
      </w:r>
    </w:p>
    <w:p w14:paraId="472387C2" w14:textId="7877EDB2"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El importador de datos se compromete a conservar la información a que se refieren las letras a) a c) durante el período de vigencia del contrato y a ponerla a disposición de la autoridad de control competente previa solicitud. </w:t>
      </w:r>
    </w:p>
    <w:p w14:paraId="391C0ADF" w14:textId="057BBA1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Las letras a) a c) se entenderán sin perjuicio de la obligación del importador de datos, contemplada en la cláusula 14, letra e), y en la cláusula 16, de informar con presteza al exportador de datos cuando no pueda dar cumplimiento al presente pliego de cláusulas.</w:t>
      </w:r>
    </w:p>
    <w:p w14:paraId="03D9EE59"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15.2.</w:t>
      </w:r>
      <w:r>
        <w:tab/>
      </w:r>
      <w:r>
        <w:rPr>
          <w:rFonts w:ascii="Times New Roman" w:hAnsi="Times New Roman"/>
          <w:b/>
          <w:sz w:val="24"/>
        </w:rPr>
        <w:t>Control de la legalidad y minimización de datos</w:t>
      </w:r>
    </w:p>
    <w:p w14:paraId="5A997DEF" w14:textId="1CBDD2D2" w:rsidR="00D45A17" w:rsidRPr="00D45A17" w:rsidRDefault="00D45A17" w:rsidP="00D45A17">
      <w:pPr>
        <w:numPr>
          <w:ilvl w:val="1"/>
          <w:numId w:val="24"/>
        </w:numPr>
        <w:spacing w:before="120" w:after="120" w:line="240" w:lineRule="auto"/>
        <w:jc w:val="both"/>
        <w:rPr>
          <w:rFonts w:ascii="Times New Roman" w:hAnsi="Times New Roman" w:cs="Times New Roman"/>
          <w:sz w:val="24"/>
        </w:rPr>
      </w:pPr>
      <w:r>
        <w:rPr>
          <w:rFonts w:ascii="Times New Roman" w:hAnsi="Times New Roman"/>
          <w:sz w:val="24"/>
        </w:rPr>
        <w:t xml:space="preserve">El importador de datos se compromete a controlar la legalidad de la solicitud de comunicación y, en particular, si la autoridad pública solicitante está debidamente facultada para ello, así como a impugnar la solicitud si, tras una valoración minuciosa, llega a la conclusión de que existen motivos razonables para considerar </w:t>
      </w:r>
      <w:r>
        <w:rPr>
          <w:rFonts w:ascii="Times New Roman" w:hAnsi="Times New Roman"/>
          <w:sz w:val="24"/>
        </w:rPr>
        <w:lastRenderedPageBreak/>
        <w:t>que la solicitud es ilícita con arreglo al Derecho del país de destino, incluidas las obligaciones aplicables en virtud del Derecho internacional y los principios de cortesía internacional. El importador de datos agotará, en las mismas condiciones, las vías de recurso. Al impugnar una solicitud, el importador de datos instará la aplicación de medidas cautelares para suspender los efectos de la solicitud hasta que la autoridad judicial competente se haya pronunciado sobre el fondo. No comunicará los datos personales solicitados hasta que se lo exija la normativa procesal aplicable. Estos requisitos se entienden sin perjuicio de las obligaciones que la cláusula 14, letra e), atribuye al importador de datos.</w:t>
      </w:r>
    </w:p>
    <w:p w14:paraId="4D811D1B" w14:textId="670548F9"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El importador de datos se compromete a documentar sus valoraciones jurídicas y las impugnaciones de solicitudes de comunicación y a poner dicha documentación a disposición del exportador de datos en la medida en que lo permita el Derecho del país de destino. También pondrá dicha documentación a disposición de la autoridad de control competente previa solicitud. [Módulo tres: El exportador de datos pondrá la valoración a disposición del responsable.] </w:t>
      </w:r>
    </w:p>
    <w:p w14:paraId="7DBCE78A" w14:textId="6B5F8049" w:rsidR="00D45A17" w:rsidRPr="000F4E53"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El importador de datos se compromete a proporcionar la mínima información posible al responder a las solicitudes de comunicación, basándose en una interpretación razonable de la solicitud.</w:t>
      </w:r>
    </w:p>
    <w:p w14:paraId="49C96ED9" w14:textId="77777777" w:rsidR="000F4E53" w:rsidRPr="000F4E53" w:rsidRDefault="000F4E53" w:rsidP="000F4E53">
      <w:pPr>
        <w:spacing w:before="120" w:after="120" w:line="240" w:lineRule="auto"/>
        <w:ind w:left="850"/>
        <w:jc w:val="both"/>
        <w:rPr>
          <w:rFonts w:ascii="Times New Roman" w:hAnsi="Times New Roman" w:cs="Times New Roman"/>
          <w:sz w:val="24"/>
        </w:rPr>
      </w:pPr>
    </w:p>
    <w:p w14:paraId="530BA2DA" w14:textId="77777777" w:rsidR="00D45A17" w:rsidRPr="00D45A17" w:rsidRDefault="00D45A17" w:rsidP="00D45A17">
      <w:pPr>
        <w:spacing w:before="120" w:after="120" w:line="240" w:lineRule="auto"/>
        <w:jc w:val="center"/>
        <w:rPr>
          <w:rFonts w:ascii="Times New Roman" w:hAnsi="Times New Roman" w:cs="Times New Roman"/>
          <w:b/>
          <w:sz w:val="24"/>
          <w:u w:val="single"/>
        </w:rPr>
      </w:pPr>
      <w:r>
        <w:rPr>
          <w:rFonts w:ascii="Times New Roman" w:hAnsi="Times New Roman"/>
          <w:b/>
          <w:sz w:val="24"/>
          <w:u w:val="single"/>
        </w:rPr>
        <w:t>SECCIÓN IV: DISPOSICIONES FINALES</w:t>
      </w:r>
    </w:p>
    <w:p w14:paraId="007359A5"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Cláusula 16</w:t>
      </w:r>
    </w:p>
    <w:p w14:paraId="6442B740"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Incumplimiento de las cláusulas y resolución del contrato</w:t>
      </w:r>
    </w:p>
    <w:p w14:paraId="6E7D07D0" w14:textId="77777777" w:rsidR="00D45A17" w:rsidRPr="00D45A17" w:rsidRDefault="00D45A17" w:rsidP="00D45A17">
      <w:pPr>
        <w:numPr>
          <w:ilvl w:val="1"/>
          <w:numId w:val="34"/>
        </w:numPr>
        <w:spacing w:before="120" w:after="120" w:line="240" w:lineRule="auto"/>
        <w:jc w:val="both"/>
        <w:rPr>
          <w:rFonts w:ascii="Times New Roman" w:hAnsi="Times New Roman" w:cs="Times New Roman"/>
          <w:sz w:val="24"/>
        </w:rPr>
      </w:pPr>
      <w:r>
        <w:rPr>
          <w:rFonts w:ascii="Times New Roman" w:hAnsi="Times New Roman"/>
          <w:sz w:val="24"/>
        </w:rPr>
        <w:t xml:space="preserve">El importador de datos informará con presteza al exportador de datos en caso de que no pueda dar cumplimiento al presente pliego de cláusulas por cualquier motivo. </w:t>
      </w:r>
    </w:p>
    <w:p w14:paraId="4DA19BA4" w14:textId="27E7E32D"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En caso de que el importador de datos incumpla las obligaciones que le atribuye el presente pliego de cláusulas, el exportador de datos suspenderá la transferencia de datos personales al importador de datos hasta que se vuelva a garantizar el cumplimiento o se resuelva el contrato. Lo anterior se entiende sin perjuicio de la cláusula 14, letra f).</w:t>
      </w:r>
    </w:p>
    <w:p w14:paraId="4BDCBDC4"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El exportador de datos estará facultado para resolver el contrato en lo que se refiera al tratamiento de datos personales en virtud del presente pliego de cláusulas cuando:</w:t>
      </w:r>
    </w:p>
    <w:p w14:paraId="6E68E436" w14:textId="2FDC465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el exportador de datos haya suspendido la transferencia de datos personales al importador de datos con arreglo a la letra b) y no se vuelva a dar cumplimiento al presente pliego de cláusulas en un plazo razonable y, en cualquier caso, en un plazo de un mes a contar desde la suspensión; </w:t>
      </w:r>
    </w:p>
    <w:p w14:paraId="4907EDEB"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el importador de datos vulnere de manera sustancial o persistente el presente pliego de cláusulas; o</w:t>
      </w:r>
    </w:p>
    <w:p w14:paraId="503F256A"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el importador de datos incumpla una resolución vinculante de un órgano jurisdiccional o autoridad de control competente en relación con las obligaciones que le atribuye el presente pliego de cláusulas.</w:t>
      </w:r>
    </w:p>
    <w:p w14:paraId="218B3391" w14:textId="41878A2D"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r>
        <w:rPr>
          <w:rFonts w:ascii="Times New Roman" w:hAnsi="Times New Roman"/>
          <w:sz w:val="24"/>
        </w:rPr>
        <w:t xml:space="preserve">En este supuesto, informará a la autoridad de supervisión competente [módulo tres: y al responsable] de su incumplimiento. Si el contrato tiene más de dos partes </w:t>
      </w:r>
      <w:r>
        <w:rPr>
          <w:rFonts w:ascii="Times New Roman" w:hAnsi="Times New Roman"/>
          <w:sz w:val="24"/>
        </w:rPr>
        <w:lastRenderedPageBreak/>
        <w:t xml:space="preserve">contratantes, el exportador de datos solo podrá ejercer este derecho de resolución con respecto a la parte pertinente, a menos que las partes hayan acordado otra cosa. </w:t>
      </w:r>
    </w:p>
    <w:p w14:paraId="5ADD857D" w14:textId="54D6ABB9" w:rsidR="00A21645" w:rsidRPr="00A21645" w:rsidRDefault="00D45A17" w:rsidP="00A21645">
      <w:pPr>
        <w:numPr>
          <w:ilvl w:val="1"/>
          <w:numId w:val="34"/>
        </w:numPr>
        <w:spacing w:before="120" w:after="120" w:line="240" w:lineRule="auto"/>
        <w:jc w:val="both"/>
        <w:rPr>
          <w:rFonts w:ascii="Times New Roman" w:hAnsi="Times New Roman" w:cs="Times New Roman"/>
          <w:sz w:val="24"/>
        </w:rPr>
      </w:pPr>
      <w:r>
        <w:rPr>
          <w:rFonts w:ascii="Times New Roman" w:hAnsi="Times New Roman"/>
          <w:sz w:val="24"/>
        </w:rPr>
        <w:t xml:space="preserve">[Módulos uno, dos y tres: Los datos personales que se hayan transferido antes de la resolución del contrato con arreglo a la letra c) deberán, a elección del exportador de datos, devolverse inmediatamente al exportador de datos o destruirse en su totalidad. Lo mismo será de aplicación a las copias de los datos.] [Módulo cuatro: Los datos personales recopilados por el exportador de datos en la UE que se hayan transferido antes de la resolución del contrato con arreglo a la letra c) deberán destruirse en su totalidad inmediatamente, así como cualquier copia de estos.] El importador de datos acreditará la destrucción de los datos al exportador de datos. Hasta que se destruyan o devuelvan los datos, el importador de datos seguirá garantizando el cumplimiento con el presente pliego de cláusulas. Si el Derecho del país aplicable al importador de datos prohíbe la devolución o la destrucción de los datos personales transferidos, el importador de datos se compromete a seguir garantizando el cumplimiento del presente pliego de cláusulas y solo tratará los datos en la medida y durante el tiempo que exija el Derecho del país. </w:t>
      </w:r>
    </w:p>
    <w:p w14:paraId="576BA72B" w14:textId="20CF0932" w:rsidR="00D45A17" w:rsidRPr="000F4E53" w:rsidRDefault="00D45A17" w:rsidP="000F4E53">
      <w:pPr>
        <w:numPr>
          <w:ilvl w:val="1"/>
          <w:numId w:val="34"/>
        </w:numPr>
        <w:spacing w:before="120" w:after="120" w:line="240" w:lineRule="auto"/>
        <w:jc w:val="both"/>
        <w:rPr>
          <w:rFonts w:ascii="Times New Roman" w:hAnsi="Times New Roman" w:cs="Times New Roman"/>
          <w:sz w:val="24"/>
        </w:rPr>
      </w:pPr>
      <w:r>
        <w:rPr>
          <w:rFonts w:ascii="Times New Roman" w:hAnsi="Times New Roman"/>
          <w:sz w:val="24"/>
        </w:rPr>
        <w:t xml:space="preserve">Ninguna de las partes podrá revocar su consentimiento a quedar vinculada por el presente pliego de cláusulas si: i) la Comisión Europea adopta una decisión de conformidad con el artículo 45, apartado 3, del Reglamento (UE) 2016/679 que regule la transferencia de datos personales a los que se aplique el presente pliego de cláusulas; o ii) el Reglamento (UE) 2016/679 pasa a formar parte del ordenamiento jurídico del país al que se transfieren los datos personales. Ello se entiende sin perjuicio de otras responsabilidades que sean de aplicación al tratamiento en cuestión en virtud del Reglamento (UE) 2016/679. </w:t>
      </w:r>
    </w:p>
    <w:p w14:paraId="57F8F6FC"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Cláusula 17</w:t>
      </w:r>
    </w:p>
    <w:p w14:paraId="0527FDA3"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Derecho aplicable</w:t>
      </w:r>
    </w:p>
    <w:p w14:paraId="6A3A12C1"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MÓDULO UNO: transferencia de responsable a responsable</w:t>
      </w:r>
    </w:p>
    <w:p w14:paraId="50EE6D53"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MÓDULO DOS: transferencia de responsable a encargado</w:t>
      </w:r>
    </w:p>
    <w:p w14:paraId="65E4E29D"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MÓDULO TRES: transferencia de encargado a encargado</w:t>
      </w:r>
    </w:p>
    <w:p w14:paraId="18D69C98" w14:textId="29C9CBC0"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[OPCIÓN 1: El presente pliego de cláusulas se regirá por el Derecho de uno de los Estados miembros de la Unión Europea, siempre que dicho Derecho admita la existencia de derechos de los terceros beneficiarios. Las partes acuerdan que sea el Derecho de ___ (</w:t>
      </w:r>
      <w:r>
        <w:rPr>
          <w:rFonts w:ascii="Times New Roman" w:hAnsi="Times New Roman"/>
          <w:i/>
          <w:sz w:val="24"/>
        </w:rPr>
        <w:t>especifíquese el Estado miembro</w:t>
      </w:r>
      <w:r>
        <w:rPr>
          <w:rFonts w:ascii="Times New Roman" w:hAnsi="Times New Roman"/>
          <w:sz w:val="24"/>
        </w:rPr>
        <w:t xml:space="preserve">).] </w:t>
      </w:r>
    </w:p>
    <w:p w14:paraId="7C423AD9" w14:textId="5131DF4A"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[OPCIÓN 2 (módulos dos y tres): El presente pliego de cláusulas se regirá por el Derecho del Estado miembro de la Unión Europea en que esté establecido el exportador de datos. Cuando dicho Derecho no admita la existencia de derechos de los terceros beneficiarios, se regirá por el Derecho de otro Estado miembro de la Unión Europea que sí la admita. Las partes acuerdan que sea el Derecho de ___ (</w:t>
      </w:r>
      <w:r>
        <w:rPr>
          <w:rFonts w:ascii="Times New Roman" w:hAnsi="Times New Roman"/>
          <w:i/>
          <w:sz w:val="24"/>
        </w:rPr>
        <w:t>especifíquese el Estado miembro</w:t>
      </w:r>
      <w:r>
        <w:rPr>
          <w:rFonts w:ascii="Times New Roman" w:hAnsi="Times New Roman"/>
          <w:sz w:val="24"/>
        </w:rPr>
        <w:t xml:space="preserve">).]  </w:t>
      </w:r>
    </w:p>
    <w:p w14:paraId="13D8898D" w14:textId="77777777" w:rsidR="00D45A17" w:rsidRPr="00D45A17" w:rsidRDefault="00D45A17" w:rsidP="00D45A17">
      <w:pPr>
        <w:spacing w:before="120" w:after="120" w:line="240" w:lineRule="auto"/>
        <w:jc w:val="both"/>
        <w:rPr>
          <w:rFonts w:ascii="Times New Roman" w:hAnsi="Times New Roman" w:cs="Times New Roman"/>
          <w:b/>
          <w:sz w:val="24"/>
        </w:rPr>
      </w:pPr>
      <w:r>
        <w:rPr>
          <w:rFonts w:ascii="Times New Roman" w:hAnsi="Times New Roman"/>
          <w:b/>
          <w:sz w:val="24"/>
          <w:highlight w:val="lightGray"/>
        </w:rPr>
        <w:t>MÓDULO CUATRO: transferencia de encargado a responsable</w:t>
      </w:r>
      <w:r>
        <w:rPr>
          <w:rFonts w:ascii="Times New Roman" w:hAnsi="Times New Roman"/>
          <w:b/>
          <w:sz w:val="24"/>
        </w:rPr>
        <w:t xml:space="preserve"> </w:t>
      </w:r>
    </w:p>
    <w:p w14:paraId="75219D4B" w14:textId="322EF755"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El presente pliego de cláusulas se regirá por el Derecho de un país que contemple los derechos de los terceros beneficiarios. Las partes acuerdan que sea el Derecho de ___ (</w:t>
      </w:r>
      <w:r>
        <w:rPr>
          <w:rFonts w:ascii="Times New Roman" w:hAnsi="Times New Roman"/>
          <w:i/>
          <w:sz w:val="24"/>
        </w:rPr>
        <w:t>especifíquese el país</w:t>
      </w:r>
      <w:r>
        <w:rPr>
          <w:rFonts w:ascii="Times New Roman" w:hAnsi="Times New Roman"/>
          <w:sz w:val="24"/>
        </w:rPr>
        <w:t xml:space="preserve">). </w:t>
      </w:r>
    </w:p>
    <w:p w14:paraId="259C337E"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lastRenderedPageBreak/>
        <w:t>Cláusula 18</w:t>
      </w:r>
    </w:p>
    <w:p w14:paraId="74703C51"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Elección del foro y jurisdicción</w:t>
      </w:r>
    </w:p>
    <w:p w14:paraId="10C6DD93"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MÓDULO UNO: transferencia de responsable a responsable</w:t>
      </w:r>
    </w:p>
    <w:p w14:paraId="382F047A"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MÓDULO DOS: transferencia de responsable a encargado</w:t>
      </w:r>
    </w:p>
    <w:p w14:paraId="7ECB9F5F" w14:textId="77777777" w:rsidR="00D45A17" w:rsidRPr="00D45A17" w:rsidRDefault="00D45A17" w:rsidP="00D45A17">
      <w:pPr>
        <w:numPr>
          <w:ilvl w:val="1"/>
          <w:numId w:val="0"/>
        </w:num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MÓDULO TRES: transferencia de encargado a encargado</w:t>
      </w:r>
    </w:p>
    <w:p w14:paraId="64AE04A8" w14:textId="002D403A" w:rsidR="00D45A17" w:rsidRPr="00D45A17" w:rsidRDefault="00D45A17" w:rsidP="00D45A17">
      <w:pPr>
        <w:numPr>
          <w:ilvl w:val="1"/>
          <w:numId w:val="38"/>
        </w:numPr>
        <w:spacing w:before="120" w:after="120" w:line="240" w:lineRule="auto"/>
        <w:jc w:val="both"/>
        <w:rPr>
          <w:rFonts w:ascii="Times New Roman" w:hAnsi="Times New Roman" w:cs="Times New Roman"/>
          <w:sz w:val="24"/>
        </w:rPr>
      </w:pPr>
      <w:r>
        <w:rPr>
          <w:rFonts w:ascii="Times New Roman" w:hAnsi="Times New Roman"/>
          <w:sz w:val="24"/>
        </w:rPr>
        <w:t>Cualquier controversia derivada del presente pliego de cláusulas será resuelta judicialmente en un Estado miembro de la Unión Europea.</w:t>
      </w:r>
    </w:p>
    <w:p w14:paraId="02F598B2" w14:textId="77777777" w:rsidR="00D45A17" w:rsidRPr="00D45A17" w:rsidRDefault="00D45A17" w:rsidP="00D45A17">
      <w:pPr>
        <w:numPr>
          <w:ilvl w:val="1"/>
          <w:numId w:val="34"/>
        </w:numPr>
        <w:spacing w:before="120" w:after="120" w:line="240" w:lineRule="auto"/>
        <w:jc w:val="both"/>
        <w:rPr>
          <w:rFonts w:ascii="Times New Roman" w:hAnsi="Times New Roman" w:cs="Times New Roman"/>
          <w:sz w:val="24"/>
        </w:rPr>
      </w:pPr>
      <w:r>
        <w:rPr>
          <w:rFonts w:ascii="Times New Roman" w:hAnsi="Times New Roman"/>
          <w:sz w:val="24"/>
        </w:rPr>
        <w:t>Las partes acuerdan que sean los órganos jurisdiccionales de ___ (</w:t>
      </w:r>
      <w:r>
        <w:rPr>
          <w:rFonts w:ascii="Times New Roman" w:hAnsi="Times New Roman"/>
          <w:i/>
          <w:sz w:val="24"/>
        </w:rPr>
        <w:t>especifíquese el Estado miembro</w:t>
      </w:r>
      <w:r>
        <w:rPr>
          <w:rFonts w:ascii="Times New Roman" w:hAnsi="Times New Roman"/>
          <w:sz w:val="24"/>
        </w:rPr>
        <w:t>).</w:t>
      </w:r>
    </w:p>
    <w:p w14:paraId="22EF9B37" w14:textId="2EA6646D" w:rsidR="00D45A17" w:rsidRPr="00D45A17" w:rsidRDefault="00A962D0" w:rsidP="00D45A17">
      <w:pPr>
        <w:numPr>
          <w:ilvl w:val="1"/>
          <w:numId w:val="34"/>
        </w:numPr>
        <w:spacing w:before="120" w:after="120" w:line="240" w:lineRule="auto"/>
        <w:jc w:val="both"/>
        <w:rPr>
          <w:rFonts w:ascii="Times New Roman" w:hAnsi="Times New Roman" w:cs="Times New Roman"/>
          <w:sz w:val="24"/>
        </w:rPr>
      </w:pPr>
      <w:r>
        <w:rPr>
          <w:rFonts w:ascii="Times New Roman" w:hAnsi="Times New Roman"/>
          <w:sz w:val="24"/>
        </w:rPr>
        <w:t xml:space="preserve">Los interesados también podrán ejercer acciones judiciales contra el exportador de datos y/o el importador de datos en el Estado miembro en el que el interesado tenga su residencia habitual. </w:t>
      </w:r>
    </w:p>
    <w:p w14:paraId="5D224973" w14:textId="77777777" w:rsidR="00D45A17" w:rsidRPr="00D45A17" w:rsidRDefault="00D45A17" w:rsidP="00D45A17">
      <w:pPr>
        <w:numPr>
          <w:ilvl w:val="1"/>
          <w:numId w:val="34"/>
        </w:numPr>
        <w:spacing w:before="120" w:after="120" w:line="240" w:lineRule="auto"/>
        <w:jc w:val="both"/>
        <w:rPr>
          <w:rFonts w:ascii="Times New Roman" w:hAnsi="Times New Roman" w:cs="Times New Roman"/>
          <w:sz w:val="24"/>
        </w:rPr>
      </w:pPr>
      <w:r>
        <w:rPr>
          <w:rFonts w:ascii="Times New Roman" w:hAnsi="Times New Roman"/>
          <w:sz w:val="24"/>
        </w:rPr>
        <w:t>Las partes acuerdan someterse a la jurisdicción de dicho Estado miembro.</w:t>
      </w:r>
    </w:p>
    <w:p w14:paraId="6EA29ECD" w14:textId="77777777" w:rsidR="00F63790" w:rsidRDefault="00F63790" w:rsidP="00D45A17">
      <w:pPr>
        <w:rPr>
          <w:rFonts w:ascii="Times New Roman" w:hAnsi="Times New Roman" w:cs="Times New Roman"/>
          <w:b/>
          <w:sz w:val="24"/>
          <w:highlight w:val="lightGray"/>
        </w:rPr>
      </w:pPr>
    </w:p>
    <w:p w14:paraId="0768A1AA" w14:textId="52825FD0" w:rsidR="00D45A17" w:rsidRPr="00D45A17" w:rsidRDefault="00D45A17" w:rsidP="00D45A17">
      <w:pPr>
        <w:rPr>
          <w:rFonts w:ascii="Times New Roman" w:hAnsi="Times New Roman" w:cs="Times New Roman"/>
          <w:sz w:val="24"/>
        </w:rPr>
      </w:pPr>
      <w:r>
        <w:rPr>
          <w:rFonts w:ascii="Times New Roman" w:hAnsi="Times New Roman"/>
          <w:b/>
          <w:sz w:val="24"/>
          <w:highlight w:val="lightGray"/>
        </w:rPr>
        <w:t>MÓDULO CUATRO: transferencia de encargado a responsable</w:t>
      </w:r>
    </w:p>
    <w:p w14:paraId="540EA4EA" w14:textId="77777777" w:rsidR="00D45A17" w:rsidRPr="00D45A17" w:rsidRDefault="00D45A17" w:rsidP="00D45A17">
      <w:pPr>
        <w:jc w:val="both"/>
        <w:rPr>
          <w:rFonts w:ascii="Times New Roman" w:hAnsi="Times New Roman" w:cs="Times New Roman"/>
          <w:sz w:val="24"/>
        </w:rPr>
      </w:pPr>
      <w:r>
        <w:rPr>
          <w:rFonts w:ascii="Times New Roman" w:hAnsi="Times New Roman"/>
          <w:sz w:val="24"/>
        </w:rPr>
        <w:t>Cualquier controversia derivada del presente pliego de cláusulas será resuelta judicialmente en ______ (</w:t>
      </w:r>
      <w:r>
        <w:rPr>
          <w:rFonts w:ascii="Times New Roman" w:hAnsi="Times New Roman"/>
          <w:i/>
          <w:sz w:val="24"/>
        </w:rPr>
        <w:t>especifíquese el país</w:t>
      </w:r>
      <w:r>
        <w:rPr>
          <w:rFonts w:ascii="Times New Roman" w:hAnsi="Times New Roman"/>
          <w:sz w:val="24"/>
        </w:rPr>
        <w:t>).</w:t>
      </w:r>
      <w:r>
        <w:rPr>
          <w:rFonts w:ascii="Times New Roman" w:hAnsi="Times New Roman"/>
          <w:sz w:val="24"/>
        </w:rPr>
        <w:br w:type="page"/>
      </w:r>
    </w:p>
    <w:p w14:paraId="50D97AA6" w14:textId="77777777" w:rsidR="00D45A17" w:rsidRPr="00D45A17" w:rsidRDefault="00D45A17" w:rsidP="00D45A17">
      <w:pPr>
        <w:spacing w:before="120" w:after="120" w:line="240" w:lineRule="auto"/>
        <w:jc w:val="center"/>
        <w:rPr>
          <w:rFonts w:ascii="Times New Roman" w:hAnsi="Times New Roman" w:cs="Times New Roman"/>
          <w:b/>
          <w:sz w:val="24"/>
          <w:u w:val="single"/>
        </w:rPr>
      </w:pPr>
      <w:r>
        <w:rPr>
          <w:rFonts w:ascii="Times New Roman" w:hAnsi="Times New Roman"/>
          <w:b/>
          <w:sz w:val="24"/>
          <w:u w:val="single"/>
        </w:rPr>
        <w:lastRenderedPageBreak/>
        <w:t xml:space="preserve">APÉNDICE </w:t>
      </w:r>
    </w:p>
    <w:p w14:paraId="424323BF"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 xml:space="preserve">NOTA ACLARATORIA: </w:t>
      </w:r>
    </w:p>
    <w:p w14:paraId="24BF3061" w14:textId="67D39C12" w:rsidR="00D45A17" w:rsidRPr="00D45A17" w:rsidRDefault="00D45A17" w:rsidP="00D45A17">
      <w:pPr>
        <w:spacing w:before="120" w:after="120" w:line="240" w:lineRule="auto"/>
        <w:jc w:val="both"/>
        <w:rPr>
          <w:rFonts w:ascii="Times New Roman" w:hAnsi="Times New Roman" w:cs="Times New Roman"/>
          <w:b/>
          <w:sz w:val="24"/>
          <w:u w:val="single"/>
        </w:rPr>
      </w:pPr>
      <w:r>
        <w:rPr>
          <w:rFonts w:ascii="Times New Roman" w:hAnsi="Times New Roman"/>
          <w:sz w:val="24"/>
        </w:rPr>
        <w:t>Se debe poder distinguir claramente la información aplicable a cada transferencia o categoría de transferencias y, por tanto, determinar la función o funciones respectivas de las partes en cuanto exportador(as) de datos y/o importador(as) de datos. No es imprescindible cumplimentar y firmar apéndices separados por cada transferencia o categoría de transferencias y/o relación contractual si se puede lograr un nivel de transparencia equivalente cumplimentando un solo apéndice. No obstante, cuando sea necesario para garantizar claridad suficiente, deben utilizarse apéndices separados.</w:t>
      </w:r>
    </w:p>
    <w:p w14:paraId="55AFB27C" w14:textId="77777777" w:rsidR="00D45A17" w:rsidRPr="00D45A17" w:rsidRDefault="00D45A17" w:rsidP="00D45A17">
      <w:pPr>
        <w:spacing w:before="240" w:after="120" w:line="240" w:lineRule="auto"/>
        <w:jc w:val="both"/>
        <w:rPr>
          <w:rFonts w:ascii="Times New Roman" w:hAnsi="Times New Roman" w:cs="Times New Roman"/>
          <w:b/>
          <w:sz w:val="24"/>
          <w:u w:val="single"/>
        </w:rPr>
      </w:pPr>
      <w:r>
        <w:rPr>
          <w:rFonts w:ascii="Times New Roman" w:hAnsi="Times New Roman"/>
          <w:b/>
          <w:sz w:val="24"/>
          <w:u w:val="single"/>
        </w:rPr>
        <w:t>ANEXO I</w:t>
      </w:r>
    </w:p>
    <w:p w14:paraId="505F1032" w14:textId="77777777" w:rsidR="00D45A17" w:rsidRPr="00D45A17" w:rsidRDefault="00D45A17" w:rsidP="00D45A17">
      <w:pPr>
        <w:spacing w:before="240" w:after="120" w:line="240" w:lineRule="auto"/>
        <w:ind w:left="851"/>
        <w:jc w:val="both"/>
        <w:rPr>
          <w:rFonts w:ascii="Times New Roman" w:hAnsi="Times New Roman" w:cs="Times New Roman"/>
          <w:b/>
          <w:sz w:val="24"/>
        </w:rPr>
      </w:pPr>
      <w:r>
        <w:rPr>
          <w:rFonts w:ascii="Times New Roman" w:hAnsi="Times New Roman"/>
          <w:b/>
          <w:sz w:val="24"/>
        </w:rPr>
        <w:t>A. LISTA DE PARTES</w:t>
      </w:r>
    </w:p>
    <w:p w14:paraId="69FD1D23"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MÓDULO UNO: transferencia de responsable a responsable</w:t>
      </w:r>
    </w:p>
    <w:p w14:paraId="2E53B2CA"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MÓDULO DOS: transferencia de responsable a encargado</w:t>
      </w:r>
    </w:p>
    <w:p w14:paraId="5BFEB883"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MÓDULO TRES: transferencia de encargado a encargado</w:t>
      </w:r>
    </w:p>
    <w:p w14:paraId="55F95E38" w14:textId="77777777" w:rsidR="00D45A17" w:rsidRPr="00D45A17" w:rsidRDefault="00D45A17" w:rsidP="00D45A17">
      <w:pPr>
        <w:spacing w:before="120" w:after="120" w:line="240" w:lineRule="auto"/>
        <w:jc w:val="both"/>
        <w:rPr>
          <w:rFonts w:ascii="Times New Roman" w:hAnsi="Times New Roman" w:cs="Times New Roman"/>
          <w:b/>
          <w:sz w:val="24"/>
        </w:rPr>
      </w:pPr>
      <w:r>
        <w:rPr>
          <w:rFonts w:ascii="Times New Roman" w:hAnsi="Times New Roman"/>
          <w:b/>
          <w:sz w:val="24"/>
          <w:highlight w:val="lightGray"/>
        </w:rPr>
        <w:t>MÓDULO CUATRO: transferencia de encargado a responsable</w:t>
      </w:r>
      <w:r>
        <w:rPr>
          <w:rFonts w:ascii="Times New Roman" w:hAnsi="Times New Roman"/>
          <w:b/>
          <w:sz w:val="24"/>
        </w:rPr>
        <w:t xml:space="preserve"> </w:t>
      </w:r>
    </w:p>
    <w:p w14:paraId="5AA06202" w14:textId="77777777" w:rsidR="00D45A17" w:rsidRPr="00D45A17" w:rsidRDefault="00D45A17" w:rsidP="00D45A17">
      <w:pPr>
        <w:spacing w:before="120" w:after="120" w:line="240" w:lineRule="auto"/>
        <w:jc w:val="both"/>
        <w:rPr>
          <w:rFonts w:ascii="Times New Roman" w:hAnsi="Times New Roman" w:cs="Times New Roman"/>
          <w:b/>
          <w:sz w:val="24"/>
        </w:rPr>
      </w:pPr>
    </w:p>
    <w:p w14:paraId="13D0E9F3" w14:textId="592C32CB" w:rsidR="00D45A17" w:rsidRPr="00764907" w:rsidRDefault="00D45A17" w:rsidP="00D45A17">
      <w:pPr>
        <w:spacing w:before="120" w:after="120" w:line="240" w:lineRule="auto"/>
        <w:jc w:val="both"/>
        <w:rPr>
          <w:rFonts w:ascii="Times New Roman" w:hAnsi="Times New Roman" w:cs="Times New Roman"/>
          <w:i/>
          <w:sz w:val="24"/>
        </w:rPr>
      </w:pPr>
      <w:r>
        <w:rPr>
          <w:rFonts w:ascii="Times New Roman" w:hAnsi="Times New Roman"/>
          <w:b/>
          <w:sz w:val="24"/>
        </w:rPr>
        <w:t xml:space="preserve">Exportador(es) de datos: </w:t>
      </w:r>
      <w:r>
        <w:rPr>
          <w:rFonts w:ascii="Times New Roman" w:hAnsi="Times New Roman"/>
          <w:sz w:val="24"/>
        </w:rPr>
        <w:t>[</w:t>
      </w:r>
      <w:r>
        <w:rPr>
          <w:rFonts w:ascii="Times New Roman" w:hAnsi="Times New Roman"/>
          <w:i/>
          <w:sz w:val="24"/>
        </w:rPr>
        <w:t>Identidad y datos de contacto del exportador o exportadores de datos y, en su caso, del delegado de protección de datos de este o estos y/o del representante en la Unión Europea</w:t>
      </w:r>
      <w:r>
        <w:rPr>
          <w:rFonts w:ascii="Times New Roman" w:hAnsi="Times New Roman"/>
          <w:sz w:val="24"/>
        </w:rPr>
        <w:t>]</w:t>
      </w:r>
      <w:r>
        <w:rPr>
          <w:rFonts w:ascii="Times New Roman" w:hAnsi="Times New Roman"/>
          <w:i/>
          <w:sz w:val="24"/>
        </w:rPr>
        <w:t xml:space="preserve"> </w:t>
      </w:r>
    </w:p>
    <w:p w14:paraId="50ABD2A3"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1. Nombre: …</w:t>
      </w:r>
    </w:p>
    <w:p w14:paraId="6ABC9C5E"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Dirección: …</w:t>
      </w:r>
    </w:p>
    <w:p w14:paraId="60C7A43A"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Nombre, cargo y datos de contacto de la persona de contacto: …</w:t>
      </w:r>
    </w:p>
    <w:p w14:paraId="65F43C5B"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Actividades relacionadas con los datos transferidos en virtud del presente pliego de cláusulas: …</w:t>
      </w:r>
    </w:p>
    <w:p w14:paraId="65BC4F7D"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Firma y fecha: …</w:t>
      </w:r>
    </w:p>
    <w:p w14:paraId="044265DA" w14:textId="4651E160"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Función (responsable/encargado): …</w:t>
      </w:r>
    </w:p>
    <w:p w14:paraId="0249FDD8" w14:textId="77777777" w:rsidR="00D45A17" w:rsidRPr="00D45A17" w:rsidRDefault="00D45A17" w:rsidP="00D45A17">
      <w:pPr>
        <w:spacing w:before="120" w:after="120" w:line="240" w:lineRule="auto"/>
        <w:jc w:val="both"/>
        <w:rPr>
          <w:rFonts w:ascii="Times New Roman" w:hAnsi="Times New Roman" w:cs="Times New Roman"/>
          <w:sz w:val="24"/>
        </w:rPr>
      </w:pPr>
    </w:p>
    <w:p w14:paraId="6B9BE9EF"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2. …</w:t>
      </w:r>
    </w:p>
    <w:p w14:paraId="576A64F2" w14:textId="77777777" w:rsidR="00D45A17" w:rsidRPr="00D45A17" w:rsidRDefault="00D45A17" w:rsidP="00D45A17">
      <w:pPr>
        <w:spacing w:before="120" w:after="120" w:line="240" w:lineRule="auto"/>
        <w:jc w:val="both"/>
        <w:rPr>
          <w:rFonts w:ascii="Times New Roman" w:hAnsi="Times New Roman" w:cs="Times New Roman"/>
          <w:sz w:val="24"/>
        </w:rPr>
      </w:pPr>
    </w:p>
    <w:p w14:paraId="27AF70B5"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b/>
          <w:sz w:val="24"/>
        </w:rPr>
        <w:t xml:space="preserve">Importador(es) de datos: </w:t>
      </w:r>
      <w:r>
        <w:rPr>
          <w:rFonts w:ascii="Times New Roman" w:hAnsi="Times New Roman"/>
          <w:sz w:val="24"/>
        </w:rPr>
        <w:t>[</w:t>
      </w:r>
      <w:r>
        <w:rPr>
          <w:rFonts w:ascii="Times New Roman" w:hAnsi="Times New Roman"/>
          <w:i/>
          <w:sz w:val="24"/>
        </w:rPr>
        <w:t>Identidad y datos de contacto del importador o importadores de datos, incluida cualquier persona de contacto responsable de la protección de los datos</w:t>
      </w:r>
      <w:r>
        <w:rPr>
          <w:rFonts w:ascii="Times New Roman" w:hAnsi="Times New Roman"/>
          <w:sz w:val="24"/>
        </w:rPr>
        <w:t>]</w:t>
      </w:r>
    </w:p>
    <w:p w14:paraId="10838C99"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1. Nombre: …</w:t>
      </w:r>
    </w:p>
    <w:p w14:paraId="21B58FF1"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Dirección: …</w:t>
      </w:r>
    </w:p>
    <w:p w14:paraId="4D5FD988"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Nombre, cargo y datos de contacto de la persona de contacto: …</w:t>
      </w:r>
    </w:p>
    <w:p w14:paraId="71290D18"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Actividades relacionadas con los datos transferidos en virtud del presente pliego de cláusulas: …</w:t>
      </w:r>
    </w:p>
    <w:p w14:paraId="4EE857FD"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Firma y fecha: …</w:t>
      </w:r>
    </w:p>
    <w:p w14:paraId="428471EE" w14:textId="0BE58270"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Función (responsable/encargado): …</w:t>
      </w:r>
    </w:p>
    <w:p w14:paraId="6E139C50" w14:textId="77777777" w:rsidR="00D45A17" w:rsidRPr="00D45A17" w:rsidRDefault="00D45A17" w:rsidP="00D45A17">
      <w:pPr>
        <w:spacing w:before="120" w:after="120" w:line="240" w:lineRule="auto"/>
        <w:jc w:val="both"/>
        <w:rPr>
          <w:rFonts w:ascii="Times New Roman" w:hAnsi="Times New Roman" w:cs="Times New Roman"/>
          <w:sz w:val="24"/>
        </w:rPr>
      </w:pPr>
    </w:p>
    <w:p w14:paraId="71594955" w14:textId="1E69657B" w:rsidR="00D45A17" w:rsidRPr="0076490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2. …</w:t>
      </w:r>
    </w:p>
    <w:p w14:paraId="095F27C9" w14:textId="6CEFDC91" w:rsidR="00D45A17" w:rsidRPr="00D45A17" w:rsidRDefault="00D45A17" w:rsidP="00D45A17">
      <w:pPr>
        <w:spacing w:before="240" w:after="120" w:line="240" w:lineRule="auto"/>
        <w:ind w:left="851"/>
        <w:jc w:val="both"/>
        <w:rPr>
          <w:rFonts w:ascii="Times New Roman" w:hAnsi="Times New Roman" w:cs="Times New Roman"/>
          <w:b/>
          <w:sz w:val="24"/>
        </w:rPr>
      </w:pPr>
      <w:bookmarkStart w:id="2" w:name="_Ref42601435"/>
      <w:r>
        <w:rPr>
          <w:rFonts w:ascii="Times New Roman" w:hAnsi="Times New Roman"/>
          <w:b/>
          <w:sz w:val="24"/>
        </w:rPr>
        <w:t>B. DESCRIPCIÓN DE LA TRANSFERENCIA</w:t>
      </w:r>
      <w:bookmarkEnd w:id="2"/>
    </w:p>
    <w:p w14:paraId="22860A3C"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MÓDULO UNO: transferencia de responsable a responsable</w:t>
      </w:r>
    </w:p>
    <w:p w14:paraId="0B436CD4"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MÓDULO DOS: transferencia de responsable a encargado</w:t>
      </w:r>
    </w:p>
    <w:p w14:paraId="34B2AA01"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MÓDULO TRES: transferencia de encargado a encargado</w:t>
      </w:r>
    </w:p>
    <w:p w14:paraId="4530A98D"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MÓDULO CUATRO: transferencia de encargado a responsable</w:t>
      </w:r>
      <w:r>
        <w:rPr>
          <w:rFonts w:ascii="Times New Roman" w:hAnsi="Times New Roman"/>
          <w:b/>
          <w:sz w:val="24"/>
        </w:rPr>
        <w:t xml:space="preserve"> </w:t>
      </w:r>
    </w:p>
    <w:p w14:paraId="76E5611C"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p>
    <w:p w14:paraId="58CB55AC"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Categorías de interesados cuyos datos personales se transfieren</w:t>
      </w:r>
    </w:p>
    <w:p w14:paraId="0BA293E9"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7710FEC0"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Categorías de datos personales transferidos</w:t>
      </w:r>
    </w:p>
    <w:p w14:paraId="6209F2ED"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32B94C95"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Datos sensibles transferidos (si procede) y restricciones o garantías aplicadas que tengan plenamente en cuenta la naturaleza de los datos y los riesgos que entrañan, como, por ejemplo, la limitación estricta de la finalidad, restricciones de acceso (incluido el acceso exclusivo del personal que haya hecho un curso especializado), un registro del acceso a los datos, restricciones a transferencias ulteriores o medidas de seguridad adicionales.</w:t>
      </w:r>
    </w:p>
    <w:p w14:paraId="09BBCBD8" w14:textId="65D0DD9E" w:rsid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18D2D1E3" w14:textId="38F946B9" w:rsidR="00C143B1" w:rsidRDefault="00C143B1" w:rsidP="00D45A17">
      <w:pPr>
        <w:spacing w:before="120" w:after="120" w:line="240" w:lineRule="auto"/>
        <w:jc w:val="both"/>
        <w:rPr>
          <w:rFonts w:ascii="Times New Roman" w:hAnsi="Times New Roman" w:cs="Times New Roman"/>
          <w:i/>
          <w:sz w:val="24"/>
        </w:rPr>
      </w:pPr>
      <w:r>
        <w:rPr>
          <w:rFonts w:ascii="Times New Roman" w:hAnsi="Times New Roman"/>
          <w:i/>
          <w:sz w:val="24"/>
        </w:rPr>
        <w:t>La frecuencia de la transferencia (por ejemplo, si los datos se transfieren de una vez o de forma periódica).</w:t>
      </w:r>
    </w:p>
    <w:p w14:paraId="608F4BF8" w14:textId="25E66665" w:rsidR="00C143B1" w:rsidRPr="00D45A17" w:rsidRDefault="00C143B1"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0487DD89"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Naturaleza del tratamiento</w:t>
      </w:r>
    </w:p>
    <w:p w14:paraId="6EDF071B" w14:textId="114EF5D1" w:rsidR="00C143B1"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267DC284"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Finalidad(es) de la transferencia y posterior tratamiento de los datos</w:t>
      </w:r>
    </w:p>
    <w:p w14:paraId="445FD6F7" w14:textId="6BD1FFE6" w:rsidR="00C143B1"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19177822" w14:textId="594EDFD8"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 xml:space="preserve">El plazo durante el cual se conservarán los datos personales o, cuando eso no sea posible, los criterios utilizados para determinar este plazo </w:t>
      </w:r>
    </w:p>
    <w:p w14:paraId="34686F38"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257F7A08"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En caso de transferencia a (sub)encargados, especifíquese también el objeto, la naturaleza y la duración del tratamiento</w:t>
      </w:r>
    </w:p>
    <w:p w14:paraId="267951B6"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17406D90" w14:textId="77777777" w:rsidR="00D45A17" w:rsidRPr="00D45A17" w:rsidRDefault="00D45A17" w:rsidP="00D45A17">
      <w:pPr>
        <w:spacing w:before="120" w:after="120" w:line="240" w:lineRule="auto"/>
        <w:jc w:val="both"/>
        <w:rPr>
          <w:rFonts w:ascii="Times New Roman" w:hAnsi="Times New Roman" w:cs="Times New Roman"/>
          <w:i/>
          <w:sz w:val="24"/>
        </w:rPr>
      </w:pPr>
    </w:p>
    <w:p w14:paraId="1DB7FADE" w14:textId="77777777" w:rsidR="00D45A17" w:rsidRPr="00D45A17" w:rsidRDefault="00D45A17" w:rsidP="00D45A17">
      <w:pPr>
        <w:rPr>
          <w:rFonts w:ascii="Times New Roman" w:hAnsi="Times New Roman" w:cs="Times New Roman"/>
          <w:b/>
          <w:sz w:val="24"/>
        </w:rPr>
      </w:pPr>
      <w:r>
        <w:br w:type="page"/>
      </w:r>
    </w:p>
    <w:p w14:paraId="361FCA0D" w14:textId="77777777" w:rsidR="00D45A17" w:rsidRPr="00D45A17" w:rsidRDefault="00D45A17" w:rsidP="00D45A17">
      <w:pPr>
        <w:spacing w:before="120" w:after="120" w:line="240" w:lineRule="auto"/>
        <w:ind w:left="850"/>
        <w:jc w:val="both"/>
        <w:rPr>
          <w:rFonts w:ascii="Times New Roman" w:hAnsi="Times New Roman" w:cs="Times New Roman"/>
          <w:b/>
          <w:sz w:val="24"/>
        </w:rPr>
      </w:pPr>
      <w:r>
        <w:rPr>
          <w:rFonts w:ascii="Times New Roman" w:hAnsi="Times New Roman"/>
          <w:b/>
          <w:sz w:val="24"/>
        </w:rPr>
        <w:lastRenderedPageBreak/>
        <w:t>C. AUTORIDAD DE CONTROL COMPETENTE</w:t>
      </w:r>
    </w:p>
    <w:p w14:paraId="7C971F6C"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p>
    <w:p w14:paraId="4C9D761C"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MÓDULO UNO: transferencia de responsable a responsable</w:t>
      </w:r>
    </w:p>
    <w:p w14:paraId="4FC8DE06"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MÓDULO DOS: transferencia de responsable a encargado</w:t>
      </w:r>
    </w:p>
    <w:p w14:paraId="67FA5B74"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MÓDULO TRES: transferencia de encargado a encargado</w:t>
      </w:r>
    </w:p>
    <w:p w14:paraId="0A9351BA" w14:textId="77777777" w:rsidR="00D45A17" w:rsidRPr="00D45A17" w:rsidRDefault="00D45A17" w:rsidP="00D45A17">
      <w:pPr>
        <w:spacing w:before="120" w:after="120" w:line="240" w:lineRule="auto"/>
        <w:jc w:val="both"/>
        <w:rPr>
          <w:rFonts w:ascii="Times New Roman" w:hAnsi="Times New Roman" w:cs="Times New Roman"/>
          <w:i/>
          <w:sz w:val="24"/>
        </w:rPr>
      </w:pPr>
    </w:p>
    <w:p w14:paraId="5DC9AE66" w14:textId="205C9DD3" w:rsidR="003A74DB"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Indíquese la autoridad o autoridades de control competentes</w:t>
      </w:r>
      <w:r w:rsidR="00782779">
        <w:rPr>
          <w:rFonts w:ascii="Times New Roman" w:hAnsi="Times New Roman"/>
          <w:i/>
          <w:sz w:val="24"/>
        </w:rPr>
        <w:t xml:space="preserve"> de conformidad con la cláusula </w:t>
      </w:r>
      <w:r>
        <w:rPr>
          <w:rFonts w:ascii="Times New Roman" w:hAnsi="Times New Roman"/>
          <w:i/>
          <w:sz w:val="24"/>
        </w:rPr>
        <w:t>13</w:t>
      </w:r>
    </w:p>
    <w:p w14:paraId="50B30537" w14:textId="77C89FEF" w:rsidR="00D45A17" w:rsidRPr="00D45A17" w:rsidRDefault="003A74DB" w:rsidP="00D45A17">
      <w:pPr>
        <w:spacing w:before="120" w:after="120" w:line="240" w:lineRule="auto"/>
        <w:jc w:val="both"/>
        <w:rPr>
          <w:rFonts w:ascii="Times New Roman" w:hAnsi="Times New Roman" w:cs="Times New Roman"/>
          <w:b/>
          <w:i/>
          <w:sz w:val="32"/>
          <w:szCs w:val="32"/>
          <w:u w:val="single"/>
        </w:rPr>
      </w:pPr>
      <w:r>
        <w:rPr>
          <w:rFonts w:ascii="Times New Roman" w:hAnsi="Times New Roman"/>
          <w:i/>
          <w:sz w:val="24"/>
        </w:rPr>
        <w:t>………………………….</w:t>
      </w:r>
      <w:r>
        <w:rPr>
          <w:rFonts w:ascii="Times New Roman" w:hAnsi="Times New Roman"/>
          <w:i/>
        </w:rPr>
        <w:br w:type="page"/>
      </w:r>
    </w:p>
    <w:p w14:paraId="7EDBF51B" w14:textId="77777777" w:rsidR="00D45A17" w:rsidRPr="00D45A17" w:rsidRDefault="00D45A17" w:rsidP="00D45A17">
      <w:pPr>
        <w:spacing w:before="120" w:after="120" w:line="240" w:lineRule="auto"/>
        <w:jc w:val="both"/>
        <w:rPr>
          <w:rFonts w:ascii="Times New Roman" w:hAnsi="Times New Roman" w:cs="Times New Roman"/>
          <w:b/>
          <w:sz w:val="24"/>
          <w:szCs w:val="24"/>
          <w:u w:val="single"/>
        </w:rPr>
      </w:pPr>
      <w:r>
        <w:rPr>
          <w:rFonts w:ascii="Times New Roman" w:hAnsi="Times New Roman"/>
          <w:b/>
          <w:sz w:val="24"/>
          <w:u w:val="single"/>
        </w:rPr>
        <w:lastRenderedPageBreak/>
        <w:t>ANEXO II: MEDIDAS TÉCNICAS Y ORGANIZATIVAS, EN ESPECIAL MEDIDAS TÉCNICAS Y ORGANIZATIVAS PARA GARANTIZAR LA SEGURIDAD DE LOS DATOS</w:t>
      </w:r>
    </w:p>
    <w:p w14:paraId="5756FCC0"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p>
    <w:p w14:paraId="3F2B39FA"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MÓDULO UNO: transferencia de responsable a responsable</w:t>
      </w:r>
    </w:p>
    <w:p w14:paraId="785BF8B2"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MÓDULO DOS: transferencia de responsable a encargado</w:t>
      </w:r>
    </w:p>
    <w:p w14:paraId="7B60AC70"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MÓDULO TRES: transferencia de encargado a encargado</w:t>
      </w:r>
    </w:p>
    <w:p w14:paraId="46C4348E" w14:textId="77777777" w:rsidR="00D45A17" w:rsidRPr="00D45A17" w:rsidRDefault="00D45A17" w:rsidP="00D45A17">
      <w:pPr>
        <w:spacing w:before="120" w:after="120" w:line="240" w:lineRule="auto"/>
        <w:jc w:val="both"/>
        <w:rPr>
          <w:rFonts w:ascii="Times New Roman" w:hAnsi="Times New Roman" w:cs="Times New Roman"/>
          <w:sz w:val="24"/>
        </w:rPr>
      </w:pPr>
    </w:p>
    <w:p w14:paraId="70210CC4"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 xml:space="preserve">NOTA ACLARATORIA: </w:t>
      </w:r>
    </w:p>
    <w:p w14:paraId="3EF3AB99" w14:textId="28EA64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Las medidas técnicas y organizativas deben describirse de manera concreta y no de manera genérica. Véase también el comentario general de la primera página del apéndice, especialmente en cuanto a la necesidad de indicar claramente qué medidas se aplican a cada transferencia o conjunto de transferencias.</w:t>
      </w:r>
    </w:p>
    <w:p w14:paraId="250AD1BE" w14:textId="3035CFB9"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Descripción de las medidas técnicas y organizativas aplicadas por los importadores de datos (inclusive las certificaciones pertinentes) para garantizar un nivel adecuado de seguridad, teniendo en cuenta la naturaleza, el alcance, el contexto y la finalidad del tratamiento, así como los riesgos para los derechos y libertades de las personas físicas.</w:t>
      </w:r>
    </w:p>
    <w:p w14:paraId="2B1D329A"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r>
        <w:rPr>
          <w:rFonts w:ascii="Times New Roman" w:hAnsi="Times New Roman"/>
          <w:i/>
          <w:sz w:val="24"/>
          <w:szCs w:val="24"/>
        </w:rPr>
        <w:t>[Ejemplos de medidas posibles:</w:t>
      </w:r>
    </w:p>
    <w:p w14:paraId="1A2B09DA"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0025A3C0" w14:textId="466C4EEC"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u w:val="single"/>
        </w:rPr>
      </w:pPr>
      <w:r>
        <w:rPr>
          <w:rFonts w:ascii="Times New Roman" w:hAnsi="Times New Roman"/>
          <w:i/>
          <w:sz w:val="24"/>
          <w:szCs w:val="24"/>
        </w:rPr>
        <w:t>Medidas de seudonimización y cifrado de los datos personales</w:t>
      </w:r>
    </w:p>
    <w:p w14:paraId="3F07AF07"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24D274D1" w14:textId="441C8867" w:rsidR="00D45A17" w:rsidRPr="00D45A17" w:rsidRDefault="00D45A17" w:rsidP="00D45A17">
      <w:pPr>
        <w:spacing w:before="120" w:after="120" w:line="240" w:lineRule="auto"/>
        <w:ind w:left="720"/>
        <w:contextualSpacing/>
        <w:jc w:val="both"/>
        <w:rPr>
          <w:rFonts w:ascii="Times New Roman" w:hAnsi="Times New Roman" w:cs="Times New Roman"/>
          <w:i/>
          <w:sz w:val="24"/>
          <w:szCs w:val="24"/>
        </w:rPr>
      </w:pPr>
      <w:r>
        <w:rPr>
          <w:rFonts w:ascii="Times New Roman" w:hAnsi="Times New Roman"/>
          <w:i/>
          <w:sz w:val="24"/>
          <w:szCs w:val="24"/>
        </w:rPr>
        <w:t>Medidas para garantizar la confidencialidad, integridad, disponibilidad y resiliencia permanentes de los sistemas y servicios de tratamiento</w:t>
      </w:r>
    </w:p>
    <w:p w14:paraId="38D82C8D"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5831E0A8" w14:textId="15A9BB00" w:rsidR="00D45A17" w:rsidRPr="00D45A17" w:rsidRDefault="00D45A17" w:rsidP="00D45A17">
      <w:pPr>
        <w:spacing w:before="120" w:after="120" w:line="240" w:lineRule="auto"/>
        <w:ind w:left="720"/>
        <w:contextualSpacing/>
        <w:jc w:val="both"/>
        <w:rPr>
          <w:rFonts w:ascii="Times New Roman" w:hAnsi="Times New Roman" w:cs="Times New Roman"/>
          <w:i/>
          <w:sz w:val="24"/>
          <w:szCs w:val="24"/>
        </w:rPr>
      </w:pPr>
      <w:r>
        <w:rPr>
          <w:rFonts w:ascii="Times New Roman" w:hAnsi="Times New Roman"/>
          <w:i/>
          <w:sz w:val="24"/>
          <w:szCs w:val="24"/>
        </w:rPr>
        <w:t>Medidas para restaurar la disponibilidad y el acceso a los datos personales de forma rápida en caso de incidente físico o técnico</w:t>
      </w:r>
    </w:p>
    <w:p w14:paraId="0C847928"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5128AB21" w14:textId="77777777" w:rsidR="00D45A17" w:rsidRPr="00D45A17" w:rsidRDefault="00D45A17" w:rsidP="00D45A17">
      <w:pPr>
        <w:spacing w:before="120" w:after="120" w:line="240" w:lineRule="auto"/>
        <w:ind w:left="720"/>
        <w:contextualSpacing/>
        <w:jc w:val="both"/>
        <w:rPr>
          <w:rFonts w:ascii="Times New Roman" w:hAnsi="Times New Roman" w:cs="Times New Roman"/>
          <w:i/>
          <w:sz w:val="24"/>
          <w:szCs w:val="24"/>
        </w:rPr>
      </w:pPr>
      <w:r>
        <w:rPr>
          <w:rFonts w:ascii="Times New Roman" w:hAnsi="Times New Roman"/>
          <w:i/>
          <w:sz w:val="24"/>
          <w:szCs w:val="24"/>
        </w:rPr>
        <w:t>Procesos de verificación, evaluación y valoración regulares de la eficacia de las medidas técnicas y organizativas para garantizar la seguridad del tratamiento</w:t>
      </w:r>
    </w:p>
    <w:p w14:paraId="2039E24A"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67AAE76E" w14:textId="2B77B1D6"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Medidas para la identificación y autorización del usuario</w:t>
      </w:r>
    </w:p>
    <w:p w14:paraId="227D49CB"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3B84BAA0"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r>
        <w:tab/>
      </w:r>
      <w:r>
        <w:rPr>
          <w:rFonts w:ascii="Times New Roman" w:hAnsi="Times New Roman"/>
          <w:i/>
          <w:sz w:val="24"/>
          <w:szCs w:val="24"/>
        </w:rPr>
        <w:t>Medidas para la protección de los datos durante la transmisión</w:t>
      </w:r>
    </w:p>
    <w:p w14:paraId="6DF869B5"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6DFC3FEF"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Medidas para la protección de los datos durante el almacenamiento</w:t>
      </w:r>
    </w:p>
    <w:p w14:paraId="012DA558"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4F2CDBA3" w14:textId="77777777" w:rsidR="00D45A17" w:rsidRPr="00D45A17" w:rsidRDefault="00D45A17" w:rsidP="00D45A17">
      <w:pPr>
        <w:spacing w:before="120" w:after="120" w:line="240" w:lineRule="auto"/>
        <w:ind w:left="720"/>
        <w:contextualSpacing/>
        <w:jc w:val="both"/>
        <w:rPr>
          <w:rFonts w:ascii="Times New Roman" w:hAnsi="Times New Roman" w:cs="Times New Roman"/>
          <w:i/>
          <w:sz w:val="24"/>
          <w:szCs w:val="24"/>
        </w:rPr>
      </w:pPr>
      <w:r>
        <w:rPr>
          <w:rFonts w:ascii="Times New Roman" w:hAnsi="Times New Roman"/>
          <w:i/>
          <w:sz w:val="24"/>
          <w:szCs w:val="24"/>
        </w:rPr>
        <w:t>Medidas para garantizar la seguridad física de los lugares en los que se tratan los datos personales</w:t>
      </w:r>
    </w:p>
    <w:p w14:paraId="06F2DEAD"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2E55455A"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Medidas para garantizar el registro de incidentes</w:t>
      </w:r>
    </w:p>
    <w:p w14:paraId="18525182"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290DAA77" w14:textId="77777777" w:rsidR="00D45A17" w:rsidRPr="00D45A17" w:rsidRDefault="00D45A17" w:rsidP="00782779">
      <w:pPr>
        <w:spacing w:before="120" w:after="120" w:line="240" w:lineRule="auto"/>
        <w:ind w:left="720"/>
        <w:contextualSpacing/>
        <w:jc w:val="both"/>
        <w:rPr>
          <w:rFonts w:ascii="Times New Roman" w:hAnsi="Times New Roman" w:cs="Times New Roman"/>
          <w:i/>
          <w:sz w:val="24"/>
          <w:szCs w:val="24"/>
        </w:rPr>
      </w:pPr>
      <w:r>
        <w:rPr>
          <w:rFonts w:ascii="Times New Roman" w:hAnsi="Times New Roman"/>
          <w:i/>
          <w:sz w:val="24"/>
          <w:szCs w:val="24"/>
        </w:rPr>
        <w:t>Medidas para garantizar la configuración del sistema, en especial la configuración por defecto</w:t>
      </w:r>
    </w:p>
    <w:p w14:paraId="0C516097"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28F32DAA" w14:textId="77777777" w:rsidR="00D45A17" w:rsidRPr="00D45A17" w:rsidRDefault="00D45A17" w:rsidP="00782779">
      <w:pPr>
        <w:spacing w:before="120" w:after="120" w:line="240" w:lineRule="auto"/>
        <w:ind w:left="720"/>
        <w:contextualSpacing/>
        <w:jc w:val="both"/>
        <w:rPr>
          <w:rFonts w:ascii="Times New Roman" w:hAnsi="Times New Roman" w:cs="Times New Roman"/>
          <w:i/>
          <w:sz w:val="24"/>
          <w:szCs w:val="24"/>
        </w:rPr>
      </w:pPr>
      <w:r>
        <w:rPr>
          <w:rFonts w:ascii="Times New Roman" w:hAnsi="Times New Roman"/>
          <w:i/>
          <w:sz w:val="24"/>
          <w:szCs w:val="24"/>
        </w:rPr>
        <w:t>Medidas de gobernanza y gestión de la informática y la seguridad informática internas</w:t>
      </w:r>
    </w:p>
    <w:p w14:paraId="142B9E10"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685B9457"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Medidas para la certificación/garantía de procesos y productos</w:t>
      </w:r>
    </w:p>
    <w:p w14:paraId="1C56C737"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48255B40"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Medidas para garantizar la minimización de datos</w:t>
      </w:r>
    </w:p>
    <w:p w14:paraId="5C2A9105"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680A66CC"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Medidas para garantizar la calidad de los datos</w:t>
      </w:r>
    </w:p>
    <w:p w14:paraId="72169538"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676781DF"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Medidas para garantizar una retención limitada de los datos</w:t>
      </w:r>
    </w:p>
    <w:p w14:paraId="08EE4406"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37B43EE5"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Medidas para garantizar la responsabilidad proactiva</w:t>
      </w:r>
    </w:p>
    <w:p w14:paraId="18DDB12F"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0BE31153"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rPr>
      </w:pPr>
      <w:r>
        <w:rPr>
          <w:rFonts w:ascii="Times New Roman" w:hAnsi="Times New Roman"/>
          <w:i/>
          <w:sz w:val="24"/>
          <w:szCs w:val="24"/>
        </w:rPr>
        <w:t>Medidas para permitir la portabilidad de los datos y garantizar la supresión</w:t>
      </w:r>
    </w:p>
    <w:p w14:paraId="211C47F0" w14:textId="77777777" w:rsidR="00D45A17" w:rsidRPr="00D45A17" w:rsidRDefault="00D45A17" w:rsidP="00D45A17">
      <w:pPr>
        <w:spacing w:before="120" w:after="240" w:line="240" w:lineRule="auto"/>
        <w:jc w:val="both"/>
        <w:rPr>
          <w:rFonts w:ascii="Times New Roman" w:hAnsi="Times New Roman" w:cs="Times New Roman"/>
          <w:b/>
          <w:sz w:val="24"/>
          <w:highlight w:val="lightGray"/>
        </w:rPr>
      </w:pPr>
    </w:p>
    <w:p w14:paraId="55009129" w14:textId="776E6F17" w:rsidR="00D45A17" w:rsidRPr="00D45A17" w:rsidRDefault="00D45A17" w:rsidP="00D45A17">
      <w:pPr>
        <w:spacing w:before="120" w:after="240" w:line="240" w:lineRule="auto"/>
        <w:jc w:val="both"/>
        <w:rPr>
          <w:rFonts w:ascii="Times New Roman" w:hAnsi="Times New Roman" w:cs="Times New Roman"/>
          <w:sz w:val="24"/>
        </w:rPr>
      </w:pPr>
      <w:r>
        <w:rPr>
          <w:rFonts w:ascii="Times New Roman" w:hAnsi="Times New Roman"/>
          <w:i/>
          <w:sz w:val="24"/>
        </w:rPr>
        <w:t>En el caso de las transferencias a (sub)encargados, descríbanse también las medidas técnicas y organizativas específicas que deberá adoptar el (sub)encargado para poder prestar ayudar al responsable y, en el caso de transferencias de un encargado a un subencargado, al exportador de datos.</w:t>
      </w:r>
    </w:p>
    <w:p w14:paraId="11CDBCF8" w14:textId="77777777" w:rsidR="00D45A17" w:rsidRPr="00D45A17" w:rsidRDefault="00D45A17" w:rsidP="00D45A17">
      <w:pPr>
        <w:spacing w:before="120" w:after="240" w:line="240" w:lineRule="auto"/>
        <w:jc w:val="both"/>
        <w:rPr>
          <w:rFonts w:ascii="Times New Roman" w:hAnsi="Times New Roman" w:cs="Times New Roman"/>
          <w:sz w:val="24"/>
        </w:rPr>
      </w:pPr>
      <w:r>
        <w:br w:type="page"/>
      </w:r>
      <w:bookmarkStart w:id="3" w:name="_Toc14271725"/>
      <w:bookmarkStart w:id="4" w:name="_Toc14271929"/>
      <w:bookmarkStart w:id="5" w:name="_Toc14391529"/>
      <w:bookmarkStart w:id="6" w:name="_Toc14391611"/>
      <w:bookmarkStart w:id="7" w:name="_Toc14391847"/>
      <w:bookmarkStart w:id="8" w:name="_Toc14435437"/>
      <w:bookmarkStart w:id="9" w:name="_Toc501369811"/>
      <w:bookmarkStart w:id="10" w:name="_Toc505602990"/>
      <w:bookmarkStart w:id="11" w:name="_Toc505780023"/>
      <w:bookmarkStart w:id="12" w:name="_Toc506305867"/>
      <w:bookmarkStart w:id="13" w:name="_Toc511035887"/>
      <w:bookmarkEnd w:id="3"/>
      <w:bookmarkEnd w:id="4"/>
      <w:bookmarkEnd w:id="5"/>
      <w:bookmarkEnd w:id="6"/>
      <w:bookmarkEnd w:id="7"/>
      <w:bookmarkEnd w:id="8"/>
    </w:p>
    <w:bookmarkEnd w:id="9"/>
    <w:bookmarkEnd w:id="10"/>
    <w:bookmarkEnd w:id="11"/>
    <w:bookmarkEnd w:id="12"/>
    <w:bookmarkEnd w:id="13"/>
    <w:p w14:paraId="1CD73F3A" w14:textId="19790585" w:rsidR="00D45A17" w:rsidRPr="00D45A17" w:rsidRDefault="00D45A17" w:rsidP="00D45A17">
      <w:pPr>
        <w:spacing w:before="120" w:after="120" w:line="240" w:lineRule="auto"/>
        <w:jc w:val="both"/>
        <w:rPr>
          <w:rFonts w:ascii="Times New Roman" w:hAnsi="Times New Roman" w:cs="Times New Roman"/>
          <w:b/>
          <w:sz w:val="24"/>
          <w:u w:val="single"/>
        </w:rPr>
      </w:pPr>
      <w:r>
        <w:rPr>
          <w:rFonts w:ascii="Times New Roman" w:hAnsi="Times New Roman"/>
          <w:b/>
          <w:sz w:val="24"/>
          <w:u w:val="single"/>
        </w:rPr>
        <w:lastRenderedPageBreak/>
        <w:t>ANEXO III: LISTA DE SUBENCARGADOS DEL TRATAMIENTO</w:t>
      </w:r>
    </w:p>
    <w:p w14:paraId="08A15257"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p>
    <w:p w14:paraId="2FE084E9"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MÓDULO DOS: transferencia de responsable a encargado</w:t>
      </w:r>
    </w:p>
    <w:p w14:paraId="5357A60D"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MÓDULO TRES: transferencia de encargado a encargado</w:t>
      </w:r>
    </w:p>
    <w:p w14:paraId="648A1E88" w14:textId="77777777" w:rsidR="00D45A17" w:rsidRPr="00D45A17" w:rsidRDefault="00D45A17" w:rsidP="00D45A17">
      <w:pPr>
        <w:spacing w:before="120" w:after="120" w:line="240" w:lineRule="auto"/>
        <w:jc w:val="both"/>
        <w:rPr>
          <w:rFonts w:ascii="Times New Roman" w:hAnsi="Times New Roman" w:cs="Times New Roman"/>
          <w:sz w:val="24"/>
        </w:rPr>
      </w:pPr>
    </w:p>
    <w:p w14:paraId="21C23122"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 xml:space="preserve">NOTA ACLARATORIA: </w:t>
      </w:r>
    </w:p>
    <w:p w14:paraId="31E3A425" w14:textId="33E17322"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 xml:space="preserve">Debe cumplimentarse este anexo respecto de los módulos dos y tres cuando sea necesaria la autorización específica de uno o más subencargados [cláusula 9, letra a), opción 1]. </w:t>
      </w:r>
    </w:p>
    <w:p w14:paraId="051CDB2A"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rPr>
      </w:pPr>
    </w:p>
    <w:p w14:paraId="3F1084D1"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rPr>
      </w:pPr>
      <w:r>
        <w:rPr>
          <w:rFonts w:ascii="Times New Roman" w:hAnsi="Times New Roman"/>
          <w:sz w:val="24"/>
        </w:rPr>
        <w:t xml:space="preserve">El responsable ha autorizado que se recurra a los subencargados siguientes: </w:t>
      </w:r>
    </w:p>
    <w:p w14:paraId="77C4265B" w14:textId="77777777" w:rsidR="00D45A17" w:rsidRPr="00D45A17" w:rsidRDefault="00D45A17" w:rsidP="00D45A17">
      <w:pPr>
        <w:spacing w:before="120" w:after="120" w:line="240" w:lineRule="auto"/>
        <w:jc w:val="both"/>
        <w:rPr>
          <w:rFonts w:ascii="Times New Roman" w:hAnsi="Times New Roman" w:cs="Times New Roman"/>
          <w:sz w:val="24"/>
        </w:rPr>
      </w:pPr>
    </w:p>
    <w:p w14:paraId="3B00687F"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1. Nombre: …</w:t>
      </w:r>
    </w:p>
    <w:p w14:paraId="19B5984C"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Dirección: …</w:t>
      </w:r>
    </w:p>
    <w:p w14:paraId="66A04C03"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Nombre, cargo y datos de contacto de la persona de contacto: …</w:t>
      </w:r>
    </w:p>
    <w:p w14:paraId="2E90F5F8" w14:textId="7ED7454A"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Descripción del tratamiento (incluida una delimitación bien definida de las responsabilidades si se autoriza a varios subencargados): …</w:t>
      </w:r>
    </w:p>
    <w:p w14:paraId="0A38EDA2" w14:textId="77777777" w:rsidR="00D45A17" w:rsidRPr="00D45A17" w:rsidRDefault="00D45A17" w:rsidP="00D45A17">
      <w:pPr>
        <w:spacing w:before="120" w:after="120" w:line="240" w:lineRule="auto"/>
        <w:jc w:val="both"/>
        <w:rPr>
          <w:rFonts w:ascii="Times New Roman" w:hAnsi="Times New Roman" w:cs="Times New Roman"/>
          <w:sz w:val="24"/>
        </w:rPr>
      </w:pPr>
    </w:p>
    <w:p w14:paraId="45011EB7"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2. …</w:t>
      </w:r>
    </w:p>
    <w:p w14:paraId="57043B87"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rPr>
      </w:pPr>
    </w:p>
    <w:p w14:paraId="586C9D35"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rPr>
      </w:pPr>
    </w:p>
    <w:p w14:paraId="59D7DB0F"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rPr>
      </w:pPr>
    </w:p>
    <w:p w14:paraId="48FBC25D" w14:textId="77777777" w:rsidR="00D45A17" w:rsidRPr="00D45A17" w:rsidRDefault="00D45A17" w:rsidP="00D45A17">
      <w:pPr>
        <w:rPr>
          <w:rFonts w:ascii="Times New Roman" w:hAnsi="Times New Roman" w:cs="Times New Roman"/>
          <w:sz w:val="24"/>
        </w:rPr>
      </w:pPr>
    </w:p>
    <w:p w14:paraId="7D5C438C" w14:textId="77777777" w:rsidR="0032382F" w:rsidRDefault="0032382F"/>
    <w:sectPr w:rsidR="0032382F" w:rsidSect="0032382F">
      <w:headerReference w:type="even" r:id="rId15"/>
      <w:headerReference w:type="default" r:id="rId16"/>
      <w:footerReference w:type="even" r:id="rId17"/>
      <w:footerReference w:type="default" r:id="rId18"/>
      <w:headerReference w:type="first" r:id="rId19"/>
      <w:footerReference w:type="first" r:id="rId20"/>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21C474" w14:textId="77777777" w:rsidR="00DE5834" w:rsidRDefault="00DE5834" w:rsidP="00D45A17">
      <w:pPr>
        <w:spacing w:after="0" w:line="240" w:lineRule="auto"/>
      </w:pPr>
      <w:r>
        <w:separator/>
      </w:r>
    </w:p>
  </w:endnote>
  <w:endnote w:type="continuationSeparator" w:id="0">
    <w:p w14:paraId="0959E87F" w14:textId="77777777" w:rsidR="00DE5834" w:rsidRDefault="00DE5834" w:rsidP="00D45A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60B31E" w14:textId="77777777" w:rsidR="00782779" w:rsidRPr="00782779" w:rsidRDefault="00782779" w:rsidP="0078277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1598CB" w14:textId="2AD83F16" w:rsidR="00782779" w:rsidRPr="00782779" w:rsidRDefault="00782779" w:rsidP="00782779">
    <w:pPr>
      <w:pStyle w:val="FooterCoverPage"/>
      <w:rPr>
        <w:rFonts w:ascii="Arial" w:hAnsi="Arial" w:cs="Arial"/>
        <w:b/>
        <w:sz w:val="48"/>
      </w:rPr>
    </w:pPr>
    <w:r w:rsidRPr="00782779">
      <w:rPr>
        <w:rFonts w:ascii="Arial" w:hAnsi="Arial" w:cs="Arial"/>
        <w:b/>
        <w:sz w:val="48"/>
      </w:rPr>
      <w:t>ES</w:t>
    </w:r>
    <w:r w:rsidRPr="00782779">
      <w:rPr>
        <w:rFonts w:ascii="Arial" w:hAnsi="Arial" w:cs="Arial"/>
        <w:b/>
        <w:sz w:val="48"/>
      </w:rPr>
      <w:tab/>
    </w:r>
    <w:r w:rsidRPr="00782779">
      <w:rPr>
        <w:rFonts w:ascii="Arial" w:hAnsi="Arial" w:cs="Arial"/>
        <w:b/>
        <w:sz w:val="48"/>
      </w:rPr>
      <w:tab/>
    </w:r>
    <w:r w:rsidRPr="00782779">
      <w:tab/>
    </w:r>
    <w:r w:rsidRPr="00782779">
      <w:rPr>
        <w:rFonts w:ascii="Arial" w:hAnsi="Arial" w:cs="Arial"/>
        <w:b/>
        <w:sz w:val="48"/>
      </w:rPr>
      <w:t>ES</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001A9C" w14:textId="77777777" w:rsidR="00782779" w:rsidRPr="00782779" w:rsidRDefault="00782779" w:rsidP="00782779">
    <w:pPr>
      <w:pStyle w:val="FooterCover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976AA4" w14:textId="77777777" w:rsidR="00DE5834" w:rsidRDefault="00DE5834">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75C22D" w14:textId="5CFE7D4A" w:rsidR="00DE5834" w:rsidRPr="00400E97" w:rsidRDefault="00DE5834" w:rsidP="0032382F">
    <w:pPr>
      <w:pStyle w:val="Footer"/>
      <w:rPr>
        <w:rFonts w:ascii="Arial" w:hAnsi="Arial" w:cs="Arial"/>
        <w:b/>
        <w:sz w:val="48"/>
      </w:rPr>
    </w:pPr>
    <w:r>
      <w:rPr>
        <w:rFonts w:ascii="Arial" w:hAnsi="Arial"/>
        <w:b/>
        <w:sz w:val="48"/>
      </w:rPr>
      <w:t>EN</w:t>
    </w:r>
    <w:r>
      <w:tab/>
    </w:r>
    <w:r>
      <w:fldChar w:fldCharType="begin"/>
    </w:r>
    <w:r>
      <w:instrText xml:space="preserve"> PAGE  \* MERGEFORMAT </w:instrText>
    </w:r>
    <w:r>
      <w:fldChar w:fldCharType="separate"/>
    </w:r>
    <w:r w:rsidR="00782779">
      <w:rPr>
        <w:noProof/>
      </w:rPr>
      <w:t>1</w:t>
    </w:r>
    <w:r>
      <w:fldChar w:fldCharType="end"/>
    </w:r>
    <w:r>
      <w:tab/>
    </w:r>
    <w:r>
      <w:rPr>
        <w:rFonts w:ascii="Arial" w:hAnsi="Arial"/>
        <w:b/>
        <w:sz w:val="48"/>
      </w:rPr>
      <w:t>EN</w:t>
    </w:r>
    <w:r>
      <w:tab/>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6BD025" w14:textId="77777777" w:rsidR="00DE5834" w:rsidRPr="00400E97" w:rsidRDefault="00DE5834" w:rsidP="003238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73BA17" w14:textId="77777777" w:rsidR="00DE5834" w:rsidRDefault="00DE5834" w:rsidP="00D45A17">
      <w:pPr>
        <w:spacing w:after="0" w:line="240" w:lineRule="auto"/>
      </w:pPr>
      <w:r>
        <w:separator/>
      </w:r>
    </w:p>
  </w:footnote>
  <w:footnote w:type="continuationSeparator" w:id="0">
    <w:p w14:paraId="637B0646" w14:textId="77777777" w:rsidR="00DE5834" w:rsidRDefault="00DE5834" w:rsidP="00D45A17">
      <w:pPr>
        <w:spacing w:after="0" w:line="240" w:lineRule="auto"/>
      </w:pPr>
      <w:r>
        <w:continuationSeparator/>
      </w:r>
    </w:p>
  </w:footnote>
  <w:footnote w:id="1">
    <w:p w14:paraId="67474700" w14:textId="162A7D2F" w:rsidR="00DE5834" w:rsidRPr="00637CEA" w:rsidRDefault="00DE5834" w:rsidP="00F63790">
      <w:pPr>
        <w:pStyle w:val="FootnoteText"/>
        <w:ind w:left="284" w:hanging="284"/>
      </w:pPr>
      <w:r>
        <w:rPr>
          <w:rStyle w:val="FootnoteReference"/>
        </w:rPr>
        <w:footnoteRef/>
      </w:r>
      <w:r>
        <w:tab/>
        <w:t>Cuando el exportador de datos sea un encargado del tratamiento sujeto al Reglamento (UE) 2016/679 que actúe por cuenta de una institución u organismo de la Unión como responsable del tratamiento, se considera que la utilización del presente pliego de cláusulas al recurrir a otro encargado (subtratamiento) no sujeto al Reglamento (UE) 2016/679 también garantiza el cumplimento del artículo 29, apartado 4, del Reglamento (UE) 2018/1725 del Parlamento Europeo y del Consejo, de 23 de octubre de 2018, relativo a la protección de las personas físicas en lo que respecta al tratamiento de datos personales por las instituciones, órganos y organismos de la Unión, y a la libre circulación de esos datos, y por el que se derogan el Reglamento (CE) n.º 45/2001 y la Decisión n.º 1247/2002/CE (DO L 295 de 21.11.2018, p. 39), en la medida en que estén armonizados el presente pliego de cláusulas y las obligaciones en materia de protección de datos que imponga el contrato u otro acto jurídico celebrado entre el responsable y el encargado con arreglo al artículo 29, apartado 3, del Reglamento (UE) 2018/1725. Este será el caso, en particular, cuando el responsable y el encargado del tratamiento se basen en las cláusulas contractuales tipo incluidas en la Decisión [...].</w:t>
      </w:r>
    </w:p>
  </w:footnote>
  <w:footnote w:id="2">
    <w:p w14:paraId="347BAE6E" w14:textId="37463CCF" w:rsidR="00DE5834" w:rsidRPr="00981B04" w:rsidRDefault="00DE5834" w:rsidP="00F63790">
      <w:pPr>
        <w:pStyle w:val="FootnoteText"/>
        <w:ind w:left="284" w:hanging="284"/>
      </w:pPr>
      <w:r>
        <w:rPr>
          <w:rStyle w:val="FootnoteReference"/>
        </w:rPr>
        <w:footnoteRef/>
      </w:r>
      <w:r>
        <w:tab/>
        <w:t>Para ello es necesario anonimizar los datos de tal manera que nadie pueda identificar a la persona, de conformidad con el considerando 26 del Reglamento (UE) 2016/679, y que este proceso sea irreversible.</w:t>
      </w:r>
    </w:p>
  </w:footnote>
  <w:footnote w:id="3">
    <w:p w14:paraId="07DF8D3A" w14:textId="5019FD5E" w:rsidR="00DE5834" w:rsidRDefault="00DE5834" w:rsidP="00F63790">
      <w:pPr>
        <w:pStyle w:val="FootnoteText"/>
        <w:ind w:left="284" w:hanging="284"/>
      </w:pPr>
      <w:r>
        <w:rPr>
          <w:rStyle w:val="FootnoteReference"/>
        </w:rPr>
        <w:footnoteRef/>
      </w:r>
      <w:r>
        <w:tab/>
        <w:t>El Acuerdo sobre el Espacio Económico Europeo (en lo sucesivo, el «Acuerdo EEE») dispone la ampliación del mercado interior de la Unión Europea a los tres Estados del EEE (Islandia, Liechtenstein y Noruega). La legislación de la Unión sobre protección de datos y, en particular, el Reglamento (UE) 2016/679 están cubiertos por el Acuerdo EEE y han sido incorporados al anexo XI del mismo. Por lo tanto, toda comunicación del importador de datos a un tercero situado en el EEE no puede considerarse una transferencia ulterior a efectos del presente pliego de cláusulas.</w:t>
      </w:r>
    </w:p>
    <w:p w14:paraId="2639A6B0" w14:textId="77777777" w:rsidR="00DE5834" w:rsidRPr="00985F04" w:rsidRDefault="00DE5834" w:rsidP="00D45A17">
      <w:pPr>
        <w:pStyle w:val="FootnoteText"/>
        <w:ind w:left="0" w:firstLine="0"/>
      </w:pPr>
      <w:r>
        <w:cr/>
      </w:r>
    </w:p>
  </w:footnote>
  <w:footnote w:id="4">
    <w:p w14:paraId="0CBC85C2" w14:textId="1A3211D8" w:rsidR="00DE5834" w:rsidRDefault="00DE5834" w:rsidP="00F63790">
      <w:pPr>
        <w:pStyle w:val="FootnoteText"/>
        <w:ind w:left="284" w:hanging="284"/>
      </w:pPr>
      <w:r>
        <w:rPr>
          <w:rStyle w:val="FootnoteReference"/>
        </w:rPr>
        <w:footnoteRef/>
      </w:r>
      <w:r>
        <w:tab/>
        <w:t>El Acuerdo sobre el Espacio Económico Europeo (en lo sucesivo, el «Acuerdo EEE») dispone la ampliación del mercado interior de la Unión Europea a los tres Estados del EEE (Islandia, Liechtenstein y Noruega). La legislación de la Unión sobre protección de datos y, en particular, el Reglamento (UE) 2016/679 están cubiertos por el Acuerdo EEE y han sido incorporados al anexo XI del mismo. Por lo tanto, toda comunicación del importador de datos a un tercero situado en el EEE no puede considerarse una transferencia ulterior a efectos del presente pliego de cláusulas.</w:t>
      </w:r>
    </w:p>
    <w:p w14:paraId="37641275" w14:textId="77777777" w:rsidR="00DE5834" w:rsidRPr="00985F04" w:rsidRDefault="00DE5834" w:rsidP="00D45A17">
      <w:pPr>
        <w:pStyle w:val="FootnoteText"/>
        <w:ind w:left="0" w:firstLine="0"/>
      </w:pPr>
    </w:p>
  </w:footnote>
  <w:footnote w:id="5">
    <w:p w14:paraId="1524E813" w14:textId="77777777" w:rsidR="00DE5834" w:rsidRPr="001E171F" w:rsidRDefault="00DE5834" w:rsidP="00DE5834">
      <w:pPr>
        <w:pStyle w:val="FootnoteText"/>
      </w:pPr>
      <w:r>
        <w:rPr>
          <w:rStyle w:val="FootnoteReference"/>
        </w:rPr>
        <w:footnoteRef/>
      </w:r>
      <w:r>
        <w:tab/>
        <w:t>Véase el artículo 28, apartado 4, del Reglamento (UE) 2016/679 y, cuando el responsable sea una institución u organismo de la UE, el artículo 29, apartado 4, del Reglamento (UE) 2018/1725.</w:t>
      </w:r>
    </w:p>
  </w:footnote>
  <w:footnote w:id="6">
    <w:p w14:paraId="43E7E503" w14:textId="110E506D" w:rsidR="00DE5834" w:rsidRDefault="00DE5834" w:rsidP="00F63790">
      <w:pPr>
        <w:pStyle w:val="FootnoteText"/>
        <w:ind w:left="284" w:hanging="284"/>
      </w:pPr>
      <w:r>
        <w:rPr>
          <w:rStyle w:val="FootnoteReference"/>
        </w:rPr>
        <w:footnoteRef/>
      </w:r>
      <w:r>
        <w:tab/>
        <w:t>El Acuerdo sobre el Espacio Económico Europeo (en lo sucesivo, el «Acuerdo EEE») dispone la ampliación del mercado interior de la Unión Europea a los tres Estados del EEE (Islandia, Liechtenstein y Noruega). La legislación de la Unión sobre protección de datos y, en particular, el Reglamento (UE) 2016/679 están cubiertos por el Acuerdo EEE y han sido incorporados al anexo XI del mismo. Por lo tanto, toda comunicación del importador de datos a un tercero situado en el EEE no puede considerarse una transferencia ulterior a efectos del presente pliego de cláusulas.</w:t>
      </w:r>
    </w:p>
    <w:p w14:paraId="32498233" w14:textId="77777777" w:rsidR="00DE5834" w:rsidRPr="00985F04" w:rsidRDefault="00DE5834" w:rsidP="00D45A17">
      <w:pPr>
        <w:pStyle w:val="FootnoteText"/>
      </w:pPr>
      <w:r>
        <w:cr/>
      </w:r>
    </w:p>
  </w:footnote>
  <w:footnote w:id="7">
    <w:p w14:paraId="4914BDC3" w14:textId="238C8E76" w:rsidR="00DE5834" w:rsidRPr="00A40D14" w:rsidRDefault="00DE5834" w:rsidP="00F63790">
      <w:pPr>
        <w:pStyle w:val="FootnoteText"/>
        <w:ind w:left="284" w:hanging="284"/>
      </w:pPr>
      <w:r>
        <w:rPr>
          <w:rStyle w:val="FootnoteReference"/>
        </w:rPr>
        <w:footnoteRef/>
      </w:r>
      <w:r>
        <w:tab/>
        <w:t>En concreto, si el tratamiento afecta a datos personales que revelen el origen étnico o racial, las opiniones políticas, las convicciones religiosas o filosóficas, o la afiliación sindical, datos genéticos o datos biométricos dirigidos a identificar de manera unívoca a una persona física, datos relativos a la salud o datos relativos a la vida sexual o la orientación sexual de una persona física, o datos relativos a condenas e infracciones penales.</w:t>
      </w:r>
    </w:p>
  </w:footnote>
  <w:footnote w:id="8">
    <w:p w14:paraId="1E832B6F" w14:textId="6FEEBC20" w:rsidR="00DE5834" w:rsidRPr="005763A7" w:rsidRDefault="00DE5834" w:rsidP="00F63790">
      <w:pPr>
        <w:pStyle w:val="FootnoteText"/>
        <w:ind w:left="284" w:hanging="284"/>
      </w:pPr>
      <w:r>
        <w:rPr>
          <w:rStyle w:val="FootnoteReference"/>
        </w:rPr>
        <w:footnoteRef/>
      </w:r>
      <w:r>
        <w:tab/>
        <w:t>Este requisito podrá satisfacerse si el subencargado se adhiere al presente pliego de cláusulas, con elección del módulo correspondiente, con arreglo a la cláusula 7.</w:t>
      </w:r>
    </w:p>
  </w:footnote>
  <w:footnote w:id="9">
    <w:p w14:paraId="23E493F9" w14:textId="11473B6F" w:rsidR="00DE5834" w:rsidRPr="005763A7" w:rsidRDefault="00DE5834" w:rsidP="00F63790">
      <w:pPr>
        <w:pStyle w:val="FootnoteText"/>
        <w:ind w:left="284" w:hanging="284"/>
      </w:pPr>
      <w:r>
        <w:rPr>
          <w:rStyle w:val="FootnoteReference"/>
        </w:rPr>
        <w:footnoteRef/>
      </w:r>
      <w:r>
        <w:tab/>
        <w:t>Este requisito podrá satisfacerse si el subencargado se adhiere al presente pliego de cláusulas, con elección del módulo correspondiente, con arreglo a la cláusula 7.</w:t>
      </w:r>
    </w:p>
  </w:footnote>
  <w:footnote w:id="10">
    <w:p w14:paraId="3F551702" w14:textId="12BF46E2" w:rsidR="00DE5834" w:rsidRPr="006A72A2" w:rsidRDefault="00DE5834" w:rsidP="00F63790">
      <w:pPr>
        <w:pStyle w:val="FootnoteText"/>
        <w:ind w:left="284" w:hanging="284"/>
      </w:pPr>
      <w:r>
        <w:rPr>
          <w:rStyle w:val="FootnoteReference"/>
        </w:rPr>
        <w:footnoteRef/>
      </w:r>
      <w:r>
        <w:tab/>
        <w:t xml:space="preserve">Dicho plazo podrá prorrogarse por un máximo de dos meses adicionales en caso necesario, teniendo en cuenta la complejidad y el número de solicitudes. El importador de datos informará debidamente y con prontitud al interesado de cualquier prórroga de este tipo. </w:t>
      </w:r>
    </w:p>
  </w:footnote>
  <w:footnote w:id="11">
    <w:p w14:paraId="6B267CCE" w14:textId="57DED376" w:rsidR="00DE5834" w:rsidRPr="002748B7" w:rsidRDefault="00DE5834" w:rsidP="00F63790">
      <w:pPr>
        <w:pStyle w:val="FootnoteText"/>
        <w:ind w:left="284" w:hanging="284"/>
      </w:pPr>
      <w:r>
        <w:rPr>
          <w:rStyle w:val="FootnoteReference"/>
        </w:rPr>
        <w:footnoteRef/>
      </w:r>
      <w:r>
        <w:tab/>
        <w:t>El importador de datos solo podrá ofrecer una resolución independiente de los litigios a través de un órgano de arbitraje si está establecido en un país que haya ratificado el Convenio de Nueva York sobre la ejecución de laudos arbitrales.</w:t>
      </w:r>
      <w:r>
        <w:tab/>
      </w:r>
    </w:p>
  </w:footnote>
  <w:footnote w:id="12">
    <w:p w14:paraId="3E8ED409" w14:textId="20B39AE4" w:rsidR="00DE5834" w:rsidRPr="00D6054F" w:rsidRDefault="00DE5834" w:rsidP="00F63790">
      <w:pPr>
        <w:pStyle w:val="FootnoteText"/>
        <w:ind w:left="284" w:hanging="284"/>
      </w:pPr>
      <w:r>
        <w:rPr>
          <w:rStyle w:val="FootnoteReference"/>
        </w:rPr>
        <w:footnoteRef/>
      </w:r>
      <w:r>
        <w:tab/>
        <w:t>Por lo que se refiere al efecto de dicho Derecho y prácticas en el cumplimiento del presente pliego de cláusulas, a la hora de realizar una valoración integral de esta cuestión pueden tenerse en cuenta distintos aspectos. Uno de estos aspectos puede ser que haya experiencia práctica pertinente y documentada en casos anteriores de solicitudes de comunicación por parte de las autoridades públicas, o la ausencia de tales solicitudes, en un período suficientemente representativo. Con esto se quiere decir, en particular, los registros internos u otra documentación elaborados de forma continua con la diligencia debida y certificados en los niveles más altos de la dirección siempre que esta información pueda compartirse legalmente con terceros. Cuando se use esta experiencia práctica para llegar a la conclusión de que el importador de datos no tendrá impedimento para cumplir el presente pliego de cláusulas, deberá estar respaldada por otros elementos pertinentes y objetivos; corresponde a las partes valorar minuciosamente si la suma de estos factores es suficientemente determinante, en términos de fiabilidad y representatividad, para respaldar esta conclusión. En particular, las partes deben tener en cuenta si su experiencia práctica está corroborada y no se ve desmentida, por información que sea fiable y de dominio público o accesible de cualquier otro modo acerca de la existencia o ausencia de solicitudes en el mismo sector o acerca de la aplicación de la normativa de que se trate en la práctica, como jurisprudencia e informes de organismos de supervisión independientes.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7F6668" w14:textId="77777777" w:rsidR="00782779" w:rsidRPr="00782779" w:rsidRDefault="00782779" w:rsidP="0078277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92488B" w14:textId="77777777" w:rsidR="00782779" w:rsidRPr="00782779" w:rsidRDefault="00782779" w:rsidP="00782779">
    <w:pPr>
      <w:pStyle w:val="HeaderCoverPag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5776EC" w14:textId="77777777" w:rsidR="00782779" w:rsidRPr="00782779" w:rsidRDefault="00782779" w:rsidP="00782779">
    <w:pPr>
      <w:pStyle w:val="HeaderCoverPag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1229EC" w14:textId="77777777" w:rsidR="00DE5834" w:rsidRDefault="00DE583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744140" w14:textId="77777777" w:rsidR="00DE5834" w:rsidRDefault="00DE583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84FE2A" w14:textId="77777777" w:rsidR="00DE5834" w:rsidRDefault="00DE583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F6A8490E"/>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524DD3E"/>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EA048CC"/>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E68E727C"/>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1A04634C"/>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3B1AA14C"/>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867017E0"/>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3E78092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84BA7AE4"/>
    <w:name w:val="Point"/>
    <w:lvl w:ilvl="0">
      <w:start w:val="1"/>
      <w:numFmt w:val="decimal"/>
      <w:lvlRestart w:val="0"/>
      <w:pStyle w:val="Point0number"/>
      <w:lvlText w:val="(%1)"/>
      <w:lvlJc w:val="left"/>
      <w:pPr>
        <w:tabs>
          <w:tab w:val="num" w:pos="850"/>
        </w:tabs>
        <w:ind w:left="850" w:hanging="850"/>
      </w:pPr>
      <w:rPr>
        <w:rFonts w:hint="default"/>
      </w:rPr>
    </w:lvl>
    <w:lvl w:ilvl="1">
      <w:start w:val="1"/>
      <w:numFmt w:val="lowerLetter"/>
      <w:lvlText w:val="%2)"/>
      <w:lvlJc w:val="left"/>
      <w:pPr>
        <w:tabs>
          <w:tab w:val="num" w:pos="850"/>
        </w:tabs>
        <w:ind w:left="850" w:hanging="850"/>
      </w:pPr>
      <w:rPr>
        <w:rFonts w:hint="default"/>
      </w:rPr>
    </w:lvl>
    <w:lvl w:ilvl="2">
      <w:start w:val="1"/>
      <w:numFmt w:val="decimal"/>
      <w:pStyle w:val="Point1number"/>
      <w:lvlText w:val="(%3)"/>
      <w:lvlJc w:val="left"/>
      <w:pPr>
        <w:tabs>
          <w:tab w:val="num" w:pos="1417"/>
        </w:tabs>
        <w:ind w:left="1417" w:hanging="567"/>
      </w:pPr>
      <w:rPr>
        <w:rFonts w:hint="default"/>
      </w:rPr>
    </w:lvl>
    <w:lvl w:ilvl="3">
      <w:start w:val="1"/>
      <w:numFmt w:val="lowerRoman"/>
      <w:lvlText w:val="%4)"/>
      <w:lvlJc w:val="left"/>
      <w:pPr>
        <w:tabs>
          <w:tab w:val="num" w:pos="1417"/>
        </w:tabs>
        <w:ind w:left="1417" w:hanging="567"/>
      </w:pPr>
      <w:rPr>
        <w:rFonts w:hint="default"/>
      </w:rPr>
    </w:lvl>
    <w:lvl w:ilvl="4">
      <w:start w:val="1"/>
      <w:numFmt w:val="decimal"/>
      <w:pStyle w:val="Point2number"/>
      <w:lvlText w:val="(%5)"/>
      <w:lvlJc w:val="left"/>
      <w:pPr>
        <w:tabs>
          <w:tab w:val="num" w:pos="1984"/>
        </w:tabs>
        <w:ind w:left="1984" w:hanging="567"/>
      </w:pPr>
      <w:rPr>
        <w:rFonts w:hint="default"/>
      </w:rPr>
    </w:lvl>
    <w:lvl w:ilvl="5">
      <w:start w:val="1"/>
      <w:numFmt w:val="lowerLetter"/>
      <w:lvlText w:val="%6)"/>
      <w:lvlJc w:val="left"/>
      <w:pPr>
        <w:tabs>
          <w:tab w:val="num" w:pos="1984"/>
        </w:tabs>
        <w:ind w:left="1984" w:hanging="567"/>
      </w:pPr>
      <w:rPr>
        <w:rFonts w:hint="default"/>
      </w:rPr>
    </w:lvl>
    <w:lvl w:ilvl="6">
      <w:start w:val="1"/>
      <w:numFmt w:val="decimal"/>
      <w:pStyle w:val="Point3number"/>
      <w:lvlText w:val="(%7)"/>
      <w:lvlJc w:val="left"/>
      <w:pPr>
        <w:tabs>
          <w:tab w:val="num" w:pos="2551"/>
        </w:tabs>
        <w:ind w:left="2551" w:hanging="567"/>
      </w:pPr>
      <w:rPr>
        <w:rFonts w:hint="default"/>
      </w:rPr>
    </w:lvl>
    <w:lvl w:ilvl="7">
      <w:start w:val="1"/>
      <w:numFmt w:val="lowerLetter"/>
      <w:pStyle w:val="Point3letter"/>
      <w:lvlText w:val="(%8)"/>
      <w:lvlJc w:val="left"/>
      <w:pPr>
        <w:tabs>
          <w:tab w:val="num" w:pos="2551"/>
        </w:tabs>
        <w:ind w:left="2551" w:hanging="567"/>
      </w:pPr>
      <w:rPr>
        <w:rFonts w:hint="default"/>
      </w:rPr>
    </w:lvl>
    <w:lvl w:ilvl="8">
      <w:start w:val="1"/>
      <w:numFmt w:val="lowerLetter"/>
      <w:pStyle w:val="Point4letter"/>
      <w:lvlText w:val="(%9)"/>
      <w:lvlJc w:val="left"/>
      <w:pPr>
        <w:tabs>
          <w:tab w:val="num" w:pos="3118"/>
        </w:tabs>
        <w:ind w:left="3118" w:hanging="567"/>
      </w:pPr>
      <w:rPr>
        <w:rFonts w:hint="default"/>
      </w:r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4507AB0"/>
    <w:multiLevelType w:val="hybridMultilevel"/>
    <w:tmpl w:val="2CF63BC4"/>
    <w:lvl w:ilvl="0" w:tplc="49FA77EC">
      <w:start w:val="8"/>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7357F51"/>
    <w:multiLevelType w:val="hybridMultilevel"/>
    <w:tmpl w:val="A8043E80"/>
    <w:lvl w:ilvl="0" w:tplc="69F2F118">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9"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1"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5"/>
  </w:num>
  <w:num w:numId="3">
    <w:abstractNumId w:val="4"/>
  </w:num>
  <w:num w:numId="4">
    <w:abstractNumId w:val="3"/>
  </w:num>
  <w:num w:numId="5">
    <w:abstractNumId w:val="6"/>
  </w:num>
  <w:num w:numId="6">
    <w:abstractNumId w:val="2"/>
  </w:num>
  <w:num w:numId="7">
    <w:abstractNumId w:val="1"/>
  </w:num>
  <w:num w:numId="8">
    <w:abstractNumId w:val="0"/>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0"/>
  </w:num>
  <w:num w:numId="40">
    <w:abstractNumId w:val="12"/>
  </w:num>
  <w:num w:numId="41">
    <w:abstractNumId w:val="22"/>
  </w:num>
  <w:num w:numId="42">
    <w:abstractNumId w:val="11"/>
  </w:num>
  <w:num w:numId="43">
    <w:abstractNumId w:val="13"/>
  </w:num>
  <w:num w:numId="44">
    <w:abstractNumId w:val="9"/>
  </w:num>
  <w:num w:numId="45">
    <w:abstractNumId w:val="21"/>
  </w:num>
  <w:num w:numId="46">
    <w:abstractNumId w:val="8"/>
  </w:num>
  <w:num w:numId="47">
    <w:abstractNumId w:val="15"/>
  </w:num>
  <w:num w:numId="48">
    <w:abstractNumId w:val="18"/>
  </w:num>
  <w:num w:numId="49">
    <w:abstractNumId w:val="19"/>
  </w:num>
  <w:num w:numId="50">
    <w:abstractNumId w:val="10"/>
  </w:num>
  <w:num w:numId="51">
    <w:abstractNumId w:val="17"/>
  </w:num>
  <w:num w:numId="52">
    <w:abstractNumId w:val="23"/>
  </w:num>
  <w:num w:numId="53">
    <w:abstractNumId w:val="8"/>
  </w:num>
  <w:num w:numId="54">
    <w:abstractNumId w:val="14"/>
  </w:num>
  <w:num w:numId="55">
    <w:abstractNumId w:val="16"/>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Status" w:val="Green"/>
    <w:docVar w:name="LW_ACCOMPAGNANT.CP" w:val="de la"/>
    <w:docVar w:name="LW_ANNEX_NBR_FIRST" w:val="1"/>
    <w:docVar w:name="LW_ANNEX_NBR_LAST" w:val="1"/>
    <w:docVar w:name="LW_ANNEX_UNIQUE" w:val="1"/>
    <w:docVar w:name="LW_CORRIGENDUM" w:val="&lt;UNUSED&gt;"/>
    <w:docVar w:name="LW_COVERPAGE_EXISTS" w:val="True"/>
    <w:docVar w:name="LW_COVERPAGE_GUID" w:val="C8E9A943-405D-458F-9DDF-B7929216AFAE"/>
    <w:docVar w:name="LW_COVERPAGE_TYPE" w:val="1"/>
    <w:docVar w:name="LW_CROSSREFERENCE" w:val="&lt;UNUSED&gt;"/>
    <w:docVar w:name="LW_DocType" w:val="NORMAL"/>
    <w:docVar w:name="LW_EMISSION" w:val="&lt;EMPTY&gt;"/>
    <w:docVar w:name="LW_EMISSION_ISODATE" w:val="&lt;EMPTY&gt;"/>
    <w:docVar w:name="LW_EMISSION_LOCATION" w:val="BRX"/>
    <w:docVar w:name="LW_EMISSION_PREFIX" w:val="Bruselas, "/>
    <w:docVar w:name="LW_EMISSION_SUFFIX" w:val=" "/>
    <w:docVar w:name="LW_ID_DOCTYPE_NONLW" w:val="CP-038"/>
    <w:docVar w:name="LW_LANGUE" w:val="ES"/>
    <w:docVar w:name="LW_LEVEL_OF_SENSITIVITY" w:val="Standard treatment"/>
    <w:docVar w:name="LW_NOM.INST" w:val="COMISIÓN EUROPEA"/>
    <w:docVar w:name="LW_NOM.INST_JOINTDOC" w:val="&lt;EMPTY&gt;"/>
    <w:docVar w:name="LW_OBJETACTEPRINCIPAL.CP" w:val="&lt;FMT:Bold&gt;relativa a las cláusulas contractuales tipo para la transferencia de datos personales a terceros países de conformidad con el Reglamento (UE) 2016/679 del Parlamento Europeo y del Consejo&lt;/FMT&gt;"/>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ANEXO_x000b_"/>
    <w:docVar w:name="LW_TYPEACTEPRINCIPAL.CP" w:val="DECISIÓN DE EJECUCIÓN DE LA COMISIÓN"/>
  </w:docVars>
  <w:rsids>
    <w:rsidRoot w:val="00D45A17"/>
    <w:rsid w:val="00004EBB"/>
    <w:rsid w:val="0001072E"/>
    <w:rsid w:val="00016F16"/>
    <w:rsid w:val="00024174"/>
    <w:rsid w:val="00032316"/>
    <w:rsid w:val="00032EED"/>
    <w:rsid w:val="00064ED0"/>
    <w:rsid w:val="00080973"/>
    <w:rsid w:val="000A0951"/>
    <w:rsid w:val="000A10BB"/>
    <w:rsid w:val="000A1F30"/>
    <w:rsid w:val="000C6727"/>
    <w:rsid w:val="000D2913"/>
    <w:rsid w:val="000F4E53"/>
    <w:rsid w:val="001030D5"/>
    <w:rsid w:val="00142640"/>
    <w:rsid w:val="001477AB"/>
    <w:rsid w:val="00152A1A"/>
    <w:rsid w:val="0017265B"/>
    <w:rsid w:val="00172C68"/>
    <w:rsid w:val="00185E7F"/>
    <w:rsid w:val="001A6FA0"/>
    <w:rsid w:val="00214AE9"/>
    <w:rsid w:val="00225355"/>
    <w:rsid w:val="002314D0"/>
    <w:rsid w:val="00270CE8"/>
    <w:rsid w:val="002719A9"/>
    <w:rsid w:val="00297A13"/>
    <w:rsid w:val="002A45EC"/>
    <w:rsid w:val="002B1F93"/>
    <w:rsid w:val="002D23BD"/>
    <w:rsid w:val="002D58C4"/>
    <w:rsid w:val="002E76BC"/>
    <w:rsid w:val="002F1C8F"/>
    <w:rsid w:val="00312F31"/>
    <w:rsid w:val="0032382F"/>
    <w:rsid w:val="00344371"/>
    <w:rsid w:val="0034454A"/>
    <w:rsid w:val="00366153"/>
    <w:rsid w:val="00383937"/>
    <w:rsid w:val="00390097"/>
    <w:rsid w:val="003A74DB"/>
    <w:rsid w:val="003D76BA"/>
    <w:rsid w:val="003E2060"/>
    <w:rsid w:val="00404E88"/>
    <w:rsid w:val="00476E46"/>
    <w:rsid w:val="004840BD"/>
    <w:rsid w:val="0049244E"/>
    <w:rsid w:val="004A4BB6"/>
    <w:rsid w:val="004D7355"/>
    <w:rsid w:val="00504F34"/>
    <w:rsid w:val="00517293"/>
    <w:rsid w:val="00525BBE"/>
    <w:rsid w:val="00552D33"/>
    <w:rsid w:val="00553CC1"/>
    <w:rsid w:val="00562E97"/>
    <w:rsid w:val="005763A7"/>
    <w:rsid w:val="005836F2"/>
    <w:rsid w:val="00596497"/>
    <w:rsid w:val="00597789"/>
    <w:rsid w:val="005A2898"/>
    <w:rsid w:val="005B30EA"/>
    <w:rsid w:val="005D41C6"/>
    <w:rsid w:val="005F095F"/>
    <w:rsid w:val="00614D23"/>
    <w:rsid w:val="00653ACA"/>
    <w:rsid w:val="00654007"/>
    <w:rsid w:val="0065789E"/>
    <w:rsid w:val="006615DC"/>
    <w:rsid w:val="0068416B"/>
    <w:rsid w:val="006A5FC3"/>
    <w:rsid w:val="006B444D"/>
    <w:rsid w:val="007054A4"/>
    <w:rsid w:val="00712150"/>
    <w:rsid w:val="007345CC"/>
    <w:rsid w:val="00745B76"/>
    <w:rsid w:val="00753264"/>
    <w:rsid w:val="00764907"/>
    <w:rsid w:val="00773F4B"/>
    <w:rsid w:val="0077543E"/>
    <w:rsid w:val="00782779"/>
    <w:rsid w:val="00790501"/>
    <w:rsid w:val="0079083B"/>
    <w:rsid w:val="00791AC5"/>
    <w:rsid w:val="007C7BF1"/>
    <w:rsid w:val="007D3512"/>
    <w:rsid w:val="007E2161"/>
    <w:rsid w:val="007F13BA"/>
    <w:rsid w:val="007F7D8D"/>
    <w:rsid w:val="0080273A"/>
    <w:rsid w:val="00816B92"/>
    <w:rsid w:val="00834CE7"/>
    <w:rsid w:val="00836A9B"/>
    <w:rsid w:val="008475D8"/>
    <w:rsid w:val="008A6EC5"/>
    <w:rsid w:val="008F299C"/>
    <w:rsid w:val="00902963"/>
    <w:rsid w:val="009054B1"/>
    <w:rsid w:val="009068DA"/>
    <w:rsid w:val="00921360"/>
    <w:rsid w:val="009506B5"/>
    <w:rsid w:val="00964807"/>
    <w:rsid w:val="00995E98"/>
    <w:rsid w:val="00997558"/>
    <w:rsid w:val="009A3C90"/>
    <w:rsid w:val="009B7497"/>
    <w:rsid w:val="009F30FB"/>
    <w:rsid w:val="00A202FD"/>
    <w:rsid w:val="00A21645"/>
    <w:rsid w:val="00A53769"/>
    <w:rsid w:val="00A63DA4"/>
    <w:rsid w:val="00A962D0"/>
    <w:rsid w:val="00A96B57"/>
    <w:rsid w:val="00AB7A32"/>
    <w:rsid w:val="00B04FF3"/>
    <w:rsid w:val="00B171C7"/>
    <w:rsid w:val="00B25D3C"/>
    <w:rsid w:val="00B63302"/>
    <w:rsid w:val="00B75768"/>
    <w:rsid w:val="00B820AB"/>
    <w:rsid w:val="00B91576"/>
    <w:rsid w:val="00BA7057"/>
    <w:rsid w:val="00BB207C"/>
    <w:rsid w:val="00BB49E5"/>
    <w:rsid w:val="00BB7964"/>
    <w:rsid w:val="00BC22F6"/>
    <w:rsid w:val="00BC414F"/>
    <w:rsid w:val="00BF2C73"/>
    <w:rsid w:val="00C143B1"/>
    <w:rsid w:val="00C14639"/>
    <w:rsid w:val="00C22CF1"/>
    <w:rsid w:val="00C47F17"/>
    <w:rsid w:val="00C95CA3"/>
    <w:rsid w:val="00CA7ECB"/>
    <w:rsid w:val="00CB0529"/>
    <w:rsid w:val="00CF54FA"/>
    <w:rsid w:val="00D0398B"/>
    <w:rsid w:val="00D05397"/>
    <w:rsid w:val="00D0622D"/>
    <w:rsid w:val="00D37997"/>
    <w:rsid w:val="00D45A17"/>
    <w:rsid w:val="00D538B7"/>
    <w:rsid w:val="00D75DA7"/>
    <w:rsid w:val="00D84A89"/>
    <w:rsid w:val="00DC4983"/>
    <w:rsid w:val="00DE0283"/>
    <w:rsid w:val="00DE5834"/>
    <w:rsid w:val="00E001EE"/>
    <w:rsid w:val="00E6104B"/>
    <w:rsid w:val="00E95A38"/>
    <w:rsid w:val="00EB2926"/>
    <w:rsid w:val="00EB69E1"/>
    <w:rsid w:val="00EB7BE3"/>
    <w:rsid w:val="00ED6089"/>
    <w:rsid w:val="00F148E0"/>
    <w:rsid w:val="00F20EB4"/>
    <w:rsid w:val="00F63790"/>
    <w:rsid w:val="00FA645D"/>
    <w:rsid w:val="00FC397F"/>
    <w:rsid w:val="00FD7CD5"/>
    <w:rsid w:val="00FE0FA4"/>
    <w:rsid w:val="00FE77F4"/>
    <w:rsid w:val="00FF4DD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10FACC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Text1"/>
    <w:link w:val="Heading1Char"/>
    <w:uiPriority w:val="9"/>
    <w:qFormat/>
    <w:rsid w:val="00D45A17"/>
    <w:pPr>
      <w:keepNext/>
      <w:numPr>
        <w:numId w:val="45"/>
      </w:numPr>
      <w:spacing w:before="360" w:after="120" w:line="240" w:lineRule="auto"/>
      <w:jc w:val="both"/>
      <w:outlineLvl w:val="0"/>
    </w:pPr>
    <w:rPr>
      <w:rFonts w:ascii="Times New Roman" w:eastAsiaTheme="majorEastAsia" w:hAnsi="Times New Roman" w:cs="Times New Roman"/>
      <w:b/>
      <w:bCs/>
      <w:smallCaps/>
      <w:sz w:val="24"/>
      <w:szCs w:val="28"/>
    </w:rPr>
  </w:style>
  <w:style w:type="paragraph" w:styleId="Heading2">
    <w:name w:val="heading 2"/>
    <w:basedOn w:val="Normal"/>
    <w:next w:val="Text1"/>
    <w:link w:val="Heading2Char"/>
    <w:uiPriority w:val="9"/>
    <w:semiHidden/>
    <w:unhideWhenUsed/>
    <w:qFormat/>
    <w:rsid w:val="00D45A17"/>
    <w:pPr>
      <w:keepNext/>
      <w:numPr>
        <w:ilvl w:val="1"/>
        <w:numId w:val="45"/>
      </w:numPr>
      <w:spacing w:before="120" w:after="120" w:line="240" w:lineRule="auto"/>
      <w:jc w:val="both"/>
      <w:outlineLvl w:val="1"/>
    </w:pPr>
    <w:rPr>
      <w:rFonts w:ascii="Times New Roman" w:eastAsiaTheme="majorEastAsia" w:hAnsi="Times New Roman" w:cs="Times New Roman"/>
      <w:b/>
      <w:bCs/>
      <w:sz w:val="24"/>
      <w:szCs w:val="26"/>
    </w:rPr>
  </w:style>
  <w:style w:type="paragraph" w:styleId="Heading3">
    <w:name w:val="heading 3"/>
    <w:basedOn w:val="Normal"/>
    <w:next w:val="Text1"/>
    <w:link w:val="Heading3Char"/>
    <w:uiPriority w:val="9"/>
    <w:semiHidden/>
    <w:unhideWhenUsed/>
    <w:qFormat/>
    <w:rsid w:val="00D45A17"/>
    <w:pPr>
      <w:keepNext/>
      <w:numPr>
        <w:ilvl w:val="2"/>
        <w:numId w:val="45"/>
      </w:numPr>
      <w:spacing w:before="120" w:after="120" w:line="240" w:lineRule="auto"/>
      <w:jc w:val="both"/>
      <w:outlineLvl w:val="2"/>
    </w:pPr>
    <w:rPr>
      <w:rFonts w:ascii="Times New Roman" w:eastAsiaTheme="majorEastAsia" w:hAnsi="Times New Roman" w:cs="Times New Roman"/>
      <w:bCs/>
      <w:i/>
      <w:sz w:val="24"/>
    </w:rPr>
  </w:style>
  <w:style w:type="paragraph" w:styleId="Heading4">
    <w:name w:val="heading 4"/>
    <w:basedOn w:val="Normal"/>
    <w:next w:val="Text1"/>
    <w:link w:val="Heading4Char"/>
    <w:uiPriority w:val="9"/>
    <w:semiHidden/>
    <w:unhideWhenUsed/>
    <w:qFormat/>
    <w:rsid w:val="00D45A17"/>
    <w:pPr>
      <w:keepNext/>
      <w:numPr>
        <w:ilvl w:val="3"/>
        <w:numId w:val="45"/>
      </w:numPr>
      <w:spacing w:before="120" w:after="120" w:line="240" w:lineRule="auto"/>
      <w:jc w:val="both"/>
      <w:outlineLvl w:val="3"/>
    </w:pPr>
    <w:rPr>
      <w:rFonts w:ascii="Times New Roman" w:eastAsiaTheme="majorEastAsia" w:hAnsi="Times New Roman" w:cs="Times New Roman"/>
      <w:bCs/>
      <w:iCs/>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arker">
    <w:name w:val="Marker"/>
    <w:basedOn w:val="DefaultParagraphFont"/>
    <w:rsid w:val="00D45A17"/>
    <w:rPr>
      <w:color w:val="0000FF"/>
      <w:shd w:val="clear" w:color="auto" w:fill="auto"/>
    </w:rPr>
  </w:style>
  <w:style w:type="paragraph" w:customStyle="1" w:styleId="Pagedecouverture">
    <w:name w:val="Page de couverture"/>
    <w:basedOn w:val="Normal"/>
    <w:next w:val="Normal"/>
    <w:rsid w:val="00D45A17"/>
    <w:pPr>
      <w:spacing w:after="0" w:line="240" w:lineRule="auto"/>
      <w:jc w:val="both"/>
    </w:pPr>
    <w:rPr>
      <w:rFonts w:ascii="Times New Roman" w:hAnsi="Times New Roman" w:cs="Times New Roman"/>
      <w:sz w:val="24"/>
    </w:rPr>
  </w:style>
  <w:style w:type="paragraph" w:styleId="Header">
    <w:name w:val="header"/>
    <w:basedOn w:val="Normal"/>
    <w:link w:val="HeaderChar"/>
    <w:uiPriority w:val="99"/>
    <w:unhideWhenUsed/>
    <w:rsid w:val="00D45A17"/>
    <w:pPr>
      <w:tabs>
        <w:tab w:val="center" w:pos="4513"/>
        <w:tab w:val="right" w:pos="9026"/>
      </w:tabs>
      <w:spacing w:after="0" w:line="240" w:lineRule="auto"/>
    </w:pPr>
  </w:style>
  <w:style w:type="character" w:customStyle="1" w:styleId="HeaderChar">
    <w:name w:val="Header Char"/>
    <w:basedOn w:val="DefaultParagraphFont"/>
    <w:link w:val="Header"/>
    <w:uiPriority w:val="99"/>
    <w:rsid w:val="00D45A17"/>
  </w:style>
  <w:style w:type="paragraph" w:styleId="Footer">
    <w:name w:val="footer"/>
    <w:basedOn w:val="Normal"/>
    <w:link w:val="FooterChar"/>
    <w:uiPriority w:val="99"/>
    <w:unhideWhenUsed/>
    <w:rsid w:val="00D45A17"/>
    <w:pPr>
      <w:tabs>
        <w:tab w:val="center" w:pos="4513"/>
        <w:tab w:val="right" w:pos="9026"/>
      </w:tabs>
      <w:spacing w:after="0" w:line="240" w:lineRule="auto"/>
    </w:pPr>
  </w:style>
  <w:style w:type="character" w:customStyle="1" w:styleId="FooterChar">
    <w:name w:val="Footer Char"/>
    <w:basedOn w:val="DefaultParagraphFont"/>
    <w:link w:val="Footer"/>
    <w:uiPriority w:val="99"/>
    <w:rsid w:val="00D45A17"/>
  </w:style>
  <w:style w:type="paragraph" w:customStyle="1" w:styleId="FooterCoverPage">
    <w:name w:val="Footer Cover Page"/>
    <w:basedOn w:val="Normal"/>
    <w:link w:val="FooterCoverPageChar"/>
    <w:rsid w:val="00D45A17"/>
    <w:pPr>
      <w:tabs>
        <w:tab w:val="center" w:pos="4535"/>
        <w:tab w:val="right" w:pos="9071"/>
        <w:tab w:val="right" w:pos="9921"/>
      </w:tabs>
      <w:spacing w:before="360" w:after="0" w:line="240" w:lineRule="auto"/>
      <w:ind w:left="-850" w:right="-850"/>
    </w:pPr>
    <w:rPr>
      <w:rFonts w:ascii="Times New Roman" w:hAnsi="Times New Roman" w:cs="Times New Roman"/>
      <w:sz w:val="24"/>
    </w:rPr>
  </w:style>
  <w:style w:type="character" w:customStyle="1" w:styleId="FooterCoverPageChar">
    <w:name w:val="Footer Cover Page Char"/>
    <w:basedOn w:val="DefaultParagraphFont"/>
    <w:link w:val="FooterCoverPage"/>
    <w:rsid w:val="00D45A17"/>
    <w:rPr>
      <w:rFonts w:ascii="Times New Roman" w:hAnsi="Times New Roman" w:cs="Times New Roman"/>
      <w:sz w:val="24"/>
    </w:rPr>
  </w:style>
  <w:style w:type="paragraph" w:customStyle="1" w:styleId="FooterSensitivity">
    <w:name w:val="Footer Sensitivity"/>
    <w:basedOn w:val="Normal"/>
    <w:link w:val="FooterSensitivityChar"/>
    <w:rsid w:val="00D45A17"/>
    <w:pPr>
      <w:pBdr>
        <w:top w:val="single" w:sz="4" w:space="1" w:color="auto"/>
        <w:left w:val="single" w:sz="4" w:space="4" w:color="auto"/>
        <w:bottom w:val="single" w:sz="4" w:space="1" w:color="auto"/>
        <w:right w:val="single" w:sz="4" w:space="4" w:color="auto"/>
      </w:pBdr>
      <w:spacing w:before="360" w:after="0" w:line="240" w:lineRule="auto"/>
      <w:ind w:left="113" w:right="113"/>
      <w:jc w:val="center"/>
    </w:pPr>
    <w:rPr>
      <w:rFonts w:ascii="Times New Roman" w:hAnsi="Times New Roman" w:cs="Times New Roman"/>
      <w:b/>
      <w:sz w:val="32"/>
    </w:rPr>
  </w:style>
  <w:style w:type="character" w:customStyle="1" w:styleId="FooterSensitivityChar">
    <w:name w:val="Footer Sensitivity Char"/>
    <w:basedOn w:val="DefaultParagraphFont"/>
    <w:link w:val="FooterSensitivity"/>
    <w:rsid w:val="00D45A17"/>
    <w:rPr>
      <w:rFonts w:ascii="Times New Roman" w:hAnsi="Times New Roman" w:cs="Times New Roman"/>
      <w:b/>
      <w:sz w:val="32"/>
    </w:rPr>
  </w:style>
  <w:style w:type="paragraph" w:customStyle="1" w:styleId="HeaderCoverPage">
    <w:name w:val="Header Cover Page"/>
    <w:basedOn w:val="Normal"/>
    <w:link w:val="HeaderCoverPageChar"/>
    <w:rsid w:val="00D45A17"/>
    <w:pPr>
      <w:tabs>
        <w:tab w:val="center" w:pos="4535"/>
        <w:tab w:val="right" w:pos="9071"/>
      </w:tabs>
      <w:spacing w:after="120" w:line="240" w:lineRule="auto"/>
      <w:jc w:val="both"/>
    </w:pPr>
    <w:rPr>
      <w:rFonts w:ascii="Times New Roman" w:hAnsi="Times New Roman" w:cs="Times New Roman"/>
      <w:sz w:val="24"/>
    </w:rPr>
  </w:style>
  <w:style w:type="character" w:customStyle="1" w:styleId="HeaderCoverPageChar">
    <w:name w:val="Header Cover Page Char"/>
    <w:basedOn w:val="DefaultParagraphFont"/>
    <w:link w:val="HeaderCoverPage"/>
    <w:rsid w:val="00D45A17"/>
    <w:rPr>
      <w:rFonts w:ascii="Times New Roman" w:hAnsi="Times New Roman" w:cs="Times New Roman"/>
      <w:sz w:val="24"/>
    </w:rPr>
  </w:style>
  <w:style w:type="paragraph" w:customStyle="1" w:styleId="HeaderSensitivity">
    <w:name w:val="Header Sensitivity"/>
    <w:basedOn w:val="Normal"/>
    <w:link w:val="HeaderSensitivityChar"/>
    <w:rsid w:val="00D45A17"/>
    <w:pPr>
      <w:pBdr>
        <w:top w:val="single" w:sz="4" w:space="1" w:color="auto"/>
        <w:left w:val="single" w:sz="4" w:space="4" w:color="auto"/>
        <w:bottom w:val="single" w:sz="4" w:space="1" w:color="auto"/>
        <w:right w:val="single" w:sz="4" w:space="4" w:color="auto"/>
      </w:pBdr>
      <w:spacing w:after="120" w:line="240" w:lineRule="auto"/>
      <w:ind w:left="113" w:right="113"/>
      <w:jc w:val="center"/>
    </w:pPr>
    <w:rPr>
      <w:rFonts w:ascii="Times New Roman" w:hAnsi="Times New Roman" w:cs="Times New Roman"/>
      <w:b/>
      <w:sz w:val="32"/>
    </w:rPr>
  </w:style>
  <w:style w:type="character" w:customStyle="1" w:styleId="HeaderSensitivityChar">
    <w:name w:val="Header Sensitivity Char"/>
    <w:basedOn w:val="DefaultParagraphFont"/>
    <w:link w:val="HeaderSensitivity"/>
    <w:rsid w:val="00D45A17"/>
    <w:rPr>
      <w:rFonts w:ascii="Times New Roman" w:hAnsi="Times New Roman" w:cs="Times New Roman"/>
      <w:b/>
      <w:sz w:val="32"/>
    </w:rPr>
  </w:style>
  <w:style w:type="paragraph" w:customStyle="1" w:styleId="HeaderSensitivityRight">
    <w:name w:val="Header Sensitivity Right"/>
    <w:basedOn w:val="Normal"/>
    <w:link w:val="HeaderSensitivityRightChar"/>
    <w:rsid w:val="00525BBE"/>
    <w:pPr>
      <w:spacing w:after="120" w:line="240" w:lineRule="auto"/>
      <w:jc w:val="right"/>
    </w:pPr>
    <w:rPr>
      <w:rFonts w:ascii="Times New Roman" w:hAnsi="Times New Roman" w:cs="Times New Roman"/>
      <w:sz w:val="28"/>
    </w:rPr>
  </w:style>
  <w:style w:type="character" w:customStyle="1" w:styleId="HeaderSensitivityRightChar">
    <w:name w:val="Header Sensitivity Right Char"/>
    <w:basedOn w:val="DefaultParagraphFont"/>
    <w:link w:val="HeaderSensitivityRight"/>
    <w:rsid w:val="00D45A17"/>
    <w:rPr>
      <w:rFonts w:ascii="Times New Roman" w:hAnsi="Times New Roman" w:cs="Times New Roman"/>
      <w:sz w:val="28"/>
    </w:rPr>
  </w:style>
  <w:style w:type="character" w:customStyle="1" w:styleId="Heading1Char">
    <w:name w:val="Heading 1 Char"/>
    <w:basedOn w:val="DefaultParagraphFont"/>
    <w:link w:val="Heading1"/>
    <w:uiPriority w:val="9"/>
    <w:rsid w:val="00D45A17"/>
    <w:rPr>
      <w:rFonts w:ascii="Times New Roman" w:eastAsiaTheme="majorEastAsia" w:hAnsi="Times New Roman" w:cs="Times New Roman"/>
      <w:b/>
      <w:bCs/>
      <w:smallCaps/>
      <w:sz w:val="24"/>
      <w:szCs w:val="28"/>
    </w:rPr>
  </w:style>
  <w:style w:type="character" w:customStyle="1" w:styleId="Heading2Char">
    <w:name w:val="Heading 2 Char"/>
    <w:basedOn w:val="DefaultParagraphFont"/>
    <w:link w:val="Heading2"/>
    <w:uiPriority w:val="9"/>
    <w:semiHidden/>
    <w:rsid w:val="00D45A17"/>
    <w:rPr>
      <w:rFonts w:ascii="Times New Roman" w:eastAsiaTheme="majorEastAsia" w:hAnsi="Times New Roman" w:cs="Times New Roman"/>
      <w:b/>
      <w:bCs/>
      <w:sz w:val="24"/>
      <w:szCs w:val="26"/>
    </w:rPr>
  </w:style>
  <w:style w:type="character" w:customStyle="1" w:styleId="Heading3Char">
    <w:name w:val="Heading 3 Char"/>
    <w:basedOn w:val="DefaultParagraphFont"/>
    <w:link w:val="Heading3"/>
    <w:uiPriority w:val="9"/>
    <w:semiHidden/>
    <w:rsid w:val="00D45A17"/>
    <w:rPr>
      <w:rFonts w:ascii="Times New Roman" w:eastAsiaTheme="majorEastAsia" w:hAnsi="Times New Roman" w:cs="Times New Roman"/>
      <w:bCs/>
      <w:i/>
      <w:sz w:val="24"/>
    </w:rPr>
  </w:style>
  <w:style w:type="character" w:customStyle="1" w:styleId="Heading4Char">
    <w:name w:val="Heading 4 Char"/>
    <w:basedOn w:val="DefaultParagraphFont"/>
    <w:link w:val="Heading4"/>
    <w:uiPriority w:val="9"/>
    <w:semiHidden/>
    <w:rsid w:val="00D45A17"/>
    <w:rPr>
      <w:rFonts w:ascii="Times New Roman" w:eastAsiaTheme="majorEastAsia" w:hAnsi="Times New Roman" w:cs="Times New Roman"/>
      <w:bCs/>
      <w:iCs/>
      <w:sz w:val="24"/>
    </w:rPr>
  </w:style>
  <w:style w:type="numbering" w:customStyle="1" w:styleId="NoList1">
    <w:name w:val="No List1"/>
    <w:next w:val="NoList"/>
    <w:uiPriority w:val="99"/>
    <w:semiHidden/>
    <w:unhideWhenUsed/>
    <w:rsid w:val="00D45A17"/>
  </w:style>
  <w:style w:type="character" w:styleId="CommentReference">
    <w:name w:val="annotation reference"/>
    <w:basedOn w:val="DefaultParagraphFont"/>
    <w:uiPriority w:val="99"/>
    <w:semiHidden/>
    <w:unhideWhenUsed/>
    <w:rsid w:val="00D45A17"/>
    <w:rPr>
      <w:sz w:val="16"/>
      <w:szCs w:val="16"/>
    </w:rPr>
  </w:style>
  <w:style w:type="paragraph" w:styleId="CommentText">
    <w:name w:val="annotation text"/>
    <w:basedOn w:val="Normal"/>
    <w:link w:val="CommentTextChar"/>
    <w:uiPriority w:val="99"/>
    <w:unhideWhenUsed/>
    <w:rsid w:val="00D45A17"/>
    <w:pPr>
      <w:spacing w:before="120" w:after="120" w:line="240" w:lineRule="auto"/>
      <w:jc w:val="both"/>
    </w:pPr>
    <w:rPr>
      <w:rFonts w:ascii="Times New Roman" w:hAnsi="Times New Roman" w:cs="Times New Roman"/>
      <w:sz w:val="20"/>
      <w:szCs w:val="20"/>
    </w:rPr>
  </w:style>
  <w:style w:type="character" w:customStyle="1" w:styleId="CommentTextChar">
    <w:name w:val="Comment Text Char"/>
    <w:basedOn w:val="DefaultParagraphFont"/>
    <w:link w:val="CommentText"/>
    <w:uiPriority w:val="99"/>
    <w:rsid w:val="00D45A17"/>
    <w:rPr>
      <w:rFonts w:ascii="Times New Roman" w:hAnsi="Times New Roman" w:cs="Times New Roman"/>
      <w:sz w:val="20"/>
      <w:szCs w:val="20"/>
    </w:rPr>
  </w:style>
  <w:style w:type="paragraph" w:styleId="BalloonText">
    <w:name w:val="Balloon Text"/>
    <w:basedOn w:val="Normal"/>
    <w:link w:val="BalloonTextChar"/>
    <w:uiPriority w:val="99"/>
    <w:semiHidden/>
    <w:unhideWhenUsed/>
    <w:rsid w:val="00D45A17"/>
    <w:pPr>
      <w:spacing w:after="0" w:line="240" w:lineRule="auto"/>
      <w:jc w:val="both"/>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5A17"/>
    <w:rPr>
      <w:rFonts w:ascii="Segoe UI" w:hAnsi="Segoe UI" w:cs="Segoe UI"/>
      <w:sz w:val="18"/>
      <w:szCs w:val="18"/>
    </w:rPr>
  </w:style>
  <w:style w:type="paragraph" w:styleId="ListBullet">
    <w:name w:val="List Bullet"/>
    <w:basedOn w:val="Normal"/>
    <w:uiPriority w:val="99"/>
    <w:semiHidden/>
    <w:unhideWhenUsed/>
    <w:rsid w:val="00D45A17"/>
    <w:pPr>
      <w:numPr>
        <w:numId w:val="1"/>
      </w:numPr>
      <w:spacing w:before="120" w:after="120" w:line="240" w:lineRule="auto"/>
      <w:contextualSpacing/>
      <w:jc w:val="both"/>
    </w:pPr>
    <w:rPr>
      <w:rFonts w:ascii="Times New Roman" w:hAnsi="Times New Roman" w:cs="Times New Roman"/>
      <w:sz w:val="24"/>
    </w:rPr>
  </w:style>
  <w:style w:type="paragraph" w:styleId="ListBullet2">
    <w:name w:val="List Bullet 2"/>
    <w:basedOn w:val="Normal"/>
    <w:uiPriority w:val="99"/>
    <w:semiHidden/>
    <w:unhideWhenUsed/>
    <w:rsid w:val="00D45A17"/>
    <w:pPr>
      <w:numPr>
        <w:numId w:val="2"/>
      </w:numPr>
      <w:spacing w:before="120" w:after="120" w:line="240" w:lineRule="auto"/>
      <w:contextualSpacing/>
      <w:jc w:val="both"/>
    </w:pPr>
    <w:rPr>
      <w:rFonts w:ascii="Times New Roman" w:hAnsi="Times New Roman" w:cs="Times New Roman"/>
      <w:sz w:val="24"/>
    </w:rPr>
  </w:style>
  <w:style w:type="paragraph" w:styleId="ListBullet3">
    <w:name w:val="List Bullet 3"/>
    <w:basedOn w:val="Normal"/>
    <w:uiPriority w:val="99"/>
    <w:semiHidden/>
    <w:unhideWhenUsed/>
    <w:rsid w:val="00D45A17"/>
    <w:pPr>
      <w:numPr>
        <w:numId w:val="3"/>
      </w:numPr>
      <w:spacing w:before="120" w:after="120" w:line="240" w:lineRule="auto"/>
      <w:contextualSpacing/>
      <w:jc w:val="both"/>
    </w:pPr>
    <w:rPr>
      <w:rFonts w:ascii="Times New Roman" w:hAnsi="Times New Roman" w:cs="Times New Roman"/>
      <w:sz w:val="24"/>
    </w:rPr>
  </w:style>
  <w:style w:type="paragraph" w:styleId="ListBullet4">
    <w:name w:val="List Bullet 4"/>
    <w:basedOn w:val="Normal"/>
    <w:uiPriority w:val="99"/>
    <w:semiHidden/>
    <w:unhideWhenUsed/>
    <w:rsid w:val="00D45A17"/>
    <w:pPr>
      <w:numPr>
        <w:numId w:val="4"/>
      </w:numPr>
      <w:spacing w:before="120" w:after="120" w:line="240" w:lineRule="auto"/>
      <w:contextualSpacing/>
      <w:jc w:val="both"/>
    </w:pPr>
    <w:rPr>
      <w:rFonts w:ascii="Times New Roman" w:hAnsi="Times New Roman" w:cs="Times New Roman"/>
      <w:sz w:val="24"/>
    </w:rPr>
  </w:style>
  <w:style w:type="paragraph" w:styleId="ListParagraph">
    <w:name w:val="List Paragraph"/>
    <w:basedOn w:val="Normal"/>
    <w:uiPriority w:val="34"/>
    <w:qFormat/>
    <w:rsid w:val="00D45A17"/>
    <w:pPr>
      <w:spacing w:after="160" w:line="259" w:lineRule="auto"/>
      <w:ind w:left="720"/>
      <w:contextualSpacing/>
    </w:pPr>
  </w:style>
  <w:style w:type="table" w:styleId="TableGrid">
    <w:name w:val="Table Grid"/>
    <w:basedOn w:val="TableNormal"/>
    <w:uiPriority w:val="39"/>
    <w:rsid w:val="00D45A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D45A17"/>
    <w:rPr>
      <w:b/>
      <w:bCs/>
    </w:rPr>
  </w:style>
  <w:style w:type="character" w:customStyle="1" w:styleId="CommentSubjectChar">
    <w:name w:val="Comment Subject Char"/>
    <w:basedOn w:val="CommentTextChar"/>
    <w:link w:val="CommentSubject"/>
    <w:uiPriority w:val="99"/>
    <w:semiHidden/>
    <w:rsid w:val="00D45A17"/>
    <w:rPr>
      <w:rFonts w:ascii="Times New Roman" w:hAnsi="Times New Roman" w:cs="Times New Roman"/>
      <w:b/>
      <w:bCs/>
      <w:sz w:val="20"/>
      <w:szCs w:val="20"/>
    </w:rPr>
  </w:style>
  <w:style w:type="paragraph" w:customStyle="1" w:styleId="Titreobjet">
    <w:name w:val="Titre objet"/>
    <w:basedOn w:val="Normal"/>
    <w:next w:val="IntrtEEE"/>
    <w:rsid w:val="00D45A17"/>
    <w:pPr>
      <w:spacing w:before="360" w:after="360" w:line="240" w:lineRule="auto"/>
      <w:jc w:val="center"/>
    </w:pPr>
    <w:rPr>
      <w:rFonts w:ascii="Times New Roman" w:hAnsi="Times New Roman" w:cs="Times New Roman"/>
      <w:b/>
      <w:sz w:val="24"/>
    </w:rPr>
  </w:style>
  <w:style w:type="paragraph" w:customStyle="1" w:styleId="TitreobjetPagedecouverture">
    <w:name w:val="Titre objet (Page de couverture)"/>
    <w:basedOn w:val="Titreobjet"/>
    <w:next w:val="IntrtEEEPagedecouverture"/>
    <w:rsid w:val="00D45A17"/>
  </w:style>
  <w:style w:type="paragraph" w:styleId="Caption">
    <w:name w:val="caption"/>
    <w:basedOn w:val="Normal"/>
    <w:next w:val="Normal"/>
    <w:uiPriority w:val="35"/>
    <w:semiHidden/>
    <w:unhideWhenUsed/>
    <w:qFormat/>
    <w:rsid w:val="00D45A17"/>
    <w:pPr>
      <w:spacing w:line="240" w:lineRule="auto"/>
      <w:jc w:val="both"/>
    </w:pPr>
    <w:rPr>
      <w:rFonts w:ascii="Times New Roman" w:hAnsi="Times New Roman" w:cs="Times New Roman"/>
      <w:i/>
      <w:iCs/>
      <w:color w:val="1F497D" w:themeColor="text2"/>
      <w:sz w:val="18"/>
      <w:szCs w:val="18"/>
    </w:rPr>
  </w:style>
  <w:style w:type="paragraph" w:styleId="TableofFigures">
    <w:name w:val="table of figures"/>
    <w:basedOn w:val="Normal"/>
    <w:next w:val="Normal"/>
    <w:uiPriority w:val="99"/>
    <w:semiHidden/>
    <w:unhideWhenUsed/>
    <w:rsid w:val="00D45A17"/>
    <w:pPr>
      <w:spacing w:before="120" w:after="0" w:line="240" w:lineRule="auto"/>
      <w:jc w:val="both"/>
    </w:pPr>
    <w:rPr>
      <w:rFonts w:ascii="Times New Roman" w:hAnsi="Times New Roman" w:cs="Times New Roman"/>
      <w:sz w:val="24"/>
    </w:rPr>
  </w:style>
  <w:style w:type="paragraph" w:styleId="ListNumber">
    <w:name w:val="List Number"/>
    <w:basedOn w:val="Normal"/>
    <w:uiPriority w:val="99"/>
    <w:semiHidden/>
    <w:unhideWhenUsed/>
    <w:rsid w:val="00D45A17"/>
    <w:pPr>
      <w:numPr>
        <w:numId w:val="5"/>
      </w:numPr>
      <w:spacing w:before="120" w:after="120" w:line="240" w:lineRule="auto"/>
      <w:contextualSpacing/>
      <w:jc w:val="both"/>
    </w:pPr>
    <w:rPr>
      <w:rFonts w:ascii="Times New Roman" w:hAnsi="Times New Roman" w:cs="Times New Roman"/>
      <w:sz w:val="24"/>
    </w:rPr>
  </w:style>
  <w:style w:type="paragraph" w:styleId="ListNumber2">
    <w:name w:val="List Number 2"/>
    <w:basedOn w:val="Normal"/>
    <w:uiPriority w:val="99"/>
    <w:semiHidden/>
    <w:unhideWhenUsed/>
    <w:rsid w:val="00D45A17"/>
    <w:pPr>
      <w:numPr>
        <w:numId w:val="6"/>
      </w:numPr>
      <w:spacing w:before="120" w:after="120" w:line="240" w:lineRule="auto"/>
      <w:contextualSpacing/>
      <w:jc w:val="both"/>
    </w:pPr>
    <w:rPr>
      <w:rFonts w:ascii="Times New Roman" w:hAnsi="Times New Roman" w:cs="Times New Roman"/>
      <w:sz w:val="24"/>
    </w:rPr>
  </w:style>
  <w:style w:type="paragraph" w:styleId="ListNumber3">
    <w:name w:val="List Number 3"/>
    <w:basedOn w:val="Normal"/>
    <w:uiPriority w:val="99"/>
    <w:semiHidden/>
    <w:unhideWhenUsed/>
    <w:rsid w:val="00D45A17"/>
    <w:pPr>
      <w:numPr>
        <w:numId w:val="7"/>
      </w:numPr>
      <w:spacing w:before="120" w:after="120" w:line="240" w:lineRule="auto"/>
      <w:contextualSpacing/>
      <w:jc w:val="both"/>
    </w:pPr>
    <w:rPr>
      <w:rFonts w:ascii="Times New Roman" w:hAnsi="Times New Roman" w:cs="Times New Roman"/>
      <w:sz w:val="24"/>
    </w:rPr>
  </w:style>
  <w:style w:type="paragraph" w:styleId="ListNumber4">
    <w:name w:val="List Number 4"/>
    <w:basedOn w:val="Normal"/>
    <w:uiPriority w:val="99"/>
    <w:semiHidden/>
    <w:unhideWhenUsed/>
    <w:rsid w:val="00D45A17"/>
    <w:pPr>
      <w:numPr>
        <w:numId w:val="8"/>
      </w:numPr>
      <w:spacing w:before="120" w:after="120" w:line="240" w:lineRule="auto"/>
      <w:contextualSpacing/>
      <w:jc w:val="both"/>
    </w:pPr>
    <w:rPr>
      <w:rFonts w:ascii="Times New Roman" w:hAnsi="Times New Roman" w:cs="Times New Roman"/>
      <w:sz w:val="24"/>
    </w:rPr>
  </w:style>
  <w:style w:type="character" w:styleId="Hyperlink">
    <w:name w:val="Hyperlink"/>
    <w:basedOn w:val="DefaultParagraphFont"/>
    <w:uiPriority w:val="99"/>
    <w:unhideWhenUsed/>
    <w:rsid w:val="00D45A17"/>
    <w:rPr>
      <w:color w:val="0000FF" w:themeColor="hyperlink"/>
      <w:u w:val="single"/>
    </w:rPr>
  </w:style>
  <w:style w:type="paragraph" w:customStyle="1" w:styleId="Normal1">
    <w:name w:val="Normal1"/>
    <w:basedOn w:val="Normal"/>
    <w:rsid w:val="00D45A17"/>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D45A17"/>
    <w:rPr>
      <w:i/>
      <w:iCs/>
    </w:rPr>
  </w:style>
  <w:style w:type="paragraph" w:styleId="FootnoteText">
    <w:name w:val="footnote text"/>
    <w:basedOn w:val="Normal"/>
    <w:link w:val="FootnoteTextChar"/>
    <w:uiPriority w:val="99"/>
    <w:semiHidden/>
    <w:unhideWhenUsed/>
    <w:rsid w:val="00D45A17"/>
    <w:pPr>
      <w:spacing w:after="0" w:line="240" w:lineRule="auto"/>
      <w:ind w:left="720" w:hanging="720"/>
      <w:jc w:val="both"/>
    </w:pPr>
    <w:rPr>
      <w:rFonts w:ascii="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D45A17"/>
    <w:rPr>
      <w:rFonts w:ascii="Times New Roman" w:hAnsi="Times New Roman" w:cs="Times New Roman"/>
      <w:sz w:val="20"/>
      <w:szCs w:val="20"/>
    </w:rPr>
  </w:style>
  <w:style w:type="paragraph" w:styleId="TOCHeading">
    <w:name w:val="TOC Heading"/>
    <w:basedOn w:val="Normal"/>
    <w:next w:val="Normal"/>
    <w:uiPriority w:val="39"/>
    <w:semiHidden/>
    <w:unhideWhenUsed/>
    <w:qFormat/>
    <w:rsid w:val="00D45A17"/>
    <w:pPr>
      <w:spacing w:before="120" w:after="240" w:line="240" w:lineRule="auto"/>
      <w:jc w:val="center"/>
    </w:pPr>
    <w:rPr>
      <w:rFonts w:ascii="Times New Roman" w:hAnsi="Times New Roman" w:cs="Times New Roman"/>
      <w:b/>
      <w:sz w:val="28"/>
    </w:rPr>
  </w:style>
  <w:style w:type="paragraph" w:styleId="TOC1">
    <w:name w:val="toc 1"/>
    <w:basedOn w:val="Normal"/>
    <w:next w:val="Normal"/>
    <w:uiPriority w:val="39"/>
    <w:semiHidden/>
    <w:unhideWhenUsed/>
    <w:rsid w:val="00D45A17"/>
    <w:pPr>
      <w:tabs>
        <w:tab w:val="right" w:leader="dot" w:pos="9071"/>
      </w:tabs>
      <w:spacing w:before="60" w:after="120" w:line="240" w:lineRule="auto"/>
      <w:ind w:left="850" w:hanging="850"/>
    </w:pPr>
    <w:rPr>
      <w:rFonts w:ascii="Times New Roman" w:hAnsi="Times New Roman" w:cs="Times New Roman"/>
      <w:sz w:val="24"/>
    </w:rPr>
  </w:style>
  <w:style w:type="paragraph" w:styleId="TOC2">
    <w:name w:val="toc 2"/>
    <w:basedOn w:val="Normal"/>
    <w:next w:val="Normal"/>
    <w:uiPriority w:val="39"/>
    <w:semiHidden/>
    <w:unhideWhenUsed/>
    <w:rsid w:val="00D45A17"/>
    <w:pPr>
      <w:tabs>
        <w:tab w:val="right" w:leader="dot" w:pos="9071"/>
      </w:tabs>
      <w:spacing w:before="60" w:after="120" w:line="240" w:lineRule="auto"/>
      <w:ind w:left="850" w:hanging="850"/>
    </w:pPr>
    <w:rPr>
      <w:rFonts w:ascii="Times New Roman" w:hAnsi="Times New Roman" w:cs="Times New Roman"/>
      <w:sz w:val="24"/>
    </w:rPr>
  </w:style>
  <w:style w:type="paragraph" w:styleId="TOC3">
    <w:name w:val="toc 3"/>
    <w:basedOn w:val="Normal"/>
    <w:next w:val="Normal"/>
    <w:uiPriority w:val="39"/>
    <w:semiHidden/>
    <w:unhideWhenUsed/>
    <w:rsid w:val="00D45A17"/>
    <w:pPr>
      <w:tabs>
        <w:tab w:val="right" w:leader="dot" w:pos="9071"/>
      </w:tabs>
      <w:spacing w:before="60" w:after="120" w:line="240" w:lineRule="auto"/>
      <w:ind w:left="850" w:hanging="850"/>
    </w:pPr>
    <w:rPr>
      <w:rFonts w:ascii="Times New Roman" w:hAnsi="Times New Roman" w:cs="Times New Roman"/>
      <w:sz w:val="24"/>
    </w:rPr>
  </w:style>
  <w:style w:type="paragraph" w:styleId="TOC4">
    <w:name w:val="toc 4"/>
    <w:basedOn w:val="Normal"/>
    <w:next w:val="Normal"/>
    <w:uiPriority w:val="39"/>
    <w:semiHidden/>
    <w:unhideWhenUsed/>
    <w:rsid w:val="00D45A17"/>
    <w:pPr>
      <w:tabs>
        <w:tab w:val="right" w:leader="dot" w:pos="9071"/>
      </w:tabs>
      <w:spacing w:before="60" w:after="120" w:line="240" w:lineRule="auto"/>
      <w:ind w:left="850" w:hanging="850"/>
    </w:pPr>
    <w:rPr>
      <w:rFonts w:ascii="Times New Roman" w:hAnsi="Times New Roman" w:cs="Times New Roman"/>
      <w:sz w:val="24"/>
    </w:rPr>
  </w:style>
  <w:style w:type="paragraph" w:styleId="TOC5">
    <w:name w:val="toc 5"/>
    <w:basedOn w:val="Normal"/>
    <w:next w:val="Normal"/>
    <w:uiPriority w:val="39"/>
    <w:semiHidden/>
    <w:unhideWhenUsed/>
    <w:rsid w:val="00D45A17"/>
    <w:pPr>
      <w:tabs>
        <w:tab w:val="right" w:leader="dot" w:pos="9071"/>
      </w:tabs>
      <w:spacing w:before="300" w:after="120" w:line="240" w:lineRule="auto"/>
    </w:pPr>
    <w:rPr>
      <w:rFonts w:ascii="Times New Roman" w:hAnsi="Times New Roman" w:cs="Times New Roman"/>
      <w:sz w:val="24"/>
    </w:rPr>
  </w:style>
  <w:style w:type="paragraph" w:styleId="TOC6">
    <w:name w:val="toc 6"/>
    <w:basedOn w:val="Normal"/>
    <w:next w:val="Normal"/>
    <w:uiPriority w:val="39"/>
    <w:semiHidden/>
    <w:unhideWhenUsed/>
    <w:rsid w:val="00D45A17"/>
    <w:pPr>
      <w:tabs>
        <w:tab w:val="right" w:leader="dot" w:pos="9071"/>
      </w:tabs>
      <w:spacing w:before="240" w:after="120" w:line="240" w:lineRule="auto"/>
    </w:pPr>
    <w:rPr>
      <w:rFonts w:ascii="Times New Roman" w:hAnsi="Times New Roman" w:cs="Times New Roman"/>
      <w:sz w:val="24"/>
    </w:rPr>
  </w:style>
  <w:style w:type="paragraph" w:styleId="TOC7">
    <w:name w:val="toc 7"/>
    <w:basedOn w:val="Normal"/>
    <w:next w:val="Normal"/>
    <w:uiPriority w:val="39"/>
    <w:semiHidden/>
    <w:unhideWhenUsed/>
    <w:rsid w:val="00D45A17"/>
    <w:pPr>
      <w:tabs>
        <w:tab w:val="right" w:leader="dot" w:pos="9071"/>
      </w:tabs>
      <w:spacing w:before="180" w:after="120" w:line="240" w:lineRule="auto"/>
    </w:pPr>
    <w:rPr>
      <w:rFonts w:ascii="Times New Roman" w:hAnsi="Times New Roman" w:cs="Times New Roman"/>
      <w:sz w:val="24"/>
    </w:rPr>
  </w:style>
  <w:style w:type="paragraph" w:styleId="TOC8">
    <w:name w:val="toc 8"/>
    <w:basedOn w:val="Normal"/>
    <w:next w:val="Normal"/>
    <w:uiPriority w:val="39"/>
    <w:semiHidden/>
    <w:unhideWhenUsed/>
    <w:rsid w:val="00D45A17"/>
    <w:pPr>
      <w:tabs>
        <w:tab w:val="right" w:leader="dot" w:pos="9071"/>
      </w:tabs>
      <w:spacing w:before="120" w:after="120" w:line="240" w:lineRule="auto"/>
    </w:pPr>
    <w:rPr>
      <w:rFonts w:ascii="Times New Roman" w:hAnsi="Times New Roman" w:cs="Times New Roman"/>
      <w:sz w:val="24"/>
    </w:rPr>
  </w:style>
  <w:style w:type="paragraph" w:styleId="TOC9">
    <w:name w:val="toc 9"/>
    <w:basedOn w:val="Normal"/>
    <w:next w:val="Normal"/>
    <w:uiPriority w:val="39"/>
    <w:semiHidden/>
    <w:unhideWhenUsed/>
    <w:rsid w:val="00D45A17"/>
    <w:pPr>
      <w:tabs>
        <w:tab w:val="right" w:leader="dot" w:pos="9071"/>
      </w:tabs>
      <w:spacing w:before="120" w:after="120" w:line="240" w:lineRule="auto"/>
      <w:jc w:val="both"/>
    </w:pPr>
    <w:rPr>
      <w:rFonts w:ascii="Times New Roman" w:hAnsi="Times New Roman" w:cs="Times New Roman"/>
      <w:sz w:val="24"/>
    </w:rPr>
  </w:style>
  <w:style w:type="paragraph" w:customStyle="1" w:styleId="HeaderLandscape">
    <w:name w:val="HeaderLandscape"/>
    <w:basedOn w:val="Normal"/>
    <w:rsid w:val="00D45A17"/>
    <w:pPr>
      <w:tabs>
        <w:tab w:val="center" w:pos="7285"/>
        <w:tab w:val="right" w:pos="14003"/>
      </w:tabs>
      <w:spacing w:after="120" w:line="240" w:lineRule="auto"/>
      <w:jc w:val="both"/>
    </w:pPr>
    <w:rPr>
      <w:rFonts w:ascii="Times New Roman" w:hAnsi="Times New Roman" w:cs="Times New Roman"/>
      <w:sz w:val="24"/>
    </w:rPr>
  </w:style>
  <w:style w:type="paragraph" w:customStyle="1" w:styleId="FooterLandscape">
    <w:name w:val="FooterLandscape"/>
    <w:basedOn w:val="Normal"/>
    <w:rsid w:val="00D45A17"/>
    <w:pPr>
      <w:tabs>
        <w:tab w:val="center" w:pos="7285"/>
        <w:tab w:val="center" w:pos="10913"/>
        <w:tab w:val="right" w:pos="15137"/>
      </w:tabs>
      <w:spacing w:before="360" w:after="0" w:line="240" w:lineRule="auto"/>
      <w:ind w:left="-567" w:right="-567"/>
    </w:pPr>
    <w:rPr>
      <w:rFonts w:ascii="Times New Roman" w:hAnsi="Times New Roman" w:cs="Times New Roman"/>
      <w:sz w:val="24"/>
    </w:rPr>
  </w:style>
  <w:style w:type="character" w:styleId="FootnoteReference">
    <w:name w:val="footnote reference"/>
    <w:basedOn w:val="DefaultParagraphFont"/>
    <w:uiPriority w:val="99"/>
    <w:semiHidden/>
    <w:unhideWhenUsed/>
    <w:rsid w:val="00D45A17"/>
    <w:rPr>
      <w:shd w:val="clear" w:color="auto" w:fill="auto"/>
      <w:vertAlign w:val="superscript"/>
    </w:rPr>
  </w:style>
  <w:style w:type="paragraph" w:customStyle="1" w:styleId="Text1">
    <w:name w:val="Text 1"/>
    <w:basedOn w:val="Normal"/>
    <w:rsid w:val="00D45A17"/>
    <w:pPr>
      <w:spacing w:before="120" w:after="120" w:line="240" w:lineRule="auto"/>
      <w:ind w:left="850"/>
      <w:jc w:val="both"/>
    </w:pPr>
    <w:rPr>
      <w:rFonts w:ascii="Times New Roman" w:hAnsi="Times New Roman" w:cs="Times New Roman"/>
      <w:sz w:val="24"/>
    </w:rPr>
  </w:style>
  <w:style w:type="paragraph" w:customStyle="1" w:styleId="Text2">
    <w:name w:val="Text 2"/>
    <w:basedOn w:val="Normal"/>
    <w:rsid w:val="00D45A17"/>
    <w:pPr>
      <w:spacing w:before="120" w:after="120" w:line="240" w:lineRule="auto"/>
      <w:ind w:left="1417"/>
      <w:jc w:val="both"/>
    </w:pPr>
    <w:rPr>
      <w:rFonts w:ascii="Times New Roman" w:hAnsi="Times New Roman" w:cs="Times New Roman"/>
      <w:sz w:val="24"/>
    </w:rPr>
  </w:style>
  <w:style w:type="paragraph" w:customStyle="1" w:styleId="Text3">
    <w:name w:val="Text 3"/>
    <w:basedOn w:val="Normal"/>
    <w:rsid w:val="00D45A17"/>
    <w:pPr>
      <w:spacing w:before="120" w:after="120" w:line="240" w:lineRule="auto"/>
      <w:ind w:left="1984"/>
      <w:jc w:val="both"/>
    </w:pPr>
    <w:rPr>
      <w:rFonts w:ascii="Times New Roman" w:hAnsi="Times New Roman" w:cs="Times New Roman"/>
      <w:sz w:val="24"/>
    </w:rPr>
  </w:style>
  <w:style w:type="paragraph" w:customStyle="1" w:styleId="Text4">
    <w:name w:val="Text 4"/>
    <w:basedOn w:val="Normal"/>
    <w:rsid w:val="00D45A17"/>
    <w:pPr>
      <w:spacing w:before="120" w:after="120" w:line="240" w:lineRule="auto"/>
      <w:ind w:left="2551"/>
      <w:jc w:val="both"/>
    </w:pPr>
    <w:rPr>
      <w:rFonts w:ascii="Times New Roman" w:hAnsi="Times New Roman" w:cs="Times New Roman"/>
      <w:sz w:val="24"/>
    </w:rPr>
  </w:style>
  <w:style w:type="paragraph" w:customStyle="1" w:styleId="NormalCentered">
    <w:name w:val="Normal Centered"/>
    <w:basedOn w:val="Normal"/>
    <w:rsid w:val="00D45A17"/>
    <w:pPr>
      <w:spacing w:before="120" w:after="120" w:line="240" w:lineRule="auto"/>
      <w:jc w:val="center"/>
    </w:pPr>
    <w:rPr>
      <w:rFonts w:ascii="Times New Roman" w:hAnsi="Times New Roman" w:cs="Times New Roman"/>
      <w:sz w:val="24"/>
    </w:rPr>
  </w:style>
  <w:style w:type="paragraph" w:customStyle="1" w:styleId="NormalLeft">
    <w:name w:val="Normal Left"/>
    <w:basedOn w:val="Normal"/>
    <w:rsid w:val="00D45A17"/>
    <w:pPr>
      <w:spacing w:before="120" w:after="120" w:line="240" w:lineRule="auto"/>
    </w:pPr>
    <w:rPr>
      <w:rFonts w:ascii="Times New Roman" w:hAnsi="Times New Roman" w:cs="Times New Roman"/>
      <w:sz w:val="24"/>
    </w:rPr>
  </w:style>
  <w:style w:type="paragraph" w:customStyle="1" w:styleId="NormalRight">
    <w:name w:val="Normal Right"/>
    <w:basedOn w:val="Normal"/>
    <w:rsid w:val="00D45A17"/>
    <w:pPr>
      <w:spacing w:before="120" w:after="120" w:line="240" w:lineRule="auto"/>
      <w:jc w:val="right"/>
    </w:pPr>
    <w:rPr>
      <w:rFonts w:ascii="Times New Roman" w:hAnsi="Times New Roman" w:cs="Times New Roman"/>
      <w:sz w:val="24"/>
    </w:rPr>
  </w:style>
  <w:style w:type="paragraph" w:customStyle="1" w:styleId="QuotedText">
    <w:name w:val="Quoted Text"/>
    <w:basedOn w:val="Normal"/>
    <w:rsid w:val="00D45A17"/>
    <w:pPr>
      <w:spacing w:before="120" w:after="120" w:line="240" w:lineRule="auto"/>
      <w:ind w:left="1417"/>
      <w:jc w:val="both"/>
    </w:pPr>
    <w:rPr>
      <w:rFonts w:ascii="Times New Roman" w:hAnsi="Times New Roman" w:cs="Times New Roman"/>
      <w:sz w:val="24"/>
    </w:rPr>
  </w:style>
  <w:style w:type="paragraph" w:customStyle="1" w:styleId="Point0">
    <w:name w:val="Point 0"/>
    <w:basedOn w:val="Normal"/>
    <w:rsid w:val="00D45A17"/>
    <w:pPr>
      <w:spacing w:before="120" w:after="120" w:line="240" w:lineRule="auto"/>
      <w:ind w:left="850" w:hanging="850"/>
      <w:jc w:val="both"/>
    </w:pPr>
    <w:rPr>
      <w:rFonts w:ascii="Times New Roman" w:hAnsi="Times New Roman" w:cs="Times New Roman"/>
      <w:sz w:val="24"/>
    </w:rPr>
  </w:style>
  <w:style w:type="paragraph" w:customStyle="1" w:styleId="Point1">
    <w:name w:val="Point 1"/>
    <w:basedOn w:val="Normal"/>
    <w:rsid w:val="00D45A17"/>
    <w:pPr>
      <w:spacing w:before="120" w:after="120" w:line="240" w:lineRule="auto"/>
      <w:ind w:left="1417" w:hanging="567"/>
      <w:jc w:val="both"/>
    </w:pPr>
    <w:rPr>
      <w:rFonts w:ascii="Times New Roman" w:hAnsi="Times New Roman" w:cs="Times New Roman"/>
      <w:sz w:val="24"/>
    </w:rPr>
  </w:style>
  <w:style w:type="paragraph" w:customStyle="1" w:styleId="Point2">
    <w:name w:val="Point 2"/>
    <w:basedOn w:val="Normal"/>
    <w:rsid w:val="00D45A17"/>
    <w:pPr>
      <w:spacing w:before="120" w:after="120" w:line="240" w:lineRule="auto"/>
      <w:ind w:left="1984" w:hanging="567"/>
      <w:jc w:val="both"/>
    </w:pPr>
    <w:rPr>
      <w:rFonts w:ascii="Times New Roman" w:hAnsi="Times New Roman" w:cs="Times New Roman"/>
      <w:sz w:val="24"/>
    </w:rPr>
  </w:style>
  <w:style w:type="paragraph" w:customStyle="1" w:styleId="Point3">
    <w:name w:val="Point 3"/>
    <w:basedOn w:val="Normal"/>
    <w:rsid w:val="00D45A17"/>
    <w:pPr>
      <w:spacing w:before="120" w:after="120" w:line="240" w:lineRule="auto"/>
      <w:ind w:left="2551" w:hanging="567"/>
      <w:jc w:val="both"/>
    </w:pPr>
    <w:rPr>
      <w:rFonts w:ascii="Times New Roman" w:hAnsi="Times New Roman" w:cs="Times New Roman"/>
      <w:sz w:val="24"/>
    </w:rPr>
  </w:style>
  <w:style w:type="paragraph" w:customStyle="1" w:styleId="Point4">
    <w:name w:val="Point 4"/>
    <w:basedOn w:val="Normal"/>
    <w:rsid w:val="00D45A17"/>
    <w:pPr>
      <w:spacing w:before="120" w:after="120" w:line="240" w:lineRule="auto"/>
      <w:ind w:left="3118" w:hanging="567"/>
      <w:jc w:val="both"/>
    </w:pPr>
    <w:rPr>
      <w:rFonts w:ascii="Times New Roman" w:hAnsi="Times New Roman" w:cs="Times New Roman"/>
      <w:sz w:val="24"/>
    </w:rPr>
  </w:style>
  <w:style w:type="paragraph" w:customStyle="1" w:styleId="Tiret0">
    <w:name w:val="Tiret 0"/>
    <w:basedOn w:val="Point0"/>
    <w:rsid w:val="00D45A17"/>
    <w:pPr>
      <w:numPr>
        <w:numId w:val="39"/>
      </w:numPr>
    </w:pPr>
  </w:style>
  <w:style w:type="paragraph" w:customStyle="1" w:styleId="Tiret1">
    <w:name w:val="Tiret 1"/>
    <w:basedOn w:val="Point1"/>
    <w:rsid w:val="00D45A17"/>
    <w:pPr>
      <w:numPr>
        <w:numId w:val="40"/>
      </w:numPr>
    </w:pPr>
  </w:style>
  <w:style w:type="paragraph" w:customStyle="1" w:styleId="Tiret2">
    <w:name w:val="Tiret 2"/>
    <w:basedOn w:val="Point2"/>
    <w:rsid w:val="00D45A17"/>
    <w:pPr>
      <w:numPr>
        <w:numId w:val="41"/>
      </w:numPr>
    </w:pPr>
  </w:style>
  <w:style w:type="paragraph" w:customStyle="1" w:styleId="Tiret3">
    <w:name w:val="Tiret 3"/>
    <w:basedOn w:val="Point3"/>
    <w:rsid w:val="00D45A17"/>
    <w:pPr>
      <w:numPr>
        <w:numId w:val="42"/>
      </w:numPr>
    </w:pPr>
  </w:style>
  <w:style w:type="paragraph" w:customStyle="1" w:styleId="Tiret4">
    <w:name w:val="Tiret 4"/>
    <w:basedOn w:val="Point4"/>
    <w:rsid w:val="00D45A17"/>
    <w:pPr>
      <w:numPr>
        <w:numId w:val="43"/>
      </w:numPr>
    </w:pPr>
  </w:style>
  <w:style w:type="paragraph" w:customStyle="1" w:styleId="PointDouble0">
    <w:name w:val="PointDouble 0"/>
    <w:basedOn w:val="Normal"/>
    <w:rsid w:val="00D45A17"/>
    <w:pPr>
      <w:tabs>
        <w:tab w:val="left" w:pos="850"/>
      </w:tabs>
      <w:spacing w:before="120" w:after="120" w:line="240" w:lineRule="auto"/>
      <w:ind w:left="1417" w:hanging="1417"/>
      <w:jc w:val="both"/>
    </w:pPr>
    <w:rPr>
      <w:rFonts w:ascii="Times New Roman" w:hAnsi="Times New Roman" w:cs="Times New Roman"/>
      <w:sz w:val="24"/>
    </w:rPr>
  </w:style>
  <w:style w:type="paragraph" w:customStyle="1" w:styleId="PointDouble1">
    <w:name w:val="PointDouble 1"/>
    <w:basedOn w:val="Normal"/>
    <w:rsid w:val="00D45A17"/>
    <w:pPr>
      <w:tabs>
        <w:tab w:val="left" w:pos="1417"/>
      </w:tabs>
      <w:spacing w:before="120" w:after="120" w:line="240" w:lineRule="auto"/>
      <w:ind w:left="1984" w:hanging="1134"/>
      <w:jc w:val="both"/>
    </w:pPr>
    <w:rPr>
      <w:rFonts w:ascii="Times New Roman" w:hAnsi="Times New Roman" w:cs="Times New Roman"/>
      <w:sz w:val="24"/>
    </w:rPr>
  </w:style>
  <w:style w:type="paragraph" w:customStyle="1" w:styleId="PointDouble2">
    <w:name w:val="PointDouble 2"/>
    <w:basedOn w:val="Normal"/>
    <w:rsid w:val="00D45A17"/>
    <w:pPr>
      <w:tabs>
        <w:tab w:val="left" w:pos="1984"/>
      </w:tabs>
      <w:spacing w:before="120" w:after="120" w:line="240" w:lineRule="auto"/>
      <w:ind w:left="2551" w:hanging="1134"/>
      <w:jc w:val="both"/>
    </w:pPr>
    <w:rPr>
      <w:rFonts w:ascii="Times New Roman" w:hAnsi="Times New Roman" w:cs="Times New Roman"/>
      <w:sz w:val="24"/>
    </w:rPr>
  </w:style>
  <w:style w:type="paragraph" w:customStyle="1" w:styleId="PointDouble3">
    <w:name w:val="PointDouble 3"/>
    <w:basedOn w:val="Normal"/>
    <w:rsid w:val="00D45A17"/>
    <w:pPr>
      <w:tabs>
        <w:tab w:val="left" w:pos="2551"/>
      </w:tabs>
      <w:spacing w:before="120" w:after="120" w:line="240" w:lineRule="auto"/>
      <w:ind w:left="3118" w:hanging="1134"/>
      <w:jc w:val="both"/>
    </w:pPr>
    <w:rPr>
      <w:rFonts w:ascii="Times New Roman" w:hAnsi="Times New Roman" w:cs="Times New Roman"/>
      <w:sz w:val="24"/>
    </w:rPr>
  </w:style>
  <w:style w:type="paragraph" w:customStyle="1" w:styleId="PointDouble4">
    <w:name w:val="PointDouble 4"/>
    <w:basedOn w:val="Normal"/>
    <w:rsid w:val="00D45A17"/>
    <w:pPr>
      <w:tabs>
        <w:tab w:val="left" w:pos="3118"/>
      </w:tabs>
      <w:spacing w:before="120" w:after="120" w:line="240" w:lineRule="auto"/>
      <w:ind w:left="3685" w:hanging="1134"/>
      <w:jc w:val="both"/>
    </w:pPr>
    <w:rPr>
      <w:rFonts w:ascii="Times New Roman" w:hAnsi="Times New Roman" w:cs="Times New Roman"/>
      <w:sz w:val="24"/>
    </w:rPr>
  </w:style>
  <w:style w:type="paragraph" w:customStyle="1" w:styleId="PointTriple0">
    <w:name w:val="PointTriple 0"/>
    <w:basedOn w:val="Normal"/>
    <w:rsid w:val="00D45A17"/>
    <w:pPr>
      <w:tabs>
        <w:tab w:val="left" w:pos="850"/>
        <w:tab w:val="left" w:pos="1417"/>
      </w:tabs>
      <w:spacing w:before="120" w:after="120" w:line="240" w:lineRule="auto"/>
      <w:ind w:left="1984" w:hanging="1984"/>
      <w:jc w:val="both"/>
    </w:pPr>
    <w:rPr>
      <w:rFonts w:ascii="Times New Roman" w:hAnsi="Times New Roman" w:cs="Times New Roman"/>
      <w:sz w:val="24"/>
    </w:rPr>
  </w:style>
  <w:style w:type="paragraph" w:customStyle="1" w:styleId="PointTriple1">
    <w:name w:val="PointTriple 1"/>
    <w:basedOn w:val="Normal"/>
    <w:rsid w:val="00D45A17"/>
    <w:pPr>
      <w:tabs>
        <w:tab w:val="left" w:pos="1417"/>
        <w:tab w:val="left" w:pos="1984"/>
      </w:tabs>
      <w:spacing w:before="120" w:after="120" w:line="240" w:lineRule="auto"/>
      <w:ind w:left="2551" w:hanging="1701"/>
      <w:jc w:val="both"/>
    </w:pPr>
    <w:rPr>
      <w:rFonts w:ascii="Times New Roman" w:hAnsi="Times New Roman" w:cs="Times New Roman"/>
      <w:sz w:val="24"/>
    </w:rPr>
  </w:style>
  <w:style w:type="paragraph" w:customStyle="1" w:styleId="PointTriple2">
    <w:name w:val="PointTriple 2"/>
    <w:basedOn w:val="Normal"/>
    <w:rsid w:val="00D45A17"/>
    <w:pPr>
      <w:tabs>
        <w:tab w:val="left" w:pos="1984"/>
        <w:tab w:val="left" w:pos="2551"/>
      </w:tabs>
      <w:spacing w:before="120" w:after="120" w:line="240" w:lineRule="auto"/>
      <w:ind w:left="3118" w:hanging="1701"/>
      <w:jc w:val="both"/>
    </w:pPr>
    <w:rPr>
      <w:rFonts w:ascii="Times New Roman" w:hAnsi="Times New Roman" w:cs="Times New Roman"/>
      <w:sz w:val="24"/>
    </w:rPr>
  </w:style>
  <w:style w:type="paragraph" w:customStyle="1" w:styleId="PointTriple3">
    <w:name w:val="PointTriple 3"/>
    <w:basedOn w:val="Normal"/>
    <w:rsid w:val="00D45A17"/>
    <w:pPr>
      <w:tabs>
        <w:tab w:val="left" w:pos="2551"/>
        <w:tab w:val="left" w:pos="3118"/>
      </w:tabs>
      <w:spacing w:before="120" w:after="120" w:line="240" w:lineRule="auto"/>
      <w:ind w:left="3685" w:hanging="1701"/>
      <w:jc w:val="both"/>
    </w:pPr>
    <w:rPr>
      <w:rFonts w:ascii="Times New Roman" w:hAnsi="Times New Roman" w:cs="Times New Roman"/>
      <w:sz w:val="24"/>
    </w:rPr>
  </w:style>
  <w:style w:type="paragraph" w:customStyle="1" w:styleId="PointTriple4">
    <w:name w:val="PointTriple 4"/>
    <w:basedOn w:val="Normal"/>
    <w:rsid w:val="00D45A17"/>
    <w:pPr>
      <w:tabs>
        <w:tab w:val="left" w:pos="3118"/>
        <w:tab w:val="left" w:pos="3685"/>
      </w:tabs>
      <w:spacing w:before="120" w:after="120" w:line="240" w:lineRule="auto"/>
      <w:ind w:left="4252" w:hanging="1701"/>
      <w:jc w:val="both"/>
    </w:pPr>
    <w:rPr>
      <w:rFonts w:ascii="Times New Roman" w:hAnsi="Times New Roman" w:cs="Times New Roman"/>
      <w:sz w:val="24"/>
    </w:rPr>
  </w:style>
  <w:style w:type="paragraph" w:customStyle="1" w:styleId="NumPar1">
    <w:name w:val="NumPar 1"/>
    <w:basedOn w:val="Normal"/>
    <w:next w:val="Text1"/>
    <w:rsid w:val="00D45A17"/>
    <w:pPr>
      <w:numPr>
        <w:numId w:val="44"/>
      </w:numPr>
      <w:spacing w:before="120" w:after="120" w:line="240" w:lineRule="auto"/>
      <w:jc w:val="both"/>
    </w:pPr>
    <w:rPr>
      <w:rFonts w:ascii="Times New Roman" w:hAnsi="Times New Roman" w:cs="Times New Roman"/>
      <w:sz w:val="24"/>
    </w:rPr>
  </w:style>
  <w:style w:type="paragraph" w:customStyle="1" w:styleId="NumPar2">
    <w:name w:val="NumPar 2"/>
    <w:basedOn w:val="Normal"/>
    <w:next w:val="Text1"/>
    <w:rsid w:val="00D45A17"/>
    <w:pPr>
      <w:numPr>
        <w:ilvl w:val="1"/>
        <w:numId w:val="44"/>
      </w:numPr>
      <w:spacing w:before="120" w:after="120" w:line="240" w:lineRule="auto"/>
      <w:jc w:val="both"/>
    </w:pPr>
    <w:rPr>
      <w:rFonts w:ascii="Times New Roman" w:hAnsi="Times New Roman" w:cs="Times New Roman"/>
      <w:sz w:val="24"/>
    </w:rPr>
  </w:style>
  <w:style w:type="paragraph" w:customStyle="1" w:styleId="NumPar3">
    <w:name w:val="NumPar 3"/>
    <w:basedOn w:val="Normal"/>
    <w:next w:val="Text1"/>
    <w:rsid w:val="00D45A17"/>
    <w:pPr>
      <w:numPr>
        <w:ilvl w:val="2"/>
        <w:numId w:val="44"/>
      </w:numPr>
      <w:spacing w:before="120" w:after="120" w:line="240" w:lineRule="auto"/>
      <w:jc w:val="both"/>
    </w:pPr>
    <w:rPr>
      <w:rFonts w:ascii="Times New Roman" w:hAnsi="Times New Roman" w:cs="Times New Roman"/>
      <w:sz w:val="24"/>
    </w:rPr>
  </w:style>
  <w:style w:type="paragraph" w:customStyle="1" w:styleId="NumPar4">
    <w:name w:val="NumPar 4"/>
    <w:basedOn w:val="Normal"/>
    <w:next w:val="Text1"/>
    <w:rsid w:val="00D45A17"/>
    <w:pPr>
      <w:numPr>
        <w:ilvl w:val="3"/>
        <w:numId w:val="44"/>
      </w:numPr>
      <w:spacing w:before="120" w:after="120" w:line="240" w:lineRule="auto"/>
      <w:jc w:val="both"/>
    </w:pPr>
    <w:rPr>
      <w:rFonts w:ascii="Times New Roman" w:hAnsi="Times New Roman" w:cs="Times New Roman"/>
      <w:sz w:val="24"/>
    </w:rPr>
  </w:style>
  <w:style w:type="paragraph" w:customStyle="1" w:styleId="ManualNumPar1">
    <w:name w:val="Manual NumPar 1"/>
    <w:basedOn w:val="Normal"/>
    <w:next w:val="Text1"/>
    <w:rsid w:val="00D45A17"/>
    <w:pPr>
      <w:spacing w:before="120" w:after="120" w:line="240" w:lineRule="auto"/>
      <w:ind w:left="850" w:hanging="850"/>
      <w:jc w:val="both"/>
    </w:pPr>
    <w:rPr>
      <w:rFonts w:ascii="Times New Roman" w:hAnsi="Times New Roman" w:cs="Times New Roman"/>
      <w:sz w:val="24"/>
    </w:rPr>
  </w:style>
  <w:style w:type="paragraph" w:customStyle="1" w:styleId="ManualNumPar2">
    <w:name w:val="Manual NumPar 2"/>
    <w:basedOn w:val="Normal"/>
    <w:next w:val="Text1"/>
    <w:rsid w:val="00D45A17"/>
    <w:pPr>
      <w:spacing w:before="120" w:after="120" w:line="240" w:lineRule="auto"/>
      <w:ind w:left="850" w:hanging="850"/>
      <w:jc w:val="both"/>
    </w:pPr>
    <w:rPr>
      <w:rFonts w:ascii="Times New Roman" w:hAnsi="Times New Roman" w:cs="Times New Roman"/>
      <w:sz w:val="24"/>
    </w:rPr>
  </w:style>
  <w:style w:type="paragraph" w:customStyle="1" w:styleId="ManualNumPar3">
    <w:name w:val="Manual NumPar 3"/>
    <w:basedOn w:val="Normal"/>
    <w:next w:val="Text1"/>
    <w:rsid w:val="00D45A17"/>
    <w:pPr>
      <w:spacing w:before="120" w:after="120" w:line="240" w:lineRule="auto"/>
      <w:ind w:left="850" w:hanging="850"/>
      <w:jc w:val="both"/>
    </w:pPr>
    <w:rPr>
      <w:rFonts w:ascii="Times New Roman" w:hAnsi="Times New Roman" w:cs="Times New Roman"/>
      <w:sz w:val="24"/>
    </w:rPr>
  </w:style>
  <w:style w:type="paragraph" w:customStyle="1" w:styleId="ManualNumPar4">
    <w:name w:val="Manual NumPar 4"/>
    <w:basedOn w:val="Normal"/>
    <w:next w:val="Text1"/>
    <w:rsid w:val="00D45A17"/>
    <w:pPr>
      <w:spacing w:before="120" w:after="120" w:line="240" w:lineRule="auto"/>
      <w:ind w:left="850" w:hanging="850"/>
      <w:jc w:val="both"/>
    </w:pPr>
    <w:rPr>
      <w:rFonts w:ascii="Times New Roman" w:hAnsi="Times New Roman" w:cs="Times New Roman"/>
      <w:sz w:val="24"/>
    </w:rPr>
  </w:style>
  <w:style w:type="paragraph" w:customStyle="1" w:styleId="QuotedNumPar">
    <w:name w:val="Quoted NumPar"/>
    <w:basedOn w:val="Normal"/>
    <w:rsid w:val="00D45A17"/>
    <w:pPr>
      <w:spacing w:before="120" w:after="120" w:line="240" w:lineRule="auto"/>
      <w:ind w:left="1417" w:hanging="567"/>
      <w:jc w:val="both"/>
    </w:pPr>
    <w:rPr>
      <w:rFonts w:ascii="Times New Roman" w:hAnsi="Times New Roman" w:cs="Times New Roman"/>
      <w:sz w:val="24"/>
    </w:rPr>
  </w:style>
  <w:style w:type="paragraph" w:customStyle="1" w:styleId="ManualHeading1">
    <w:name w:val="Manual Heading 1"/>
    <w:basedOn w:val="Normal"/>
    <w:next w:val="Text1"/>
    <w:rsid w:val="00D45A17"/>
    <w:pPr>
      <w:keepNext/>
      <w:tabs>
        <w:tab w:val="left" w:pos="850"/>
      </w:tabs>
      <w:spacing w:before="360" w:after="120" w:line="240" w:lineRule="auto"/>
      <w:ind w:left="850" w:hanging="850"/>
      <w:jc w:val="both"/>
      <w:outlineLvl w:val="0"/>
    </w:pPr>
    <w:rPr>
      <w:rFonts w:ascii="Times New Roman" w:hAnsi="Times New Roman" w:cs="Times New Roman"/>
      <w:b/>
      <w:smallCaps/>
      <w:sz w:val="24"/>
    </w:rPr>
  </w:style>
  <w:style w:type="paragraph" w:customStyle="1" w:styleId="ManualHeading2">
    <w:name w:val="Manual Heading 2"/>
    <w:basedOn w:val="Normal"/>
    <w:next w:val="Text1"/>
    <w:rsid w:val="00D45A17"/>
    <w:pPr>
      <w:keepNext/>
      <w:tabs>
        <w:tab w:val="left" w:pos="850"/>
      </w:tabs>
      <w:spacing w:before="120" w:after="120" w:line="240" w:lineRule="auto"/>
      <w:ind w:left="850" w:hanging="850"/>
      <w:jc w:val="both"/>
      <w:outlineLvl w:val="1"/>
    </w:pPr>
    <w:rPr>
      <w:rFonts w:ascii="Times New Roman" w:hAnsi="Times New Roman" w:cs="Times New Roman"/>
      <w:b/>
      <w:sz w:val="24"/>
    </w:rPr>
  </w:style>
  <w:style w:type="paragraph" w:customStyle="1" w:styleId="ManualHeading3">
    <w:name w:val="Manual Heading 3"/>
    <w:basedOn w:val="Normal"/>
    <w:next w:val="Text1"/>
    <w:rsid w:val="00D45A17"/>
    <w:pPr>
      <w:keepNext/>
      <w:tabs>
        <w:tab w:val="left" w:pos="850"/>
      </w:tabs>
      <w:spacing w:before="120" w:after="120" w:line="240" w:lineRule="auto"/>
      <w:ind w:left="850" w:hanging="850"/>
      <w:jc w:val="both"/>
      <w:outlineLvl w:val="2"/>
    </w:pPr>
    <w:rPr>
      <w:rFonts w:ascii="Times New Roman" w:hAnsi="Times New Roman" w:cs="Times New Roman"/>
      <w:i/>
      <w:sz w:val="24"/>
    </w:rPr>
  </w:style>
  <w:style w:type="paragraph" w:customStyle="1" w:styleId="ManualHeading4">
    <w:name w:val="Manual Heading 4"/>
    <w:basedOn w:val="Normal"/>
    <w:next w:val="Text1"/>
    <w:rsid w:val="00D45A17"/>
    <w:pPr>
      <w:keepNext/>
      <w:tabs>
        <w:tab w:val="left" w:pos="850"/>
      </w:tabs>
      <w:spacing w:before="120" w:after="120" w:line="240" w:lineRule="auto"/>
      <w:ind w:left="850" w:hanging="850"/>
      <w:jc w:val="both"/>
      <w:outlineLvl w:val="3"/>
    </w:pPr>
    <w:rPr>
      <w:rFonts w:ascii="Times New Roman" w:hAnsi="Times New Roman" w:cs="Times New Roman"/>
      <w:sz w:val="24"/>
    </w:rPr>
  </w:style>
  <w:style w:type="paragraph" w:customStyle="1" w:styleId="ChapterTitle">
    <w:name w:val="ChapterTitle"/>
    <w:basedOn w:val="Normal"/>
    <w:next w:val="Normal"/>
    <w:rsid w:val="00D45A17"/>
    <w:pPr>
      <w:keepNext/>
      <w:spacing w:before="120" w:after="360" w:line="240" w:lineRule="auto"/>
      <w:jc w:val="center"/>
    </w:pPr>
    <w:rPr>
      <w:rFonts w:ascii="Times New Roman" w:hAnsi="Times New Roman" w:cs="Times New Roman"/>
      <w:b/>
      <w:sz w:val="32"/>
    </w:rPr>
  </w:style>
  <w:style w:type="paragraph" w:customStyle="1" w:styleId="PartTitle">
    <w:name w:val="PartTitle"/>
    <w:basedOn w:val="Normal"/>
    <w:next w:val="ChapterTitle"/>
    <w:rsid w:val="00D45A17"/>
    <w:pPr>
      <w:keepNext/>
      <w:pageBreakBefore/>
      <w:spacing w:before="120" w:after="360" w:line="240" w:lineRule="auto"/>
      <w:jc w:val="center"/>
    </w:pPr>
    <w:rPr>
      <w:rFonts w:ascii="Times New Roman" w:hAnsi="Times New Roman" w:cs="Times New Roman"/>
      <w:b/>
      <w:sz w:val="36"/>
    </w:rPr>
  </w:style>
  <w:style w:type="paragraph" w:customStyle="1" w:styleId="SectionTitle">
    <w:name w:val="SectionTitle"/>
    <w:basedOn w:val="Normal"/>
    <w:next w:val="Heading1"/>
    <w:rsid w:val="00D45A17"/>
    <w:pPr>
      <w:keepNext/>
      <w:spacing w:before="120" w:after="360" w:line="240" w:lineRule="auto"/>
      <w:jc w:val="center"/>
    </w:pPr>
    <w:rPr>
      <w:rFonts w:ascii="Times New Roman" w:hAnsi="Times New Roman" w:cs="Times New Roman"/>
      <w:b/>
      <w:smallCaps/>
      <w:sz w:val="28"/>
    </w:rPr>
  </w:style>
  <w:style w:type="paragraph" w:customStyle="1" w:styleId="TableTitle">
    <w:name w:val="Table Title"/>
    <w:basedOn w:val="Normal"/>
    <w:next w:val="Normal"/>
    <w:rsid w:val="00D45A17"/>
    <w:pPr>
      <w:spacing w:before="120" w:after="120" w:line="240" w:lineRule="auto"/>
      <w:jc w:val="center"/>
    </w:pPr>
    <w:rPr>
      <w:rFonts w:ascii="Times New Roman" w:hAnsi="Times New Roman" w:cs="Times New Roman"/>
      <w:b/>
      <w:sz w:val="24"/>
    </w:rPr>
  </w:style>
  <w:style w:type="character" w:customStyle="1" w:styleId="Marker1">
    <w:name w:val="Marker1"/>
    <w:basedOn w:val="DefaultParagraphFont"/>
    <w:rsid w:val="00D45A17"/>
    <w:rPr>
      <w:color w:val="008000"/>
      <w:shd w:val="clear" w:color="auto" w:fill="auto"/>
    </w:rPr>
  </w:style>
  <w:style w:type="character" w:customStyle="1" w:styleId="Marker2">
    <w:name w:val="Marker2"/>
    <w:basedOn w:val="DefaultParagraphFont"/>
    <w:rsid w:val="00D45A17"/>
    <w:rPr>
      <w:color w:val="FF0000"/>
      <w:shd w:val="clear" w:color="auto" w:fill="auto"/>
    </w:rPr>
  </w:style>
  <w:style w:type="paragraph" w:customStyle="1" w:styleId="Point0number">
    <w:name w:val="Point 0 (number)"/>
    <w:basedOn w:val="Normal"/>
    <w:rsid w:val="00D45A17"/>
    <w:pPr>
      <w:numPr>
        <w:numId w:val="53"/>
      </w:numPr>
      <w:spacing w:before="120" w:after="120" w:line="240" w:lineRule="auto"/>
      <w:jc w:val="both"/>
    </w:pPr>
    <w:rPr>
      <w:rFonts w:ascii="Times New Roman" w:hAnsi="Times New Roman" w:cs="Times New Roman"/>
      <w:sz w:val="24"/>
    </w:rPr>
  </w:style>
  <w:style w:type="paragraph" w:customStyle="1" w:styleId="Point1number">
    <w:name w:val="Point 1 (number)"/>
    <w:basedOn w:val="Normal"/>
    <w:rsid w:val="00D45A17"/>
    <w:pPr>
      <w:numPr>
        <w:ilvl w:val="2"/>
        <w:numId w:val="53"/>
      </w:numPr>
      <w:spacing w:before="120" w:after="120" w:line="240" w:lineRule="auto"/>
      <w:jc w:val="both"/>
    </w:pPr>
    <w:rPr>
      <w:rFonts w:ascii="Times New Roman" w:hAnsi="Times New Roman" w:cs="Times New Roman"/>
      <w:sz w:val="24"/>
    </w:rPr>
  </w:style>
  <w:style w:type="paragraph" w:customStyle="1" w:styleId="Point2number">
    <w:name w:val="Point 2 (number)"/>
    <w:basedOn w:val="Normal"/>
    <w:rsid w:val="00D45A17"/>
    <w:pPr>
      <w:numPr>
        <w:ilvl w:val="4"/>
        <w:numId w:val="53"/>
      </w:numPr>
      <w:spacing w:before="120" w:after="120" w:line="240" w:lineRule="auto"/>
      <w:jc w:val="both"/>
    </w:pPr>
    <w:rPr>
      <w:rFonts w:ascii="Times New Roman" w:hAnsi="Times New Roman" w:cs="Times New Roman"/>
      <w:sz w:val="24"/>
    </w:rPr>
  </w:style>
  <w:style w:type="paragraph" w:customStyle="1" w:styleId="Point3number">
    <w:name w:val="Point 3 (number)"/>
    <w:basedOn w:val="Normal"/>
    <w:rsid w:val="00D45A17"/>
    <w:pPr>
      <w:numPr>
        <w:ilvl w:val="6"/>
        <w:numId w:val="53"/>
      </w:numPr>
      <w:spacing w:before="120" w:after="120" w:line="240" w:lineRule="auto"/>
      <w:jc w:val="both"/>
    </w:pPr>
    <w:rPr>
      <w:rFonts w:ascii="Times New Roman" w:hAnsi="Times New Roman" w:cs="Times New Roman"/>
      <w:sz w:val="24"/>
    </w:rPr>
  </w:style>
  <w:style w:type="paragraph" w:customStyle="1" w:styleId="Point0letter">
    <w:name w:val="Point 0 (letter)"/>
    <w:basedOn w:val="Normal"/>
    <w:rsid w:val="00D45A17"/>
    <w:pPr>
      <w:spacing w:before="120" w:after="120" w:line="240" w:lineRule="auto"/>
      <w:jc w:val="both"/>
    </w:pPr>
    <w:rPr>
      <w:rFonts w:ascii="Times New Roman" w:hAnsi="Times New Roman" w:cs="Times New Roman"/>
      <w:sz w:val="24"/>
    </w:rPr>
  </w:style>
  <w:style w:type="paragraph" w:customStyle="1" w:styleId="Point1letter">
    <w:name w:val="Point 1 (letter)"/>
    <w:basedOn w:val="Normal"/>
    <w:rsid w:val="00D45A17"/>
    <w:pPr>
      <w:spacing w:before="120" w:after="120" w:line="240" w:lineRule="auto"/>
      <w:jc w:val="both"/>
    </w:pPr>
    <w:rPr>
      <w:rFonts w:ascii="Times New Roman" w:hAnsi="Times New Roman" w:cs="Times New Roman"/>
      <w:sz w:val="24"/>
    </w:rPr>
  </w:style>
  <w:style w:type="paragraph" w:customStyle="1" w:styleId="Point2letter">
    <w:name w:val="Point 2 (letter)"/>
    <w:basedOn w:val="Normal"/>
    <w:rsid w:val="00D45A17"/>
    <w:pPr>
      <w:spacing w:before="120" w:after="120" w:line="240" w:lineRule="auto"/>
      <w:jc w:val="both"/>
    </w:pPr>
    <w:rPr>
      <w:rFonts w:ascii="Times New Roman" w:hAnsi="Times New Roman" w:cs="Times New Roman"/>
      <w:sz w:val="24"/>
    </w:rPr>
  </w:style>
  <w:style w:type="paragraph" w:customStyle="1" w:styleId="Point3letter">
    <w:name w:val="Point 3 (letter)"/>
    <w:basedOn w:val="Normal"/>
    <w:rsid w:val="00D45A17"/>
    <w:pPr>
      <w:numPr>
        <w:ilvl w:val="7"/>
        <w:numId w:val="53"/>
      </w:numPr>
      <w:spacing w:before="120" w:after="120" w:line="240" w:lineRule="auto"/>
      <w:jc w:val="both"/>
    </w:pPr>
    <w:rPr>
      <w:rFonts w:ascii="Times New Roman" w:hAnsi="Times New Roman" w:cs="Times New Roman"/>
      <w:sz w:val="24"/>
    </w:rPr>
  </w:style>
  <w:style w:type="paragraph" w:customStyle="1" w:styleId="Point4letter">
    <w:name w:val="Point 4 (letter)"/>
    <w:basedOn w:val="Normal"/>
    <w:rsid w:val="00D45A17"/>
    <w:pPr>
      <w:numPr>
        <w:ilvl w:val="8"/>
        <w:numId w:val="53"/>
      </w:numPr>
      <w:spacing w:before="120" w:after="120" w:line="240" w:lineRule="auto"/>
      <w:jc w:val="both"/>
    </w:pPr>
    <w:rPr>
      <w:rFonts w:ascii="Times New Roman" w:hAnsi="Times New Roman" w:cs="Times New Roman"/>
      <w:sz w:val="24"/>
    </w:rPr>
  </w:style>
  <w:style w:type="paragraph" w:customStyle="1" w:styleId="Bullet0">
    <w:name w:val="Bullet 0"/>
    <w:basedOn w:val="Normal"/>
    <w:rsid w:val="00D45A17"/>
    <w:pPr>
      <w:numPr>
        <w:numId w:val="47"/>
      </w:numPr>
      <w:spacing w:before="120" w:after="120" w:line="240" w:lineRule="auto"/>
      <w:jc w:val="both"/>
    </w:pPr>
    <w:rPr>
      <w:rFonts w:ascii="Times New Roman" w:hAnsi="Times New Roman" w:cs="Times New Roman"/>
      <w:sz w:val="24"/>
    </w:rPr>
  </w:style>
  <w:style w:type="paragraph" w:customStyle="1" w:styleId="Bullet1">
    <w:name w:val="Bullet 1"/>
    <w:basedOn w:val="Normal"/>
    <w:rsid w:val="00D45A17"/>
    <w:pPr>
      <w:numPr>
        <w:numId w:val="48"/>
      </w:numPr>
      <w:spacing w:before="120" w:after="120" w:line="240" w:lineRule="auto"/>
      <w:jc w:val="both"/>
    </w:pPr>
    <w:rPr>
      <w:rFonts w:ascii="Times New Roman" w:hAnsi="Times New Roman" w:cs="Times New Roman"/>
      <w:sz w:val="24"/>
    </w:rPr>
  </w:style>
  <w:style w:type="paragraph" w:customStyle="1" w:styleId="Bullet2">
    <w:name w:val="Bullet 2"/>
    <w:basedOn w:val="Normal"/>
    <w:rsid w:val="00D45A17"/>
    <w:pPr>
      <w:numPr>
        <w:numId w:val="49"/>
      </w:numPr>
      <w:spacing w:before="120" w:after="120" w:line="240" w:lineRule="auto"/>
      <w:jc w:val="both"/>
    </w:pPr>
    <w:rPr>
      <w:rFonts w:ascii="Times New Roman" w:hAnsi="Times New Roman" w:cs="Times New Roman"/>
      <w:sz w:val="24"/>
    </w:rPr>
  </w:style>
  <w:style w:type="paragraph" w:customStyle="1" w:styleId="Bullet3">
    <w:name w:val="Bullet 3"/>
    <w:basedOn w:val="Normal"/>
    <w:rsid w:val="00D45A17"/>
    <w:pPr>
      <w:numPr>
        <w:numId w:val="50"/>
      </w:numPr>
      <w:spacing w:before="120" w:after="120" w:line="240" w:lineRule="auto"/>
      <w:jc w:val="both"/>
    </w:pPr>
    <w:rPr>
      <w:rFonts w:ascii="Times New Roman" w:hAnsi="Times New Roman" w:cs="Times New Roman"/>
      <w:sz w:val="24"/>
    </w:rPr>
  </w:style>
  <w:style w:type="paragraph" w:customStyle="1" w:styleId="Bullet4">
    <w:name w:val="Bullet 4"/>
    <w:basedOn w:val="Normal"/>
    <w:rsid w:val="00D45A17"/>
    <w:pPr>
      <w:numPr>
        <w:numId w:val="51"/>
      </w:numPr>
      <w:spacing w:before="120" w:after="120" w:line="240" w:lineRule="auto"/>
      <w:jc w:val="both"/>
    </w:pPr>
    <w:rPr>
      <w:rFonts w:ascii="Times New Roman" w:hAnsi="Times New Roman" w:cs="Times New Roman"/>
      <w:sz w:val="24"/>
    </w:rPr>
  </w:style>
  <w:style w:type="paragraph" w:customStyle="1" w:styleId="Langue">
    <w:name w:val="Langue"/>
    <w:basedOn w:val="Normal"/>
    <w:next w:val="Rfrenceinterne"/>
    <w:rsid w:val="00D45A17"/>
    <w:pPr>
      <w:framePr w:wrap="around" w:vAnchor="page" w:hAnchor="text" w:xAlign="center" w:y="14741"/>
      <w:spacing w:after="600" w:line="240" w:lineRule="auto"/>
      <w:jc w:val="center"/>
    </w:pPr>
    <w:rPr>
      <w:rFonts w:ascii="Times New Roman" w:hAnsi="Times New Roman" w:cs="Times New Roman"/>
      <w:b/>
      <w:caps/>
      <w:sz w:val="24"/>
    </w:rPr>
  </w:style>
  <w:style w:type="paragraph" w:customStyle="1" w:styleId="Nomdelinstitution">
    <w:name w:val="Nom de l'institution"/>
    <w:basedOn w:val="Normal"/>
    <w:next w:val="Emission"/>
    <w:rsid w:val="00D45A17"/>
    <w:pPr>
      <w:spacing w:after="0" w:line="240" w:lineRule="auto"/>
    </w:pPr>
    <w:rPr>
      <w:rFonts w:ascii="Arial" w:hAnsi="Arial" w:cs="Arial"/>
      <w:sz w:val="24"/>
    </w:rPr>
  </w:style>
  <w:style w:type="paragraph" w:customStyle="1" w:styleId="Emission">
    <w:name w:val="Emission"/>
    <w:basedOn w:val="Normal"/>
    <w:next w:val="Rfrenceinstitutionnelle"/>
    <w:rsid w:val="00D45A17"/>
    <w:pPr>
      <w:spacing w:after="0" w:line="240" w:lineRule="auto"/>
      <w:ind w:left="5103"/>
    </w:pPr>
    <w:rPr>
      <w:rFonts w:ascii="Times New Roman" w:hAnsi="Times New Roman" w:cs="Times New Roman"/>
      <w:sz w:val="24"/>
    </w:rPr>
  </w:style>
  <w:style w:type="paragraph" w:customStyle="1" w:styleId="Rfrenceinstitutionnelle">
    <w:name w:val="Référence institutionnelle"/>
    <w:basedOn w:val="Normal"/>
    <w:next w:val="Confidentialit"/>
    <w:rsid w:val="00D45A17"/>
    <w:pPr>
      <w:spacing w:after="240" w:line="240" w:lineRule="auto"/>
      <w:ind w:left="5103"/>
    </w:pPr>
    <w:rPr>
      <w:rFonts w:ascii="Times New Roman" w:hAnsi="Times New Roman" w:cs="Times New Roman"/>
      <w:sz w:val="24"/>
    </w:rPr>
  </w:style>
  <w:style w:type="paragraph" w:customStyle="1" w:styleId="Declassification">
    <w:name w:val="Declassification"/>
    <w:basedOn w:val="Normal"/>
    <w:next w:val="Normal"/>
    <w:rsid w:val="00D45A17"/>
    <w:pPr>
      <w:spacing w:after="0" w:line="240" w:lineRule="auto"/>
      <w:jc w:val="both"/>
    </w:pPr>
    <w:rPr>
      <w:rFonts w:ascii="Times New Roman" w:hAnsi="Times New Roman" w:cs="Times New Roman"/>
      <w:sz w:val="24"/>
    </w:rPr>
  </w:style>
  <w:style w:type="paragraph" w:customStyle="1" w:styleId="Disclaimer">
    <w:name w:val="Disclaimer"/>
    <w:basedOn w:val="Normal"/>
    <w:rsid w:val="00D45A17"/>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spacing w:before="120" w:after="120" w:line="240" w:lineRule="auto"/>
      <w:jc w:val="both"/>
    </w:pPr>
    <w:rPr>
      <w:rFonts w:ascii="Times New Roman" w:hAnsi="Times New Roman" w:cs="Times New Roman"/>
      <w:sz w:val="24"/>
    </w:rPr>
  </w:style>
  <w:style w:type="paragraph" w:customStyle="1" w:styleId="SecurityMarking">
    <w:name w:val="SecurityMarking"/>
    <w:basedOn w:val="Normal"/>
    <w:rsid w:val="00525BBE"/>
    <w:pPr>
      <w:spacing w:after="0"/>
      <w:ind w:left="5103"/>
    </w:pPr>
    <w:rPr>
      <w:rFonts w:ascii="Times New Roman" w:hAnsi="Times New Roman" w:cs="Times New Roman"/>
      <w:sz w:val="28"/>
    </w:rPr>
  </w:style>
  <w:style w:type="paragraph" w:customStyle="1" w:styleId="DateMarking">
    <w:name w:val="DateMarking"/>
    <w:basedOn w:val="Normal"/>
    <w:rsid w:val="00525BBE"/>
    <w:pPr>
      <w:spacing w:after="0"/>
      <w:ind w:left="5103"/>
    </w:pPr>
    <w:rPr>
      <w:rFonts w:ascii="Times New Roman" w:hAnsi="Times New Roman" w:cs="Times New Roman"/>
      <w:i/>
      <w:sz w:val="28"/>
    </w:rPr>
  </w:style>
  <w:style w:type="paragraph" w:customStyle="1" w:styleId="ReleasableTo">
    <w:name w:val="ReleasableTo"/>
    <w:basedOn w:val="Normal"/>
    <w:rsid w:val="00525BBE"/>
    <w:pPr>
      <w:spacing w:after="0"/>
      <w:ind w:left="5103"/>
    </w:pPr>
    <w:rPr>
      <w:rFonts w:ascii="Times New Roman" w:hAnsi="Times New Roman" w:cs="Times New Roman"/>
      <w:i/>
      <w:sz w:val="28"/>
    </w:rPr>
  </w:style>
  <w:style w:type="paragraph" w:customStyle="1" w:styleId="Annexetitreexpos">
    <w:name w:val="Annexe titre (exposé)"/>
    <w:basedOn w:val="Normal"/>
    <w:next w:val="Normal"/>
    <w:rsid w:val="00D45A17"/>
    <w:pPr>
      <w:spacing w:before="120" w:after="120" w:line="240" w:lineRule="auto"/>
      <w:jc w:val="center"/>
    </w:pPr>
    <w:rPr>
      <w:rFonts w:ascii="Times New Roman" w:hAnsi="Times New Roman" w:cs="Times New Roman"/>
      <w:b/>
      <w:sz w:val="24"/>
      <w:u w:val="single"/>
    </w:rPr>
  </w:style>
  <w:style w:type="paragraph" w:customStyle="1" w:styleId="Annexetitre">
    <w:name w:val="Annexe titre"/>
    <w:basedOn w:val="Normal"/>
    <w:next w:val="Normal"/>
    <w:rsid w:val="00D45A17"/>
    <w:pPr>
      <w:spacing w:before="120" w:after="120" w:line="240" w:lineRule="auto"/>
      <w:jc w:val="center"/>
    </w:pPr>
    <w:rPr>
      <w:rFonts w:ascii="Times New Roman" w:hAnsi="Times New Roman" w:cs="Times New Roman"/>
      <w:b/>
      <w:sz w:val="24"/>
      <w:u w:val="single"/>
    </w:rPr>
  </w:style>
  <w:style w:type="paragraph" w:customStyle="1" w:styleId="Annexetitrefichefinancire">
    <w:name w:val="Annexe titre (fiche financière)"/>
    <w:basedOn w:val="Normal"/>
    <w:next w:val="Normal"/>
    <w:rsid w:val="00D45A17"/>
    <w:pPr>
      <w:spacing w:before="120" w:after="120" w:line="240" w:lineRule="auto"/>
      <w:jc w:val="center"/>
    </w:pPr>
    <w:rPr>
      <w:rFonts w:ascii="Times New Roman" w:hAnsi="Times New Roman" w:cs="Times New Roman"/>
      <w:b/>
      <w:sz w:val="24"/>
      <w:u w:val="single"/>
    </w:rPr>
  </w:style>
  <w:style w:type="paragraph" w:customStyle="1" w:styleId="Applicationdirecte">
    <w:name w:val="Application directe"/>
    <w:basedOn w:val="Normal"/>
    <w:next w:val="Fait"/>
    <w:rsid w:val="00D45A17"/>
    <w:pPr>
      <w:spacing w:before="480" w:after="120" w:line="240" w:lineRule="auto"/>
      <w:jc w:val="both"/>
    </w:pPr>
    <w:rPr>
      <w:rFonts w:ascii="Times New Roman" w:hAnsi="Times New Roman" w:cs="Times New Roman"/>
      <w:sz w:val="24"/>
    </w:rPr>
  </w:style>
  <w:style w:type="paragraph" w:customStyle="1" w:styleId="Avertissementtitre">
    <w:name w:val="Avertissement titre"/>
    <w:basedOn w:val="Normal"/>
    <w:next w:val="Normal"/>
    <w:rsid w:val="00D45A17"/>
    <w:pPr>
      <w:keepNext/>
      <w:spacing w:before="480" w:after="120" w:line="240" w:lineRule="auto"/>
      <w:jc w:val="both"/>
    </w:pPr>
    <w:rPr>
      <w:rFonts w:ascii="Times New Roman" w:hAnsi="Times New Roman" w:cs="Times New Roman"/>
      <w:sz w:val="24"/>
      <w:u w:val="single"/>
    </w:rPr>
  </w:style>
  <w:style w:type="paragraph" w:customStyle="1" w:styleId="Confidence">
    <w:name w:val="Confidence"/>
    <w:basedOn w:val="Normal"/>
    <w:next w:val="Normal"/>
    <w:rsid w:val="00D45A17"/>
    <w:pPr>
      <w:spacing w:before="360" w:after="120" w:line="240" w:lineRule="auto"/>
      <w:jc w:val="center"/>
    </w:pPr>
    <w:rPr>
      <w:rFonts w:ascii="Times New Roman" w:hAnsi="Times New Roman" w:cs="Times New Roman"/>
      <w:sz w:val="24"/>
    </w:rPr>
  </w:style>
  <w:style w:type="paragraph" w:customStyle="1" w:styleId="Confidentialit">
    <w:name w:val="Confidentialité"/>
    <w:basedOn w:val="Normal"/>
    <w:next w:val="TypedudocumentPagedecouverture"/>
    <w:rsid w:val="00D45A17"/>
    <w:pPr>
      <w:spacing w:before="240" w:after="240" w:line="240" w:lineRule="auto"/>
      <w:ind w:left="5103"/>
    </w:pPr>
    <w:rPr>
      <w:rFonts w:ascii="Times New Roman" w:hAnsi="Times New Roman" w:cs="Times New Roman"/>
      <w:i/>
      <w:sz w:val="32"/>
    </w:rPr>
  </w:style>
  <w:style w:type="paragraph" w:customStyle="1" w:styleId="Considrant">
    <w:name w:val="Considérant"/>
    <w:basedOn w:val="Normal"/>
    <w:rsid w:val="00D45A17"/>
    <w:pPr>
      <w:numPr>
        <w:numId w:val="52"/>
      </w:numPr>
      <w:spacing w:before="120" w:after="120" w:line="240" w:lineRule="auto"/>
      <w:jc w:val="both"/>
    </w:pPr>
    <w:rPr>
      <w:rFonts w:ascii="Times New Roman" w:hAnsi="Times New Roman" w:cs="Times New Roman"/>
      <w:sz w:val="24"/>
    </w:rPr>
  </w:style>
  <w:style w:type="paragraph" w:customStyle="1" w:styleId="Corrigendum">
    <w:name w:val="Corrigendum"/>
    <w:basedOn w:val="Normal"/>
    <w:next w:val="Normal"/>
    <w:rsid w:val="00D45A17"/>
    <w:pPr>
      <w:spacing w:after="240" w:line="240" w:lineRule="auto"/>
    </w:pPr>
    <w:rPr>
      <w:rFonts w:ascii="Times New Roman" w:hAnsi="Times New Roman" w:cs="Times New Roman"/>
      <w:sz w:val="24"/>
    </w:rPr>
  </w:style>
  <w:style w:type="paragraph" w:customStyle="1" w:styleId="Datedadoption">
    <w:name w:val="Date d'adoption"/>
    <w:basedOn w:val="Normal"/>
    <w:next w:val="IntrtEEE"/>
    <w:rsid w:val="00D45A17"/>
    <w:pPr>
      <w:spacing w:before="360" w:after="0" w:line="240" w:lineRule="auto"/>
      <w:jc w:val="center"/>
    </w:pPr>
    <w:rPr>
      <w:rFonts w:ascii="Times New Roman" w:hAnsi="Times New Roman" w:cs="Times New Roman"/>
      <w:b/>
      <w:sz w:val="24"/>
    </w:rPr>
  </w:style>
  <w:style w:type="paragraph" w:customStyle="1" w:styleId="Exposdesmotifstitre">
    <w:name w:val="Exposé des motifs titre"/>
    <w:basedOn w:val="Normal"/>
    <w:next w:val="Normal"/>
    <w:rsid w:val="00D45A17"/>
    <w:pPr>
      <w:spacing w:before="120" w:after="120" w:line="240" w:lineRule="auto"/>
      <w:jc w:val="center"/>
    </w:pPr>
    <w:rPr>
      <w:rFonts w:ascii="Times New Roman" w:hAnsi="Times New Roman" w:cs="Times New Roman"/>
      <w:b/>
      <w:sz w:val="24"/>
      <w:u w:val="single"/>
    </w:rPr>
  </w:style>
  <w:style w:type="paragraph" w:customStyle="1" w:styleId="Fait">
    <w:name w:val="Fait à"/>
    <w:basedOn w:val="Normal"/>
    <w:next w:val="Institutionquisigne"/>
    <w:rsid w:val="00D45A17"/>
    <w:pPr>
      <w:keepNext/>
      <w:spacing w:before="120" w:after="0" w:line="240" w:lineRule="auto"/>
      <w:jc w:val="both"/>
    </w:pPr>
    <w:rPr>
      <w:rFonts w:ascii="Times New Roman" w:hAnsi="Times New Roman" w:cs="Times New Roman"/>
      <w:sz w:val="24"/>
    </w:rPr>
  </w:style>
  <w:style w:type="paragraph" w:customStyle="1" w:styleId="Formuledadoption">
    <w:name w:val="Formule d'adoption"/>
    <w:basedOn w:val="Normal"/>
    <w:next w:val="Titrearticle"/>
    <w:rsid w:val="00D45A17"/>
    <w:pPr>
      <w:keepNext/>
      <w:spacing w:before="120" w:after="120" w:line="240" w:lineRule="auto"/>
      <w:jc w:val="both"/>
    </w:pPr>
    <w:rPr>
      <w:rFonts w:ascii="Times New Roman" w:hAnsi="Times New Roman" w:cs="Times New Roman"/>
      <w:sz w:val="24"/>
    </w:rPr>
  </w:style>
  <w:style w:type="paragraph" w:customStyle="1" w:styleId="Institutionquiagit">
    <w:name w:val="Institution qui agit"/>
    <w:basedOn w:val="Normal"/>
    <w:next w:val="Normal"/>
    <w:rsid w:val="00D45A17"/>
    <w:pPr>
      <w:keepNext/>
      <w:spacing w:before="600" w:after="120" w:line="240" w:lineRule="auto"/>
      <w:jc w:val="both"/>
    </w:pPr>
    <w:rPr>
      <w:rFonts w:ascii="Times New Roman" w:hAnsi="Times New Roman" w:cs="Times New Roman"/>
      <w:sz w:val="24"/>
    </w:rPr>
  </w:style>
  <w:style w:type="paragraph" w:customStyle="1" w:styleId="Institutionquisigne">
    <w:name w:val="Institution qui signe"/>
    <w:basedOn w:val="Normal"/>
    <w:next w:val="Personnequisigne"/>
    <w:rsid w:val="00D45A17"/>
    <w:pPr>
      <w:keepNext/>
      <w:tabs>
        <w:tab w:val="left" w:pos="4252"/>
      </w:tabs>
      <w:spacing w:before="720" w:after="0" w:line="240" w:lineRule="auto"/>
      <w:jc w:val="both"/>
    </w:pPr>
    <w:rPr>
      <w:rFonts w:ascii="Times New Roman" w:hAnsi="Times New Roman" w:cs="Times New Roman"/>
      <w:i/>
      <w:sz w:val="24"/>
    </w:rPr>
  </w:style>
  <w:style w:type="paragraph" w:customStyle="1" w:styleId="ManualConsidrant">
    <w:name w:val="Manual Considérant"/>
    <w:basedOn w:val="Normal"/>
    <w:rsid w:val="00D45A17"/>
    <w:pPr>
      <w:spacing w:before="120" w:after="120" w:line="240" w:lineRule="auto"/>
      <w:ind w:left="709" w:hanging="709"/>
      <w:jc w:val="both"/>
    </w:pPr>
    <w:rPr>
      <w:rFonts w:ascii="Times New Roman" w:hAnsi="Times New Roman" w:cs="Times New Roman"/>
      <w:sz w:val="24"/>
    </w:rPr>
  </w:style>
  <w:style w:type="paragraph" w:customStyle="1" w:styleId="Personnequisigne">
    <w:name w:val="Personne qui signe"/>
    <w:basedOn w:val="Normal"/>
    <w:next w:val="Institutionquisigne"/>
    <w:rsid w:val="00D45A17"/>
    <w:pPr>
      <w:tabs>
        <w:tab w:val="left" w:pos="4252"/>
      </w:tabs>
      <w:spacing w:after="0" w:line="240" w:lineRule="auto"/>
    </w:pPr>
    <w:rPr>
      <w:rFonts w:ascii="Times New Roman" w:hAnsi="Times New Roman" w:cs="Times New Roman"/>
      <w:i/>
      <w:sz w:val="24"/>
    </w:rPr>
  </w:style>
  <w:style w:type="paragraph" w:customStyle="1" w:styleId="Rfrenceinterinstitutionnelle">
    <w:name w:val="Référence interinstitutionnelle"/>
    <w:basedOn w:val="Normal"/>
    <w:next w:val="Statut"/>
    <w:rsid w:val="00D45A17"/>
    <w:pPr>
      <w:spacing w:after="0" w:line="240" w:lineRule="auto"/>
      <w:ind w:left="5103"/>
    </w:pPr>
    <w:rPr>
      <w:rFonts w:ascii="Times New Roman" w:hAnsi="Times New Roman" w:cs="Times New Roman"/>
      <w:sz w:val="24"/>
    </w:rPr>
  </w:style>
  <w:style w:type="paragraph" w:customStyle="1" w:styleId="Rfrenceinterne">
    <w:name w:val="Référence interne"/>
    <w:basedOn w:val="Normal"/>
    <w:next w:val="Rfrenceinterinstitutionnelle"/>
    <w:rsid w:val="00D45A17"/>
    <w:pPr>
      <w:spacing w:after="0" w:line="240" w:lineRule="auto"/>
      <w:ind w:left="5103"/>
    </w:pPr>
    <w:rPr>
      <w:rFonts w:ascii="Times New Roman" w:hAnsi="Times New Roman" w:cs="Times New Roman"/>
      <w:sz w:val="24"/>
    </w:rPr>
  </w:style>
  <w:style w:type="paragraph" w:customStyle="1" w:styleId="Statut">
    <w:name w:val="Statut"/>
    <w:basedOn w:val="Normal"/>
    <w:next w:val="Typedudocument"/>
    <w:rsid w:val="00D45A17"/>
    <w:pPr>
      <w:spacing w:after="240" w:line="240" w:lineRule="auto"/>
      <w:jc w:val="center"/>
    </w:pPr>
    <w:rPr>
      <w:rFonts w:ascii="Times New Roman" w:hAnsi="Times New Roman" w:cs="Times New Roman"/>
      <w:sz w:val="24"/>
    </w:rPr>
  </w:style>
  <w:style w:type="paragraph" w:customStyle="1" w:styleId="Titrearticle">
    <w:name w:val="Titre article"/>
    <w:basedOn w:val="Normal"/>
    <w:next w:val="Normal"/>
    <w:rsid w:val="00D45A17"/>
    <w:pPr>
      <w:keepNext/>
      <w:spacing w:before="360" w:after="120" w:line="240" w:lineRule="auto"/>
      <w:jc w:val="center"/>
    </w:pPr>
    <w:rPr>
      <w:rFonts w:ascii="Times New Roman" w:hAnsi="Times New Roman" w:cs="Times New Roman"/>
      <w:i/>
      <w:sz w:val="24"/>
    </w:rPr>
  </w:style>
  <w:style w:type="paragraph" w:customStyle="1" w:styleId="Typedudocument">
    <w:name w:val="Type du document"/>
    <w:basedOn w:val="Normal"/>
    <w:next w:val="Accompagnant"/>
    <w:rsid w:val="00D45A17"/>
    <w:pPr>
      <w:spacing w:before="360" w:after="180" w:line="240" w:lineRule="auto"/>
      <w:jc w:val="center"/>
    </w:pPr>
    <w:rPr>
      <w:rFonts w:ascii="Times New Roman" w:hAnsi="Times New Roman" w:cs="Times New Roman"/>
      <w:b/>
      <w:sz w:val="24"/>
    </w:rPr>
  </w:style>
  <w:style w:type="character" w:customStyle="1" w:styleId="Added">
    <w:name w:val="Added"/>
    <w:basedOn w:val="DefaultParagraphFont"/>
    <w:rsid w:val="00D45A17"/>
    <w:rPr>
      <w:b/>
      <w:u w:val="single"/>
      <w:shd w:val="clear" w:color="auto" w:fill="auto"/>
    </w:rPr>
  </w:style>
  <w:style w:type="character" w:customStyle="1" w:styleId="Deleted">
    <w:name w:val="Deleted"/>
    <w:basedOn w:val="DefaultParagraphFont"/>
    <w:rsid w:val="00D45A17"/>
    <w:rPr>
      <w:strike/>
      <w:dstrike w:val="0"/>
      <w:shd w:val="clear" w:color="auto" w:fill="auto"/>
    </w:rPr>
  </w:style>
  <w:style w:type="paragraph" w:customStyle="1" w:styleId="Address">
    <w:name w:val="Address"/>
    <w:basedOn w:val="Normal"/>
    <w:next w:val="Normal"/>
    <w:rsid w:val="00D45A17"/>
    <w:pPr>
      <w:keepLines/>
      <w:spacing w:before="120" w:after="120" w:line="360" w:lineRule="auto"/>
      <w:ind w:left="3402"/>
    </w:pPr>
    <w:rPr>
      <w:rFonts w:ascii="Times New Roman" w:hAnsi="Times New Roman" w:cs="Times New Roman"/>
      <w:sz w:val="24"/>
    </w:rPr>
  </w:style>
  <w:style w:type="paragraph" w:customStyle="1" w:styleId="Objetexterne">
    <w:name w:val="Objet externe"/>
    <w:basedOn w:val="Normal"/>
    <w:next w:val="Normal"/>
    <w:rsid w:val="00D45A17"/>
    <w:pPr>
      <w:spacing w:before="120" w:after="120" w:line="240" w:lineRule="auto"/>
      <w:jc w:val="both"/>
    </w:pPr>
    <w:rPr>
      <w:rFonts w:ascii="Times New Roman" w:hAnsi="Times New Roman" w:cs="Times New Roman"/>
      <w:i/>
      <w:caps/>
      <w:sz w:val="24"/>
    </w:rPr>
  </w:style>
  <w:style w:type="paragraph" w:customStyle="1" w:styleId="Supertitre">
    <w:name w:val="Supertitre"/>
    <w:basedOn w:val="Normal"/>
    <w:next w:val="Normal"/>
    <w:rsid w:val="00D45A17"/>
    <w:pPr>
      <w:spacing w:after="600" w:line="240" w:lineRule="auto"/>
      <w:jc w:val="center"/>
    </w:pPr>
    <w:rPr>
      <w:rFonts w:ascii="Times New Roman" w:hAnsi="Times New Roman" w:cs="Times New Roman"/>
      <w:b/>
      <w:sz w:val="24"/>
    </w:rPr>
  </w:style>
  <w:style w:type="paragraph" w:customStyle="1" w:styleId="Languesfaisantfoi">
    <w:name w:val="Langues faisant foi"/>
    <w:basedOn w:val="Normal"/>
    <w:next w:val="Normal"/>
    <w:rsid w:val="00D45A17"/>
    <w:pPr>
      <w:spacing w:before="360" w:after="0" w:line="240" w:lineRule="auto"/>
      <w:jc w:val="center"/>
    </w:pPr>
    <w:rPr>
      <w:rFonts w:ascii="Times New Roman" w:hAnsi="Times New Roman" w:cs="Times New Roman"/>
      <w:sz w:val="24"/>
    </w:rPr>
  </w:style>
  <w:style w:type="paragraph" w:customStyle="1" w:styleId="Rfrencecroise">
    <w:name w:val="Référence croisée"/>
    <w:basedOn w:val="Normal"/>
    <w:rsid w:val="00D45A17"/>
    <w:pPr>
      <w:spacing w:after="0" w:line="240" w:lineRule="auto"/>
      <w:jc w:val="center"/>
    </w:pPr>
    <w:rPr>
      <w:rFonts w:ascii="Times New Roman" w:hAnsi="Times New Roman" w:cs="Times New Roman"/>
      <w:sz w:val="24"/>
    </w:rPr>
  </w:style>
  <w:style w:type="paragraph" w:customStyle="1" w:styleId="Fichefinanciretitre">
    <w:name w:val="Fiche financière titre"/>
    <w:basedOn w:val="Normal"/>
    <w:next w:val="Normal"/>
    <w:rsid w:val="00D45A17"/>
    <w:pPr>
      <w:spacing w:before="120" w:after="120" w:line="240" w:lineRule="auto"/>
      <w:jc w:val="center"/>
    </w:pPr>
    <w:rPr>
      <w:rFonts w:ascii="Times New Roman" w:hAnsi="Times New Roman" w:cs="Times New Roman"/>
      <w:b/>
      <w:sz w:val="24"/>
      <w:u w:val="single"/>
    </w:rPr>
  </w:style>
  <w:style w:type="paragraph" w:customStyle="1" w:styleId="DatedadoptionPagedecouverture">
    <w:name w:val="Date d'adoption (Page de couverture)"/>
    <w:basedOn w:val="Datedadoption"/>
    <w:next w:val="IntrtEEEPagedecouverture"/>
    <w:rsid w:val="00D45A17"/>
  </w:style>
  <w:style w:type="paragraph" w:customStyle="1" w:styleId="RfrenceinterinstitutionnellePagedecouverture">
    <w:name w:val="Référence interinstitutionnelle (Page de couverture)"/>
    <w:basedOn w:val="Rfrenceinterinstitutionnelle"/>
    <w:next w:val="Confidentialit"/>
    <w:rsid w:val="00D45A17"/>
  </w:style>
  <w:style w:type="paragraph" w:customStyle="1" w:styleId="StatutPagedecouverture">
    <w:name w:val="Statut (Page de couverture)"/>
    <w:basedOn w:val="Statut"/>
    <w:next w:val="TypedudocumentPagedecouverture"/>
    <w:rsid w:val="00D45A17"/>
  </w:style>
  <w:style w:type="paragraph" w:customStyle="1" w:styleId="TypedudocumentPagedecouverture">
    <w:name w:val="Type du document (Page de couverture)"/>
    <w:basedOn w:val="Typedudocument"/>
    <w:next w:val="AccompagnantPagedecouverture"/>
    <w:rsid w:val="00D45A17"/>
  </w:style>
  <w:style w:type="paragraph" w:customStyle="1" w:styleId="Volume">
    <w:name w:val="Volume"/>
    <w:basedOn w:val="Normal"/>
    <w:next w:val="Confidentialit"/>
    <w:rsid w:val="00D45A17"/>
    <w:pPr>
      <w:spacing w:after="240" w:line="240" w:lineRule="auto"/>
      <w:ind w:left="5103"/>
    </w:pPr>
    <w:rPr>
      <w:rFonts w:ascii="Times New Roman" w:hAnsi="Times New Roman" w:cs="Times New Roman"/>
      <w:sz w:val="24"/>
    </w:rPr>
  </w:style>
  <w:style w:type="paragraph" w:customStyle="1" w:styleId="IntrtEEE">
    <w:name w:val="Intérêt EEE"/>
    <w:basedOn w:val="Languesfaisantfoi"/>
    <w:next w:val="Normal"/>
    <w:rsid w:val="00D45A17"/>
    <w:pPr>
      <w:spacing w:after="240"/>
    </w:pPr>
  </w:style>
  <w:style w:type="paragraph" w:customStyle="1" w:styleId="Accompagnant">
    <w:name w:val="Accompagnant"/>
    <w:basedOn w:val="Normal"/>
    <w:next w:val="Typeacteprincipal"/>
    <w:rsid w:val="00D45A17"/>
    <w:pPr>
      <w:spacing w:before="180" w:after="240" w:line="240" w:lineRule="auto"/>
      <w:jc w:val="center"/>
    </w:pPr>
    <w:rPr>
      <w:rFonts w:ascii="Times New Roman" w:hAnsi="Times New Roman" w:cs="Times New Roman"/>
      <w:b/>
      <w:sz w:val="24"/>
    </w:rPr>
  </w:style>
  <w:style w:type="paragraph" w:customStyle="1" w:styleId="Typeacteprincipal">
    <w:name w:val="Type acte principal"/>
    <w:basedOn w:val="Normal"/>
    <w:next w:val="Objetacteprincipal"/>
    <w:rsid w:val="00D45A17"/>
    <w:pPr>
      <w:spacing w:after="240" w:line="240" w:lineRule="auto"/>
      <w:jc w:val="center"/>
    </w:pPr>
    <w:rPr>
      <w:rFonts w:ascii="Times New Roman" w:hAnsi="Times New Roman" w:cs="Times New Roman"/>
      <w:b/>
      <w:sz w:val="24"/>
    </w:rPr>
  </w:style>
  <w:style w:type="paragraph" w:customStyle="1" w:styleId="Objetacteprincipal">
    <w:name w:val="Objet acte principal"/>
    <w:basedOn w:val="Normal"/>
    <w:next w:val="Titrearticle"/>
    <w:rsid w:val="00D45A17"/>
    <w:pPr>
      <w:spacing w:after="360" w:line="240" w:lineRule="auto"/>
      <w:jc w:val="center"/>
    </w:pPr>
    <w:rPr>
      <w:rFonts w:ascii="Times New Roman" w:hAnsi="Times New Roman" w:cs="Times New Roman"/>
      <w:b/>
      <w:sz w:val="24"/>
    </w:rPr>
  </w:style>
  <w:style w:type="paragraph" w:customStyle="1" w:styleId="IntrtEEEPagedecouverture">
    <w:name w:val="Intérêt EEE (Page de couverture)"/>
    <w:basedOn w:val="IntrtEEE"/>
    <w:next w:val="Rfrencecroise"/>
    <w:rsid w:val="00D45A17"/>
  </w:style>
  <w:style w:type="paragraph" w:customStyle="1" w:styleId="AccompagnantPagedecouverture">
    <w:name w:val="Accompagnant (Page de couverture)"/>
    <w:basedOn w:val="Accompagnant"/>
    <w:next w:val="TypeacteprincipalPagedecouverture"/>
    <w:rsid w:val="00D45A17"/>
  </w:style>
  <w:style w:type="paragraph" w:customStyle="1" w:styleId="TypeacteprincipalPagedecouverture">
    <w:name w:val="Type acte principal (Page de couverture)"/>
    <w:basedOn w:val="Typeacteprincipal"/>
    <w:next w:val="ObjetacteprincipalPagedecouverture"/>
    <w:rsid w:val="00D45A17"/>
  </w:style>
  <w:style w:type="paragraph" w:customStyle="1" w:styleId="ObjetacteprincipalPagedecouverture">
    <w:name w:val="Objet acte principal (Page de couverture)"/>
    <w:basedOn w:val="Objetacteprincipal"/>
    <w:next w:val="Rfrencecroise"/>
    <w:rsid w:val="00D45A17"/>
  </w:style>
  <w:style w:type="paragraph" w:customStyle="1" w:styleId="LanguesfaisantfoiPagedecouverture">
    <w:name w:val="Langues faisant foi (Page de couverture)"/>
    <w:basedOn w:val="Normal"/>
    <w:next w:val="Normal"/>
    <w:rsid w:val="00D45A17"/>
    <w:pPr>
      <w:spacing w:before="360" w:after="0" w:line="240" w:lineRule="auto"/>
      <w:jc w:val="center"/>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5016744">
      <w:bodyDiv w:val="1"/>
      <w:marLeft w:val="0"/>
      <w:marRight w:val="0"/>
      <w:marTop w:val="0"/>
      <w:marBottom w:val="0"/>
      <w:divBdr>
        <w:top w:val="none" w:sz="0" w:space="0" w:color="auto"/>
        <w:left w:val="none" w:sz="0" w:space="0" w:color="auto"/>
        <w:bottom w:val="none" w:sz="0" w:space="0" w:color="auto"/>
        <w:right w:val="none" w:sz="0" w:space="0" w:color="auto"/>
      </w:divBdr>
    </w:div>
    <w:div w:id="1911697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EF0A8E-092D-4CFC-9C78-76B69F688F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37</Pages>
  <Words>13333</Words>
  <Characters>71865</Characters>
  <Application>Microsoft Office Word</Application>
  <DocSecurity>0</DocSecurity>
  <Lines>1306</Lines>
  <Paragraphs>484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2021-05-21T10:06:00Z</dcterms:created>
  <dcterms:modified xsi:type="dcterms:W3CDTF">2021-05-21T14:19:00Z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Status">
    <vt:lpwstr>Green</vt:lpwstr>
  </property>
  <property fmtid="{D5CDD505-2E9C-101B-9397-08002B2CF9AE}" pid="3" name="Level of sensitivity">
    <vt:lpwstr>Standard treatment</vt:lpwstr>
  </property>
  <property fmtid="{D5CDD505-2E9C-101B-9397-08002B2CF9AE}" pid="4" name="Last edited using">
    <vt:lpwstr>LW 7.0.1, Build 20190916</vt:lpwstr>
  </property>
  <property fmtid="{D5CDD505-2E9C-101B-9397-08002B2CF9AE}" pid="5" name="First annex">
    <vt:lpwstr>1</vt:lpwstr>
  </property>
  <property fmtid="{D5CDD505-2E9C-101B-9397-08002B2CF9AE}" pid="6" name="Last annex">
    <vt:lpwstr>1</vt:lpwstr>
  </property>
  <property fmtid="{D5CDD505-2E9C-101B-9397-08002B2CF9AE}" pid="7" name="Unique annex">
    <vt:lpwstr>1</vt:lpwstr>
  </property>
  <property fmtid="{D5CDD505-2E9C-101B-9397-08002B2CF9AE}" pid="8" name="Part">
    <vt:lpwstr>1</vt:lpwstr>
  </property>
  <property fmtid="{D5CDD505-2E9C-101B-9397-08002B2CF9AE}" pid="9" name="Total parts">
    <vt:lpwstr>1</vt:lpwstr>
  </property>
  <property fmtid="{D5CDD505-2E9C-101B-9397-08002B2CF9AE}" pid="10" name="CPTemplateID">
    <vt:lpwstr>CP-038</vt:lpwstr>
  </property>
</Properties>
</file>