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75B8" w14:textId="1DAA4F35" w:rsidR="00070205" w:rsidRDefault="00B8040E" w:rsidP="00CA1155">
      <w:pPr>
        <w:pStyle w:val="Pagedecouverture"/>
      </w:pPr>
      <w:bookmarkStart w:id="0" w:name="_GoBack"/>
      <w:bookmarkEnd w:id="0"/>
      <w:r>
        <w:pict w14:anchorId="1697AB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58E1CAE-7B9F-4D59-8ECF-1B5F762F964D" style="width:450.6pt;height:395.4pt">
            <v:imagedata r:id="rId8" o:title=""/>
          </v:shape>
        </w:pict>
      </w:r>
    </w:p>
    <w:p w14:paraId="11778DBF" w14:textId="77777777" w:rsidR="00A53956" w:rsidRPr="00A53956" w:rsidRDefault="00A53956" w:rsidP="00A53956">
      <w:pPr>
        <w:pStyle w:val="Pagedecouverture"/>
        <w:sectPr w:rsidR="00A53956" w:rsidRPr="00A53956" w:rsidSect="00CA1155">
          <w:footerReference w:type="default" r:id="rId9"/>
          <w:pgSz w:w="11907" w:h="16839"/>
          <w:pgMar w:top="1134" w:right="1417" w:bottom="1134" w:left="1417" w:header="709" w:footer="709" w:gutter="0"/>
          <w:pgNumType w:start="0"/>
          <w:cols w:space="720"/>
          <w:docGrid w:linePitch="360"/>
        </w:sectPr>
      </w:pPr>
    </w:p>
    <w:p w14:paraId="19BB17F2" w14:textId="45C07A49" w:rsidR="00070205" w:rsidRPr="00A53956" w:rsidRDefault="00497462" w:rsidP="00497462">
      <w:pPr>
        <w:pStyle w:val="Typedudocument"/>
      </w:pPr>
      <w:r w:rsidRPr="00A53956">
        <w:lastRenderedPageBreak/>
        <w:t>ΕΚΤΕΛΕΣΤΙΚΗ ΑΠΟΦΑΣΗ (ΕΕ) …/... ΤΗΣ ΕΠΙΤΡΟΠΗΣ</w:t>
      </w:r>
    </w:p>
    <w:p w14:paraId="39925B62" w14:textId="19E3F5F3" w:rsidR="00070205" w:rsidRPr="00A53956" w:rsidRDefault="00A53956" w:rsidP="00497462">
      <w:pPr>
        <w:pStyle w:val="Datedadoption"/>
      </w:pPr>
      <w:r>
        <w:t>της XXX</w:t>
      </w:r>
    </w:p>
    <w:p w14:paraId="3EC8887B" w14:textId="530D70CF" w:rsidR="00070205" w:rsidRPr="00A53956" w:rsidRDefault="00497462" w:rsidP="00497462">
      <w:pPr>
        <w:pStyle w:val="Titreobjet"/>
      </w:pPr>
      <w:r w:rsidRPr="00A53956">
        <w:t>σχετικά με τις τυποποιημένες συμβατικές ρήτρες για τη διαβίβαση δεδομένων προσωπικού χαρακτήρα προς τρίτες χώρες σύμφωνα με τον κανονισμό (ΕΕ) 2016/679 του Ευρωπαϊκού Κοινοβουλίου και του Συμβουλίου</w:t>
      </w:r>
    </w:p>
    <w:p w14:paraId="2E28B445" w14:textId="5EA392B1" w:rsidR="00070205" w:rsidRPr="00A53956" w:rsidRDefault="00497462" w:rsidP="00497462">
      <w:pPr>
        <w:pStyle w:val="IntrtEEE"/>
      </w:pPr>
      <w:r w:rsidRPr="00A53956">
        <w:t>(Κείμενο που παρουσιάζει ενδιαφέρον για τον ΕΟΧ)</w:t>
      </w:r>
    </w:p>
    <w:p w14:paraId="6A988FE2" w14:textId="77777777" w:rsidR="00070205" w:rsidRPr="00A53956" w:rsidRDefault="00070205" w:rsidP="00C36A89">
      <w:pPr>
        <w:pStyle w:val="Institutionquiagit"/>
      </w:pPr>
      <w:r w:rsidRPr="00A53956">
        <w:t>Η ΕΥΡΩΠΑΪΚΗ ΕΠΙΤΡΟΠΗ,</w:t>
      </w:r>
    </w:p>
    <w:p w14:paraId="5AFA792D" w14:textId="77777777" w:rsidR="001D4EF4" w:rsidRPr="00A53956" w:rsidRDefault="00070205" w:rsidP="00C36A89">
      <w:r w:rsidRPr="00A53956">
        <w:rPr>
          <w:color w:val="000000"/>
        </w:rPr>
        <w:t>Έχοντας υπόψη τη Συνθήκη για τη λειτουργία της Ευρωπαϊκής Ένωσης</w:t>
      </w:r>
      <w:r w:rsidRPr="00A53956">
        <w:t>,</w:t>
      </w:r>
    </w:p>
    <w:p w14:paraId="723B085A" w14:textId="1190B94A" w:rsidR="00070205" w:rsidRPr="00A53956" w:rsidRDefault="00070205" w:rsidP="00C36A89">
      <w:r w:rsidRPr="00A53956">
        <w:t xml:space="preserve">Έχοντας υπόψη τον </w:t>
      </w:r>
      <w:r w:rsidRPr="00A53956">
        <w:rPr>
          <w:color w:val="000000"/>
        </w:rPr>
        <w:t>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r w:rsidRPr="00A53956">
        <w:rPr>
          <w:rStyle w:val="FootnoteReference"/>
          <w:color w:val="000000"/>
        </w:rPr>
        <w:footnoteReference w:id="1"/>
      </w:r>
      <w:r w:rsidRPr="00A53956">
        <w:t>, και ιδίως το άρθρο</w:t>
      </w:r>
      <w:r w:rsidRPr="00A53956">
        <w:rPr>
          <w:color w:val="000000"/>
        </w:rPr>
        <w:t xml:space="preserve"> 28 παράγραφος 7 και το άρθρο 46 παράγραφος 2 στοιχείο γ)</w:t>
      </w:r>
      <w:r w:rsidRPr="00A53956">
        <w:t>,</w:t>
      </w:r>
    </w:p>
    <w:p w14:paraId="5DBC66B2" w14:textId="77777777" w:rsidR="00070205" w:rsidRPr="00A53956" w:rsidRDefault="00070205" w:rsidP="00C36A89">
      <w:r w:rsidRPr="00A53956">
        <w:t>Εκτιμώντας τα ακόλουθα:</w:t>
      </w:r>
    </w:p>
    <w:p w14:paraId="1FBC9A33" w14:textId="4D496B78" w:rsidR="00EB7ED2" w:rsidRPr="00A53956" w:rsidRDefault="00EB7ED2" w:rsidP="00377582">
      <w:pPr>
        <w:pStyle w:val="Considrant"/>
        <w:numPr>
          <w:ilvl w:val="0"/>
          <w:numId w:val="1"/>
        </w:numPr>
      </w:pPr>
      <w:r w:rsidRPr="00A53956">
        <w:t>Οι τεχνολογικές εξελίξεις διευκολύνουν τη διασυνοριακή κυκλοφορία δεδομένων που είναι απαραίτητη για την επέκταση της διεθνούς συνεργασίας και του διεθνούς εμπορίου. Παράλληλα, είναι αναγκαίο να διασφαλιστεί ότι δεν υπονομεύεται το επίπεδο προστασίας των φυσικών προσώπων που εγγυάται ο κανονισμός (ΕΕ) 2016/679 όταν δεδομένα προσωπικού χαρακτήρα διαβιβάζονται σε τρίτες χώρες, συμπεριλαμβανομένων των περιπτώσεων περαιτέρω διαβιβάσεων.</w:t>
      </w:r>
      <w:r w:rsidRPr="00A53956">
        <w:rPr>
          <w:rStyle w:val="FootnoteReference"/>
        </w:rPr>
        <w:footnoteReference w:id="2"/>
      </w:r>
      <w:r w:rsidRPr="00A53956">
        <w:t xml:space="preserve"> Οι διατάξεις σχετικά με τις διαβιβάσεις δεδομένων στο κεφάλαιο V του κανονισμού (ΕΕ) 2016/679 αποσκοπούν στη διασφάλιση της συνέχισης αυτού του υψηλού επιπέδου προστασίας όταν τα δεδομένα προσωπικού χαρακτήρα διαβιβάζονται σε τρίτη χώρα.</w:t>
      </w:r>
      <w:r w:rsidRPr="00A53956">
        <w:rPr>
          <w:rStyle w:val="FootnoteReference"/>
        </w:rPr>
        <w:footnoteReference w:id="3"/>
      </w:r>
    </w:p>
    <w:p w14:paraId="217460B5" w14:textId="1B3A5723" w:rsidR="00EB7ED2" w:rsidRPr="00A53956" w:rsidRDefault="00EB7ED2" w:rsidP="00EB7ED2">
      <w:pPr>
        <w:pStyle w:val="Considrant"/>
      </w:pPr>
      <w:r w:rsidRPr="00A53956">
        <w:t>Σύμφωνα με το άρθρο 46 παράγραφος 1 του κανονισμού (ΕΕ) 2016/679, ελλείψει απόφασης επάρκειας από την Επιτροπή δυνάμει του άρθρου 45 παράγραφος 3, ο υπεύθυνος επεξεργασίας ή ο εκτελών την επεξεργασία μπορεί να διαβιβάσει δεδομένα προσωπικού χαρακτήρα σε τρίτη χώρα μόνο εάν έχει παράσχει κατάλληλες εγγυήσεις και υπό την προϋπόθεση ότι υφίστανται εκτελεστά δικαιώματα και αποτελεσματικά ένδικα μέσα για τα υποκείμενα των δεδομένων. Οι εγγυήσεις αυτές μπορούν να προβλέπονται από τυποποιημένες ρήτρες προστασίας δεδομένων που εκδίδονται από την Επιτροπή σύμφωνα με το άρθρο 46 παράγραφος 2 στοιχείο γ).</w:t>
      </w:r>
    </w:p>
    <w:p w14:paraId="08AED2DA" w14:textId="753633F8" w:rsidR="00EB7ED2" w:rsidRPr="00A53956" w:rsidRDefault="00EB7ED2" w:rsidP="00EB7ED2">
      <w:pPr>
        <w:pStyle w:val="Considrant"/>
      </w:pPr>
      <w:r w:rsidRPr="00A53956">
        <w:t xml:space="preserve">Ο ρόλος των τυποποιημένων συμβατικών ρητρών περιορίζεται στη διασφάλιση κατάλληλων εγγυήσεων προστασίας των δεδομένων όσον αφορά τις διεθνείς διαβιβάσεις δεδομένων. Ως εκ τούτου, ο υπεύθυνος επεξεργασίας ή ο εκτελών την </w:t>
      </w:r>
      <w:r w:rsidRPr="00A53956">
        <w:lastRenderedPageBreak/>
        <w:t>επεξεργασία που διαβιβάζει τα δεδομένα προσωπικού χαρακτήρα σε τρίτη χώρα (στο εξής: εξαγωγέας των δεδομένων) και ο υπεύθυνος επεξεργασίας ή ο εκτελών την επεξεργασία που λαμβάνει τα δεδομένα προσωπικού χαρακτήρα (στο εξής: εισαγωγέας των δεδομένων) είναι ελεύθεροι να ενσωματώνουν τις εν λόγω τυποποιημένες συμβατικές ρήτρες σε ευρύτερη σύμβαση και να προσθέτουν άλλες ρήτρες ή πρόσθετες εγγυήσεις εφόσον αυτές δεν αντιφάσκουν, άμεσα ή έμμεσα, προς τις τυποποιημένες συμβατικές ρήτρες ούτε θίγουν τα θεμελιώδη δικαιώματα ή τις ελευθερίες των υποκειμένων των δεδομένων. Οι υπεύθυνοι επεξεργασίας και οι εκτελούντες την επεξεργασία ενθαρρύνονται να παράσχουν πρόσθετες εγγυήσεις μέσω συμβατικών δεσμεύσεων που δρουν συμπληρωματικά ως προς τις τυποποιημένες συμβατικές ρήτρες</w:t>
      </w:r>
      <w:r w:rsidRPr="00A53956">
        <w:rPr>
          <w:rStyle w:val="FootnoteReference"/>
        </w:rPr>
        <w:footnoteReference w:id="4"/>
      </w:r>
      <w:r w:rsidRPr="00A53956">
        <w:t>. Η χρήση των τυποποιημένων συμβατικών ρητρών δεν θίγει οποιαδήποτε άλλη συμβατική υποχρέωση του εξαγωγέα των δεδομένων και/ή του εισαγωγέα των δεδομένων σε σχέση με τη διασφάλιση της τήρησης των εφαρμοστέων προνομίων και ασυλιών.</w:t>
      </w:r>
    </w:p>
    <w:p w14:paraId="35DBB988" w14:textId="6EBE9457" w:rsidR="00EB7ED2" w:rsidRPr="00A53956" w:rsidRDefault="00EB7ED2" w:rsidP="00EB7ED2">
      <w:pPr>
        <w:pStyle w:val="Considrant"/>
      </w:pPr>
      <w:r w:rsidRPr="00A53956">
        <w:t>Ο εξαγωγέας των δεδομένων, πέραν της χρήσης τυποποιημένων συμβατικών ρητρών για την παροχή κατάλληλων εγγυήσεων για διαβιβάσεις σύμφωνα με το άρθρο 46 παράγραφος 1 του κανονισμού (ΕΕ) 2016/679, πρέπει να εκπληρώνει τις γενικές του αρμοδιότητες ως υπευθύνου επεξεργασίας ή εκτελούντος την επεξεργασία δυνάμει του κανονισμού (ΕΕ) 2016/679. Οι αρμοδιότητες αυτές περιλαμβάνουν την υποχρέωση του υπευθύνου επεξεργασίας να παρέχει στα υποκείμενα των δεδομένων πληροφορίες σχετικά με το γεγονός ότι προτίθεται να διαβιβάσει τα δεδομένα προσωπικού χαρακτήρα των εν λόγω υποκειμένων σε τρίτη χώρα σύμφωνα με το άρθρο 13 παράγραφος 1 στοιχείο στ) και το άρθρο 14 παράγραφος 1 στοιχείο στ) του κανονισμού (ΕΕ) 2016/679. Στην περίπτωση των διαβιβάσεων σύμφωνα με το άρθρο 46 του κανονισμού (ΕΕ) 2016/679, στις εν λόγω πληροφορίες πρέπει να περιλαμβάνεται αναφορά στις κατάλληλες εγγυήσεις, καθώς και στα μέσα για να αποκτηθεί αντίγραφό τους ή πληροφορίες σχετικά με το πού διατέθηκαν.</w:t>
      </w:r>
    </w:p>
    <w:p w14:paraId="4969630F" w14:textId="0B18A3BC" w:rsidR="00EB7ED2" w:rsidRPr="00A53956" w:rsidRDefault="00EB7ED2" w:rsidP="00EB7ED2">
      <w:pPr>
        <w:pStyle w:val="Considrant"/>
      </w:pPr>
      <w:r w:rsidRPr="00A53956">
        <w:t>Οι αποφάσεις 2001/497/ΕΚ</w:t>
      </w:r>
      <w:r w:rsidRPr="00A53956">
        <w:rPr>
          <w:rStyle w:val="FootnoteReference"/>
        </w:rPr>
        <w:footnoteReference w:id="5"/>
      </w:r>
      <w:r w:rsidRPr="00A53956">
        <w:t xml:space="preserve"> και 2010/87/ΕΕ</w:t>
      </w:r>
      <w:r w:rsidRPr="00A53956">
        <w:rPr>
          <w:rStyle w:val="FootnoteReference"/>
        </w:rPr>
        <w:footnoteReference w:id="6"/>
      </w:r>
      <w:r w:rsidRPr="00A53956">
        <w:t xml:space="preserve"> της Επιτροπής περιλαμβάνουν τυποποιημένες συμβατικές ρήτρες για τη διευκόλυνση των διαβιβάσεων δεδομένων προσωπικού χαρακτήρα από υπεύθυνο επεξεργασίας δεδομένων εγκατεστημένο στην Ένωση σε υπεύθυνο επεξεργασίας ή εκτελούντα την επεξεργασία εγκατεστημένο σε τρίτη χώρα η οποία δεν παρέχει επαρκές επίπεδο προστασίας. Οι εν λόγω αποφάσεις βασίστηκαν στην οδηγία 95/46/ΕΚ του Ευρωπαϊκού Κοινοβουλίου και του Συμβουλίου</w:t>
      </w:r>
      <w:r w:rsidRPr="00A53956">
        <w:rPr>
          <w:rStyle w:val="FootnoteReference"/>
        </w:rPr>
        <w:footnoteReference w:id="7"/>
      </w:r>
      <w:r w:rsidRPr="00A53956">
        <w:t>.</w:t>
      </w:r>
    </w:p>
    <w:p w14:paraId="6B0A0951" w14:textId="6C1C3DFB" w:rsidR="00EB7ED2" w:rsidRPr="00A53956" w:rsidRDefault="00EB7ED2" w:rsidP="00EB7ED2">
      <w:pPr>
        <w:pStyle w:val="Considrant"/>
      </w:pPr>
      <w:r w:rsidRPr="00A53956">
        <w:t xml:space="preserve">Σύμφωνα με το άρθρο 46 παράγραφος 5 του κανονισμού (ΕΕ) 2016/679, η απόφαση 2001/497/ΕΚ και η απόφαση 2010/87/ΕΕ παραμένουν σε ισχύ έως ότου τροποποιηθούν, αντικατασταθούν ή καταργηθούν, εάν απαιτείται, με απόφαση της Επιτροπής που εκδίδεται σύμφωνα με το άρθρο 46 παράγραφος 2 του εν λόγω κανονισμού. Οι τυποποιημένες συμβατικές ρήτρες στις αποφάσεις έχρηζαν </w:t>
      </w:r>
      <w:r w:rsidRPr="00A53956">
        <w:lastRenderedPageBreak/>
        <w:t>επικαιροποίησης με βάση τις νέες απαιτήσεις στον κανονισμό (ΕΕ) 2016/679. Επιπλέον, μετά την έκδοση των αποφάσεων, έχουν σημειωθεί σημαντικές εξελίξεις στην ψηφιακή οικονομία, με την ευρεία χρήση νέων και πιο πολύπλοκων πράξεων επεξεργασίας, στις οποίες συχνά συμμετέχουν πολλοί εισαγωγείς και εξαγωγείς των δεδομένων, και περιλαμβάνονται εκτεταμένες και πολύπλοκες αλυσίδες επεξεργασίας, καθώς και εξελισσόμενες επιχειρηματικές σχέσεις. Αυτό απαιτεί τον εκσυγχρονισμό των τυποποιημένων συμβατικών ρητρών ώστε να αντικατοπτρίζεται καλύτερα η πραγματικότητα αυτή, με την κάλυψη επιπλέον καταστάσεων επεξεργασίας και διαβίβασης και τη δυνατότητα για πιο ευέλικτη προσέγγιση, για παράδειγμα, όσον αφορά τον αριθμό των συμβαλλόμενων μερών που μπορούν να συμμετέχουν στη σύμβαση.</w:t>
      </w:r>
    </w:p>
    <w:p w14:paraId="33EBD438" w14:textId="031AEAEC" w:rsidR="00D20CB6" w:rsidRPr="00A53956" w:rsidRDefault="0047771C" w:rsidP="00C36A89">
      <w:pPr>
        <w:pStyle w:val="Considrant"/>
      </w:pPr>
      <w:r w:rsidRPr="00A53956">
        <w:t xml:space="preserve">Ο υπεύθυνος επεξεργασίας ή εκτελών την επεξεργασία μπορεί να χρησιμοποιεί τις τυποποιημένες συμβατικές ρήτρες που περιλαμβάνονται στο παράρτημα της παρούσας απόφασης προκειμένου να παρέχονται κατάλληλες εγγυήσεις κατά την έννοια του άρθρου 46 παράγραφος 1 του κανονισμού (ΕΕ) 2016/679 για τη διαβίβαση δεδομένων προσωπικού χαρακτήρα σε εκτελούντα την επεξεργασία ή υπεύθυνο επεξεργασίας εγκατεστημένο σε τρίτη χώρα, με την επιφύλαξη της ερμηνείας της έννοιας της διεθνούς διαβίβασης στον κανονισμό (ΕΕ) 2016/679. Οι τυποποιημένες συμβατικές ρήτρες μπορούν να χρησιμοποιούνται για την εν λόγω διαβίβαση μόνο στον βαθμό που η επεξεργασία από τον εισαγωγέα δεν εμπίπτει στο πεδίο εφαρμογής του κανονισμού (ΕΕ) 2016/679. Αυτό περιλαμβάνει επίσης τη διαβίβαση δεδομένων προσωπικού χαρακτήρα από υπεύθυνο επεξεργασίας ή εκτελούντα την επεξεργασία μη εγκατεστημένο στην Ένωση, στον βαθμό που η επεξεργασία υπόκειται στον κανονισμό (ΕΕ) 2016/679 (σύμφωνα με το άρθρο 3 παράγραφος 2 του εν λόγω κανονισμού), διότι αφορά την προσφορά αγαθών ή υπηρεσιών σε υποκείμενα των δεδομένων στην Ένωση ή την παρακολούθηση της συμπεριφοράς τους, στον βαθμό που η συμπεριφορά αυτή λαμβάνει χώρα εντός της Ένωσης. </w:t>
      </w:r>
    </w:p>
    <w:p w14:paraId="58638138" w14:textId="67BE8AA0" w:rsidR="00EB7ED2" w:rsidRPr="00A53956" w:rsidRDefault="000C1C57" w:rsidP="00E74673">
      <w:pPr>
        <w:pStyle w:val="Considrant"/>
        <w:numPr>
          <w:ilvl w:val="0"/>
          <w:numId w:val="12"/>
        </w:numPr>
      </w:pPr>
      <w:r w:rsidRPr="00A53956">
        <w:t>Δεδομένης της γενικής ευθυγράμμισης των κανονισμών (ΕΕ) 2016/679 και (ΕΕ) 2018/1725 του Ευρωπαϊκού Κοινοβουλίου και του Συμβουλίου</w:t>
      </w:r>
      <w:r w:rsidRPr="00A53956">
        <w:rPr>
          <w:rStyle w:val="FootnoteReference"/>
        </w:rPr>
        <w:footnoteReference w:id="8"/>
      </w:r>
      <w:r w:rsidRPr="00A53956">
        <w:t>, θα πρέπει να είναι δυνατή η χρήση των τυποποιημένων συμβατικών ρητρών και στο πλαίσιο σύμβασης, όπως προβλέπεται στο άρθρο 29 παράγραφος 4 του κανονισμού (ΕΕ) 2018/1725 για τη διαβίβαση δεδομένων προσωπικού χαρακτήρα σε υπεργολάβο επεξεργασίας σε τρίτη χώρα από εκτελούντα την επεξεργασία που δεν είναι όργανο ή οργανισμός της Ένωσης, αλλά υπόκειται στον κανονισμό (ΕΕ) 2016/679 και επεξεργάζεται δεδομένα προσωπικού χαρακτήρα για λογαριασμό οργάνου ή οργανισμού της Ένωσης σύμφωνα με το άρθρο 29 του κανονισμού (ΕΕ) 2018/1725. Υπό την προϋπόθεση ότι η σύμβαση αντικατοπτρίζει τις ίδιες υποχρεώσεις όσον αφορά την προστασία των δεδομένων με εκείνες που προβλέπονται στη σύμβαση ή σε άλλη νομική πράξη μεταξύ του υπευθύνου επεξεργασίας και του εκτελούντος την επεξεργασία σύμφωνα με το άρθρο 29 παράγραφος 3 του κανονισμού (ΕΕ) 2018/1725, ιδίως με την παροχή επαρκών εγγυήσεων για τεχνικά και οργανωτικά μέτρα ώστε να διασφαλίζεται ότι η επεξεργασία πληροί τις απαιτήσεις του εν λόγω κανονισμού, με τον τρόπο αυτόν θα διασφαλιστεί η συμμόρφωση με το άρθρο 29 παράγραφος 4 του κανονισμού (ΕΕ) 2018/1725. Ειδικότερα, αυτό συμβαίνει όταν ο υπεύθυνος επεξεργασίας και ο εκτελών την επεξεργασία χρησιμοποιούν τις τυποποιημένες συμβατικές ρήτρες της εκτελεστικής απόφασης της Επιτροπής σχετικά με τις τυποποιημένες συμβατικές ρήτρες μεταξύ υπευθύνων επεξεργασίας και εκτελούντων την επεξεργασία δυνάμει του άρθρου 28 παράγραφος 7 του κανονισμού (ΕΕ) 2016/679 του Ευρωπαϊκού Κοινοβουλίου και του Συμβουλίου και του άρθρου 29 παράγραφος 7 του κανονισμού (ΕΕ) 2018/1725 του Ευρωπαϊκού Κοινοβουλίου και του Συμβουλίου</w:t>
      </w:r>
      <w:r w:rsidRPr="00A53956">
        <w:rPr>
          <w:rStyle w:val="FootnoteReference"/>
        </w:rPr>
        <w:footnoteReference w:id="9"/>
      </w:r>
      <w:r w:rsidRPr="00A53956">
        <w:t>.</w:t>
      </w:r>
    </w:p>
    <w:p w14:paraId="7C611A21" w14:textId="33B99914" w:rsidR="00EB7ED2" w:rsidRPr="00A53956" w:rsidRDefault="00EB7ED2" w:rsidP="00EB7ED2">
      <w:pPr>
        <w:pStyle w:val="Considrant"/>
      </w:pPr>
      <w:r w:rsidRPr="00A53956">
        <w:t>Όταν η επεξεργασία περιλαμβάνει διαβιβάσεις δεδομένων από υπευθύνους επεξεργασίας που υπόκεινται στον κανονισμό (ΕΕ) 2016/679 σε εκτελούντες την επεξεργασία εκτός του εδαφικού πεδίου εφαρμογής του ή από εκτελούντες την επεξεργασία που υπόκεινται στον κανονισμό (ΕΕ) 2016/679 σε υπεργολάβους επεξεργασίας εκτός του εδαφικού πεδίου εφαρμογής του, οι τυποποιημένες συμβατικές ρήτρες που περιλαμβάνονται στο παράρτημα της παρούσας απόφασης θα πρέπει επίσης να επιτρέπουν την εκπλήρωση των απαιτήσεων του άρθρου 28 παράγραφοι 3 και 4 του κανονισμού (ΕΕ) 2016/679.</w:t>
      </w:r>
    </w:p>
    <w:p w14:paraId="34346D8F" w14:textId="64503FB9" w:rsidR="00EB7ED2" w:rsidRPr="00A53956" w:rsidRDefault="00EB7ED2" w:rsidP="00EB7ED2">
      <w:pPr>
        <w:pStyle w:val="Considrant"/>
      </w:pPr>
      <w:r w:rsidRPr="00A53956">
        <w:t>Οι τυποποιημένες συμβατικές ρήτρες που περιλαμβάνονται στο παράρτημα της παρούσας απόφασης συνδυάζουν γενικές ρήτρες με μια προσέγγιση βάσει ενοτήτων, ώστε να λαμβάνονται υπόψη διάφορα σενάρια διαβίβασης καθώς και η πολυπλοκότητα των σύγχρονων αλυσίδων επεξεργασίας. Εκτός από τις γενικές ρήτρες, οι υπεύθυνοι επεξεργασίας και οι εκτελούντες την επεξεργασία θα πρέπει να επιλέγουν την ενότητα που αφορά την περίπτωσή τους ώστε να προσαρμόζουν τις υποχρεώσεις τους στο πλαίσιο των τυποποιημένων συμβατικών ρητρών στον ρόλο και τις αντίστοιχες αρμοδιότητές τους σε σχέση με την εκάστοτε επεξεργασία δεδομένων. Θα πρέπει να είναι δυνατή η προσχώρηση περισσοτέρων των δύο συμβαλλόμενων μερών στις τυποποιημένες συμβατικές ρήτρες. Επιπλέον, θα πρέπει να μπορούν πρόσθετοι υπεύθυνοι επεξεργασίας και εκτελούντες την επεξεργασία να προσχωρούν στις τυποποιημένες συμβατικές ρήτρες ως εξαγωγείς ή εισαγωγείς των δεδομένων καθ’ όλη τη διάρκεια ισχύος της σύμβασης της οποίας αποτελούν μέρος οι εν λόγω ρήτρες.</w:t>
      </w:r>
    </w:p>
    <w:p w14:paraId="5A5BCD4E" w14:textId="4AA774DE" w:rsidR="00EB7ED2" w:rsidRPr="00A53956" w:rsidRDefault="00EB7ED2" w:rsidP="00BD7CD0">
      <w:pPr>
        <w:pStyle w:val="Considrant"/>
      </w:pPr>
      <w:r w:rsidRPr="00A53956">
        <w:t>Για να παρέχονται κατάλληλες εγγυήσεις, οι τυποποιημένες συμβατικές ρήτρες θα πρέπει να διασφαλίζουν για τα διαβιβαζόμενα δεδομένα προσωπικού χαρακτήρα επίπεδο προστασίας ουσιαστικά ισοδύναμο με αυτό που διασφαλίζεται εντός της Ένωσης</w:t>
      </w:r>
      <w:r w:rsidRPr="00A53956">
        <w:rPr>
          <w:rStyle w:val="FootnoteReference"/>
        </w:rPr>
        <w:footnoteReference w:id="10"/>
      </w:r>
      <w:r w:rsidRPr="00A53956">
        <w:t>. Για να διασφαλίζεται η διαφάνεια της επεξεργασίας, τα υποκείμενα των δεδομένων θα πρέπει να λαμβάνουν αντίγραφο των τυποποιημένων συμβατικών ρητρών και να ενημερώνονται, ειδικότερα, για τις κατηγορίες δεδομένων προσωπικού χαρακτήρα που υποβάλλονται σε επεξεργασία, το δικαίωμα λήψης αντιγράφου των τυποποιημένων συμβατικών ρητρών και κάθε περαιτέρω διαβίβαση. Θα πρέπει να επιτρέπονται οι περαιτέρω διαβιβάσεις από τον εισαγωγέα των δεδομένων σε τρίτον σε άλλη τρίτη χώρα μόνον αν ο εν λόγω τρίτος προσχωρήσει στις τυποποιημένες συμβατικές ρήτρες, σε περίπτωση που η συνέχεια της προστασίας διασφαλίζεται με άλλον τρόπο ή σε συγκεκριμένες περιπτώσεις, όπως με βάση τη ρητή και εν πλήρη επιγνώσει συγκατάθεση του υποκειμένου των δεδομένων.</w:t>
      </w:r>
    </w:p>
    <w:p w14:paraId="0EE018AF" w14:textId="6777D2A3" w:rsidR="00EB7ED2" w:rsidRPr="00A53956" w:rsidRDefault="00EB7ED2" w:rsidP="00EB7ED2">
      <w:pPr>
        <w:pStyle w:val="Considrant"/>
      </w:pPr>
      <w:r w:rsidRPr="00A53956">
        <w:t>Με κάποιες εξαιρέσεις, ιδίως όσον αφορά ορισμένες υποχρεώσεις που αφορούν αποκλειστικά τη σχέση μεταξύ του εξαγωγέα των δεδομένων και του εισαγωγέα των δεδομένων, τα υποκείμενα των δεδομένων θα πρέπει να μπορούν να επικαλούνται και, όπου απαιτείται, να επιβάλλουν τις τυποποιημένες συμβατικές ρήτρες ως δικαιούχοι τρίτοι. Ως εκ τούτου, ενώ τα συμβαλλόμενα μέρη θα πρέπει να έχουν τη δυνατότητα να επιλέγουν το δίκαιο ενός από τα κράτη μέλη ως το δίκαιο που θα διέπει τις τυποποιημένες συμβατικές ρήτρες, το δίκαιο αυτό πρέπει να επιτρέπει δικαιώματα δικαιούχων τρίτων. Προκειμένου να διευκολύνεται η ατομική έννομη προστασία, οι τυποποιημένες συμβατικές ρήτρες θα πρέπει να απαιτούν από τον εισαγωγέα των δεδομένων να ενημερώνει τα υποκείμενα των δεδομένων σχετικά με το σημείο επικοινωνίας και να εξετάζει αμέσως τυχόν καταγγελίες ή αιτήματα. Σε περίπτωση διαφοράς μεταξύ του εισαγωγέα των δεδομένων και υποκειμένου των δεδομένων το οποίο επικαλείται τα δικαιώματά του ως δικαιούχου τρίτου, το υποκείμενο των δεδομένων θα πρέπει να μπορεί να υποβάλει καταγγελία στην αρμόδια εποπτική αρχή ή να παραπέμψει τη διαφορά στα αρμόδια δικαστήρια στην ΕΕ.</w:t>
      </w:r>
    </w:p>
    <w:p w14:paraId="461FA1E7" w14:textId="6F22FFED" w:rsidR="00EB7ED2" w:rsidRPr="00A53956" w:rsidRDefault="00EB7ED2" w:rsidP="00EB7ED2">
      <w:pPr>
        <w:pStyle w:val="Considrant"/>
      </w:pPr>
      <w:r w:rsidRPr="00A53956">
        <w:t>Για να διασφαλίζεται αποτελεσματική επιβολή, θα πρέπει να απαιτείται από τον εισαγωγέα των δεδομένων να αποδέχεται την αρμοδιότητα της εν λόγω αρχής και των εν λόγω δικαστηρίων και να δεσμεύεται να συμμορφώνεται με οποιαδήποτε δεσμευτική απόφαση βάσει του εφαρμοστέου δικαίου του κράτους μέλους. Ειδικότερα, ο εισαγωγέας των δεδομένων θα πρέπει να συμφωνήσει να απαντά σε αιτήματα πληροφοριών, να υποβάλλεται σε ελέγχους και να συμμορφώνεται με τα μέτρα που θεσπίζει η εποπτική αρχή, συμπεριλαμβανομένων διορθωτικών και αντισταθμιστικών μέτρων. Επιπλέον, ο εισαγωγέας των δεδομένων θα πρέπει να έχει τη δυνατότητα να παρέχει στα υποκείμενα των δεδομένων την ευκαιρία να προσφεύγουν δωρεάν σε ανεξάρτητο φορέα επίλυσης διαφορών. Σύμφωνα με το άρθρο 80 παράγραφος 1 του κανονισμού (ΕΕ) 2016/679, τα υποκείμενα των δεδομένων θα πρέπει να μπορούν να εκπροσωπούνται από ενώσεις ή άλλους φορείς όσον αφορά διαφορές κατά του εισαγωγέα των δεδομένων, εφόσον το επιθυμούν.</w:t>
      </w:r>
    </w:p>
    <w:p w14:paraId="4692FAD3" w14:textId="0949E3EF" w:rsidR="00EB7ED2" w:rsidRPr="00A53956" w:rsidRDefault="00EB7ED2" w:rsidP="00EB7ED2">
      <w:pPr>
        <w:pStyle w:val="Considrant"/>
      </w:pPr>
      <w:r w:rsidRPr="00A53956">
        <w:t>Οι τυποποιημένες συμβατικές ρήτρες θα πρέπει να προβλέπουν κανόνες για την ευθύνη μεταξύ των συμβαλλόμενων μερών και σε σχέση με τα υποκείμενα των δεδομένων, και κανόνες για την αποζημίωση μεταξύ των συμβαλλόμενων μερών. Όταν το υποκείμενο των δεδομένων έχει υποστεί υλική ή μη υλική ζημία ως αποτέλεσμα οποιασδήποτε προσβολής δικαιωμάτων του δικαιούχου τρίτου στο πλαίσιο των τυποποιημένων συμβατικών ρητρών, θα πρέπει να δικαιούται αποζημίωση. Το γεγονός αυτό δεν θα πρέπει να θίγει τυχόν ευθύνη στο πλαίσιο του κανονισμού (ΕΕ) 2016/679.</w:t>
      </w:r>
    </w:p>
    <w:p w14:paraId="0FAD5DAD" w14:textId="48999BE6" w:rsidR="00EB7ED2" w:rsidRPr="00A53956" w:rsidRDefault="00EB7ED2" w:rsidP="00EB7ED2">
      <w:pPr>
        <w:pStyle w:val="Considrant"/>
      </w:pPr>
      <w:r w:rsidRPr="00A53956">
        <w:t>Σε περίπτωση διαβίβασης σε εισαγωγέα των δεδομένων που ενεργεί ως εκτελών την επεξεργασία ή υπεργολάβος επεξεργασίας, θα πρέπει να ισχύουν ειδικές απαιτήσεις σύμφωνα με το άρθρο 28 παράγραφος 3 του κανονισμού (ΕΕ) 2016/679. Οι τυποποιημένες συμβατικές ρήτρες θα πρέπει να απαιτούν από τον εισαγωγέα των δεδομένων να καθιστά διαθέσιμη κάθε απαραίτητη πληροφορία προς απόδειξη της συμμόρφωσης προς τις υποχρεώσεις που ορίζονται στις ρήτρες και να επιτρέπει και να διευκολύνει τους ελέγχους των οικείων δραστηριοτήτων επεξεργασίας που διενεργεί ο εξαγωγέας των δεδομένων. Όσον αφορά την πρόσληψη υπεργολάβου επεξεργασίας από τον εισαγωγέα των δεδομένων, σύμφωνα με το άρθρο 28 παράγραφοι 2 και 4 του κανονισμού (ΕΕ) 2016/679, οι τυποποιημένες συμβατικές ρήτρες θα πρέπει ειδικότερα να καθορίζουν τη διαδικασία για τη χορήγηση γενικής ή ειδικής άδειας από τον εξαγωγέα των δεδομένων, καθώς και την απαίτηση γραπτής σύμβασης με τον υπεργολάβο επεξεργασίας η οποία να διασφαλίζει το ίδιο επίπεδο προστασίας με εκείνο που προβλέπεται στις ρήτρες.</w:t>
      </w:r>
    </w:p>
    <w:p w14:paraId="08EF7457" w14:textId="77B49352" w:rsidR="00EB7ED2" w:rsidRPr="00A53956" w:rsidRDefault="00EB7ED2" w:rsidP="00EB7ED2">
      <w:pPr>
        <w:pStyle w:val="Considrant"/>
      </w:pPr>
      <w:r w:rsidRPr="00A53956">
        <w:t>Είναι σκόπιμο να προβλέπονται διαφορετικές εγγυήσεις στις τυποποιημένες συμβατικές ρήτρες οι οποίες να καλύπτουν την ειδική περίπτωση της διαβίβασης δεδομένων προσωπικού χαρακτήρα από εκτελούντα την επεξεργασία στην Ένωση προς τον υπεύθυνο επεξεργασίας σε τρίτη χώρα και να αντικατοπτρίζουν τις περιορισμένες αυτοτελείς υποχρεώσεις των εκτελούντων την επεξεργασία δυνάμει του κανονισμού (ΕΕ) 2016/679. Ειδικότερα, οι τυποποιημένες συμβατικές ρήτρες θα πρέπει να απαιτούν από τον εκτελούντα την επεξεργασία να ενημερώνει τον υπεύθυνο επεξεργασίας αν δεν είναι σε θέση να εκτελέσει εντολές του υπευθύνου επεξεργασίας, μεταξύ άλλων αν οι εν λόγω εντολές παραβίαζαν το δίκαιο της Ένωσης για την προστασία των δεδομένων, και να απαιτούν από τον υπεύθυνο επεξεργασίας να απέχει από κάθε ενέργεια που θα εμπόδιζε τον εκτελούντα την επεξεργασία να εκπληρώσει τις υποχρεώσεις του δυνάμει του κανονισμού (ΕΕ) 2016/679. Θα πρέπει επίσης να απαιτούν από τα συμβαλλόμενα μέρη να παρέχουν αμοιβαία συνδρομή ώστε να απαντούν σε αιτήματα πληροφοριών και άλλα αιτήματα που υποβάλλουν τα υποκείμενα των δεδομένων σύμφωνα με το τοπικό δίκαιο στο οποίο υπόκειται ο εισαγωγέας των δεδομένων ή, για την επεξεργασία δεδομένων στην Ένωση, δυνάμει του κανονισμού (ΕΕ) 2016/679. Θα πρέπει να εφαρμόζονται πρόσθετες απαιτήσεις για την αντιμετώπιση τυχόν αποτελεσμάτων του δικαίου της τρίτης χώρας προορισμού στη συμμόρφωση του υπευθύνου επεξεργασίας προς τις ρήτρες, και ιδίως τον τρόπο χειρισμού δεσμευτικών αιτημάτων από δημόσιες αρχές της τρίτης χώρας για κοινολόγηση των διαβιβαζόμενων δεδομένων προσωπικού χαρακτήρα, όταν ο εκτελών την επεξεργασία στην Ένωση συνδυάζει τα δεδομένα προσωπικού χαρακτήρα που λαμβάνει από τον υπεύθυνο επεξεργασίας στην τρίτη χώρα με δεδομένα προσωπικού χαρακτήρα που συλλέγονται από τον εκτελούντα την επεξεργασία στην Ένωση. Αντιθέτως, τέτοιες απαιτήσεις δεν δικαιολογούνται όταν η εξωτερική ανάθεση συνεπάγεται απλώς την επεξεργασία και την επιστροφή δεδομένων προσωπικού χαρακτήρα που ελήφθησαν από τον υπεύθυνο επεξεργασίας και, σε κάθε περίπτωση, υπάγονταν και θα εξακολουθήσουν να υπάγονται στη δικαιοδοσία της εκάστοτε τρίτης χώρας.</w:t>
      </w:r>
    </w:p>
    <w:p w14:paraId="654EF3D0" w14:textId="33F86CB7" w:rsidR="00EB7ED2" w:rsidRPr="00A53956" w:rsidRDefault="00EB7ED2" w:rsidP="00EB7ED2">
      <w:pPr>
        <w:pStyle w:val="Considrant"/>
      </w:pPr>
      <w:r w:rsidRPr="00A53956">
        <w:t xml:space="preserve">Τα συμβαλλόμενα μέρη θα πρέπει να είναι σε θέση να αποδεικνύουν τη συμμόρφωσή τους με τις τυποποιημένες συμβατικές ρήτρες. Ειδικότερα, ο εισαγωγέας των δεδομένων θα πρέπει να υποχρεούται να τηρεί κατάλληλη τεκμηρίωση για τις δραστηριότητες επεξεργασίας για τις οποίες είναι υπεύθυνος και να ενημερώνει αμέσως τον εξαγωγέα των δεδομένων σε περίπτωση που αδυνατεί να συμμορφωθεί με τις ρήτρες, για οποιονδήποτε λόγο. Με τη σειρά του, ο εξαγωγέας των δεδομένων θα πρέπει να αναστέλλει τη διαβίβαση και, σε ιδιαίτερα σοβαρές περιπτώσεις, να έχει δικαίωμα καταγγελίας της σύμβασης, στον βαθμό που αφορά την επεξεργασία δεδομένων προσωπικού χαρακτήρα βάσει τυποποιημένων συμβατικών ρητρών, όταν ο εισαγωγέας των δεδομένων παραβαίνει ή αδυνατεί να συμμορφωθεί με τις ρήτρες. Θα πρέπει να εφαρμόζονται ειδικοί κανόνες όταν η τοπική νομοθεσία επηρεάζει τη συμμόρφωση με τις ρήτρες. Τα δεδομένα προσωπικού χαρακτήρα που έχουν διαβιβαστεί πριν από την καταγγελία της σύμβασης και τυχόν αντίγραφά τους θα πρέπει, κατ’ επιλογή του εξαγωγέα των δεδομένων, να επιστρέφονται στον εξαγωγέα των δεδομένων ή να καταστρέφονται στο σύνολό τους. </w:t>
      </w:r>
    </w:p>
    <w:p w14:paraId="20EC53F9" w14:textId="6A2B7387" w:rsidR="00EB7ED2" w:rsidRPr="00A53956" w:rsidRDefault="00EB7ED2" w:rsidP="00EB7ED2">
      <w:pPr>
        <w:pStyle w:val="Considrant"/>
      </w:pPr>
      <w:r w:rsidRPr="00A53956">
        <w:t>Στις τυποποιημένες συμβατικές ρήτρες θα πρέπει να προβλέπονται ειδικές εγγυήσεις, λαμβανομένης ειδικότερα υπόψη της νομολογίας του Δικαστηρίου</w:t>
      </w:r>
      <w:r w:rsidRPr="00A53956">
        <w:rPr>
          <w:rStyle w:val="FootnoteReference"/>
        </w:rPr>
        <w:footnoteReference w:id="11"/>
      </w:r>
      <w:r w:rsidRPr="00A53956">
        <w:t>, για την αντιμετώπιση των αποτελεσμάτων του δικαίου της τρίτης χώρας προορισμού στη συμμόρφωση του εισαγωγέα των δεδομένων προς τις ρήτρες και, πιο συγκεκριμένα, τον τρόπο χειρισμού των δεσμευτικών αιτημάτων των δημόσιων αρχών της εν λόγω χώρας για την κοινολόγηση των διαβιβαζόμενων δεδομένων προσωπικού χαρακτήρα.</w:t>
      </w:r>
    </w:p>
    <w:p w14:paraId="255E3008" w14:textId="13B19320" w:rsidR="00EB7ED2" w:rsidRPr="00A53956" w:rsidRDefault="00EB7ED2" w:rsidP="00EB7ED2">
      <w:pPr>
        <w:pStyle w:val="Considrant"/>
      </w:pPr>
      <w:r w:rsidRPr="00A53956">
        <w:t>Η διαβίβαση και επεξεργασία δεδομένων προσωπικού χαρακτήρα βάσει τυποποιημένων συμβατικών ρητρών δεν θα πρέπει να πραγματοποιούνται αν η νομοθεσία και οι πρακτικές της τρίτης χώρας προορισμού εμποδίζουν τον εισαγωγέα των δεδομένων να συμμορφώνεται προς τις ρήτρες. Στο πλαίσιο αυτό, η νομοθεσία και οι πρακτικές που σέβονται την ουσία των θεμελιωδών δικαιωμάτων και ελευθεριών και δεν υπερβαίνουν ό,τι είναι αναγκαίο και αναλογικό σε μια δημοκρατική κοινωνία για τη διασφάλιση ενός από τους στόχους που απαριθμούνται στο άρθρο 23 παράγραφος 1 του κανονισμού (ΕΕ) 2016/679 δεν θα πρέπει να θεωρούνται ότι αντίκεινται προς τις τυποποιημένες συμβατικές ρήτρες. Τα συμβαλλόμενα μέρη θα πρέπει να εγγυώνται ότι, κατά τη στιγμή της συμφωνίας σχετικά με τις τυποποιημένες συμβατικές ρήτρες, δεν έχουν λόγο να πιστεύουν ότι η νομοθεσία και οι πρακτικές που εφαρμόζονται για τον εισαγωγέα των δεδομένων δεν συνάδουν με τις εν λόγω απαιτήσεις.</w:t>
      </w:r>
    </w:p>
    <w:p w14:paraId="29655BB4" w14:textId="55B8C78F" w:rsidR="00EB7ED2" w:rsidRPr="00A53956" w:rsidRDefault="00EB7ED2" w:rsidP="00724557">
      <w:pPr>
        <w:pStyle w:val="Considrant"/>
      </w:pPr>
      <w:r w:rsidRPr="00A53956">
        <w:t>Τα συμβαλλόμενα μέρη θα πρέπει ειδικότερα να λαμβάνουν υπόψη τις ειδικές περιστάσεις της διαβίβασης (όπως το περιεχόμενο και τη διάρκεια της σύμβασης, τη φύση των διαβιβαζόμενων δεδομένων, το είδος του αποδέκτη, τον σκοπό της επεξεργασίας), τη νομοθεσία και τις πρακτικές της τρίτης χώρας προορισμού που είναι σχετικές δεδομένων των περιστάσεων της διαβίβασης, και τυχόν εγγυήσεις που έχουν θεσπιστεί για τη συμπλήρωση των εγγυήσεων αυτών βάσει των τυποποιημένων συμβατικών ρητρών (συμπεριλαμβανομένων των σχετικών συμβατικών, τεχνικών και οργανωτικών μέτρων που εφαρμόζονται στη διαβίβαση και στην επεξεργασία των δεδομένων προσωπικού χαρακτήρα στη χώρα προορισμού). Όσον αφορά τον αντίκτυπο της εν λόγω νομοθεσίας και πρακτικών στη συμμόρφωση με τις τυποποιημένες συμβατικές ρήτρες, διάφορα στοιχεία μπορούν να ληφθούν υπόψη στο πλαίσιο μιας συνολικής αξιολόγησης, συμπεριλαμβανομένων αξιόπιστων πληροφοριών σχετικά με την εφαρμογή της νομοθεσίας στην πράξη (όπως νομολογία και εκθέσεις ανεξάρτητων εποπτικών φορέων), της ύπαρξης ή της απουσίας αιτημάτων εντός του ίδιου τομέα και, υπό αυστηρές προϋποθέσεις, της τεκμηριωμένης πρακτικής πείρας του εξαγωγέα και/ή του εισαγωγέα των δεδομένων.</w:t>
      </w:r>
    </w:p>
    <w:p w14:paraId="307BD618" w14:textId="71476955" w:rsidR="00EB7ED2" w:rsidRPr="00A53956" w:rsidRDefault="00EB7ED2" w:rsidP="00EB7ED2">
      <w:pPr>
        <w:pStyle w:val="Considrant"/>
      </w:pPr>
      <w:r w:rsidRPr="00A53956">
        <w:t>Ο εισαγωγέας των δεδομένων θα πρέπει να ενημερώνει τον εξαγωγέα των δεδομένων σε περίπτωση που, αφού έχει συμφωνήσει με τις τυποποιημένες συμβατικές ρήτρες, έχει λόγους να πιστεύει ότι δεν είναι σε θέση να συμμορφωθεί με τις τυποποιημένες συμβατικές ρήτρες. Αν ο εξαγωγέας των δεδομένων λάβει τέτοια γνωστοποίηση ή αντιληφθεί με άλλον τρόπο ότι ο εισαγωγέας των δεδομένων δεν είναι πλέον σε θέση να συμμορφωθεί με τις τυποποιημένες συμβατικές ρήτρες, θα πρέπει να προσδιορίσει κατάλληλα μέτρα για την αντιμετώπιση της κατάστασης, εφόσον κριθεί αναγκαίο, σε διαβούλευση με την αρμόδια εποπτική αρχή. Στα μέτρα αυτά είναι δυνατόν να περιλαμβάνονται συμπληρωματικά μέτρα που θεσπίζονται από τον εξαγωγέα και/ή τον εισαγωγέα των δεδομένων, όπως τεχνικά ή οργανωτικά μέτρα για τη διασφάλιση της ασφάλειας και της εμπιστευτικότητας. Ο εξαγωγέας των δεδομένων θα πρέπει να υποχρεούται να αναστέλλει τη διαβίβαση αν θεωρεί ότι δεν είναι δυνατόν να διασφαλιστούν κατάλληλες εγγυήσεις ή αν λάβει σχετική εντολή από την αρμόδια εποπτική αρχή.</w:t>
      </w:r>
    </w:p>
    <w:p w14:paraId="19D1180F" w14:textId="66201CDA" w:rsidR="00EB7ED2" w:rsidRPr="00A53956" w:rsidRDefault="00157877" w:rsidP="00EB7ED2">
      <w:pPr>
        <w:pStyle w:val="Considrant"/>
      </w:pPr>
      <w:r w:rsidRPr="00A53956">
        <w:t>Εφόσον είναι δυνατόν, ο εισαγωγέας των δεδομένων θα πρέπει να ενημερώνει τον εξαγωγέα δεδομένων και το υποκείμενο των δεδομένων αν λάβει νομικά δεσμευτικό αίτημα από δημόσια αρχή (συμπεριλαμβανομένης της δικαστικής αρχής) δυνάμει του δικαίου της χώρας προορισμού σχετικά με κοινολόγηση δεδομένων προσωπικού χαρακτήρα που διαβιβάζονται βάσει των τυποποιημένων συμβατικών ρητρών. Ομοίως, θα πρέπει να τους ενημερώνει αν περιέλθει σε γνώση του οποιαδήποτε άμεση πρόσβαση από δημόσιες αρχές στα σχετικά δεδομένα προσωπικού χαρακτήρα σύμφωνα με το δίκαιο της τρίτης χώρας προορισμού. Αν, παρά κάθε δυνατή προσπάθειά του, ο εισαγωγέας των δεδομένων δεν είναι σε θέση να ειδοποιήσει τον εξαγωγέα των δεδομένων και/ή το υποκείμενο των δεδομένων σχετικά με συγκεκριμένα αιτήματα κοινολόγησης, θα πρέπει να παρέχει στον εξαγωγέα των δεδομένων όσο το δυνατόν περισσότερες σχετικές πληροφορίες όσον αφορά τα αιτήματα. Επιπλέον, ο εισαγωγέας των δεδομένων θα πρέπει να παρέχει στον εξαγωγέα των δεδομένων συγκεντρωτικές πληροφορίες σε τακτά χρονικά διαστήματα. Ο εισαγωγέας των δεδομένων θα πρέπει επίσης να υποχρεούται να τεκμηριώνει κάθε αίτημα κοινολόγησης που λαμβάνει, καθώς και την απάντηση που δίδεται και να θέτει τις εν λόγω πληροφορίες στη διάθεση του εξαγωγέα των δεδομένων ή της αρμόδιας εποπτικής αρχής, ή και των δύο, κατόπιν αιτήματος. Αν, κατόπιν ελέγχου της νομιμότητας του εν λόγω αιτήματος σύμφωνα με τη νομοθεσία της χώρας προορισμού, ο εισαγωγέας των δεδομένων καταλήξει στο συμπέρασμα ότι υπάρχουν βάσιμοι λόγοι να θεωρηθεί ότι το αίτημα είναι παράνομο βάσει της νομοθεσίας της τρίτης χώρας προορισμού, θα πρέπει να το αμφισβητήσει, μεταξύ άλλων, κατά περίπτωση, με την εξάντληση των διαθέσιμων δυνατοτήτων προσφυγής. Σε κάθε περίπτωση, αν ο εισαγωγέας των δεδομένων δεν είναι πλέον σε θέση να συμμορφωθεί με τις τυποποιημένες συμβατικές ρήτρες, θα πρέπει να ενημερώνει σχετικά τον εξαγωγέα των δεδομένων, ακόμη και όταν η μη συμμόρφωση αποτελεί συνέπεια του αιτήματος κοινολόγησης.</w:t>
      </w:r>
    </w:p>
    <w:p w14:paraId="0594B9EA" w14:textId="78FFB647" w:rsidR="00EB7ED2" w:rsidRPr="00A53956" w:rsidRDefault="00EB7ED2" w:rsidP="00EB7ED2">
      <w:pPr>
        <w:pStyle w:val="Considrant"/>
      </w:pPr>
      <w:r w:rsidRPr="00A53956">
        <w:t>Δεδομένου ότι οι ανάγκες των ενδιαφερόμενων μερών, η τεχνολογία και οι πράξεις επεξεργασίας ενδέχεται να αλλάξουν, η Επιτροπή θα πρέπει να αξιολογεί την εφαρμογή των τυποποιημένων συμβατικών ρητρών υπό το πρίσμα της αποκτηθείσας πείρας, στο πλαίσιο της περιοδικής αξιολόγησης του κανονισμού (ΕΕ) 2016/679 που προβλέπεται στο άρθρο 97 του εν λόγω κανονισμού.</w:t>
      </w:r>
    </w:p>
    <w:p w14:paraId="7916ED6D" w14:textId="04F50EA7" w:rsidR="00D67F28" w:rsidRPr="00A53956" w:rsidRDefault="00EB7ED2" w:rsidP="008521FA">
      <w:pPr>
        <w:pStyle w:val="Considrant"/>
      </w:pPr>
      <w:r w:rsidRPr="00A53956">
        <w:t>Η απόφαση 2001/497/ΕΚ και η απόφαση 2010/87/ΕΕ θα πρέπει να καταργηθούν τρεις μήνες από την έναρξη ισχύος της παρούσας απόφασης. Κατά τη διάρκεια της εν λόγω περιόδου, οι εξαγωγείς και οι εισαγωγείς των δεδομένων θα πρέπει, για τους σκοπούς του άρθρου 46 παράγραφος 1 του κανονισμού (ΕΕ) 2016/679, να μπορούν να συνεχίσουν να χρησιμοποιούν τις τυποποιημένες συμβατικές ρήτρες που ορίζονται στις αποφάσεις 2001/497/ΕΚ και 2010/87/ΕΕ. Για πρόσθετη περίοδο 15 μηνών, οι εξαγωγείς και οι εισαγωγείς των δεδομένων θα πρέπει, για τους σκοπούς του άρθρου 46 παράγραφος 1 του κανονισμού (ΕΕ) 2016/679, να είναι σε θέση να συνεχίσουν να επικαλούνται τις τυποποιημένες συμβατικές ρήτρες που ορίζονται στις αποφάσεις 2001/497/ΕΚ και 2010/87/ΕΕ για την εκτέλεση συμβάσεων που έχουν συναφθεί πριν από την ημερομηνία κατάργησης των εν λόγω αποφάσεων, υπό την προϋπόθεση ότι οι πράξεις επεξεργασίας που αποτελούν αντικείμενο σύμβασης παραμένουν αμετάβλητες και ότι η επίκληση των ρητρών διασφαλίζει ότι η διαβίβαση δεδομένων προσωπικού χαρακτήρα υπόκειται σε κατάλληλες εγγυήσεις κατά την έννοια του άρθρου 46 παράγραφος 1 του κανονισμού (ΕΕ) 2016/679. Σε περίπτωση σχετικών αλλαγών στη σύμβαση, θα πρέπει να απαιτείται από τον εξαγωγέα των δεδομένων να επικαλείται νέο λόγο για διαβιβάσεις δεδομένων στο πλαίσιο της σύμβασης, ιδίως μέσω της αντικατάστασης της υφιστάμενης τυποποιημένης συμβατικής ρήτρας με τις τυποποιημένες συμβατικές ρήτρες που περιλαμβάνονται στο παράρτημα της παρούσας απόφασης. Το ίδιο θα πρέπει να ισχύει για οποιαδήποτε υπεργολαβική ανάθεση σε εκτελούντα την επεξεργασία (υπεργολάβο επεξεργασίας) πράξεων επεξεργασίας που καλύπτονται από τη σύμβαση.</w:t>
      </w:r>
    </w:p>
    <w:p w14:paraId="48957417" w14:textId="7B67D10F" w:rsidR="00EB7ED2" w:rsidRPr="00A53956" w:rsidRDefault="00EB7ED2" w:rsidP="00EB7ED2">
      <w:pPr>
        <w:pStyle w:val="Considrant"/>
      </w:pPr>
      <w:r w:rsidRPr="00A53956">
        <w:t>Διενεργήθηκε διαβούλευση με τον Ευρωπαίο Επόπτη Προστασίας Δεδομένων και το Ευρωπαϊκό Συμβούλιο Προστασίας Δεδομένων σύμφωνα με το άρθρο 42 παράγραφοι 1 και 2 του κανονισμού (ΕΕ) 2018/1725, οι οποίοι εξέδωσαν κοινή γνωμοδότηση στις 14 Ιανουαρίου 2021</w:t>
      </w:r>
      <w:r w:rsidRPr="00A53956">
        <w:rPr>
          <w:rStyle w:val="FootnoteReference"/>
        </w:rPr>
        <w:footnoteReference w:id="12"/>
      </w:r>
      <w:r w:rsidRPr="00A53956">
        <w:t>, η οποία λήφθηκε υπόψη κατά την εκπόνηση της παρούσας απόφασης.</w:t>
      </w:r>
    </w:p>
    <w:p w14:paraId="289362C9" w14:textId="00811021" w:rsidR="00070205" w:rsidRPr="00A53956" w:rsidRDefault="00EB7ED2" w:rsidP="00EB7ED2">
      <w:pPr>
        <w:pStyle w:val="Considrant"/>
      </w:pPr>
      <w:r w:rsidRPr="00A53956">
        <w:t>Τα μέτρα που προβλέπονται στην παρούσα απόφαση είναι σύμφωνα με τη γνώμη της επιτροπής που έχει συσταθεί βάσει του άρθρου 93 του κανονισμού (ΕΕ) 2016/679.</w:t>
      </w:r>
    </w:p>
    <w:p w14:paraId="394176FC" w14:textId="483FDF94" w:rsidR="00070205" w:rsidRPr="00A53956" w:rsidRDefault="00070205" w:rsidP="00C36A89">
      <w:pPr>
        <w:pStyle w:val="Formuledadoption"/>
      </w:pPr>
      <w:r w:rsidRPr="00A53956">
        <w:t>ΕΞΕΔΩΣΕ ΤΗΝ ΠΑΡΟΥΣΑ ΑΠΟΦΑΣΗ:</w:t>
      </w:r>
    </w:p>
    <w:p w14:paraId="1F7E83B5" w14:textId="77777777" w:rsidR="00070205" w:rsidRPr="00A53956" w:rsidRDefault="00070205" w:rsidP="00C36A89">
      <w:pPr>
        <w:pStyle w:val="Titrearticle"/>
      </w:pPr>
      <w:r w:rsidRPr="00A53956">
        <w:t>Άρθρο 1</w:t>
      </w:r>
    </w:p>
    <w:p w14:paraId="538F6848" w14:textId="0507B179" w:rsidR="00BC3487" w:rsidRPr="00A53956" w:rsidRDefault="00BC3487" w:rsidP="00C5435C">
      <w:pPr>
        <w:pStyle w:val="NumPar1"/>
        <w:numPr>
          <w:ilvl w:val="0"/>
          <w:numId w:val="2"/>
        </w:numPr>
        <w:ind w:left="567" w:hanging="567"/>
      </w:pPr>
      <w:r w:rsidRPr="00A53956">
        <w:t>Οι τυποποιημένες συμβατικές ρήτρες που περιλαμβάνονται στο παράρτημα θεωρείται ότι παρέχουν κατάλληλες εγγυήσεις κατά την έννοια του άρθρου 46 παράγραφος 1 και παράγραφος 2 στοιχείο γ) του κανονισμού (ΕΕ) 2016/679 για τη διαβίβαση, από υπεύθυνο επεξεργασίας ή εκτελούντα την επεξεργασία, δεδομένων προσωπικού χαρακτήρα —που υποβάλλονται σε επεξεργασία σύμφωνα με τις διατάξεις του εν λόγω κανονισμού (εξαγωγέας των δεδομένων) προς υπεύθυνο επεξεργασίας ή εκτελούντα την επεξεργασία (υπεργολάβο επεξεργασίας) ο οποίος εκτελεί επεξεργασία που δεν υπόκειται στις διατάξεις του εν λόγω κανονισμού (εισαγωγέας των δεδομένων).</w:t>
      </w:r>
    </w:p>
    <w:p w14:paraId="3FA06E78" w14:textId="55A2AE9E" w:rsidR="00070205" w:rsidRPr="00A53956" w:rsidRDefault="00BC3487" w:rsidP="00C5435C">
      <w:pPr>
        <w:pStyle w:val="NumPar1"/>
        <w:ind w:left="567" w:hanging="567"/>
      </w:pPr>
      <w:r w:rsidRPr="00A53956">
        <w:t>Οι τυποποιημένες συμβατικές ρήτρες καθορίζουν επίσης τα δικαιώματα και τις υποχρεώσεις των υπευθύνων επεξεργασίας και των εκτελούντων την επεξεργασία σε σχέση με τα ζητήματα που προβλέπονται στο άρθρο 28 παράγραφοι 3 και 4 του κανονισμού (ΕΕ) 2016/679 όσον αφορά τη διαβίβαση δεδομένων προσωπικού χαρακτήρα από υπεύθυνο επεξεργασίας σε εκτελούντα την επεξεργασία ή από εκτελούντα την επεξεργασία σε υπεργολάβο επεξεργασίας.</w:t>
      </w:r>
    </w:p>
    <w:p w14:paraId="4CB1E645" w14:textId="651D7201" w:rsidR="00BC3487" w:rsidRPr="00A53956" w:rsidRDefault="00BC3487" w:rsidP="00BC3487">
      <w:pPr>
        <w:pStyle w:val="Titrearticle"/>
      </w:pPr>
      <w:r w:rsidRPr="00A53956">
        <w:t>Άρθρο 2</w:t>
      </w:r>
    </w:p>
    <w:p w14:paraId="5FDBD622" w14:textId="4CF41F3F" w:rsidR="00BC3487" w:rsidRPr="00A53956" w:rsidRDefault="007518A8" w:rsidP="00BC3487">
      <w:r w:rsidRPr="00A53956">
        <w:t xml:space="preserve">Όταν οι αρμόδιες αρχές των κρατών μελών ασκούν διορθωτικές εξουσίες σύμφωνα με το άρθρο 58 του κανονισμού (ΕΕ) 2016/679 αποκρινόμενες στην περίπτωση που ο εισαγωγέας των δεδομένων υπόκειται ή θα καταστεί υποκείμενος σε νομοθεσία ή πρακτικές στην τρίτη χώρα προορισμού που τον εμποδίζουν να συμμορφωθεί με τις τυποποιημένες συμβατικές ρήτρες του παραρτήματος, με αποτέλεσμα την αναστολή ή την απαγόρευση των διαβιβάσεων δεδομένων σε τρίτες χώρες, το οικείο κράτος μέλος ενημερώνει χωρίς καθυστέρηση την Επιτροπή, η οποία διαβιβάζει τις πληροφορίες στα άλλα κράτη μέλη.  </w:t>
      </w:r>
    </w:p>
    <w:p w14:paraId="0FB2B3DE" w14:textId="35AB7CC9" w:rsidR="00BC3487" w:rsidRPr="00A53956" w:rsidRDefault="00BC3487" w:rsidP="00BC3487">
      <w:pPr>
        <w:pStyle w:val="Titrearticle"/>
      </w:pPr>
      <w:r w:rsidRPr="00A53956">
        <w:t>Άρθρο 3</w:t>
      </w:r>
    </w:p>
    <w:p w14:paraId="55AAF322" w14:textId="034E1272" w:rsidR="00BC3487" w:rsidRPr="00A53956" w:rsidRDefault="00BC3487" w:rsidP="00BC3487">
      <w:r w:rsidRPr="00A53956">
        <w:t>Η Επιτροπή αξιολογεί την πρακτική εφαρμογή των τυποποιημένων συμβατικών ρητρών που ορίζονται στο παράρτημα με βάση όλες τις διαθέσιμες πληροφορίες στο πλαίσιο της περιοδικής αξιολόγησης που απαιτείται βάσει του άρθρου 97 του κανονισμού (ΕΕ) 2016/679.</w:t>
      </w:r>
    </w:p>
    <w:p w14:paraId="1A3E54FE" w14:textId="0EDEFE7E" w:rsidR="00BC3487" w:rsidRPr="00A53956" w:rsidRDefault="00BC3487" w:rsidP="00BC3487">
      <w:pPr>
        <w:pStyle w:val="Titrearticle"/>
      </w:pPr>
      <w:r w:rsidRPr="00A53956">
        <w:t>Άρθρο 4</w:t>
      </w:r>
    </w:p>
    <w:p w14:paraId="20379AF7" w14:textId="155192AA" w:rsidR="00961DA5" w:rsidRPr="00A53956" w:rsidRDefault="00070205" w:rsidP="00C5435C">
      <w:pPr>
        <w:pStyle w:val="NumPar1"/>
        <w:numPr>
          <w:ilvl w:val="0"/>
          <w:numId w:val="4"/>
        </w:numPr>
      </w:pPr>
      <w:r w:rsidRPr="00A53956">
        <w:t xml:space="preserve">Η παρούσα απόφαση αρχίζει να ισχύει την εικοστή ημέρα από τη δημοσίευσή της στην </w:t>
      </w:r>
      <w:r w:rsidRPr="00A53956">
        <w:rPr>
          <w:i/>
        </w:rPr>
        <w:t>Επίσημη Εφημερίδα της Ευρωπαϊκής Ένωσης</w:t>
      </w:r>
      <w:r w:rsidRPr="00A53956">
        <w:t>.</w:t>
      </w:r>
    </w:p>
    <w:p w14:paraId="2D0DDCC9" w14:textId="6AF97256" w:rsidR="00BC3487" w:rsidRPr="00A53956" w:rsidRDefault="00BC3487" w:rsidP="00F16261">
      <w:pPr>
        <w:pStyle w:val="NumPar1"/>
        <w:numPr>
          <w:ilvl w:val="0"/>
          <w:numId w:val="4"/>
        </w:numPr>
      </w:pPr>
      <w:r w:rsidRPr="00A53956">
        <w:t xml:space="preserve">Η απόφαση 2001/497/ΕΚ καταργείται από την </w:t>
      </w:r>
      <w:r w:rsidRPr="00A53956">
        <w:rPr>
          <w:highlight w:val="yellow"/>
        </w:rPr>
        <w:t>[Υπηρεσία Εκδόσεων: να εισαχθεί ημερομηνία τρεις μήνες από την ημερομηνία που αναφέρεται στο άρθρο 4 παράγραφος 1]</w:t>
      </w:r>
      <w:r w:rsidRPr="00A53956">
        <w:t>.</w:t>
      </w:r>
    </w:p>
    <w:p w14:paraId="07DBD49A" w14:textId="33F141C7" w:rsidR="00BC3487" w:rsidRPr="00A53956" w:rsidRDefault="00BC3487" w:rsidP="00F16261">
      <w:pPr>
        <w:pStyle w:val="NumPar1"/>
      </w:pPr>
      <w:r w:rsidRPr="00A53956">
        <w:t xml:space="preserve">Η απόφαση 2010/87/ΕΕ καταργείται από την </w:t>
      </w:r>
      <w:r w:rsidRPr="00A53956">
        <w:rPr>
          <w:highlight w:val="yellow"/>
        </w:rPr>
        <w:t>[Υπηρεσία Εκδόσεων: να εισαχθεί ημερομηνία τρεις μήνες από την ημερομηνία που αναφέρεται στο άρθρο 4 παράγραφος 1]</w:t>
      </w:r>
      <w:r w:rsidRPr="00A53956">
        <w:t>.</w:t>
      </w:r>
    </w:p>
    <w:p w14:paraId="6BE5E755" w14:textId="7248C236" w:rsidR="00BC3487" w:rsidRPr="00A53956" w:rsidRDefault="00F16261" w:rsidP="001356F0">
      <w:pPr>
        <w:pStyle w:val="NumPar1"/>
      </w:pPr>
      <w:r w:rsidRPr="00A53956">
        <w:t xml:space="preserve">Οι συμβάσεις που συνάπτονται πριν από την </w:t>
      </w:r>
      <w:r w:rsidRPr="00A53956">
        <w:rPr>
          <w:highlight w:val="yellow"/>
        </w:rPr>
        <w:t>[Υπηρεσία Εκδόσεων: να εισαχθεί η ίδια ημερομηνία με εκείνη που αναφέρεται στο άρθρο 4 παράγραφοι 2 και 3]</w:t>
      </w:r>
      <w:r w:rsidRPr="00A53956">
        <w:t xml:space="preserve"> με βάση την απόφαση 2001/497/ΕΚ ή την απόφαση 2010/87/ΕΕ θεωρείται ότι παρέχουν κατάλληλες εγγυήσεις κατά την έννοια του άρθρου 46 παράγραφος 1 του κανονισμού (ΕΕ) 2016/679 έως την </w:t>
      </w:r>
      <w:r w:rsidRPr="00A53956">
        <w:rPr>
          <w:highlight w:val="yellow"/>
        </w:rPr>
        <w:t>[Υπηρεσία Εκδόσεων: να εισαχθεί ημερομηνία 15 μήνες από την ημερομηνία που αναφέρεται στο άρθρο 4 παράγραφοι 2 και 3]</w:t>
      </w:r>
      <w:r w:rsidRPr="00A53956">
        <w:t>, υπό την προϋπόθεση ότι οι πράξεις επεξεργασίας που αποτελούν αντικείμενο της σύμβασης παραμένουν αμετάβλητες και ότι η επίκληση των ρητρών αυτών διασφαλίζει ότι η διαβίβαση δεδομένων προσωπικού χαρακτήρα υπόκειται σε κατάλληλες εγγυήσεις.</w:t>
      </w:r>
    </w:p>
    <w:p w14:paraId="6DE897E5" w14:textId="6B9D2542" w:rsidR="00070205" w:rsidRPr="00A53956" w:rsidRDefault="00497462" w:rsidP="00497462">
      <w:pPr>
        <w:pStyle w:val="Fait"/>
      </w:pPr>
      <w:r w:rsidRPr="00A53956">
        <w:t>Βρυξέλλες,</w:t>
      </w:r>
    </w:p>
    <w:p w14:paraId="0F181B50" w14:textId="77777777" w:rsidR="00070205" w:rsidRPr="00A53956" w:rsidRDefault="00070205" w:rsidP="00070205">
      <w:pPr>
        <w:pStyle w:val="Institutionquisigne"/>
      </w:pPr>
      <w:r w:rsidRPr="00A53956">
        <w:tab/>
        <w:t>Για την Επιτροπή</w:t>
      </w:r>
    </w:p>
    <w:p w14:paraId="2ADC8DED" w14:textId="77777777" w:rsidR="00070205" w:rsidRPr="00A53956" w:rsidRDefault="00070205" w:rsidP="00070205">
      <w:pPr>
        <w:pStyle w:val="Personnequisigne"/>
      </w:pPr>
      <w:r w:rsidRPr="00A53956">
        <w:tab/>
        <w:t xml:space="preserve">Ursula VON DER LEYEN </w:t>
      </w:r>
      <w:r w:rsidRPr="00A53956">
        <w:br/>
      </w:r>
      <w:r w:rsidRPr="00A53956">
        <w:tab/>
        <w:t xml:space="preserve">Η Πρόεδρος  </w:t>
      </w:r>
      <w:r w:rsidRPr="00A53956">
        <w:br/>
      </w:r>
      <w:r w:rsidRPr="00A53956">
        <w:tab/>
        <w:t xml:space="preserve"> </w:t>
      </w:r>
      <w:r w:rsidRPr="00A53956">
        <w:br/>
      </w:r>
    </w:p>
    <w:sectPr w:rsidR="00070205" w:rsidRPr="00A53956" w:rsidSect="00CA1155">
      <w:footerReference w:type="default" r:id="rId10"/>
      <w:footerReference w:type="first" r:id="rId1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51B28" w14:textId="77777777" w:rsidR="00C36A89" w:rsidRPr="006F1D4B" w:rsidRDefault="00C36A89" w:rsidP="00070205">
      <w:pPr>
        <w:spacing w:before="0" w:after="0"/>
      </w:pPr>
      <w:r>
        <w:separator/>
      </w:r>
    </w:p>
  </w:endnote>
  <w:endnote w:type="continuationSeparator" w:id="0">
    <w:p w14:paraId="0FE7D0DF" w14:textId="77777777" w:rsidR="00C36A89" w:rsidRPr="006F1D4B" w:rsidRDefault="00C36A89" w:rsidP="0007020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0783" w14:textId="41FEE046" w:rsidR="00CA1155" w:rsidRPr="00CA1155" w:rsidRDefault="00CA1155" w:rsidP="00CA1155">
    <w:pPr>
      <w:pStyle w:val="Footer"/>
      <w:rPr>
        <w:rFonts w:ascii="Arial" w:hAnsi="Arial" w:cs="Arial"/>
        <w:b/>
        <w:sz w:val="48"/>
      </w:rPr>
    </w:pPr>
    <w:r w:rsidRPr="00CA1155">
      <w:rPr>
        <w:rFonts w:ascii="Arial" w:hAnsi="Arial" w:cs="Arial"/>
        <w:b/>
        <w:sz w:val="48"/>
      </w:rPr>
      <w:t>EL</w:t>
    </w:r>
    <w:r w:rsidRPr="00CA1155">
      <w:rPr>
        <w:rFonts w:ascii="Arial" w:hAnsi="Arial" w:cs="Arial"/>
        <w:b/>
        <w:sz w:val="48"/>
      </w:rPr>
      <w:tab/>
    </w:r>
    <w:r w:rsidRPr="00CA1155">
      <w:rPr>
        <w:rFonts w:ascii="Arial" w:hAnsi="Arial" w:cs="Arial"/>
        <w:b/>
        <w:sz w:val="48"/>
      </w:rPr>
      <w:tab/>
    </w:r>
    <w:r w:rsidRPr="00CA1155">
      <w:tab/>
    </w:r>
    <w:r w:rsidRPr="00CA1155">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DE5DF" w14:textId="4BB3E714" w:rsidR="00CA1155" w:rsidRPr="00CA1155" w:rsidRDefault="00CA1155" w:rsidP="00CA1155">
    <w:pPr>
      <w:pStyle w:val="Footer"/>
      <w:rPr>
        <w:rFonts w:ascii="Arial" w:hAnsi="Arial" w:cs="Arial"/>
        <w:b/>
        <w:sz w:val="48"/>
      </w:rPr>
    </w:pPr>
    <w:r w:rsidRPr="00CA1155">
      <w:rPr>
        <w:rFonts w:ascii="Arial" w:hAnsi="Arial" w:cs="Arial"/>
        <w:b/>
        <w:sz w:val="48"/>
      </w:rPr>
      <w:t>EL</w:t>
    </w:r>
    <w:r w:rsidRPr="00CA1155">
      <w:rPr>
        <w:rFonts w:ascii="Arial" w:hAnsi="Arial" w:cs="Arial"/>
        <w:b/>
        <w:sz w:val="48"/>
      </w:rPr>
      <w:tab/>
    </w:r>
    <w:r>
      <w:fldChar w:fldCharType="begin"/>
    </w:r>
    <w:r>
      <w:instrText xml:space="preserve"> PAGE  \* MERGEFORMAT </w:instrText>
    </w:r>
    <w:r>
      <w:fldChar w:fldCharType="separate"/>
    </w:r>
    <w:r w:rsidR="00B8040E">
      <w:rPr>
        <w:noProof/>
      </w:rPr>
      <w:t>1</w:t>
    </w:r>
    <w:r>
      <w:fldChar w:fldCharType="end"/>
    </w:r>
    <w:r>
      <w:tab/>
    </w:r>
    <w:r w:rsidRPr="00CA1155">
      <w:tab/>
    </w:r>
    <w:r w:rsidRPr="00CA1155">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68DA" w14:textId="77777777" w:rsidR="00CA1155" w:rsidRPr="00CA1155" w:rsidRDefault="00CA1155" w:rsidP="00CA1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7D75B7" w14:textId="77777777" w:rsidR="00C36A89" w:rsidRPr="006F1D4B" w:rsidRDefault="00C36A89" w:rsidP="00070205">
      <w:pPr>
        <w:spacing w:before="0" w:after="0"/>
      </w:pPr>
      <w:r>
        <w:separator/>
      </w:r>
    </w:p>
  </w:footnote>
  <w:footnote w:type="continuationSeparator" w:id="0">
    <w:p w14:paraId="239B9F7B" w14:textId="77777777" w:rsidR="00C36A89" w:rsidRPr="006F1D4B" w:rsidRDefault="00C36A89" w:rsidP="00070205">
      <w:pPr>
        <w:spacing w:before="0" w:after="0"/>
      </w:pPr>
      <w:r>
        <w:continuationSeparator/>
      </w:r>
    </w:p>
  </w:footnote>
  <w:footnote w:id="1">
    <w:p w14:paraId="7820F4DE" w14:textId="7632ADA5" w:rsidR="004B5724" w:rsidRPr="00A53956" w:rsidRDefault="004B5724">
      <w:pPr>
        <w:pStyle w:val="FootnoteText"/>
      </w:pPr>
      <w:r>
        <w:rPr>
          <w:rStyle w:val="FootnoteReference"/>
        </w:rPr>
        <w:footnoteRef/>
      </w:r>
      <w:r w:rsidRPr="00A53956">
        <w:tab/>
        <w:t>ΕΕ</w:t>
      </w:r>
      <w:r>
        <w:t> L </w:t>
      </w:r>
      <w:r w:rsidRPr="00A53956">
        <w:t>119 της 4.5.2016, σ.</w:t>
      </w:r>
      <w:r>
        <w:t> </w:t>
      </w:r>
      <w:r w:rsidRPr="00A53956">
        <w:t>1.</w:t>
      </w:r>
    </w:p>
  </w:footnote>
  <w:footnote w:id="2">
    <w:p w14:paraId="14ACAFDD" w14:textId="53B6CCEA" w:rsidR="004B5724" w:rsidRPr="00A53956" w:rsidRDefault="004B5724">
      <w:pPr>
        <w:pStyle w:val="FootnoteText"/>
      </w:pPr>
      <w:r>
        <w:rPr>
          <w:rStyle w:val="FootnoteReference"/>
        </w:rPr>
        <w:footnoteRef/>
      </w:r>
      <w:r w:rsidRPr="00A53956">
        <w:tab/>
        <w:t>Άρθρο</w:t>
      </w:r>
      <w:r>
        <w:t> </w:t>
      </w:r>
      <w:r w:rsidRPr="00A53956">
        <w:t>44 του κανονισμού (ΕΕ) 2016/679.</w:t>
      </w:r>
    </w:p>
  </w:footnote>
  <w:footnote w:id="3">
    <w:p w14:paraId="1FD4A8A0" w14:textId="77777777" w:rsidR="004B5724" w:rsidRPr="00A53956" w:rsidRDefault="004B5724" w:rsidP="004B5724">
      <w:pPr>
        <w:pStyle w:val="FootnoteText"/>
      </w:pPr>
      <w:r>
        <w:rPr>
          <w:rStyle w:val="FootnoteReference"/>
        </w:rPr>
        <w:footnoteRef/>
      </w:r>
      <w:r w:rsidRPr="00A53956">
        <w:tab/>
        <w:t xml:space="preserve">Βλ. επίσης την απόφαση του Δικαστηρίου, της 16ης Ιουλίου 2020, στην υπόθεση </w:t>
      </w:r>
      <w:r>
        <w:t>C</w:t>
      </w:r>
      <w:r w:rsidRPr="00A53956">
        <w:t xml:space="preserve">-311/18, </w:t>
      </w:r>
      <w:r>
        <w:rPr>
          <w:i/>
        </w:rPr>
        <w:t>Data</w:t>
      </w:r>
      <w:r w:rsidRPr="00A53956">
        <w:rPr>
          <w:i/>
        </w:rPr>
        <w:t xml:space="preserve"> </w:t>
      </w:r>
      <w:r>
        <w:rPr>
          <w:i/>
        </w:rPr>
        <w:t>Protection</w:t>
      </w:r>
      <w:r w:rsidRPr="00A53956">
        <w:rPr>
          <w:i/>
        </w:rPr>
        <w:t xml:space="preserve"> </w:t>
      </w:r>
      <w:r>
        <w:rPr>
          <w:i/>
        </w:rPr>
        <w:t>Commissioner</w:t>
      </w:r>
      <w:r w:rsidRPr="00A53956">
        <w:t xml:space="preserve"> κατά </w:t>
      </w:r>
      <w:r>
        <w:rPr>
          <w:i/>
        </w:rPr>
        <w:t>Facebook</w:t>
      </w:r>
      <w:r w:rsidRPr="00A53956">
        <w:rPr>
          <w:i/>
        </w:rPr>
        <w:t xml:space="preserve"> </w:t>
      </w:r>
      <w:r>
        <w:rPr>
          <w:i/>
        </w:rPr>
        <w:t>Ireland</w:t>
      </w:r>
      <w:r w:rsidRPr="00A53956">
        <w:rPr>
          <w:i/>
        </w:rPr>
        <w:t xml:space="preserve"> </w:t>
      </w:r>
      <w:r>
        <w:rPr>
          <w:i/>
        </w:rPr>
        <w:t>Ltd</w:t>
      </w:r>
      <w:r w:rsidRPr="00A53956">
        <w:rPr>
          <w:i/>
        </w:rPr>
        <w:t xml:space="preserve"> και </w:t>
      </w:r>
      <w:r>
        <w:rPr>
          <w:i/>
        </w:rPr>
        <w:t>Maximillian</w:t>
      </w:r>
      <w:r w:rsidRPr="00A53956">
        <w:rPr>
          <w:i/>
        </w:rPr>
        <w:t xml:space="preserve"> </w:t>
      </w:r>
      <w:r>
        <w:rPr>
          <w:i/>
        </w:rPr>
        <w:t>Schrems</w:t>
      </w:r>
      <w:r w:rsidRPr="00A53956">
        <w:rPr>
          <w:i/>
        </w:rPr>
        <w:t xml:space="preserve"> (στο εξής: </w:t>
      </w:r>
      <w:r>
        <w:rPr>
          <w:i/>
        </w:rPr>
        <w:t>Schrems</w:t>
      </w:r>
      <w:r w:rsidRPr="00A53956">
        <w:rPr>
          <w:i/>
        </w:rPr>
        <w:t xml:space="preserve"> </w:t>
      </w:r>
      <w:r>
        <w:rPr>
          <w:i/>
        </w:rPr>
        <w:t>II</w:t>
      </w:r>
      <w:r w:rsidRPr="00A53956">
        <w:rPr>
          <w:i/>
        </w:rPr>
        <w:t>),</w:t>
      </w:r>
      <w:r w:rsidRPr="00A53956">
        <w:t xml:space="preserve"> </w:t>
      </w:r>
      <w:r>
        <w:t>ECLI</w:t>
      </w:r>
      <w:r w:rsidRPr="00A53956">
        <w:t>:</w:t>
      </w:r>
      <w:r>
        <w:t>EU</w:t>
      </w:r>
      <w:r w:rsidRPr="00A53956">
        <w:t>:</w:t>
      </w:r>
      <w:r>
        <w:t>C</w:t>
      </w:r>
      <w:r w:rsidRPr="00A53956">
        <w:t>:2020:559, σκέψη</w:t>
      </w:r>
      <w:r>
        <w:t> </w:t>
      </w:r>
      <w:r w:rsidRPr="00A53956">
        <w:t>93.</w:t>
      </w:r>
    </w:p>
    <w:p w14:paraId="69287943" w14:textId="17829B76" w:rsidR="004B5724" w:rsidRPr="00A53956" w:rsidRDefault="004B5724">
      <w:pPr>
        <w:pStyle w:val="FootnoteText"/>
      </w:pPr>
    </w:p>
  </w:footnote>
  <w:footnote w:id="4">
    <w:p w14:paraId="3B74AE4D" w14:textId="04983C74" w:rsidR="004B5724" w:rsidRPr="00A53956" w:rsidRDefault="004B5724">
      <w:pPr>
        <w:pStyle w:val="FootnoteText"/>
      </w:pPr>
      <w:r>
        <w:rPr>
          <w:rStyle w:val="FootnoteReference"/>
        </w:rPr>
        <w:footnoteRef/>
      </w:r>
      <w:r w:rsidRPr="00A53956">
        <w:tab/>
        <w:t>Αιτιολογική σκέψη</w:t>
      </w:r>
      <w:r>
        <w:t> </w:t>
      </w:r>
      <w:r w:rsidRPr="00A53956">
        <w:t>109 του κανονισμού (ΕΕ)</w:t>
      </w:r>
      <w:r>
        <w:t> </w:t>
      </w:r>
      <w:r w:rsidRPr="00A53956">
        <w:t>2016/679.</w:t>
      </w:r>
    </w:p>
  </w:footnote>
  <w:footnote w:id="5">
    <w:p w14:paraId="4B4E107A" w14:textId="5733D7D2" w:rsidR="004B5724" w:rsidRPr="00A53956" w:rsidRDefault="004B5724">
      <w:pPr>
        <w:pStyle w:val="FootnoteText"/>
      </w:pPr>
      <w:r>
        <w:rPr>
          <w:rStyle w:val="FootnoteReference"/>
        </w:rPr>
        <w:footnoteRef/>
      </w:r>
      <w:r w:rsidRPr="00A53956">
        <w:tab/>
        <w:t xml:space="preserve">Απόφαση 2001/497/ΕΚ της Επιτροπής, της 15ης Ιουνίου 2001, σχετικά με τις τυποποιημένες συμβατικές ρήτρες για τη διαβίβαση δεδομένων προσωπικού χαρακτήρα προς τρίτες χώρες δυνάμει του άρθρου 26 παράγραφος 4 της οδηγίας 95/46/ΕΚ (ΕΕ </w:t>
      </w:r>
      <w:r>
        <w:t>L</w:t>
      </w:r>
      <w:r w:rsidRPr="00A53956">
        <w:t xml:space="preserve"> 181 της 4.7.2001, σ. 19).</w:t>
      </w:r>
    </w:p>
  </w:footnote>
  <w:footnote w:id="6">
    <w:p w14:paraId="72FA0FBB" w14:textId="1A3CC73A" w:rsidR="004B5724" w:rsidRPr="00A53956" w:rsidRDefault="004B5724">
      <w:pPr>
        <w:pStyle w:val="FootnoteText"/>
      </w:pPr>
      <w:r>
        <w:rPr>
          <w:rStyle w:val="FootnoteReference"/>
        </w:rPr>
        <w:footnoteRef/>
      </w:r>
      <w:r w:rsidRPr="00A53956">
        <w:tab/>
        <w:t>Απόφαση 2010/87/ΕΕ της Επιτροπής, της 5ης</w:t>
      </w:r>
      <w:r>
        <w:t> </w:t>
      </w:r>
      <w:r w:rsidRPr="00A53956">
        <w:t>Φεβρουαρίου</w:t>
      </w:r>
      <w:r>
        <w:t> </w:t>
      </w:r>
      <w:r w:rsidRPr="00A53956">
        <w:t>2010, σχετικά με τις τυποποιημένες συμβατικές ρήτρες για τη διαβίβαση δεδομένων προσωπικού χαρακτήρα σε εκτελούντες επεξεργασία εγκατεστημένους σε τρίτες χώρες βάσει της οδηγίας 95/46/ΕΚ του Ευρωπαϊκού Κοινοβουλίου και του Συμβουλίου (ΕΕ</w:t>
      </w:r>
      <w:r>
        <w:t> L </w:t>
      </w:r>
      <w:r w:rsidRPr="00A53956">
        <w:t>39 της 12.2.2010, σ.</w:t>
      </w:r>
      <w:r>
        <w:t> </w:t>
      </w:r>
      <w:r w:rsidRPr="00A53956">
        <w:t>5).</w:t>
      </w:r>
    </w:p>
  </w:footnote>
  <w:footnote w:id="7">
    <w:p w14:paraId="69639D4A" w14:textId="07AD5383" w:rsidR="004B5724" w:rsidRPr="00A53956" w:rsidRDefault="004B5724">
      <w:pPr>
        <w:pStyle w:val="FootnoteText"/>
      </w:pPr>
      <w:r>
        <w:rPr>
          <w:rStyle w:val="FootnoteReference"/>
        </w:rPr>
        <w:footnoteRef/>
      </w:r>
      <w:r w:rsidRPr="00A53956">
        <w:tab/>
        <w:t>Οδηγία 95/46/ΕΚ του Ευρωπαϊκού Κοινοβουλίου και του Συμβουλίου, της 24ης</w:t>
      </w:r>
      <w:r>
        <w:t> </w:t>
      </w:r>
      <w:r w:rsidRPr="00A53956">
        <w:t>Οκτωβρίου</w:t>
      </w:r>
      <w:r>
        <w:t> </w:t>
      </w:r>
      <w:r w:rsidRPr="00A53956">
        <w:t>1995, για την προστασία των φυσικών προσώπων έναντι της επεξεργασίας δεδομένων προσωπικού χαρακτήρα και για την ελεύθερη κυκλοφορία των δεδομένων αυτών (ΕΕ</w:t>
      </w:r>
      <w:r>
        <w:t> L </w:t>
      </w:r>
      <w:r w:rsidRPr="00A53956">
        <w:t>281 της 23.11.1995, σ.</w:t>
      </w:r>
      <w:r>
        <w:t> </w:t>
      </w:r>
      <w:r w:rsidRPr="00A53956">
        <w:t>31).</w:t>
      </w:r>
    </w:p>
  </w:footnote>
  <w:footnote w:id="8">
    <w:p w14:paraId="13D8FC7C" w14:textId="243B6CBC" w:rsidR="004B5724" w:rsidRPr="00A53956" w:rsidRDefault="004B5724">
      <w:pPr>
        <w:pStyle w:val="FootnoteText"/>
      </w:pPr>
      <w:r>
        <w:rPr>
          <w:rStyle w:val="FootnoteReference"/>
        </w:rPr>
        <w:footnoteRef/>
      </w:r>
      <w:r w:rsidRPr="00A53956">
        <w:tab/>
        <w:t>Κανονισμός (ΕΕ) 2018/1725 του Ευρωπαϊκού Κοινοβουλίου και του Συμβουλίου, της 23ης Οκτωβρίου 2018, για την προστασία των φυσικών προσώπων έναντι της επεξεργασίας δεδομένων προσωπικού χαρακτήρα από τα θεσμικά και λοιπά όργανα και τους οργανισμούς της Ένωσης και την ελεύθερη κυκλοφορία των δεδομένων αυτών, και για την κατάργηση του κανονισμού (ΕΚ) αριθ. 45/2001 και της απόφασης αριθ. 1247/2002/ΕΚ (ΕΕ</w:t>
      </w:r>
      <w:r>
        <w:t> L </w:t>
      </w:r>
      <w:r w:rsidRPr="00A53956">
        <w:t>295 της 21.11.2018, σ.</w:t>
      </w:r>
      <w:r>
        <w:t> </w:t>
      </w:r>
      <w:r w:rsidRPr="00A53956">
        <w:t>39)· βλέπε αιτιολογική σκέψη</w:t>
      </w:r>
      <w:r>
        <w:t> </w:t>
      </w:r>
      <w:r w:rsidRPr="00A53956">
        <w:t>5.</w:t>
      </w:r>
    </w:p>
  </w:footnote>
  <w:footnote w:id="9">
    <w:p w14:paraId="35AD7AC6" w14:textId="7F16560E" w:rsidR="004B5724" w:rsidRPr="00A53956" w:rsidRDefault="004B5724">
      <w:pPr>
        <w:pStyle w:val="FootnoteText"/>
      </w:pPr>
      <w:r>
        <w:rPr>
          <w:rStyle w:val="FootnoteReference"/>
        </w:rPr>
        <w:footnoteRef/>
      </w:r>
      <w:r w:rsidRPr="00A53956">
        <w:tab/>
      </w:r>
      <w:r>
        <w:t>C</w:t>
      </w:r>
      <w:r w:rsidRPr="00A53956">
        <w:t>(2021)</w:t>
      </w:r>
      <w:r>
        <w:t> </w:t>
      </w:r>
      <w:r w:rsidRPr="00A53956">
        <w:t>3701.</w:t>
      </w:r>
    </w:p>
  </w:footnote>
  <w:footnote w:id="10">
    <w:p w14:paraId="153B3BD2" w14:textId="547EFAD1" w:rsidR="004B5724" w:rsidRPr="00A53956" w:rsidRDefault="004B5724">
      <w:pPr>
        <w:pStyle w:val="FootnoteText"/>
      </w:pPr>
      <w:r>
        <w:rPr>
          <w:rStyle w:val="FootnoteReference"/>
        </w:rPr>
        <w:footnoteRef/>
      </w:r>
      <w:r w:rsidRPr="00A53956">
        <w:tab/>
      </w:r>
      <w:r>
        <w:rPr>
          <w:i/>
        </w:rPr>
        <w:t>Schrems</w:t>
      </w:r>
      <w:r w:rsidRPr="00A53956">
        <w:rPr>
          <w:i/>
        </w:rPr>
        <w:t xml:space="preserve"> </w:t>
      </w:r>
      <w:r>
        <w:rPr>
          <w:i/>
        </w:rPr>
        <w:t>II</w:t>
      </w:r>
      <w:r w:rsidRPr="00A53956">
        <w:t>, σκέψεις 96 και 103. Βλ. επίσης κανονισμό (ΕΕ)</w:t>
      </w:r>
      <w:r>
        <w:t> </w:t>
      </w:r>
      <w:r w:rsidRPr="00A53956">
        <w:t>2016/679, αιτιολογικές σκέψεις 108 και 114.</w:t>
      </w:r>
    </w:p>
  </w:footnote>
  <w:footnote w:id="11">
    <w:p w14:paraId="1FFBEDA4" w14:textId="400AC41E" w:rsidR="004B5724" w:rsidRPr="00A53956" w:rsidRDefault="004B5724">
      <w:pPr>
        <w:pStyle w:val="FootnoteText"/>
      </w:pPr>
      <w:r>
        <w:rPr>
          <w:rStyle w:val="FootnoteReference"/>
        </w:rPr>
        <w:footnoteRef/>
      </w:r>
      <w:r w:rsidRPr="00A53956">
        <w:tab/>
      </w:r>
      <w:r>
        <w:rPr>
          <w:i/>
        </w:rPr>
        <w:t>Schrems</w:t>
      </w:r>
      <w:r w:rsidRPr="00A53956">
        <w:rPr>
          <w:i/>
        </w:rPr>
        <w:t xml:space="preserve"> </w:t>
      </w:r>
      <w:r>
        <w:rPr>
          <w:i/>
        </w:rPr>
        <w:t>II</w:t>
      </w:r>
      <w:r w:rsidRPr="00A53956">
        <w:t>.</w:t>
      </w:r>
    </w:p>
  </w:footnote>
  <w:footnote w:id="12">
    <w:p w14:paraId="58CC1499" w14:textId="72D112B4" w:rsidR="004B5724" w:rsidRPr="00A53956" w:rsidRDefault="004B5724">
      <w:pPr>
        <w:pStyle w:val="FootnoteText"/>
      </w:pPr>
      <w:r>
        <w:rPr>
          <w:rStyle w:val="FootnoteReference"/>
        </w:rPr>
        <w:footnoteRef/>
      </w:r>
      <w:r w:rsidRPr="00A53956">
        <w:tab/>
      </w:r>
      <w:r>
        <w:t>EDPB</w:t>
      </w:r>
      <w:r w:rsidRPr="00A53956">
        <w:t xml:space="preserve"> </w:t>
      </w:r>
      <w:r>
        <w:t>EDPS</w:t>
      </w:r>
      <w:r w:rsidRPr="00A53956">
        <w:t xml:space="preserve"> </w:t>
      </w:r>
      <w:r>
        <w:t>Joint</w:t>
      </w:r>
      <w:r w:rsidRPr="00A53956">
        <w:t xml:space="preserve"> </w:t>
      </w:r>
      <w:r>
        <w:t>Opinion</w:t>
      </w:r>
      <w:r w:rsidRPr="00A53956">
        <w:t xml:space="preserve"> 2/2021 </w:t>
      </w:r>
      <w:r>
        <w:t>on</w:t>
      </w:r>
      <w:r w:rsidRPr="00A53956">
        <w:t xml:space="preserve"> </w:t>
      </w:r>
      <w:r>
        <w:t>the</w:t>
      </w:r>
      <w:r w:rsidRPr="00A53956">
        <w:t xml:space="preserve"> </w:t>
      </w:r>
      <w:r>
        <w:t>European</w:t>
      </w:r>
      <w:r w:rsidRPr="00A53956">
        <w:t xml:space="preserve"> </w:t>
      </w:r>
      <w:r>
        <w:t>Commission</w:t>
      </w:r>
      <w:r w:rsidRPr="00A53956">
        <w:t>’</w:t>
      </w:r>
      <w:r>
        <w:t>s</w:t>
      </w:r>
      <w:r w:rsidRPr="00A53956">
        <w:t xml:space="preserve"> </w:t>
      </w:r>
      <w:r>
        <w:t>Implementing</w:t>
      </w:r>
      <w:r w:rsidRPr="00A53956">
        <w:t xml:space="preserve"> </w:t>
      </w:r>
      <w:r>
        <w:t>Decision</w:t>
      </w:r>
      <w:r w:rsidRPr="00A53956">
        <w:t xml:space="preserve"> </w:t>
      </w:r>
      <w:r>
        <w:t>on</w:t>
      </w:r>
      <w:r w:rsidRPr="00A53956">
        <w:t xml:space="preserve"> </w:t>
      </w:r>
      <w:r>
        <w:t>standard</w:t>
      </w:r>
      <w:r w:rsidRPr="00A53956">
        <w:t xml:space="preserve"> </w:t>
      </w:r>
      <w:r>
        <w:t>contractual</w:t>
      </w:r>
      <w:r w:rsidRPr="00A53956">
        <w:t xml:space="preserve"> </w:t>
      </w:r>
      <w:r>
        <w:t>clauses</w:t>
      </w:r>
      <w:r w:rsidRPr="00A53956">
        <w:t xml:space="preserve"> </w:t>
      </w:r>
      <w:r>
        <w:t>for</w:t>
      </w:r>
      <w:r w:rsidRPr="00A53956">
        <w:t xml:space="preserve"> </w:t>
      </w:r>
      <w:r>
        <w:t>the</w:t>
      </w:r>
      <w:r w:rsidRPr="00A53956">
        <w:t xml:space="preserve"> </w:t>
      </w:r>
      <w:r>
        <w:t>transfer</w:t>
      </w:r>
      <w:r w:rsidRPr="00A53956">
        <w:t xml:space="preserve"> </w:t>
      </w:r>
      <w:r>
        <w:t>of</w:t>
      </w:r>
      <w:r w:rsidRPr="00A53956">
        <w:t xml:space="preserve"> </w:t>
      </w:r>
      <w:r>
        <w:t>personal</w:t>
      </w:r>
      <w:r w:rsidRPr="00A53956">
        <w:t xml:space="preserve"> </w:t>
      </w:r>
      <w:r>
        <w:t>data</w:t>
      </w:r>
      <w:r w:rsidRPr="00A53956">
        <w:t xml:space="preserve"> </w:t>
      </w:r>
      <w:r>
        <w:t>to</w:t>
      </w:r>
      <w:r w:rsidRPr="00A53956">
        <w:t xml:space="preserve"> </w:t>
      </w:r>
      <w:r>
        <w:t>third</w:t>
      </w:r>
      <w:r w:rsidRPr="00A53956">
        <w:t xml:space="preserve"> </w:t>
      </w:r>
      <w:r>
        <w:t>countries</w:t>
      </w:r>
      <w:r w:rsidRPr="00A53956">
        <w:t xml:space="preserve"> </w:t>
      </w:r>
      <w:r>
        <w:t>for</w:t>
      </w:r>
      <w:r w:rsidRPr="00A53956">
        <w:t xml:space="preserve"> </w:t>
      </w:r>
      <w:r>
        <w:t>the</w:t>
      </w:r>
      <w:r w:rsidRPr="00A53956">
        <w:t xml:space="preserve"> </w:t>
      </w:r>
      <w:r>
        <w:t>matters</w:t>
      </w:r>
      <w:r w:rsidRPr="00A53956">
        <w:t xml:space="preserve"> </w:t>
      </w:r>
      <w:r>
        <w:t>referred</w:t>
      </w:r>
      <w:r w:rsidRPr="00A53956">
        <w:t xml:space="preserve"> </w:t>
      </w:r>
      <w:r>
        <w:t>to</w:t>
      </w:r>
      <w:r w:rsidRPr="00A53956">
        <w:t xml:space="preserve"> </w:t>
      </w:r>
      <w:r>
        <w:t>in</w:t>
      </w:r>
      <w:r w:rsidRPr="00A53956">
        <w:t xml:space="preserve"> </w:t>
      </w:r>
      <w:r>
        <w:t>Article</w:t>
      </w:r>
      <w:r w:rsidRPr="00A53956">
        <w:t xml:space="preserve"> 46(2)(</w:t>
      </w:r>
      <w:r>
        <w:t>c</w:t>
      </w:r>
      <w:r w:rsidRPr="00A53956">
        <w:t xml:space="preserve">) </w:t>
      </w:r>
      <w:r>
        <w:t>of</w:t>
      </w:r>
      <w:r w:rsidRPr="00A53956">
        <w:t xml:space="preserve"> </w:t>
      </w:r>
      <w:r>
        <w:t>Regulation</w:t>
      </w:r>
      <w:r w:rsidRPr="00A53956">
        <w:t xml:space="preserve"> (</w:t>
      </w:r>
      <w:r>
        <w:t>EU</w:t>
      </w:r>
      <w:r w:rsidRPr="00A53956">
        <w:t>) 2016/679 [Κοινή γνωμοδότηση ΕΣΠΔ–ΕΕΠΔ 2/2021 σχετικά με την εκτελεστική απόφαση της Ευρωπαϊκής Επιτροπής για τις τυποποιημένες συμβατικές ρήτρες όσον αφορά τη διαβίβαση δεδομένων προσωπικού χαρακτήρα προς τρίτες χώρες για τα θέματα που προβλέπονται στο άρθρο 46 παράγραφος</w:t>
      </w:r>
      <w:r>
        <w:t> </w:t>
      </w:r>
      <w:r w:rsidRPr="00A53956">
        <w:t>2 στοιχείο</w:t>
      </w:r>
      <w:r>
        <w:t> </w:t>
      </w:r>
      <w:r w:rsidRPr="00A53956">
        <w:t>γ) του κανονισμού (ΕΕ)</w:t>
      </w:r>
      <w:r>
        <w:t> </w:t>
      </w:r>
      <w:r w:rsidRPr="00A53956">
        <w:t>2016/679].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6785BE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F084B0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F14C184"/>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20F0E2C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5E886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650178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E0E74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1"/>
    <w:lvlOverride w:ilvl="0">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4"/>
  </w:num>
  <w:num w:numId="8">
    <w:abstractNumId w:val="3"/>
  </w:num>
  <w:num w:numId="9">
    <w:abstractNumId w:val="2"/>
  </w:num>
  <w:num w:numId="10">
    <w:abstractNumId w:val="1"/>
  </w:num>
  <w:num w:numId="11">
    <w:abstractNumId w:val="0"/>
  </w:num>
  <w:num w:numId="12">
    <w:abstractNumId w:val="21"/>
  </w:num>
  <w:num w:numId="13">
    <w:abstractNumId w:val="18"/>
  </w:num>
  <w:num w:numId="14">
    <w:abstractNumId w:val="12"/>
  </w:num>
  <w:num w:numId="15">
    <w:abstractNumId w:val="20"/>
  </w:num>
  <w:num w:numId="16">
    <w:abstractNumId w:val="11"/>
  </w:num>
  <w:num w:numId="17">
    <w:abstractNumId w:val="13"/>
  </w:num>
  <w:num w:numId="18">
    <w:abstractNumId w:val="9"/>
  </w:num>
  <w:num w:numId="19">
    <w:abstractNumId w:val="19"/>
  </w:num>
  <w:num w:numId="20">
    <w:abstractNumId w:val="8"/>
  </w:num>
  <w:num w:numId="21">
    <w:abstractNumId w:val="14"/>
  </w:num>
  <w:num w:numId="22">
    <w:abstractNumId w:val="16"/>
  </w:num>
  <w:num w:numId="23">
    <w:abstractNumId w:val="17"/>
  </w:num>
  <w:num w:numId="24">
    <w:abstractNumId w:val="10"/>
  </w:num>
  <w:num w:numId="25">
    <w:abstractNumId w:val="15"/>
  </w:num>
  <w:num w:numId="2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hyphenationZone w:val="425"/>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1 17:01:2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VERPAGE_EXISTS" w:val="True"/>
    <w:docVar w:name="LW_COVERPAGE_GUID" w:val="A58E1CAE-7B9F-4D59-8ECF-1B5F762F964D"/>
    <w:docVar w:name="LW_COVERPAGE_TYPE" w:val="1"/>
    <w:docVar w:name="LW_CROSSREFERENCE" w:val="&lt;UNUSED&gt;"/>
    <w:docVar w:name="LW_DATE.ADOPT.CP" w:val="\u964?\u951?\u962? XXX"/>
    <w:docVar w:name="LW_DATE.ADOPT.CP_DATEFORMAT" w:val="\u964?\u951?\u962? %DATE%"/>
    <w:docVar w:name="LW_DATE.ADOPT.CP_ISODATE" w:val="&lt;EMPTY&gt;"/>
    <w:docVar w:name="LW_DocType" w:val="COM"/>
    <w:docVar w:name="LW_EMISSION" w:val="&lt;EMPTY&gt;"/>
    <w:docVar w:name="LW_EMISSION_ISODATE" w:val="&lt;EMPTY&gt;"/>
    <w:docVar w:name="LW_EMISSION_LOCATION" w:val="BRX"/>
    <w:docVar w:name="LW_EMISSION_PREFIX" w:val="\u914?\u961?\u965?\u958?\u941?\u955?\u955?\u949?\u962?, "/>
    <w:docVar w:name="LW_EMISSION_SUFFIX" w:val=" "/>
    <w:docVar w:name="LW_ID_DOCMODEL" w:val="SJ-032"/>
    <w:docVar w:name="LW_ID_DOCSIGNATURE" w:val="SJ-032"/>
    <w:docVar w:name="LW_ID_DOCSTRUCTURE" w:val="COM/AA"/>
    <w:docVar w:name="LW_ID_DOCTYPE" w:val="SJ-032"/>
    <w:docVar w:name="LW_INTERETEEE" w:val="(\u922?\u949?\u943?\u956?\u949?\u957?\u959? \u960?\u959?\u965? \u960?\u945?\u961?\u959?\u965?\u963?\u953?\u940?\u950?\u949?\u953? \u949?\u957?\u948?\u953?\u945?\u966?\u941?\u961?\u959?\u957? \u947?\u953?\u945? \u964?\u959?\u957? \u917?\u927?\u935?)"/>
    <w:docVar w:name="LW_INTERETEEE.CP" w:val="(\u922?\u949?\u943?\u956?\u949?\u957?\u959? \u960?\u959?\u965? \u960?\u945?\u961?\u959?\u965?\u963?\u953?\u940?\u950?\u949?\u953? \u949?\u957?\u948?\u953?\u945?\u966?\u941?\u961?\u959?\u957? \u947?\u953?\u945? \u964?\u959?\u957? \u917?\u927?\u935?)"/>
    <w:docVar w:name="LW_LANGUE" w:val="EL"/>
    <w:docVar w:name="LW_LANGUESFAISANTFOI.CP" w:val="&lt;UNUSED&gt;"/>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u963?\u967?\u949?\u964?\u953?\u954?\u940? \u956?\u949? \u964?\u953?\u962? \u964?\u965?\u960?\u959?\u960?\u959?\u953?\u951?\u956?\u941?\u957?\u949?\u962? \u963?\u965?\u956?\u946?\u945?\u964?\u953?\u954?\u941?\u962? \u961?\u942?\u964?\u961?\u949?\u962? \u947?\u953?\u945? \u964?\u951? \u948?\u953?\u945?\u946?\u943?\u946?\u945?\u963?\u951? \u948?\u949?\u948?\u959?\u956?\u941?\u957?\u969?\u957? \u960?\u961?\u959?\u963?\u969?\u960?\u953?\u954?\u959?\u973? \u967?\u945?\u961?\u945?\u954?\u964?\u942?\u961?\u945? \u960?\u961?\u959?\u962? \u964?\u961?\u943?\u964?\u949?\u962? \u967?\u974?\u961?\u949?\u962? \u963?\u973?\u956?\u966?\u969?\u957?\u945? \u956?\u949? \u964?\u959?\u957? \u954?\u945?\u957?\u959?\u957?\u953?\u963?\u956?\u972? (\u917?\u917?) 2016/679 \u964?\u959?\u965? \u917?\u965?\u961?\u969?\u960?\u945?\u970?\u954?\u959?\u973? \u922?\u959?\u953?\u957?\u959?\u946?\u959?\u965?\u955?\u943?\u959?\u965? \u954?\u945?\u953? \u964?\u959?\u965? \u931?\u965?\u956?\u946?\u959?\u965?\u955?\u943?\u959?\u965?"/>
    <w:docVar w:name="LW_TITRE.OBJ.CP" w:val="\u963?\u967?\u949?\u964?\u953?\u954?\u940? \u956?\u949? \u964?\u953?\u962? \u964?\u965?\u960?\u959?\u960?\u959?\u953?\u951?\u956?\u941?\u957?\u949?\u962? \u963?\u965?\u956?\u946?\u945?\u964?\u953?\u954?\u941?\u962? \u961?\u942?\u964?\u961?\u949?\u962? \u947?\u953?\u945? \u964?\u951? \u948?\u953?\u945?\u946?\u943?\u946?\u945?\u963?\u951? \u948?\u949?\u948?\u959?\u956?\u941?\u957?\u969?\u957? \u960?\u961?\u959?\u963?\u969?\u960?\u953?\u954?\u959?\u973? \u967?\u945?\u961?\u945?\u954?\u964?\u942?\u961?\u945? \u960?\u961?\u959?\u962? \u964?\u961?\u943?\u964?\u949?\u962? \u967?\u974?\u961?\u949?\u962? \u963?\u973?\u956?\u966?\u969?\u957?\u945? \u956?\u949? \u964?\u959?\u957? \u954?\u945?\u957?\u959?\u957?\u953?\u963?\u956?\u972? (\u917?\u917?) 2016/679 \u964?\u959?\u965? \u917?\u965?\u961?\u969?\u960?\u945?\u970?\u954?\u959?\u973? \u922?\u959?\u953?\u957?\u959?\u946?\u959?\u965?\u955?\u943?\u959?\u965? \u954?\u945?\u953? \u964?\u959?\u965? \u931?\u965?\u956?\u946?\u959?\u965?\u955?\u943?\u959?\u965?"/>
    <w:docVar w:name="LW_TYPE.DOC" w:val="\u917?\u922?\u932?\u917?\u923?\u917?\u931?\u932?\u921?\u922?\u919? \u913?\u928?\u927?\u934?\u913?\u931?\u919? (\u917?\u917?) \u8230?/... \u932?\u919?\u931? \u917?\u928?\u921?\u932?\u929?\u927?\u928?\u919?\u931?"/>
    <w:docVar w:name="LW_TYPE.DOC.CP" w:val="\u917?\u922?\u932?\u917?\u923?\u917?\u931?\u932?\u921?\u922?\u919? \u913?\u928?\u927?\u934?\u913?\u931?\u919? (\u917?\u917?) \u8230?/... \u932?\u919?\u931? \u917?\u928?\u921?\u932?\u929?\u927?\u928?\u919?\u931?"/>
    <w:docVar w:name="Stamp" w:val="\\dossiers.dgt.cec.eu.int\dossiers\JUST\JUST-2021-01653\JUST-2021-01653-00-00-EN-EDT-00.202103301302502862626.DOCX"/>
  </w:docVars>
  <w:rsids>
    <w:rsidRoot w:val="00070205"/>
    <w:rsid w:val="00004D59"/>
    <w:rsid w:val="00015492"/>
    <w:rsid w:val="00031779"/>
    <w:rsid w:val="00043A49"/>
    <w:rsid w:val="00046169"/>
    <w:rsid w:val="00046AD0"/>
    <w:rsid w:val="000570B2"/>
    <w:rsid w:val="00070205"/>
    <w:rsid w:val="000709F2"/>
    <w:rsid w:val="00073534"/>
    <w:rsid w:val="00093AD9"/>
    <w:rsid w:val="0009706C"/>
    <w:rsid w:val="000A59C9"/>
    <w:rsid w:val="000A7517"/>
    <w:rsid w:val="000B73FE"/>
    <w:rsid w:val="000C0A91"/>
    <w:rsid w:val="000C1C57"/>
    <w:rsid w:val="000C285D"/>
    <w:rsid w:val="000C2DF4"/>
    <w:rsid w:val="000D0D65"/>
    <w:rsid w:val="000D600D"/>
    <w:rsid w:val="000D76BA"/>
    <w:rsid w:val="000D79DC"/>
    <w:rsid w:val="000E0EA5"/>
    <w:rsid w:val="000E198E"/>
    <w:rsid w:val="000E6B37"/>
    <w:rsid w:val="00115A95"/>
    <w:rsid w:val="00115F14"/>
    <w:rsid w:val="0012053D"/>
    <w:rsid w:val="00120701"/>
    <w:rsid w:val="00131575"/>
    <w:rsid w:val="001356F0"/>
    <w:rsid w:val="00142728"/>
    <w:rsid w:val="00142F48"/>
    <w:rsid w:val="00157877"/>
    <w:rsid w:val="001735D5"/>
    <w:rsid w:val="0017451E"/>
    <w:rsid w:val="00181E8F"/>
    <w:rsid w:val="00195C32"/>
    <w:rsid w:val="001A36FE"/>
    <w:rsid w:val="001C2816"/>
    <w:rsid w:val="001D4EF4"/>
    <w:rsid w:val="001E3F0F"/>
    <w:rsid w:val="00216D82"/>
    <w:rsid w:val="00221358"/>
    <w:rsid w:val="00222641"/>
    <w:rsid w:val="00226F60"/>
    <w:rsid w:val="0023446A"/>
    <w:rsid w:val="00235DA9"/>
    <w:rsid w:val="00241172"/>
    <w:rsid w:val="00262E8A"/>
    <w:rsid w:val="00262F77"/>
    <w:rsid w:val="002800F4"/>
    <w:rsid w:val="0029032C"/>
    <w:rsid w:val="002A110A"/>
    <w:rsid w:val="002B2B40"/>
    <w:rsid w:val="002C574D"/>
    <w:rsid w:val="002E62E0"/>
    <w:rsid w:val="00311FB2"/>
    <w:rsid w:val="003403AA"/>
    <w:rsid w:val="00377582"/>
    <w:rsid w:val="003A239F"/>
    <w:rsid w:val="003B1F06"/>
    <w:rsid w:val="003D708C"/>
    <w:rsid w:val="003F12D1"/>
    <w:rsid w:val="003F7841"/>
    <w:rsid w:val="00415760"/>
    <w:rsid w:val="00434710"/>
    <w:rsid w:val="00437DA6"/>
    <w:rsid w:val="004426B1"/>
    <w:rsid w:val="00470D9B"/>
    <w:rsid w:val="0047771C"/>
    <w:rsid w:val="00484EB2"/>
    <w:rsid w:val="00497462"/>
    <w:rsid w:val="004A1BFF"/>
    <w:rsid w:val="004B0B93"/>
    <w:rsid w:val="004B5724"/>
    <w:rsid w:val="004C207A"/>
    <w:rsid w:val="004E24FC"/>
    <w:rsid w:val="004F16BA"/>
    <w:rsid w:val="0050522C"/>
    <w:rsid w:val="005220AD"/>
    <w:rsid w:val="00523439"/>
    <w:rsid w:val="005237F9"/>
    <w:rsid w:val="00523C03"/>
    <w:rsid w:val="0052761D"/>
    <w:rsid w:val="005321C1"/>
    <w:rsid w:val="0054020C"/>
    <w:rsid w:val="00553C65"/>
    <w:rsid w:val="0055728F"/>
    <w:rsid w:val="0056471C"/>
    <w:rsid w:val="005A47CA"/>
    <w:rsid w:val="005D31AA"/>
    <w:rsid w:val="005D6E58"/>
    <w:rsid w:val="005F6C79"/>
    <w:rsid w:val="006023A8"/>
    <w:rsid w:val="006161B9"/>
    <w:rsid w:val="0061782C"/>
    <w:rsid w:val="00654C00"/>
    <w:rsid w:val="00662CA7"/>
    <w:rsid w:val="00665C2E"/>
    <w:rsid w:val="0067053E"/>
    <w:rsid w:val="00673DAF"/>
    <w:rsid w:val="00675727"/>
    <w:rsid w:val="006806D2"/>
    <w:rsid w:val="00682A99"/>
    <w:rsid w:val="00691C4B"/>
    <w:rsid w:val="006950BF"/>
    <w:rsid w:val="006A121A"/>
    <w:rsid w:val="006A4A76"/>
    <w:rsid w:val="006A6BEF"/>
    <w:rsid w:val="006C1B9E"/>
    <w:rsid w:val="006C4C57"/>
    <w:rsid w:val="006C672A"/>
    <w:rsid w:val="006F0DCE"/>
    <w:rsid w:val="006F1D4B"/>
    <w:rsid w:val="0070128F"/>
    <w:rsid w:val="00705B75"/>
    <w:rsid w:val="007144A6"/>
    <w:rsid w:val="00724557"/>
    <w:rsid w:val="00745432"/>
    <w:rsid w:val="007518A8"/>
    <w:rsid w:val="00753E30"/>
    <w:rsid w:val="007731F4"/>
    <w:rsid w:val="007734FC"/>
    <w:rsid w:val="0079149F"/>
    <w:rsid w:val="007A4B72"/>
    <w:rsid w:val="007A7A8F"/>
    <w:rsid w:val="007B077B"/>
    <w:rsid w:val="007B13D3"/>
    <w:rsid w:val="007C06F6"/>
    <w:rsid w:val="007C1BCB"/>
    <w:rsid w:val="007E7F52"/>
    <w:rsid w:val="007F1CE7"/>
    <w:rsid w:val="00812D69"/>
    <w:rsid w:val="008243C3"/>
    <w:rsid w:val="00841AD9"/>
    <w:rsid w:val="008521FA"/>
    <w:rsid w:val="00853D11"/>
    <w:rsid w:val="00877377"/>
    <w:rsid w:val="00880ADF"/>
    <w:rsid w:val="008A20CA"/>
    <w:rsid w:val="008A708F"/>
    <w:rsid w:val="008B157E"/>
    <w:rsid w:val="008B2DE3"/>
    <w:rsid w:val="008B5CCF"/>
    <w:rsid w:val="008C6D05"/>
    <w:rsid w:val="008F7E33"/>
    <w:rsid w:val="00921CD3"/>
    <w:rsid w:val="009268BF"/>
    <w:rsid w:val="0093581C"/>
    <w:rsid w:val="009422A2"/>
    <w:rsid w:val="00956552"/>
    <w:rsid w:val="00961DA5"/>
    <w:rsid w:val="009645DE"/>
    <w:rsid w:val="00981788"/>
    <w:rsid w:val="0098228E"/>
    <w:rsid w:val="00984CE1"/>
    <w:rsid w:val="00986B33"/>
    <w:rsid w:val="00987AD5"/>
    <w:rsid w:val="009A195B"/>
    <w:rsid w:val="009A7838"/>
    <w:rsid w:val="009B7138"/>
    <w:rsid w:val="009C07BF"/>
    <w:rsid w:val="009D56BE"/>
    <w:rsid w:val="00A216B4"/>
    <w:rsid w:val="00A25B1F"/>
    <w:rsid w:val="00A3247B"/>
    <w:rsid w:val="00A47A2B"/>
    <w:rsid w:val="00A53956"/>
    <w:rsid w:val="00A61E49"/>
    <w:rsid w:val="00AA2355"/>
    <w:rsid w:val="00AB4456"/>
    <w:rsid w:val="00AC0AE2"/>
    <w:rsid w:val="00AC3037"/>
    <w:rsid w:val="00AC42F2"/>
    <w:rsid w:val="00AE0D3E"/>
    <w:rsid w:val="00AE3AFE"/>
    <w:rsid w:val="00AE5258"/>
    <w:rsid w:val="00B01B7B"/>
    <w:rsid w:val="00B2380D"/>
    <w:rsid w:val="00B270E5"/>
    <w:rsid w:val="00B53906"/>
    <w:rsid w:val="00B55734"/>
    <w:rsid w:val="00B56FBE"/>
    <w:rsid w:val="00B8040E"/>
    <w:rsid w:val="00B8273E"/>
    <w:rsid w:val="00B86135"/>
    <w:rsid w:val="00B92DF9"/>
    <w:rsid w:val="00BA0EB4"/>
    <w:rsid w:val="00BA4D53"/>
    <w:rsid w:val="00BA7B43"/>
    <w:rsid w:val="00BA7E14"/>
    <w:rsid w:val="00BB22F9"/>
    <w:rsid w:val="00BB266C"/>
    <w:rsid w:val="00BB427E"/>
    <w:rsid w:val="00BC3487"/>
    <w:rsid w:val="00BC5394"/>
    <w:rsid w:val="00BC6D7B"/>
    <w:rsid w:val="00BC71ED"/>
    <w:rsid w:val="00BD7CD0"/>
    <w:rsid w:val="00BE246D"/>
    <w:rsid w:val="00BF17AA"/>
    <w:rsid w:val="00BF4A5D"/>
    <w:rsid w:val="00C0517D"/>
    <w:rsid w:val="00C07B26"/>
    <w:rsid w:val="00C24556"/>
    <w:rsid w:val="00C33B16"/>
    <w:rsid w:val="00C36A89"/>
    <w:rsid w:val="00C5435C"/>
    <w:rsid w:val="00C74149"/>
    <w:rsid w:val="00C802B4"/>
    <w:rsid w:val="00C83EA3"/>
    <w:rsid w:val="00CA1155"/>
    <w:rsid w:val="00CE5C17"/>
    <w:rsid w:val="00CF25EE"/>
    <w:rsid w:val="00D121C0"/>
    <w:rsid w:val="00D20CB6"/>
    <w:rsid w:val="00D250DD"/>
    <w:rsid w:val="00D43DA1"/>
    <w:rsid w:val="00D51DAE"/>
    <w:rsid w:val="00D67E9A"/>
    <w:rsid w:val="00D67F28"/>
    <w:rsid w:val="00D735B2"/>
    <w:rsid w:val="00D75956"/>
    <w:rsid w:val="00D9261D"/>
    <w:rsid w:val="00D938F1"/>
    <w:rsid w:val="00D97432"/>
    <w:rsid w:val="00DA614F"/>
    <w:rsid w:val="00DE30E0"/>
    <w:rsid w:val="00DE42FA"/>
    <w:rsid w:val="00DE7927"/>
    <w:rsid w:val="00DF1A44"/>
    <w:rsid w:val="00DF2CC3"/>
    <w:rsid w:val="00DF43C5"/>
    <w:rsid w:val="00DF5E73"/>
    <w:rsid w:val="00E02D83"/>
    <w:rsid w:val="00E23737"/>
    <w:rsid w:val="00E307F0"/>
    <w:rsid w:val="00E376AF"/>
    <w:rsid w:val="00E40409"/>
    <w:rsid w:val="00E61BDB"/>
    <w:rsid w:val="00E63FC6"/>
    <w:rsid w:val="00E65786"/>
    <w:rsid w:val="00E74673"/>
    <w:rsid w:val="00E8693D"/>
    <w:rsid w:val="00E8713F"/>
    <w:rsid w:val="00EB4320"/>
    <w:rsid w:val="00EB4FBA"/>
    <w:rsid w:val="00EB7ED2"/>
    <w:rsid w:val="00ED2947"/>
    <w:rsid w:val="00ED2E04"/>
    <w:rsid w:val="00EF2260"/>
    <w:rsid w:val="00F13C4E"/>
    <w:rsid w:val="00F13EDC"/>
    <w:rsid w:val="00F16261"/>
    <w:rsid w:val="00F20062"/>
    <w:rsid w:val="00F416D1"/>
    <w:rsid w:val="00F55EF2"/>
    <w:rsid w:val="00F56E72"/>
    <w:rsid w:val="00F719D6"/>
    <w:rsid w:val="00F740AE"/>
    <w:rsid w:val="00F775D2"/>
    <w:rsid w:val="00F875F4"/>
    <w:rsid w:val="00FA132A"/>
    <w:rsid w:val="00FD2C01"/>
    <w:rsid w:val="00FD38AF"/>
    <w:rsid w:val="00FD6913"/>
    <w:rsid w:val="00FD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33C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rsid w:val="009B7138"/>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19"/>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semiHidden/>
    <w:unhideWhenUsed/>
    <w:rsid w:val="00BC3487"/>
    <w:pPr>
      <w:numPr>
        <w:numId w:val="3"/>
      </w:numPr>
      <w:contextualSpacing/>
    </w:pPr>
  </w:style>
  <w:style w:type="paragraph" w:styleId="ListBullet">
    <w:name w:val="List Bullet"/>
    <w:basedOn w:val="Normal"/>
    <w:uiPriority w:val="99"/>
    <w:semiHidden/>
    <w:unhideWhenUsed/>
    <w:rsid w:val="00DF5E73"/>
    <w:pPr>
      <w:numPr>
        <w:numId w:val="5"/>
      </w:numPr>
      <w:contextualSpacing/>
    </w:pPr>
  </w:style>
  <w:style w:type="paragraph" w:styleId="ListBullet2">
    <w:name w:val="List Bullet 2"/>
    <w:basedOn w:val="Normal"/>
    <w:uiPriority w:val="99"/>
    <w:semiHidden/>
    <w:unhideWhenUsed/>
    <w:rsid w:val="00DF5E73"/>
    <w:pPr>
      <w:numPr>
        <w:numId w:val="6"/>
      </w:numPr>
      <w:contextualSpacing/>
    </w:pPr>
  </w:style>
  <w:style w:type="paragraph" w:styleId="ListBullet3">
    <w:name w:val="List Bullet 3"/>
    <w:basedOn w:val="Normal"/>
    <w:uiPriority w:val="99"/>
    <w:semiHidden/>
    <w:unhideWhenUsed/>
    <w:rsid w:val="00DF5E73"/>
    <w:pPr>
      <w:numPr>
        <w:numId w:val="7"/>
      </w:numPr>
      <w:contextualSpacing/>
    </w:pPr>
  </w:style>
  <w:style w:type="paragraph" w:styleId="ListBullet4">
    <w:name w:val="List Bullet 4"/>
    <w:basedOn w:val="Normal"/>
    <w:uiPriority w:val="99"/>
    <w:semiHidden/>
    <w:unhideWhenUsed/>
    <w:rsid w:val="00DF5E73"/>
    <w:pPr>
      <w:numPr>
        <w:numId w:val="8"/>
      </w:numPr>
      <w:contextualSpacing/>
    </w:pPr>
  </w:style>
  <w:style w:type="paragraph" w:styleId="BalloonText">
    <w:name w:val="Balloon Text"/>
    <w:basedOn w:val="Normal"/>
    <w:link w:val="BalloonTextChar"/>
    <w:uiPriority w:val="99"/>
    <w:semiHidden/>
    <w:unhideWhenUsed/>
    <w:rsid w:val="000C1C5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1C57"/>
    <w:rPr>
      <w:rFonts w:ascii="Segoe UI" w:hAnsi="Segoe UI" w:cs="Segoe UI"/>
      <w:sz w:val="18"/>
      <w:szCs w:val="18"/>
      <w:lang w:val="el-GR"/>
    </w:rPr>
  </w:style>
  <w:style w:type="character" w:styleId="CommentReference">
    <w:name w:val="annotation reference"/>
    <w:basedOn w:val="DefaultParagraphFont"/>
    <w:uiPriority w:val="99"/>
    <w:semiHidden/>
    <w:unhideWhenUsed/>
    <w:rsid w:val="00311FB2"/>
    <w:rPr>
      <w:sz w:val="16"/>
      <w:szCs w:val="16"/>
    </w:rPr>
  </w:style>
  <w:style w:type="paragraph" w:styleId="CommentText">
    <w:name w:val="annotation text"/>
    <w:basedOn w:val="Normal"/>
    <w:link w:val="CommentTextChar"/>
    <w:uiPriority w:val="99"/>
    <w:semiHidden/>
    <w:unhideWhenUsed/>
    <w:rsid w:val="00311FB2"/>
    <w:rPr>
      <w:sz w:val="20"/>
      <w:szCs w:val="20"/>
    </w:rPr>
  </w:style>
  <w:style w:type="character" w:customStyle="1" w:styleId="CommentTextChar">
    <w:name w:val="Comment Text Char"/>
    <w:basedOn w:val="DefaultParagraphFont"/>
    <w:link w:val="CommentText"/>
    <w:uiPriority w:val="99"/>
    <w:semiHidden/>
    <w:rsid w:val="00311FB2"/>
    <w:rPr>
      <w:rFonts w:ascii="Times New Roman"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11FB2"/>
    <w:rPr>
      <w:b/>
      <w:bCs/>
    </w:rPr>
  </w:style>
  <w:style w:type="character" w:customStyle="1" w:styleId="CommentSubjectChar">
    <w:name w:val="Comment Subject Char"/>
    <w:basedOn w:val="CommentTextChar"/>
    <w:link w:val="CommentSubject"/>
    <w:uiPriority w:val="99"/>
    <w:semiHidden/>
    <w:rsid w:val="00311FB2"/>
    <w:rPr>
      <w:rFonts w:ascii="Times New Roman" w:hAnsi="Times New Roman" w:cs="Times New Roman"/>
      <w:b/>
      <w:bCs/>
      <w:sz w:val="20"/>
      <w:szCs w:val="20"/>
      <w:lang w:val="el-GR"/>
    </w:rPr>
  </w:style>
  <w:style w:type="paragraph" w:styleId="Caption">
    <w:name w:val="caption"/>
    <w:basedOn w:val="Normal"/>
    <w:next w:val="Normal"/>
    <w:uiPriority w:val="35"/>
    <w:semiHidden/>
    <w:unhideWhenUsed/>
    <w:qFormat/>
    <w:rsid w:val="00216D8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216D82"/>
    <w:pPr>
      <w:spacing w:after="0"/>
    </w:pPr>
  </w:style>
  <w:style w:type="paragraph" w:styleId="ListNumber2">
    <w:name w:val="List Number 2"/>
    <w:basedOn w:val="Normal"/>
    <w:uiPriority w:val="99"/>
    <w:semiHidden/>
    <w:unhideWhenUsed/>
    <w:rsid w:val="00216D82"/>
    <w:pPr>
      <w:numPr>
        <w:numId w:val="9"/>
      </w:numPr>
      <w:contextualSpacing/>
    </w:pPr>
  </w:style>
  <w:style w:type="paragraph" w:styleId="ListNumber3">
    <w:name w:val="List Number 3"/>
    <w:basedOn w:val="Normal"/>
    <w:uiPriority w:val="99"/>
    <w:semiHidden/>
    <w:unhideWhenUsed/>
    <w:rsid w:val="00216D82"/>
    <w:pPr>
      <w:numPr>
        <w:numId w:val="10"/>
      </w:numPr>
      <w:contextualSpacing/>
    </w:pPr>
  </w:style>
  <w:style w:type="paragraph" w:styleId="ListNumber4">
    <w:name w:val="List Number 4"/>
    <w:basedOn w:val="Normal"/>
    <w:uiPriority w:val="99"/>
    <w:semiHidden/>
    <w:unhideWhenUsed/>
    <w:rsid w:val="00216D82"/>
    <w:pPr>
      <w:numPr>
        <w:numId w:val="11"/>
      </w:numPr>
      <w:contextualSpacing/>
    </w:pPr>
  </w:style>
  <w:style w:type="character" w:styleId="Hyperlink">
    <w:name w:val="Hyperlink"/>
    <w:basedOn w:val="DefaultParagraphFont"/>
    <w:uiPriority w:val="99"/>
    <w:unhideWhenUsed/>
    <w:rsid w:val="00E8713F"/>
    <w:rPr>
      <w:color w:val="0000FF" w:themeColor="hyperlink"/>
      <w:u w:val="single"/>
    </w:rPr>
  </w:style>
  <w:style w:type="paragraph" w:styleId="Revision">
    <w:name w:val="Revision"/>
    <w:hidden/>
    <w:uiPriority w:val="99"/>
    <w:semiHidden/>
    <w:rsid w:val="00437DA6"/>
    <w:pPr>
      <w:spacing w:after="0" w:line="240" w:lineRule="auto"/>
    </w:pPr>
    <w:rPr>
      <w:rFonts w:ascii="Times New Roman" w:hAnsi="Times New Roman" w:cs="Times New Roman"/>
      <w:sz w:val="24"/>
    </w:rPr>
  </w:style>
  <w:style w:type="paragraph" w:styleId="ListParagraph">
    <w:name w:val="List Paragraph"/>
    <w:basedOn w:val="Normal"/>
    <w:uiPriority w:val="34"/>
    <w:qFormat/>
    <w:rsid w:val="00961DA5"/>
    <w:pPr>
      <w:ind w:left="720"/>
      <w:contextualSpacing/>
    </w:pPr>
  </w:style>
  <w:style w:type="paragraph" w:styleId="Header">
    <w:name w:val="header"/>
    <w:basedOn w:val="Normal"/>
    <w:link w:val="HeaderChar"/>
    <w:uiPriority w:val="99"/>
    <w:semiHidden/>
    <w:unhideWhenUsed/>
    <w:rsid w:val="009B7138"/>
    <w:pPr>
      <w:tabs>
        <w:tab w:val="center" w:pos="4535"/>
        <w:tab w:val="right" w:pos="9071"/>
      </w:tabs>
      <w:spacing w:before="0"/>
    </w:pPr>
  </w:style>
  <w:style w:type="character" w:customStyle="1" w:styleId="HeaderChar">
    <w:name w:val="Header Char"/>
    <w:basedOn w:val="DefaultParagraphFont"/>
    <w:link w:val="Header"/>
    <w:uiPriority w:val="99"/>
    <w:semiHidden/>
    <w:rsid w:val="009B7138"/>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rsid w:val="009B713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sid w:val="009B7138"/>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9B7138"/>
    <w:pPr>
      <w:tabs>
        <w:tab w:val="center" w:pos="7285"/>
        <w:tab w:val="right" w:pos="14003"/>
      </w:tabs>
      <w:spacing w:before="0"/>
    </w:pPr>
  </w:style>
  <w:style w:type="paragraph" w:customStyle="1" w:styleId="FooterLandscape">
    <w:name w:val="FooterLandscape"/>
    <w:basedOn w:val="Normal"/>
    <w:rsid w:val="009B713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9B713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B7138"/>
    <w:pPr>
      <w:spacing w:before="0"/>
      <w:jc w:val="right"/>
    </w:pPr>
    <w:rPr>
      <w:sz w:val="28"/>
    </w:rPr>
  </w:style>
  <w:style w:type="paragraph" w:customStyle="1" w:styleId="FooterSensitivity">
    <w:name w:val="Footer Sensitivity"/>
    <w:basedOn w:val="Normal"/>
    <w:rsid w:val="009B713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13"/>
      </w:numPr>
    </w:pPr>
  </w:style>
  <w:style w:type="paragraph" w:customStyle="1" w:styleId="Tiret1">
    <w:name w:val="Tiret 1"/>
    <w:basedOn w:val="Point1"/>
    <w:rsid w:val="009B7138"/>
    <w:pPr>
      <w:numPr>
        <w:numId w:val="14"/>
      </w:numPr>
    </w:pPr>
  </w:style>
  <w:style w:type="paragraph" w:customStyle="1" w:styleId="Tiret2">
    <w:name w:val="Tiret 2"/>
    <w:basedOn w:val="Point2"/>
    <w:rsid w:val="009B7138"/>
    <w:pPr>
      <w:numPr>
        <w:numId w:val="15"/>
      </w:numPr>
    </w:pPr>
  </w:style>
  <w:style w:type="paragraph" w:customStyle="1" w:styleId="Tiret3">
    <w:name w:val="Tiret 3"/>
    <w:basedOn w:val="Point3"/>
    <w:rsid w:val="009B7138"/>
    <w:pPr>
      <w:numPr>
        <w:numId w:val="16"/>
      </w:numPr>
    </w:pPr>
  </w:style>
  <w:style w:type="paragraph" w:customStyle="1" w:styleId="Tiret4">
    <w:name w:val="Tiret 4"/>
    <w:basedOn w:val="Point4"/>
    <w:rsid w:val="009B7138"/>
    <w:pPr>
      <w:numPr>
        <w:numId w:val="17"/>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18"/>
      </w:numPr>
    </w:pPr>
  </w:style>
  <w:style w:type="paragraph" w:customStyle="1" w:styleId="NumPar2">
    <w:name w:val="NumPar 2"/>
    <w:basedOn w:val="Normal"/>
    <w:next w:val="Text1"/>
    <w:rsid w:val="009B7138"/>
    <w:pPr>
      <w:numPr>
        <w:ilvl w:val="1"/>
        <w:numId w:val="18"/>
      </w:numPr>
    </w:pPr>
  </w:style>
  <w:style w:type="paragraph" w:customStyle="1" w:styleId="NumPar3">
    <w:name w:val="NumPar 3"/>
    <w:basedOn w:val="Normal"/>
    <w:next w:val="Text1"/>
    <w:rsid w:val="009B7138"/>
    <w:pPr>
      <w:numPr>
        <w:ilvl w:val="2"/>
        <w:numId w:val="18"/>
      </w:numPr>
    </w:pPr>
  </w:style>
  <w:style w:type="paragraph" w:customStyle="1" w:styleId="NumPar4">
    <w:name w:val="NumPar 4"/>
    <w:basedOn w:val="Normal"/>
    <w:next w:val="Text1"/>
    <w:rsid w:val="009B7138"/>
    <w:pPr>
      <w:numPr>
        <w:ilvl w:val="3"/>
        <w:numId w:val="18"/>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20"/>
      </w:numPr>
    </w:pPr>
  </w:style>
  <w:style w:type="paragraph" w:customStyle="1" w:styleId="Point1number">
    <w:name w:val="Point 1 (number)"/>
    <w:basedOn w:val="Normal"/>
    <w:rsid w:val="009B7138"/>
    <w:pPr>
      <w:numPr>
        <w:ilvl w:val="2"/>
        <w:numId w:val="20"/>
      </w:numPr>
    </w:pPr>
  </w:style>
  <w:style w:type="paragraph" w:customStyle="1" w:styleId="Point2number">
    <w:name w:val="Point 2 (number)"/>
    <w:basedOn w:val="Normal"/>
    <w:rsid w:val="009B7138"/>
    <w:pPr>
      <w:numPr>
        <w:ilvl w:val="4"/>
        <w:numId w:val="20"/>
      </w:numPr>
    </w:pPr>
  </w:style>
  <w:style w:type="paragraph" w:customStyle="1" w:styleId="Point3number">
    <w:name w:val="Point 3 (number)"/>
    <w:basedOn w:val="Normal"/>
    <w:rsid w:val="009B7138"/>
    <w:pPr>
      <w:numPr>
        <w:ilvl w:val="6"/>
        <w:numId w:val="20"/>
      </w:numPr>
    </w:pPr>
  </w:style>
  <w:style w:type="paragraph" w:customStyle="1" w:styleId="Point0letter">
    <w:name w:val="Point 0 (letter)"/>
    <w:basedOn w:val="Normal"/>
    <w:rsid w:val="009B7138"/>
    <w:pPr>
      <w:numPr>
        <w:ilvl w:val="1"/>
        <w:numId w:val="20"/>
      </w:numPr>
    </w:pPr>
  </w:style>
  <w:style w:type="paragraph" w:customStyle="1" w:styleId="Point1letter">
    <w:name w:val="Point 1 (letter)"/>
    <w:basedOn w:val="Normal"/>
    <w:rsid w:val="009B7138"/>
    <w:pPr>
      <w:numPr>
        <w:ilvl w:val="3"/>
        <w:numId w:val="20"/>
      </w:numPr>
    </w:pPr>
  </w:style>
  <w:style w:type="paragraph" w:customStyle="1" w:styleId="Point2letter">
    <w:name w:val="Point 2 (letter)"/>
    <w:basedOn w:val="Normal"/>
    <w:rsid w:val="009B7138"/>
    <w:pPr>
      <w:numPr>
        <w:ilvl w:val="5"/>
        <w:numId w:val="20"/>
      </w:numPr>
    </w:pPr>
  </w:style>
  <w:style w:type="paragraph" w:customStyle="1" w:styleId="Point3letter">
    <w:name w:val="Point 3 (letter)"/>
    <w:basedOn w:val="Normal"/>
    <w:rsid w:val="009B7138"/>
    <w:pPr>
      <w:numPr>
        <w:ilvl w:val="7"/>
        <w:numId w:val="20"/>
      </w:numPr>
    </w:pPr>
  </w:style>
  <w:style w:type="paragraph" w:customStyle="1" w:styleId="Point4letter">
    <w:name w:val="Point 4 (letter)"/>
    <w:basedOn w:val="Normal"/>
    <w:rsid w:val="009B7138"/>
    <w:pPr>
      <w:numPr>
        <w:ilvl w:val="8"/>
        <w:numId w:val="20"/>
      </w:numPr>
    </w:pPr>
  </w:style>
  <w:style w:type="paragraph" w:customStyle="1" w:styleId="Bullet0">
    <w:name w:val="Bullet 0"/>
    <w:basedOn w:val="Normal"/>
    <w:rsid w:val="009B7138"/>
    <w:pPr>
      <w:numPr>
        <w:numId w:val="21"/>
      </w:numPr>
    </w:pPr>
  </w:style>
  <w:style w:type="paragraph" w:customStyle="1" w:styleId="Bullet1">
    <w:name w:val="Bullet 1"/>
    <w:basedOn w:val="Normal"/>
    <w:rsid w:val="009B7138"/>
    <w:pPr>
      <w:numPr>
        <w:numId w:val="22"/>
      </w:numPr>
    </w:pPr>
  </w:style>
  <w:style w:type="paragraph" w:customStyle="1" w:styleId="Bullet2">
    <w:name w:val="Bullet 2"/>
    <w:basedOn w:val="Normal"/>
    <w:rsid w:val="009B7138"/>
    <w:pPr>
      <w:numPr>
        <w:numId w:val="23"/>
      </w:numPr>
    </w:pPr>
  </w:style>
  <w:style w:type="paragraph" w:customStyle="1" w:styleId="Bullet3">
    <w:name w:val="Bullet 3"/>
    <w:basedOn w:val="Normal"/>
    <w:rsid w:val="009B7138"/>
    <w:pPr>
      <w:numPr>
        <w:numId w:val="24"/>
      </w:numPr>
    </w:pPr>
  </w:style>
  <w:style w:type="paragraph" w:customStyle="1" w:styleId="Bullet4">
    <w:name w:val="Bullet 4"/>
    <w:basedOn w:val="Normal"/>
    <w:rsid w:val="009B7138"/>
    <w:pPr>
      <w:numPr>
        <w:numId w:val="25"/>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26"/>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957876">
      <w:bodyDiv w:val="1"/>
      <w:marLeft w:val="0"/>
      <w:marRight w:val="0"/>
      <w:marTop w:val="0"/>
      <w:marBottom w:val="0"/>
      <w:divBdr>
        <w:top w:val="none" w:sz="0" w:space="0" w:color="auto"/>
        <w:left w:val="none" w:sz="0" w:space="0" w:color="auto"/>
        <w:bottom w:val="none" w:sz="0" w:space="0" w:color="auto"/>
        <w:right w:val="none" w:sz="0" w:space="0" w:color="auto"/>
      </w:divBdr>
    </w:div>
    <w:div w:id="1885671473">
      <w:bodyDiv w:val="1"/>
      <w:marLeft w:val="0"/>
      <w:marRight w:val="0"/>
      <w:marTop w:val="0"/>
      <w:marBottom w:val="0"/>
      <w:divBdr>
        <w:top w:val="none" w:sz="0" w:space="0" w:color="auto"/>
        <w:left w:val="none" w:sz="0" w:space="0" w:color="auto"/>
        <w:bottom w:val="none" w:sz="0" w:space="0" w:color="auto"/>
        <w:right w:val="none" w:sz="0" w:space="0" w:color="auto"/>
      </w:divBdr>
    </w:div>
    <w:div w:id="202913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A12CA-77FE-4393-A9F7-1D309A1AE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4</Pages>
  <Words>4253</Words>
  <Characters>25457</Characters>
  <Application>Microsoft Office Word</Application>
  <DocSecurity>0</DocSecurity>
  <Lines>418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2021-05-21T15:01:00Z</dcterms:created>
  <dcterms:modified xsi:type="dcterms:W3CDTF">2021-05-21T15:01:00Z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7.0.1, Build 20190916</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SJ-032</vt:lpwstr>
  </property>
  <property fmtid="{D5CDD505-2E9C-101B-9397-08002B2CF9AE}" pid="7" name="DQCStatus">
    <vt:lpwstr>Green (DQC version 03)</vt:lpwstr>
  </property>
</Properties>
</file>