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4052CE62" w:rsidR="00070205" w:rsidRPr="009103C3" w:rsidRDefault="007D7788" w:rsidP="001C35A6">
      <w:pPr>
        <w:pStyle w:val="Pagedecouverture"/>
      </w:pPr>
      <w:bookmarkStart w:id="0" w:name="_GoBack"/>
      <w:bookmarkEnd w:id="0"/>
      <w:r>
        <w:pict w14:anchorId="30BE5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CBED7B6-7C6F-4A50-9825-BA2F3AB598EB" style="width:450.6pt;height:381.6pt">
            <v:imagedata r:id="rId8" o:title=""/>
          </v:shape>
        </w:pict>
      </w:r>
    </w:p>
    <w:p w14:paraId="2914D017" w14:textId="77777777" w:rsidR="00DB1D6C" w:rsidRPr="009103C3" w:rsidRDefault="00DB1D6C" w:rsidP="00DB1D6C">
      <w:pPr>
        <w:pStyle w:val="Pagedecouverture"/>
        <w:sectPr w:rsidR="00DB1D6C" w:rsidRPr="009103C3" w:rsidSect="00FE767B">
          <w:footerReference w:type="default" r:id="rId9"/>
          <w:pgSz w:w="11907" w:h="16839"/>
          <w:pgMar w:top="1134" w:right="1417" w:bottom="1134" w:left="1417" w:header="709" w:footer="709" w:gutter="0"/>
          <w:pgNumType w:start="0"/>
          <w:cols w:space="720"/>
          <w:docGrid w:linePitch="360"/>
        </w:sectPr>
      </w:pPr>
    </w:p>
    <w:p w14:paraId="19BB17F2" w14:textId="45C07A49" w:rsidR="00070205" w:rsidRPr="009103C3" w:rsidRDefault="00497462" w:rsidP="00497462">
      <w:pPr>
        <w:pStyle w:val="Typedudocument"/>
      </w:pPr>
      <w:r w:rsidRPr="009103C3">
        <w:lastRenderedPageBreak/>
        <w:t>KOMMISSIONENS GENNEMFØRELSESAFGØRELSE (EU) …/…</w:t>
      </w:r>
    </w:p>
    <w:p w14:paraId="39925B62" w14:textId="34E72BE0" w:rsidR="00070205" w:rsidRPr="009103C3" w:rsidRDefault="00DB1D6C" w:rsidP="00497462">
      <w:pPr>
        <w:pStyle w:val="Datedadoption"/>
      </w:pPr>
      <w:r w:rsidRPr="009103C3">
        <w:t>af XXX</w:t>
      </w:r>
    </w:p>
    <w:p w14:paraId="3EC8887B" w14:textId="530D70CF" w:rsidR="00070205" w:rsidRPr="009103C3" w:rsidRDefault="00497462" w:rsidP="00497462">
      <w:pPr>
        <w:pStyle w:val="Titreobjet"/>
      </w:pPr>
      <w:r w:rsidRPr="009103C3">
        <w:t>om standardkontraktbestemmelser for overførsel af personoplysninger til tredjelande i henhold til Europa-Parlamentets og Rådets forordning (EU) 2016/679</w:t>
      </w:r>
    </w:p>
    <w:p w14:paraId="2E28B445" w14:textId="5EA392B1" w:rsidR="00070205" w:rsidRPr="009103C3" w:rsidRDefault="00497462" w:rsidP="00497462">
      <w:pPr>
        <w:pStyle w:val="IntrtEEE"/>
      </w:pPr>
      <w:r w:rsidRPr="009103C3">
        <w:t>(EØS-relevant tekst)</w:t>
      </w:r>
    </w:p>
    <w:p w14:paraId="6A988FE2" w14:textId="77777777" w:rsidR="00070205" w:rsidRPr="009103C3" w:rsidRDefault="00070205" w:rsidP="00C36A89">
      <w:pPr>
        <w:pStyle w:val="Institutionquiagit"/>
      </w:pPr>
      <w:r w:rsidRPr="009103C3">
        <w:t>EUROPA-KOMMISSIONEN HAR ––</w:t>
      </w:r>
    </w:p>
    <w:p w14:paraId="5AFA792D" w14:textId="77777777" w:rsidR="001D4EF4" w:rsidRPr="009103C3" w:rsidRDefault="00070205" w:rsidP="00C36A89">
      <w:r w:rsidRPr="009103C3">
        <w:rPr>
          <w:color w:val="000000"/>
        </w:rPr>
        <w:t>under henvisning til traktaten om Den Europæiske Unions funktionsmåde</w:t>
      </w:r>
      <w:r w:rsidRPr="009103C3">
        <w:t>,</w:t>
      </w:r>
    </w:p>
    <w:p w14:paraId="723B085A" w14:textId="1190B94A" w:rsidR="00070205" w:rsidRPr="009103C3" w:rsidRDefault="00070205" w:rsidP="00C36A89">
      <w:r w:rsidRPr="009103C3">
        <w:t xml:space="preserve">under henvisning til </w:t>
      </w:r>
      <w:r w:rsidRPr="009103C3">
        <w:rPr>
          <w:color w:val="000000"/>
        </w:rPr>
        <w:t>Europa-Parlamentets og Rådets forordning (EU) 2016/679 af 27. april 2016 om beskyttelse af fysiske personer i forbindelse med behandling af personoplysninger og om fri udveksling af sådanne oplysninger og om ophævelse af direktiv 95/46/EF (generel forordning om databeskyttelse)</w:t>
      </w:r>
      <w:r w:rsidRPr="009103C3">
        <w:rPr>
          <w:rStyle w:val="FootnoteReference"/>
          <w:color w:val="000000"/>
        </w:rPr>
        <w:footnoteReference w:id="1"/>
      </w:r>
      <w:r w:rsidRPr="009103C3">
        <w:t>, særlig artikel</w:t>
      </w:r>
      <w:r w:rsidRPr="009103C3">
        <w:rPr>
          <w:color w:val="000000"/>
        </w:rPr>
        <w:t xml:space="preserve"> 28, stk. 7, og artikel 46, stk. 2, litra c), og</w:t>
      </w:r>
    </w:p>
    <w:p w14:paraId="5DBC66B2" w14:textId="77777777" w:rsidR="00070205" w:rsidRPr="009103C3" w:rsidRDefault="00070205" w:rsidP="00C36A89">
      <w:r w:rsidRPr="009103C3">
        <w:t>ud fra følgende betragtninger:</w:t>
      </w:r>
    </w:p>
    <w:p w14:paraId="1FBC9A33" w14:textId="4D496B78" w:rsidR="00EB7ED2" w:rsidRPr="009103C3" w:rsidRDefault="00EB7ED2" w:rsidP="00377582">
      <w:pPr>
        <w:pStyle w:val="Considrant"/>
        <w:numPr>
          <w:ilvl w:val="0"/>
          <w:numId w:val="1"/>
        </w:numPr>
      </w:pPr>
      <w:r w:rsidRPr="009103C3">
        <w:t>Den teknologiske udvikling letter de grænseoverskridende datastrømme, der er nødvendige for at udvide det internationale samarbejde og den internationale handel. Samtidig er det nødvendigt at sikre, at det beskyttelsesniveau for fysiske personer, der garanteres ved forordning (EU) 2016/679, ikke undermineres, når personoplysninger overføres til tredjelande, herunder i tilfælde af videreoverførsler.</w:t>
      </w:r>
      <w:r w:rsidRPr="009103C3">
        <w:rPr>
          <w:rStyle w:val="FootnoteReference"/>
        </w:rPr>
        <w:footnoteReference w:id="2"/>
      </w:r>
      <w:r w:rsidRPr="009103C3">
        <w:t xml:space="preserve"> Bestemmelserne om overførsler af oplysninger i kapitel V i forordning (EU) 2016/679 har til formål at sikre kontinuiteten i dette høje beskyttelsesniveau, når personoplysninger overføres til et tredjeland</w:t>
      </w:r>
      <w:r w:rsidRPr="009103C3">
        <w:rPr>
          <w:rStyle w:val="FootnoteReference"/>
        </w:rPr>
        <w:footnoteReference w:id="3"/>
      </w:r>
      <w:r w:rsidRPr="009103C3">
        <w:t>.</w:t>
      </w:r>
    </w:p>
    <w:p w14:paraId="217460B5" w14:textId="1B3A5723" w:rsidR="00EB7ED2" w:rsidRPr="009103C3" w:rsidRDefault="00EB7ED2" w:rsidP="00EB7ED2">
      <w:pPr>
        <w:pStyle w:val="Considrant"/>
      </w:pPr>
      <w:r w:rsidRPr="009103C3">
        <w:t>I henhold til artikel 46, stk. 1, i forordning (EU) 2016/679 må en dataansvarlig eller databehandler, hvis der ikke foreligger en afgørelse fra Kommissionen om tilstrækkeligheden af beskyttelsesniveauet i henhold til artikel 45, stk. 3, kun overføre personoplysninger til et tredjeland, hvis det har givet de fornødne garantier, og på betingelse af, at rettigheder, som kan håndhæves, og effektive retsmidler for registrerede er tilgængelige. Sådanne garantier kan fastsættes ved at benytte standardbestemmelser om databeskyttelse vedtaget af Kommissionen i henhold til artikel 46, stk. 2, litra c).</w:t>
      </w:r>
    </w:p>
    <w:p w14:paraId="08AED2DA" w14:textId="753633F8" w:rsidR="00EB7ED2" w:rsidRPr="009103C3" w:rsidRDefault="00EB7ED2" w:rsidP="00EB7ED2">
      <w:pPr>
        <w:pStyle w:val="Considrant"/>
      </w:pPr>
      <w:r w:rsidRPr="009103C3">
        <w:t>Standardkontraktbestemmelsernes rolle er begrænset til at sikre passende databeskyttelsesgarantier i forbindelse med internationale dataoverførsler. Den dataansvarlige eller databehandleren, der overfører personoplysningerne til et tredjeland ("dataeksportør"), og den dataansvarlige eller databehandleren, der modtager personoplysningerne ("dataimportør"), kan derfor frit medtage disse standardkontraktbestemmelser i en bredere kontrakt og tilføje andre klausuler eller yderligere garantier, forudsat at de ikke direkte eller indirekte er i strid med standardkontraktbestemmelserne eller berører de registreredes grundlæggende rettigheder eller frihedsrettigheder. Dataansvarlige og databehandlere opfordres til at give yderligere garantier i form af kontraktlige forpligtelser, der supplerer standardkontraktbestemmelserne</w:t>
      </w:r>
      <w:r w:rsidRPr="009103C3">
        <w:rPr>
          <w:rStyle w:val="FootnoteReference"/>
        </w:rPr>
        <w:footnoteReference w:id="4"/>
      </w:r>
      <w:r w:rsidRPr="009103C3">
        <w:t>. Anvendelsen af standardkontraktbestemmelserne berører ikke dataeksportørens og/eller dataimportørens kontraktlige forpligtelser til at sikre overholdelse af gældende privilegier og immuniteter.</w:t>
      </w:r>
    </w:p>
    <w:p w14:paraId="35DBB988" w14:textId="6EBE9457" w:rsidR="00EB7ED2" w:rsidRPr="009103C3" w:rsidRDefault="00EB7ED2" w:rsidP="00EB7ED2">
      <w:pPr>
        <w:pStyle w:val="Considrant"/>
      </w:pPr>
      <w:r w:rsidRPr="009103C3">
        <w:t>Ud over at anvende standardkontraktbestemmelser for at tilvejebringe de fornødne garantier for overførsler i henhold til artikel 46, stk. 1, i forordning (EU) 2016/679 skal dataeksportøren opfylde sine generelle forpligtelser som dataansvarlig eller databehandler i henhold til forordning (EU) 2016/679. Disse ansvarsområder omfatter den dataansvarliges forpligtelse til at give registrerede oplysninger om, at den dataansvarlige har til hensigt at overføre de registreredes personoplysninger til et tredjeland i henhold til artikel 13, stk. 1, litra f), og artikel 14, stk. 1, litra f), i forordning (EU) 2016/679. I tilfælde af overførsel i henhold til artikel 46 i forordning (EU) 2016/679 skal sådanne oplysninger omfatte en henvisning til de fornødne garantier og til, hvordan man kan få en kopi af dem eller oplysninger om, hvor de er gjort tilgængelige.</w:t>
      </w:r>
    </w:p>
    <w:p w14:paraId="4969630F" w14:textId="0B18A3BC" w:rsidR="00EB7ED2" w:rsidRPr="009103C3" w:rsidRDefault="00EB7ED2" w:rsidP="00EB7ED2">
      <w:pPr>
        <w:pStyle w:val="Considrant"/>
      </w:pPr>
      <w:r w:rsidRPr="009103C3">
        <w:t>Kommissionens beslutning 2001/497/EF</w:t>
      </w:r>
      <w:r w:rsidRPr="009103C3">
        <w:rPr>
          <w:rStyle w:val="FootnoteReference"/>
        </w:rPr>
        <w:footnoteReference w:id="5"/>
      </w:r>
      <w:r w:rsidRPr="009103C3">
        <w:t xml:space="preserve"> og Kommissionens afgørelse 2010/87/EU</w:t>
      </w:r>
      <w:r w:rsidRPr="009103C3">
        <w:rPr>
          <w:rStyle w:val="FootnoteReference"/>
        </w:rPr>
        <w:footnoteReference w:id="6"/>
      </w:r>
      <w:r w:rsidRPr="009103C3">
        <w:t xml:space="preserve"> indeholder standardkontraktbestemmelser, der skal lette overførslen af personoplysninger fra en dataansvarlig, der er etableret i Unionen, til en dataansvarlig eller databehandler, der er etableret i et tredjeland, som ikke giver et tilstrækkeligt beskyttelsesniveau. Denne beslutning og denne afgørelse var baseret på Europa-Parlamentets og Rådets direktiv 95/46/EF</w:t>
      </w:r>
      <w:r w:rsidRPr="009103C3">
        <w:rPr>
          <w:rStyle w:val="FootnoteReference"/>
        </w:rPr>
        <w:footnoteReference w:id="7"/>
      </w:r>
      <w:r w:rsidRPr="009103C3">
        <w:t>.</w:t>
      </w:r>
    </w:p>
    <w:p w14:paraId="6B0A0951" w14:textId="6C1C3DFB" w:rsidR="00EB7ED2" w:rsidRPr="009103C3" w:rsidRDefault="00EB7ED2" w:rsidP="00EB7ED2">
      <w:pPr>
        <w:pStyle w:val="Considrant"/>
      </w:pPr>
      <w:r w:rsidRPr="009103C3">
        <w:t>I henhold til artikel 46, stk. 5, i forordning (EU) 2016/679, forbliver beslutning 2001/497/EF og afgørelse 2010/87/EU i kraft, indtil de om nødvendigt ændres, erstattes eller ophæves ved en kommissionsafgørelse vedtaget i henhold til artikel 46, stk. 2, i nævnte forordning. Standardkontraktbestemmelserne i afgørelserne skulle ajourføres på baggrund af de nye krav i forordning (EU) 2016/679. Siden vedtagelsen af beslutningen og afgørelsen har der desuden fundet en vigtig udvikling sted i den digitale økonomi med udbredt brug af nye og mere komplekse behandlingsaktiviteter, der ofte involverer flere dataimportører og -eksportører, lange og komplekse behandlingskæder samt skiftende forretningsforbindelser. Dette kræver en modernisering af standardkontraktbestemmelserne, så de bedre afspejler disse realiteter og dækker yderligere behandlings- og overførselssituationer, og så de bygger på en mere fleksibel tilgang, f.eks. med hensyn til antallet af parter, der kan tilslutte sig kontrakten.</w:t>
      </w:r>
    </w:p>
    <w:p w14:paraId="33EBD438" w14:textId="031AEAEC" w:rsidR="00D20CB6" w:rsidRPr="009103C3" w:rsidRDefault="0047771C" w:rsidP="00C36A89">
      <w:pPr>
        <w:pStyle w:val="Considrant"/>
      </w:pPr>
      <w:r w:rsidRPr="009103C3">
        <w:t xml:space="preserve">En dataansvarlig eller en databehandler kan bruge standardkontraktbestemmelserne i bilaget til denne afgørelse med henblik på at give de fornødne garantier, jf. artikel 46, stk. 1, i forordning (EU) 2016/679, for overførsel af personoplysninger til en databehandler eller dataansvarlig, der er etableret i et tredjeland, uden at dette berører fortolkningen af begrebet international overførsel i henhold til forordning (EU) 2016/679. Standardkontraktbestemmelserne må kun anvendes til sådanne overførsler, i det omfang importørens behandling ikke direkte falder ind under anvendelsesområdet for forordning (EU) 2016/679. Dette omfatter også overførsel af personoplysninger foretaget af en dataansvarlig eller databehandler, der ikke er etableret i Unionen, i det omfang behandlingen er omfattet af forordning (EU) 2016/679 (i henhold til dennes artikel 3, stk. 2), fordi den vedrører udbud af varer eller tjenesteydelser til registrerede i Unionen eller overvågning af deres adfærd, for så vidt som deres adfærd finder sted inden for Unionen. </w:t>
      </w:r>
    </w:p>
    <w:p w14:paraId="58638138" w14:textId="67BE8AA0" w:rsidR="00EB7ED2" w:rsidRPr="009103C3" w:rsidRDefault="000C1C57" w:rsidP="00E74673">
      <w:pPr>
        <w:pStyle w:val="Considrant"/>
        <w:numPr>
          <w:ilvl w:val="0"/>
          <w:numId w:val="12"/>
        </w:numPr>
      </w:pPr>
      <w:r w:rsidRPr="009103C3">
        <w:t>I forbindelse med den generelle tilpasning af Europa-Parlamentets og Rådets forordning (EU) 2016/679 og forordning (EU) 2018/1725</w:t>
      </w:r>
      <w:r w:rsidRPr="009103C3">
        <w:rPr>
          <w:rStyle w:val="FootnoteReference"/>
        </w:rPr>
        <w:footnoteReference w:id="8"/>
      </w:r>
      <w:r w:rsidRPr="009103C3">
        <w:t xml:space="preserve"> bør det også være muligt at anvende standardkontraktbestemmelserne i forbindelse med en kontrakt, jf. artikel 29, stk. 4, i forordning (EU) 2018/1725, vedrørende overførsel af personoplysninger til en underdatabehandler i et tredjeland fra en databehandler, der ikke er en EU-institution eller et EU-organ, men er bundet af forordning (EU) 2016/679, og som behandler personoplysninger på vegne af en EU-institution eller et EU-organ i overensstemmelse med artikel 29 i forordning (EU) 2018/1725. Forudsat at kontrakten afspejler de samme databeskyttelsesforpligtelser, som fastsat i kontrakten eller et andet retligt dokument mellem den dataansvarlige og databehandleren i henhold til artikel 29, stk. 3, i forordning (EU) 2018/1725, navnlig ved at give tilstrækkelige garantier for tekniske og organisatoriske foranstaltninger til sikring af, at behandlingen opfylder kravene i nævnte forordning, sikrer dette overholdelse af artikel 29, stk. 4, i forordning (EU) 2018/1725. Dette vil navnlig være tilfældet, hvis den dataansvarlige og databehandleren anvender standardkontraktbestemmelserne i Kommissionens gennemførelsesafgørelse om standardkontraktbestemmelser mellem dataansvarlige og databehandlere i henhold til artikel 28, stk. 7, i Europa-Parlamentets og Rådets forordning (EU) 2016/679 og artikel 29, stk. 7, i Europa-Parlamentets og Rådets forordning (EU) 2018/1725</w:t>
      </w:r>
      <w:r w:rsidRPr="009103C3">
        <w:rPr>
          <w:rStyle w:val="FootnoteReference"/>
        </w:rPr>
        <w:footnoteReference w:id="9"/>
      </w:r>
      <w:r w:rsidRPr="009103C3">
        <w:t>.</w:t>
      </w:r>
    </w:p>
    <w:p w14:paraId="7C611A21" w14:textId="33B99914" w:rsidR="00EB7ED2" w:rsidRPr="009103C3" w:rsidRDefault="00EB7ED2" w:rsidP="00EB7ED2">
      <w:pPr>
        <w:pStyle w:val="Considrant"/>
      </w:pPr>
      <w:r w:rsidRPr="009103C3">
        <w:t>Hvis behandlingen omfatter dataoverførsler fra dataansvarlige, der er omfattet af forordning (EU) 2016/679, til databehandlere uden for forordningens geografiske anvendelsesområde eller fra databehandlere omfattet af forordning (EU) 2016/679 til underdatabehandlere uden for forordningens geografiske anvendelsesområde, bør standardkontraktbestemmelserne i bilaget til denne afgørelse også gøre det muligt at opfylde kravene i artikel 28, stk. 3 og 4, i forordning (EU) 2016/679.</w:t>
      </w:r>
    </w:p>
    <w:p w14:paraId="34346D8F" w14:textId="64503FB9" w:rsidR="00EB7ED2" w:rsidRPr="009103C3" w:rsidRDefault="00EB7ED2" w:rsidP="00EB7ED2">
      <w:pPr>
        <w:pStyle w:val="Considrant"/>
      </w:pPr>
      <w:r w:rsidRPr="009103C3">
        <w:t>Standardkontraktbestemmelserne i bilaget til denne afgørelse kombinerer generelle bestemmelser med en modulopbygget tilgang for at tage højde for forskellige overførselsscenarier og moderne behandlingskæders kompleksitet. Ud over de generelle bestemmelser bør dataansvarlige og databehandlere vælge det modul, der finder anvendelse på deres situation, for at skræddersy deres forpligtelser i henhold til standardkontraktbestemmelserne til deres rolle og ansvar i forbindelse med den databehandling, der foretages. Det bør være muligt for mere end to parter at overholde standardkontraktbestemmelserne. Desuden bør yderligere dataansvarlige og databehandlere kunne tiltræde standardkontraktbestemmelserne som dataeksportører eller -importører i hele løbetiden for den kontrakt, som bestemmelserne udgør en del af.</w:t>
      </w:r>
    </w:p>
    <w:p w14:paraId="5A5BCD4E" w14:textId="4AA774DE" w:rsidR="00EB7ED2" w:rsidRPr="009103C3" w:rsidRDefault="00EB7ED2" w:rsidP="00BD7CD0">
      <w:pPr>
        <w:pStyle w:val="Considrant"/>
      </w:pPr>
      <w:r w:rsidRPr="009103C3">
        <w:t>For at tilvejebringe de fornødne garantier bør standardkontraktbestemmelserne sikre, at de personoplysninger, der overføres på dette grundlag, gives et beskyttelsesniveau, der i det væsentlige svarer til det, der er garanteret i Unionen</w:t>
      </w:r>
      <w:r w:rsidRPr="009103C3">
        <w:rPr>
          <w:rStyle w:val="FootnoteReference"/>
        </w:rPr>
        <w:footnoteReference w:id="10"/>
      </w:r>
      <w:r w:rsidRPr="009103C3">
        <w:t>. For at sikre gennemsigtighed i behandlingen bør de registrerede have en kopi af standardkontraktbestemmelserne og navnlig informeres om de kategorier af personoplysninger, der behandles, retten til at få en kopi af standardkontraktbestemmelserne og enhver videreoverførsel. Dataimportørens videreoverførsel til en tredjepart i et andet tredjeland bør kun tillades, hvis en sådan tredjepart tiltræder standardkontraktbestemmelserne, hvis kontinuiteten i beskyttelsen sikres på anden vis eller i særlige situationer, f.eks. på grundlag af den registreredes udtrykkelige, informerede samtykke.</w:t>
      </w:r>
    </w:p>
    <w:p w14:paraId="0EE018AF" w14:textId="6777D2A3" w:rsidR="00EB7ED2" w:rsidRPr="009103C3" w:rsidRDefault="00EB7ED2" w:rsidP="00EB7ED2">
      <w:pPr>
        <w:pStyle w:val="Considrant"/>
      </w:pPr>
      <w:r w:rsidRPr="009103C3">
        <w:t>Med nogle undtagelser, navnlig for så vidt angår visse forpligtelser, der udelukkende vedrører forholdet mellem dataeksportøren og dataimportøren, bør de registrerede kunne påberåbe sig og om nødvendigt håndhæve standardkontraktbestemmelserne som begunstigede tredjemænd. Parterne bør derfor have mulighed for at vælge, at lovgivningen i en af medlemsstaterne skal regulere standardkontraktbestemmelserne, men at denne lovgivning skal give mulighed for påberåbelse af tredjemandsløftet. For at lette den individuelle klageadgang bør standardkontraktbestemmelserne kræve, at dataimportøren informerer de registrerede om et kontaktpunkt og straks behandler eventuelle klager eller anmodninger. I tilfælde af en tvist mellem dataimportøren og en registreret, der gør tredjemandsløftet gældende, bør den registrerede kunne indgive en klage til den kompetente tilsynsmyndighed eller indbringe tvisten for de kompetente domstole i EU.</w:t>
      </w:r>
    </w:p>
    <w:p w14:paraId="461FA1E7" w14:textId="6F22FFED" w:rsidR="00EB7ED2" w:rsidRPr="009103C3" w:rsidRDefault="00EB7ED2" w:rsidP="00EB7ED2">
      <w:pPr>
        <w:pStyle w:val="Considrant"/>
      </w:pPr>
      <w:r w:rsidRPr="009103C3">
        <w:t>For at sikre en effektiv håndhævelse bør dataimportøren pålægges at underkaste sig en sådan myndigheds og sådanne retsinstansers jurisdiktion og forpligte sig til at overholde enhver bindende afgørelse i henhold til gældende national ret. Dataimportøren bør navnlig indvilge i at besvare forespørgsler, underkaste sig revisioner og overholde de foranstaltninger, som tilsynsmyndigheden har vedtaget, herunder afhjælpende og kompenserende foranstaltninger. Desuden bør dataimportøren have mulighed for at tilbyde registrerede gratis klagemuligheder ved et uafhængigt tvistbilæggelsesorgan. I overensstemmelse med artikel 80, stk. 1, i forordning (EU) 2016/679 bør de registrerede have mulighed for at lade sig repræsentere af sammenslutninger eller andre organer i tvister mod dataimportøren, hvis de ønsker det.</w:t>
      </w:r>
    </w:p>
    <w:p w14:paraId="4692FAD3" w14:textId="0949E3EF" w:rsidR="00EB7ED2" w:rsidRPr="009103C3" w:rsidRDefault="00EB7ED2" w:rsidP="00EB7ED2">
      <w:pPr>
        <w:pStyle w:val="Considrant"/>
      </w:pPr>
      <w:r w:rsidRPr="009103C3">
        <w:t>Standardkontraktbestemmelserne bør indeholde regler om ansvar mellem parterne og i forhold til registrerede samt regler om skadesløsholdelse mellem parterne. Hvis den registrerede lider materiel eller immateriel skade som følge af en tilsidesættelse af tredjemandsløftet i henhold til standardkontraktbestemmelserne, bør vedkommende have ret til erstatning. Dette bør ikke berøre ansvar i henhold til forordning (EU) 2016/679.</w:t>
      </w:r>
    </w:p>
    <w:p w14:paraId="0FAD5DAD" w14:textId="48999BE6" w:rsidR="00EB7ED2" w:rsidRPr="009103C3" w:rsidRDefault="00EB7ED2" w:rsidP="00EB7ED2">
      <w:pPr>
        <w:pStyle w:val="Considrant"/>
      </w:pPr>
      <w:r w:rsidRPr="009103C3">
        <w:t>I tilfælde af overførsel til en dataimportør, der fungerer som databehandler eller underdatabehandler, bør der gælde særlige krav i overensstemmelse med artikel 28, stk. 3, i forordning (EU) 2016/679. Standardkontraktbestemmelserne bør forpligte dataimportøren til at stille alle de oplysninger til rådighed, der er nødvendige for at påvise overholdelse af de forpligtelser, der er fastsat i standardkontraktbestemmelserne, og for at muliggøre og bidrage til dataeksportørens revision af dataimportørens behandlingsaktiviteter. I det tilfælde at dataimportøren gør brug af en underdatabehandler i overensstemmelse med artikel 28, stk. 2 og 4, i forordning (EU) 2016/679, bør standardkontraktbestemmelserne navnlig fastlægge proceduren for generel eller specifik tilladelse fra dataeksportøren og kravet om en skriftlig kontrakt med underdatabehandleren, der sikrer samme beskyttelsesniveau som i henhold til disse bestemmelser.</w:t>
      </w:r>
    </w:p>
    <w:p w14:paraId="08EF7457" w14:textId="77B49352" w:rsidR="00EB7ED2" w:rsidRPr="009103C3" w:rsidRDefault="00EB7ED2" w:rsidP="00EB7ED2">
      <w:pPr>
        <w:pStyle w:val="Considrant"/>
      </w:pPr>
      <w:r w:rsidRPr="009103C3">
        <w:t>Det er hensigtsmæssigt at fastsætte forskellige garantier i standardkontraktbestemmelserne, som dækker den specifikke situation, hvor en databehandler i Unionen overfører personoplysninger til sin dataansvarlige i et tredjeland, og som afspejler databehandleres begrænsede selvstændige forpligtelser i henhold til forordning (EU) 2016/679. Navnlig bør standardkontraktbestemmelserne indeholde krav om, at databehandleren skal underrette den dataansvarlige, hvis databehandleren ikke er i stand til at følge sine instrukser, herunder hvis instrukserne er i strid med EU's databeskyttelseslovgivning, og om at den dataansvarlige skal afholde sig fra enhver handling, der vil forhindre databehandleren i at opfylde sine forpligtelser i henhold til forordning (EU) 2016/679. De bør også kræve, at parterne bistår hinanden med at besvare forespørgsler og anmodninger fra registrerede i henhold til den lokale lovgivning, der finder anvendelse på dataimportøren, eller i forbindelse med databehandling i Unionen i henhold til forordning (EU) 2016/679. Yderligere krav til håndtering af eventuelle virkninger af lovgivningen i bestemmelsestredjelandet for den dataansvarliges overholdelse af bestemmelserne, navnlig hvordan bindende anmodninger fra offentlige myndigheder i tredjelandet om videregivelse af de overførte personoplysninger skal behandles, bør finde anvendelse i tilfælde, hvor EU-databehandleren kombinerer de personoplysninger, der modtages fra den dataansvarlige i tredjelandet, med personoplysninger indsamlet af databehandleren i Unionen. Omvendt er sådanne krav ikke begrundede i tilfælde, hvor outsourcingen blot indebærer behandling og tilbageførsel af personoplysninger, der er modtaget fra den dataansvarlige, og som under alle omstændigheder har været og fortsat vil være underlagt det pågældende tredjelands jurisdiktion.</w:t>
      </w:r>
    </w:p>
    <w:p w14:paraId="654EF3D0" w14:textId="33F86CB7" w:rsidR="00EB7ED2" w:rsidRPr="009103C3" w:rsidRDefault="00EB7ED2" w:rsidP="00EB7ED2">
      <w:pPr>
        <w:pStyle w:val="Considrant"/>
      </w:pPr>
      <w:r w:rsidRPr="009103C3">
        <w:t xml:space="preserve">Parterne bør kunne påvise, at standardkontraktbestemmelserne er overholdt. Navnlig bør dataimportøren forpligtes til at opbevare passende dokumentation for de behandlingsaktiviteter, som han er ansvarlig for, og straks underrette dataeksportøren, hvis han af en eller anden grund ikke er i stand til at overholde bestemmelserne. Dataeksportøren bør til gengæld suspendere overførslen og i særligt alvorlige tilfælde have ret til at opsige kontrakten, for så vidt som den vedrører behandling af personoplysninger i henhold til standardkontraktbestemmelser, hvis dataimportøren overtræder bestemmelserne eller ikke er i stand til at overholde dem. Der bør gælde særlige regler, hvis den lokale lovgivning påvirker overholdelsen af bestemmelserne. Personoplysninger, der allerede er overført inden kontraktens ophør, og eventuelle kopier heraf, bør efter dataeksportørens valg tilbageleveres til dataeksportøren eller tilintetgøres i deres helhed. </w:t>
      </w:r>
    </w:p>
    <w:p w14:paraId="20EC53F9" w14:textId="6A2B7387" w:rsidR="00EB7ED2" w:rsidRPr="009103C3" w:rsidRDefault="00EB7ED2" w:rsidP="00EB7ED2">
      <w:pPr>
        <w:pStyle w:val="Considrant"/>
      </w:pPr>
      <w:r w:rsidRPr="009103C3">
        <w:t>Standardkontraktbestemmelserne bør indeholde specifikke garantier, navnlig i lyset af Domstolens retspraksis</w:t>
      </w:r>
      <w:r w:rsidRPr="009103C3">
        <w:rPr>
          <w:rStyle w:val="FootnoteReference"/>
        </w:rPr>
        <w:footnoteReference w:id="11"/>
      </w:r>
      <w:r w:rsidRPr="009103C3">
        <w:t>, med henblik på at imødegå eventuelle virkninger af lovgivningen i bestemmelsestredjelandet for dataimportørens overholdelse af bestemmelserne, navnlig for, hvordan bindende anmodninger fra offentlige myndigheder i tredjelandet om videregivelse af de overførte personoplysninger skal behandles.</w:t>
      </w:r>
    </w:p>
    <w:p w14:paraId="255E3008" w14:textId="13B19320" w:rsidR="00EB7ED2" w:rsidRPr="009103C3" w:rsidRDefault="00EB7ED2" w:rsidP="00EB7ED2">
      <w:pPr>
        <w:pStyle w:val="Considrant"/>
      </w:pPr>
      <w:r w:rsidRPr="009103C3">
        <w:t>Overførsel og behandling af personoplysninger i henhold til standardkontraktbestemmelser bør ikke finde sted, hvis lovgivningen og praksis i bestemmelsestredjelandet forhindrer dataimportøren i at overholde disse bestemmelser. I denne sammenhæng bør lovgivning og praksis, der respekterer kernen i de grundlæggende rettigheder og frihedsrettigheder og ikke går videre, end hvad der er nødvendigt og rimeligt i et demokratisk samfund for at sikre et af de mål, der er anført i artikel 23, stk. 1, i forordning (EU) 2016/679, ikke anses for at være i modstrid med standardkontraktbestemmelserne. Parterne bør garantere, at de på det tidspunkt, hvor de tiltræder standardkontraktbestemmelserne, ikke har grund til at tro, at den lovgivning og praksis, der gælder for dataimportøren, ikke er i overensstemmelse med disse krav.</w:t>
      </w:r>
    </w:p>
    <w:p w14:paraId="29655BB4" w14:textId="55B8C78F" w:rsidR="00EB7ED2" w:rsidRPr="009103C3" w:rsidRDefault="00EB7ED2" w:rsidP="00724557">
      <w:pPr>
        <w:pStyle w:val="Considrant"/>
      </w:pPr>
      <w:r w:rsidRPr="009103C3">
        <w:t>Parterne bør navnlig tage hensyn til de særlige omstændigheder i forbindelse med overførslen (såsom kontraktens indhold og varighed, arten af de oplysninger, der skal overføres, modtagertype, formålet med behandlingen), den lovgivning og praksis i bestemmelsestredjelandet, der er relevant i lyset af omstændighederne ved overførslen, og eventuelle garantier, der er indført for at supplere garantierne i henhold til standardkontraktbestemmelserne (herunder relevante kontraktlige, tekniske og organisatoriske foranstaltninger, der gælder for overførslen og behandlingen af personoplysninger i bestemmelseslandet). For så vidt angår virkningen af sådanne love og praksisser på overholdelsen af standardkontraktbestemmelserne, kan forskellige elementer betragtes som led i en samlet vurdering, herunder pålidelige oplysninger om anvendelsen af lovgivningen i praksis (f.eks. retspraksis og rapporter fra uafhængige tilsynsorganer), eksistensen eller fraværet af anmodninger inden for samme sektor og på strenge betingelser dataeksportørens og/eller dataimportørens dokumenterede praktiske erfaring.</w:t>
      </w:r>
    </w:p>
    <w:p w14:paraId="307BD618" w14:textId="71476955" w:rsidR="00EB7ED2" w:rsidRPr="009103C3" w:rsidRDefault="00EB7ED2" w:rsidP="00EB7ED2">
      <w:pPr>
        <w:pStyle w:val="Considrant"/>
      </w:pPr>
      <w:r w:rsidRPr="009103C3">
        <w:t>Dataimportøren bør underrette dataeksportøren, hvis han efter at have accepteret standardkontraktbestemmelserne har grund til at tro, at han ikke er i stand til at overholde disse. Hvis dataeksportøren modtager en sådan underretning eller på anden måde bliver opmærksom på, at dataimportøren ikke længere er i stand til at overholde standardkontraktbestemmelserne, bør dataeksportøren identificere passende foranstaltninger til afhjælpning af situationen, om nødvendigt i samråd med den kompetente tilsynsmyndighed. Sådanne foranstaltninger kan omfatte supplerende foranstaltninger, der vedtages af dataeksportøren og/eller dataimportøren, såsom tekniske eller organisatoriske foranstaltninger for at garantere sikkerhed og fortrolighed. Dataeksportøren bør være forpligtet til at suspendere overførslen, hvis han mener, at der ikke kan sikres de fornødne garantier, eller hvis den kompetente tilsynsmyndighed giver en instruks herom.</w:t>
      </w:r>
    </w:p>
    <w:p w14:paraId="19D1180F" w14:textId="66201CDA" w:rsidR="00EB7ED2" w:rsidRPr="009103C3" w:rsidRDefault="00157877" w:rsidP="00EB7ED2">
      <w:pPr>
        <w:pStyle w:val="Considrant"/>
      </w:pPr>
      <w:r w:rsidRPr="009103C3">
        <w:t>Hvis det er muligt, bør dataimportøren underrette dataeksportøren og den registrerede, hvis denne modtager en retligt bindende anmodning fra en offentlig (herunder en retlig) myndighed i henhold til bestemmelseslandets lovgivning om videregivelse af personoplysninger, der er videregivet i henhold til standardkontraktbestemmelserne. Dataimportøren bør ligeledes underrette dem, hvis han bliver bekendt med offentlige myndigheders direkte adgang til sådanne personoplysninger, i overensstemmelse med lovgivningen i bestemmelsestredjelandet. Hvis dataimportøren trods sin bedste indsats ikke er i stand til at underrette dataeksportøren og/eller den registrerede om specifikke anmodninger om videregivelse af oplysninger, bør denne give dataeksportøren så mange relevante oplysninger som muligt om anmodningerne. Desuden bør dataimportøren give dataeksportøren sammenfattede oplysninger med regelmæssige mellemrum. Dataimportøren bør også være forpligtet til at dokumentere enhver modtaget anmodning om videregivelse af oplysninger og det afgivne svar og på anmodning at stille disse oplysninger til rådighed for dataeksportøren eller den kompetente tilsynsmyndighed eller dem begge. Hvis dataimportøren efter en prøvelse af lovligheden af en sådan anmodning i henhold til bestemmelseslandets lovgivning konkluderer, at der er rimelig grund til at antage, at anmodningen er ulovlig i henhold til lovgivningen i bestemmelsestredjelandet, bør dataimportøren bestride den, herunder, hvor det er relevant, ved at udtømme de tilgængelige klagemuligheder. Hvis dataimportøren ikke længere er i stand til at overholde standardkontraktbestemmelserne, bør denne under alle omstændigheder underrette dataeksportøren herom, herunder hvis det er en følge af en anmodning om videregivelse af oplysninger.</w:t>
      </w:r>
    </w:p>
    <w:p w14:paraId="0594B9EA" w14:textId="78FFB647" w:rsidR="00EB7ED2" w:rsidRPr="009103C3" w:rsidRDefault="00EB7ED2" w:rsidP="00EB7ED2">
      <w:pPr>
        <w:pStyle w:val="Considrant"/>
      </w:pPr>
      <w:r w:rsidRPr="009103C3">
        <w:t>Da interessenternes behov, teknologien og behandlingsaktiviteterne kan ændre sig, bør Kommissionen evaluere anvendelsen af standardkontraktbestemmelserne i lyset af erfaringerne som led i den regelmæssige evaluering af forordning (EU) 2016/679, der er omhandlet i forordningens artikel 97.</w:t>
      </w:r>
    </w:p>
    <w:p w14:paraId="7916ED6D" w14:textId="04F50EA7" w:rsidR="00D67F28" w:rsidRPr="009103C3" w:rsidRDefault="00EB7ED2" w:rsidP="008521FA">
      <w:pPr>
        <w:pStyle w:val="Considrant"/>
      </w:pPr>
      <w:r w:rsidRPr="009103C3">
        <w:t>Beslutning 2001/497/EF og afgørelse 2010/87/EU bør ophæves tre måneder efter nærværende afgørelses ikrafttræden. I den periode bør dataeksportører og dataimportører med henblik på artikel 46, stk. 1, i forordning (EU) 2016/679 stadig kunne anvende standardkontraktbestemmelserne i beslutning 2001/497/EF og afgørelse 2010/87/EU. I en yderligere periode på 15 måneder bør dataeksportører og dataimportører med henblik på artikel 46, stk. 1, i forordning (EU) 2016/679 fortsat kunne påberåbe sig standardkontraktbestemmelser i beslutning 2001/497/EF og afgørelse 2010/87/EU i forbindelse med opfyldelsen af kontrakter, der er indgået mellem dem inden datoen for ophævelsen af beslutningen og afgørelsen, forudsat at de behandlingsaktiviteter, der er genstand for kontrakten, forbliver uændrede, og at anvendelsen af disse bestemmelser sikrer, at overførslen af personoplysninger er omfattet af de fornødne garantier, jf. artikel 46, stk. 1, i forordning (EU) 2016/679. I tilfælde af relevante ændringer af kontrakten bør dataeksportøren være forpligtet til at anvende en ny begrundelse for dataoverførsler i henhold til kontrakten, navnlig ved at erstatte de eksisterende standardkontraktbestemmelser med standardkontraktbestemmelserne i bilaget til denne afgørelse. Det samme bør gælde for benyttelse af underdatabehandlere til udførelse af databehandling, der er omfattet af kontrakten.</w:t>
      </w:r>
    </w:p>
    <w:p w14:paraId="48957417" w14:textId="7B67D10F" w:rsidR="00EB7ED2" w:rsidRPr="009103C3" w:rsidRDefault="00EB7ED2" w:rsidP="00EB7ED2">
      <w:pPr>
        <w:pStyle w:val="Considrant"/>
      </w:pPr>
      <w:r w:rsidRPr="009103C3">
        <w:t>Den Europæiske Tilsynsførende for Databeskyttelse og Det Europæiske Databeskyttelsesråd er blevet hørt i overensstemmelse med artikel 42, stk. 1 og 2, i forordning (EU) 2018/1725 og afgav en fælles udtalelse den 14. januar 2021</w:t>
      </w:r>
      <w:r w:rsidRPr="009103C3">
        <w:rPr>
          <w:rStyle w:val="FootnoteReference"/>
        </w:rPr>
        <w:footnoteReference w:id="12"/>
      </w:r>
      <w:r w:rsidRPr="009103C3">
        <w:t>, som er taget i betragtning ved udarbejdelsen af denne afgørelse.</w:t>
      </w:r>
    </w:p>
    <w:p w14:paraId="289362C9" w14:textId="00811021" w:rsidR="00070205" w:rsidRPr="009103C3" w:rsidRDefault="00EB7ED2" w:rsidP="00EB7ED2">
      <w:pPr>
        <w:pStyle w:val="Considrant"/>
      </w:pPr>
      <w:r w:rsidRPr="009103C3">
        <w:t>Foranstaltningerne i denne afgørelse er i overensstemmelse med udtalelsen fra det udvalg, der er nedsat ved artikel 93 i forordning (EU) 2016/679 —</w:t>
      </w:r>
    </w:p>
    <w:p w14:paraId="394176FC" w14:textId="483FDF94" w:rsidR="00070205" w:rsidRPr="009103C3" w:rsidRDefault="00070205" w:rsidP="00C36A89">
      <w:pPr>
        <w:pStyle w:val="Formuledadoption"/>
      </w:pPr>
      <w:r w:rsidRPr="009103C3">
        <w:t>VEDTAGET DENNE AFGØRELSE:</w:t>
      </w:r>
    </w:p>
    <w:p w14:paraId="1F7E83B5" w14:textId="77777777" w:rsidR="00070205" w:rsidRPr="009103C3" w:rsidRDefault="00070205" w:rsidP="00C36A89">
      <w:pPr>
        <w:pStyle w:val="Titrearticle"/>
      </w:pPr>
      <w:r w:rsidRPr="009103C3">
        <w:t>Artikel 1</w:t>
      </w:r>
    </w:p>
    <w:p w14:paraId="538F6848" w14:textId="0507B179" w:rsidR="00BC3487" w:rsidRPr="009103C3" w:rsidRDefault="00BC3487" w:rsidP="00C5435C">
      <w:pPr>
        <w:pStyle w:val="NumPar1"/>
        <w:numPr>
          <w:ilvl w:val="0"/>
          <w:numId w:val="2"/>
        </w:numPr>
        <w:ind w:left="567" w:hanging="567"/>
      </w:pPr>
      <w:r w:rsidRPr="009103C3">
        <w:t>Standardkontraktbestemmelserne, som fastsat i bilaget, anses for at give de fornødne garantier, jf. artikel 46, stk. 1 og stk. 2, litra c), i forordning (EU) 2016/679, for en dataansvarligs eller databehandlers overførsel af personoplysninger, der behandles i henhold til den nævnte forordning (dataeksportør), til en dataansvarlig eller (under)databehandler, hvis behandling af oplysningerne ikke er omfattet af den nævnte forordning (dataimportør).</w:t>
      </w:r>
    </w:p>
    <w:p w14:paraId="3FA06E78" w14:textId="55A2AE9E" w:rsidR="00070205" w:rsidRPr="009103C3" w:rsidRDefault="00BC3487" w:rsidP="00C5435C">
      <w:pPr>
        <w:pStyle w:val="NumPar1"/>
        <w:ind w:left="567" w:hanging="567"/>
      </w:pPr>
      <w:r w:rsidRPr="009103C3">
        <w:t>Standardkontraktbestemmelserne fastsætter også de dataansvarliges og databehandlernes rettigheder og forpligtelser med hensyn til de forhold, der er omhandlet i artikel 28, stk. 3 og 4, i forordning (EU) 2016/679, for så vidt angår overførsel af personoplysninger fra en dataansvarlig til en databehandler eller fra en databehandler til en underdatabehandler.</w:t>
      </w:r>
    </w:p>
    <w:p w14:paraId="4CB1E645" w14:textId="651D7201" w:rsidR="00BC3487" w:rsidRPr="009103C3" w:rsidRDefault="00BC3487" w:rsidP="00BC3487">
      <w:pPr>
        <w:pStyle w:val="Titrearticle"/>
      </w:pPr>
      <w:r w:rsidRPr="009103C3">
        <w:t>Artikel 2</w:t>
      </w:r>
    </w:p>
    <w:p w14:paraId="5FDBD622" w14:textId="4CF41F3F" w:rsidR="00BC3487" w:rsidRPr="009103C3" w:rsidRDefault="007518A8" w:rsidP="00BC3487">
      <w:r w:rsidRPr="009103C3">
        <w:t xml:space="preserve">Hvis de kompetente myndigheder i medlemsstaterne udøver korrigerende beføjelser i henhold til artikel 58 i forordning (EU) 2016/679, som følge af at dataimportøren er eller har været underlagt lovgivning eller praksis i bestemmelsestredjelandet, der forhindrer vedkommende i at overholde standardkontraktbestemmelserne i bilaget, hvilket fører til suspension af eller forbud mod overførsel af oplysninger til tredjelande, underretter den pågældende medlemsstat straks Kommissionen, som videresender oplysningerne til de øvrige medlemsstater.  </w:t>
      </w:r>
    </w:p>
    <w:p w14:paraId="0FB2B3DE" w14:textId="35AB7CC9" w:rsidR="00BC3487" w:rsidRPr="009103C3" w:rsidRDefault="00BC3487" w:rsidP="00BC3487">
      <w:pPr>
        <w:pStyle w:val="Titrearticle"/>
      </w:pPr>
      <w:r w:rsidRPr="009103C3">
        <w:t>Artikel 3</w:t>
      </w:r>
    </w:p>
    <w:p w14:paraId="55AAF322" w14:textId="034E1272" w:rsidR="00BC3487" w:rsidRPr="009103C3" w:rsidRDefault="00BC3487" w:rsidP="00BC3487">
      <w:r w:rsidRPr="009103C3">
        <w:t>Kommissionen evaluerer den praktiske anvendelse af standardkontraktbestemmelserne i bilaget på grundlag af alle tilgængelige oplysninger som led i den regelmæssige evaluering, der kræves i henhold til artikel 97 i forordning (EU) 2016/679.</w:t>
      </w:r>
    </w:p>
    <w:p w14:paraId="1A3E54FE" w14:textId="0EDEFE7E" w:rsidR="00BC3487" w:rsidRPr="009103C3" w:rsidRDefault="00BC3487" w:rsidP="00BC3487">
      <w:pPr>
        <w:pStyle w:val="Titrearticle"/>
      </w:pPr>
      <w:r w:rsidRPr="009103C3">
        <w:t>Artikel 4</w:t>
      </w:r>
    </w:p>
    <w:p w14:paraId="20379AF7" w14:textId="155192AA" w:rsidR="00961DA5" w:rsidRPr="009103C3" w:rsidRDefault="00070205" w:rsidP="00C5435C">
      <w:pPr>
        <w:pStyle w:val="NumPar1"/>
        <w:numPr>
          <w:ilvl w:val="0"/>
          <w:numId w:val="4"/>
        </w:numPr>
      </w:pPr>
      <w:r w:rsidRPr="009103C3">
        <w:t>Denne afgørelse træder i kraft på tyvendedagen efter offentliggørelsen i Den Europæiske Unions Tidende.</w:t>
      </w:r>
    </w:p>
    <w:p w14:paraId="2D0DDCC9" w14:textId="6AF97256" w:rsidR="00BC3487" w:rsidRPr="009103C3" w:rsidRDefault="00BC3487" w:rsidP="00F16261">
      <w:pPr>
        <w:pStyle w:val="NumPar1"/>
        <w:numPr>
          <w:ilvl w:val="0"/>
          <w:numId w:val="4"/>
        </w:numPr>
      </w:pPr>
      <w:r w:rsidRPr="009103C3">
        <w:t xml:space="preserve">Beslutning 2001/497/EF ophæves med virkning fra den </w:t>
      </w:r>
      <w:r w:rsidRPr="009103C3">
        <w:rPr>
          <w:highlight w:val="yellow"/>
        </w:rPr>
        <w:t>[OPOCE, please insert date three months after the date in Article 4(1)]</w:t>
      </w:r>
      <w:r w:rsidRPr="009103C3">
        <w:t>.</w:t>
      </w:r>
    </w:p>
    <w:p w14:paraId="07DBD49A" w14:textId="33F141C7" w:rsidR="00BC3487" w:rsidRPr="009103C3" w:rsidRDefault="00BC3487" w:rsidP="00F16261">
      <w:pPr>
        <w:pStyle w:val="NumPar1"/>
      </w:pPr>
      <w:r w:rsidRPr="009103C3">
        <w:t xml:space="preserve">Afgørelse 2010/87/EU ophæves med virkning fra den </w:t>
      </w:r>
      <w:r w:rsidRPr="009103C3">
        <w:rPr>
          <w:highlight w:val="yellow"/>
        </w:rPr>
        <w:t>[OPOCE, please insert date three months after the date in Article 4(1)]</w:t>
      </w:r>
      <w:r w:rsidRPr="009103C3">
        <w:t>.</w:t>
      </w:r>
    </w:p>
    <w:p w14:paraId="6BE5E755" w14:textId="7248C236" w:rsidR="00BC3487" w:rsidRPr="009103C3" w:rsidRDefault="00F16261" w:rsidP="001356F0">
      <w:pPr>
        <w:pStyle w:val="NumPar1"/>
      </w:pPr>
      <w:r w:rsidRPr="009103C3">
        <w:t xml:space="preserve">Kontrakter, der er indgået inden den </w:t>
      </w:r>
      <w:r w:rsidRPr="009103C3">
        <w:rPr>
          <w:highlight w:val="yellow"/>
        </w:rPr>
        <w:t>[OPOCE, please insert the same date as in Article 4(2) and (3)]</w:t>
      </w:r>
      <w:r w:rsidRPr="009103C3">
        <w:t xml:space="preserve"> på baggrund af beslutning 2001/497/EF eller afgørelse 2010/87/EU, anses for at give de fornødne garantier, jf. artikel 46, stk. 1, i forordning (EU) 2016/679, indtil den </w:t>
      </w:r>
      <w:r w:rsidRPr="009103C3">
        <w:rPr>
          <w:highlight w:val="yellow"/>
        </w:rPr>
        <w:t>[OPOCE, please add date 15 months from the date in Article 4(2) and (3)]</w:t>
      </w:r>
      <w:r w:rsidRPr="009103C3">
        <w:t>, forudsat at den behandling, der er genstand for kontrakten, forbliver uændret, og at anvendelsen af disse bestemmelser sikrer, at overførslen af personoplysninger er omfattet af de fornødne garantier.</w:t>
      </w:r>
    </w:p>
    <w:p w14:paraId="6DE897E5" w14:textId="6B9D2542" w:rsidR="00070205" w:rsidRPr="009103C3" w:rsidRDefault="00497462" w:rsidP="00497462">
      <w:pPr>
        <w:pStyle w:val="Fait"/>
      </w:pPr>
      <w:r w:rsidRPr="009103C3">
        <w:t>Udfærdiget i Bruxelles, den […].</w:t>
      </w:r>
    </w:p>
    <w:p w14:paraId="0F181B50" w14:textId="77777777" w:rsidR="00070205" w:rsidRPr="009103C3" w:rsidRDefault="00070205" w:rsidP="00070205">
      <w:pPr>
        <w:pStyle w:val="Institutionquisigne"/>
      </w:pPr>
      <w:r w:rsidRPr="009103C3">
        <w:tab/>
        <w:t>På Kommissionens vegne</w:t>
      </w:r>
    </w:p>
    <w:p w14:paraId="718E262C" w14:textId="77777777" w:rsidR="009103C3" w:rsidRDefault="00070205" w:rsidP="00070205">
      <w:pPr>
        <w:pStyle w:val="Personnequisigne"/>
      </w:pPr>
      <w:r w:rsidRPr="009103C3">
        <w:tab/>
      </w:r>
    </w:p>
    <w:p w14:paraId="2ADC8DED" w14:textId="0F9FFBFD" w:rsidR="00070205" w:rsidRPr="009103C3" w:rsidRDefault="009103C3" w:rsidP="00070205">
      <w:pPr>
        <w:pStyle w:val="Personnequisigne"/>
      </w:pPr>
      <w:r>
        <w:tab/>
      </w:r>
      <w:r w:rsidR="00070205" w:rsidRPr="009103C3">
        <w:t xml:space="preserve">Ursula VON DER LEYEN </w:t>
      </w:r>
      <w:r w:rsidR="00070205" w:rsidRPr="009103C3">
        <w:br/>
      </w:r>
      <w:r w:rsidR="00070205" w:rsidRPr="009103C3">
        <w:tab/>
        <w:t xml:space="preserve">Formand  </w:t>
      </w:r>
      <w:r w:rsidR="00070205" w:rsidRPr="009103C3">
        <w:br/>
      </w:r>
      <w:r w:rsidR="00070205" w:rsidRPr="009103C3">
        <w:tab/>
        <w:t xml:space="preserve"> </w:t>
      </w:r>
      <w:r w:rsidR="00070205" w:rsidRPr="009103C3">
        <w:br/>
      </w:r>
    </w:p>
    <w:sectPr w:rsidR="00070205" w:rsidRPr="009103C3" w:rsidSect="00FE767B">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BA0FF" w14:textId="41151AF8" w:rsidR="00FD7B32" w:rsidRPr="00FE767B" w:rsidRDefault="00FE767B" w:rsidP="00FE767B">
    <w:pPr>
      <w:pStyle w:val="Footer"/>
      <w:rPr>
        <w:rFonts w:ascii="Arial" w:hAnsi="Arial" w:cs="Arial"/>
        <w:b/>
        <w:sz w:val="48"/>
      </w:rPr>
    </w:pPr>
    <w:r w:rsidRPr="00FE767B">
      <w:rPr>
        <w:rFonts w:ascii="Arial" w:hAnsi="Arial" w:cs="Arial"/>
        <w:b/>
        <w:sz w:val="48"/>
      </w:rPr>
      <w:t>DA</w:t>
    </w:r>
    <w:r w:rsidRPr="00FE767B">
      <w:rPr>
        <w:rFonts w:ascii="Arial" w:hAnsi="Arial" w:cs="Arial"/>
        <w:b/>
        <w:sz w:val="48"/>
      </w:rPr>
      <w:tab/>
    </w:r>
    <w:r w:rsidRPr="00FE767B">
      <w:rPr>
        <w:rFonts w:ascii="Arial" w:hAnsi="Arial" w:cs="Arial"/>
        <w:b/>
        <w:sz w:val="48"/>
      </w:rPr>
      <w:tab/>
    </w:r>
    <w:r w:rsidRPr="00FE767B">
      <w:tab/>
    </w:r>
    <w:r w:rsidRPr="00FE767B">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E61A" w14:textId="5507C6D7" w:rsidR="00FE767B" w:rsidRPr="00FE767B" w:rsidRDefault="00FE767B" w:rsidP="00FE767B">
    <w:pPr>
      <w:pStyle w:val="Footer"/>
      <w:rPr>
        <w:rFonts w:ascii="Arial" w:hAnsi="Arial" w:cs="Arial"/>
        <w:b/>
        <w:sz w:val="48"/>
      </w:rPr>
    </w:pPr>
    <w:r w:rsidRPr="00FE767B">
      <w:rPr>
        <w:rFonts w:ascii="Arial" w:hAnsi="Arial" w:cs="Arial"/>
        <w:b/>
        <w:sz w:val="48"/>
      </w:rPr>
      <w:t>DA</w:t>
    </w:r>
    <w:r w:rsidRPr="00FE767B">
      <w:rPr>
        <w:rFonts w:ascii="Arial" w:hAnsi="Arial" w:cs="Arial"/>
        <w:b/>
        <w:sz w:val="48"/>
      </w:rPr>
      <w:tab/>
    </w:r>
    <w:r>
      <w:fldChar w:fldCharType="begin"/>
    </w:r>
    <w:r>
      <w:instrText xml:space="preserve"> PAGE  \* MERGEFORMAT </w:instrText>
    </w:r>
    <w:r>
      <w:fldChar w:fldCharType="separate"/>
    </w:r>
    <w:r w:rsidR="007D7788">
      <w:rPr>
        <w:noProof/>
      </w:rPr>
      <w:t>1</w:t>
    </w:r>
    <w:r>
      <w:fldChar w:fldCharType="end"/>
    </w:r>
    <w:r>
      <w:tab/>
    </w:r>
    <w:r w:rsidRPr="00FE767B">
      <w:tab/>
    </w:r>
    <w:r w:rsidRPr="00FE767B">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BDD3" w14:textId="77777777" w:rsidR="00FE767B" w:rsidRPr="00FE767B" w:rsidRDefault="00FE767B" w:rsidP="00FE7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DB1D6C" w:rsidRDefault="004B5724">
      <w:pPr>
        <w:pStyle w:val="FootnoteText"/>
      </w:pPr>
      <w:r>
        <w:rPr>
          <w:rStyle w:val="FootnoteReference"/>
        </w:rPr>
        <w:footnoteRef/>
      </w:r>
      <w:r w:rsidRPr="00DB1D6C">
        <w:tab/>
        <w:t>EUT L 119 af 4.5.2016, s. 1.</w:t>
      </w:r>
    </w:p>
  </w:footnote>
  <w:footnote w:id="2">
    <w:p w14:paraId="14ACAFDD" w14:textId="53B6CCEA" w:rsidR="004B5724" w:rsidRPr="00DB1D6C" w:rsidRDefault="004B5724">
      <w:pPr>
        <w:pStyle w:val="FootnoteText"/>
      </w:pPr>
      <w:r>
        <w:rPr>
          <w:rStyle w:val="FootnoteReference"/>
        </w:rPr>
        <w:footnoteRef/>
      </w:r>
      <w:r w:rsidRPr="00DB1D6C">
        <w:tab/>
        <w:t>Artikel 44 i forordning (EU) 2016/679.</w:t>
      </w:r>
    </w:p>
  </w:footnote>
  <w:footnote w:id="3">
    <w:p w14:paraId="1FD4A8A0" w14:textId="77777777" w:rsidR="004B5724" w:rsidRPr="00DB1D6C" w:rsidRDefault="004B5724" w:rsidP="004B5724">
      <w:pPr>
        <w:pStyle w:val="FootnoteText"/>
      </w:pPr>
      <w:r>
        <w:rPr>
          <w:rStyle w:val="FootnoteReference"/>
        </w:rPr>
        <w:footnoteRef/>
      </w:r>
      <w:r w:rsidRPr="00DB1D6C">
        <w:tab/>
        <w:t>Se også Domstolens dom af 16. juli 2020 i sag C-311/18, Data Protection Commissioner mod Facebook Ireland Ltd og Maximillian Schrems ("Schrems II"), ECLI:EU:C:2020:559, præmis 93.</w:t>
      </w:r>
    </w:p>
    <w:p w14:paraId="69287943" w14:textId="17829B76" w:rsidR="004B5724" w:rsidRPr="00DB1D6C" w:rsidRDefault="004B5724">
      <w:pPr>
        <w:pStyle w:val="FootnoteText"/>
      </w:pPr>
    </w:p>
  </w:footnote>
  <w:footnote w:id="4">
    <w:p w14:paraId="3B74AE4D" w14:textId="04983C74" w:rsidR="004B5724" w:rsidRPr="00DB1D6C" w:rsidRDefault="004B5724">
      <w:pPr>
        <w:pStyle w:val="FootnoteText"/>
      </w:pPr>
      <w:r>
        <w:rPr>
          <w:rStyle w:val="FootnoteReference"/>
        </w:rPr>
        <w:footnoteRef/>
      </w:r>
      <w:r w:rsidRPr="00DB1D6C">
        <w:tab/>
        <w:t>Betragtning 109 til forordning (EU) 2016/679.</w:t>
      </w:r>
    </w:p>
  </w:footnote>
  <w:footnote w:id="5">
    <w:p w14:paraId="4B4E107A" w14:textId="5733D7D2" w:rsidR="004B5724" w:rsidRPr="00DB1D6C" w:rsidRDefault="004B5724">
      <w:pPr>
        <w:pStyle w:val="FootnoteText"/>
      </w:pPr>
      <w:r>
        <w:rPr>
          <w:rStyle w:val="FootnoteReference"/>
        </w:rPr>
        <w:footnoteRef/>
      </w:r>
      <w:r w:rsidRPr="00DB1D6C">
        <w:tab/>
        <w:t>Kommissionens beslutning 2001/497/EF af 15. juni 2001 om standardkontraktbestemmelser for overførsel af personoplysninger til tredjelande i henhold til direktiv 95/46/EF (EFT L 181 af 4.7.2001, s. 19).</w:t>
      </w:r>
    </w:p>
  </w:footnote>
  <w:footnote w:id="6">
    <w:p w14:paraId="72FA0FBB" w14:textId="1A3CC73A" w:rsidR="004B5724" w:rsidRPr="00DB1D6C" w:rsidRDefault="004B5724">
      <w:pPr>
        <w:pStyle w:val="FootnoteText"/>
      </w:pPr>
      <w:r>
        <w:rPr>
          <w:rStyle w:val="FootnoteReference"/>
        </w:rPr>
        <w:footnoteRef/>
      </w:r>
      <w:r w:rsidRPr="00DB1D6C">
        <w:tab/>
        <w:t>Kommissionens afgørelse 2010/87/EU af 5. februar 2010 om standardkontraktbestemmelser for videregivelse af personoplysninger til databehandlere etableret i tredjelande i henhold til Europa-Parlamentets og Rådets direktiv 95/46/EF (EUT L 39 af 12.2.2010, s. 5).</w:t>
      </w:r>
    </w:p>
  </w:footnote>
  <w:footnote w:id="7">
    <w:p w14:paraId="69639D4A" w14:textId="07AD5383" w:rsidR="004B5724" w:rsidRPr="00DB1D6C" w:rsidRDefault="004B5724">
      <w:pPr>
        <w:pStyle w:val="FootnoteText"/>
      </w:pPr>
      <w:r>
        <w:rPr>
          <w:rStyle w:val="FootnoteReference"/>
        </w:rPr>
        <w:footnoteRef/>
      </w:r>
      <w:r w:rsidRPr="00DB1D6C">
        <w:tab/>
        <w:t>Europa-Parlamentets og Rådets direktiv 95/46/EF af 24. oktober 1995 om beskyttelse af fysiske personer i forbindelse med behandling af personoplysninger og om fri udveksling af sådanne oplysninger (EFT L 281 af 23.11.1995, s. 31).</w:t>
      </w:r>
    </w:p>
  </w:footnote>
  <w:footnote w:id="8">
    <w:p w14:paraId="13D8FC7C" w14:textId="243B6CBC" w:rsidR="004B5724" w:rsidRPr="00DB1D6C" w:rsidRDefault="004B5724">
      <w:pPr>
        <w:pStyle w:val="FootnoteText"/>
      </w:pPr>
      <w:r>
        <w:rPr>
          <w:rStyle w:val="FootnoteReference"/>
        </w:rPr>
        <w:footnoteRef/>
      </w:r>
      <w:r w:rsidRPr="00DB1D6C">
        <w:tab/>
        <w:t>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 se betragtning 5.</w:t>
      </w:r>
    </w:p>
  </w:footnote>
  <w:footnote w:id="9">
    <w:p w14:paraId="35AD7AC6" w14:textId="7F16560E" w:rsidR="004B5724" w:rsidRPr="00DB1D6C" w:rsidRDefault="004B5724">
      <w:pPr>
        <w:pStyle w:val="FootnoteText"/>
      </w:pPr>
      <w:r>
        <w:rPr>
          <w:rStyle w:val="FootnoteReference"/>
        </w:rPr>
        <w:footnoteRef/>
      </w:r>
      <w:r w:rsidRPr="00DB1D6C">
        <w:tab/>
        <w:t>C(2021) 3701.</w:t>
      </w:r>
    </w:p>
  </w:footnote>
  <w:footnote w:id="10">
    <w:p w14:paraId="153B3BD2" w14:textId="547EFAD1" w:rsidR="004B5724" w:rsidRPr="00DB1D6C" w:rsidRDefault="004B5724">
      <w:pPr>
        <w:pStyle w:val="FootnoteText"/>
      </w:pPr>
      <w:r>
        <w:rPr>
          <w:rStyle w:val="FootnoteReference"/>
        </w:rPr>
        <w:footnoteRef/>
      </w:r>
      <w:r w:rsidRPr="00DB1D6C">
        <w:tab/>
        <w:t>Schrems II-dommen, præmis 96 og 103. Se også forordning (EU) 2016/679, betragtning 108 og 114.</w:t>
      </w:r>
    </w:p>
  </w:footnote>
  <w:footnote w:id="11">
    <w:p w14:paraId="1FFBEDA4" w14:textId="400AC41E" w:rsidR="004B5724" w:rsidRPr="00DB1D6C" w:rsidRDefault="004B5724">
      <w:pPr>
        <w:pStyle w:val="FootnoteText"/>
      </w:pPr>
      <w:r>
        <w:rPr>
          <w:rStyle w:val="FootnoteReference"/>
        </w:rPr>
        <w:footnoteRef/>
      </w:r>
      <w:r w:rsidRPr="00DB1D6C">
        <w:tab/>
        <w:t>Schrems II.</w:t>
      </w:r>
    </w:p>
  </w:footnote>
  <w:footnote w:id="12">
    <w:p w14:paraId="58CC1499" w14:textId="72D112B4" w:rsidR="004B5724" w:rsidRPr="00DB1D6C" w:rsidRDefault="004B5724">
      <w:pPr>
        <w:pStyle w:val="FootnoteText"/>
      </w:pPr>
      <w:r>
        <w:rPr>
          <w:rStyle w:val="FootnoteReference"/>
        </w:rPr>
        <w:footnoteRef/>
      </w:r>
      <w:r w:rsidRPr="00DB1D6C">
        <w:tab/>
        <w:t>Fælles udtalelse 2/2021 fra Det Europæiske Databeskyttelsesråd og Den Europæiske Tilsynsførende for Databeskyttelse om Europa-Kommissionens gennemførelsesafgørelse om standardkontraktbestemmelser for videregivelse af personoplysninger til tredjelande med henblik på de spørgsmål, der er omhandlet i artikel 46, stk. 2, litra c), i forordning (EU)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ttachedTemplate r:id="rId1"/>
  <w:defaultTabStop w:val="720"/>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21: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FCBED7B6-7C6F-4A50-9825-BA2F3AB598EB"/>
    <w:docVar w:name="LW_COVERPAGE_TYPE" w:val="1"/>
    <w:docVar w:name="LW_CROSSREFERENCE" w:val="&lt;UNUSED&gt;"/>
    <w:docVar w:name="LW_DATE.ADOPT.CP" w:val="af XXX"/>
    <w:docVar w:name="LW_DATE.ADOPT.CP_DATEFORMAT" w:val="af %DATE%"/>
    <w:docVar w:name="LW_DATE.ADOPT.CP_ISODATE" w:val="&lt;EMPTY&gt;"/>
    <w:docVar w:name="LW_DocType" w:val="COM"/>
    <w:docVar w:name="LW_EMISSION" w:val="&lt;EMPTY&gt;"/>
    <w:docVar w:name="LW_EMISSION_ISODATE" w:val="&lt;EMPTY&gt;"/>
    <w:docVar w:name="LW_EMISSION_LOCATION" w:val="BRX"/>
    <w:docVar w:name="LW_EMISSION_PREFIX" w:val="Bruxelles, den "/>
    <w:docVar w:name="LW_EMISSION_SUFFIX" w:val=" "/>
    <w:docVar w:name="LW_ID_DOCMODEL" w:val="SJ-032"/>
    <w:docVar w:name="LW_ID_DOCSIGNATURE" w:val="SJ-032"/>
    <w:docVar w:name="LW_ID_DOCSTRUCTURE" w:val="COM/AA"/>
    <w:docVar w:name="LW_ID_DOCTYPE" w:val="SJ-032"/>
    <w:docVar w:name="LW_INTERETEEE" w:val="(EØS-relevant tekst)"/>
    <w:docVar w:name="LW_INTERETEEE.CP" w:val="(EØS-relevant tekst)"/>
    <w:docVar w:name="LW_LANGUE" w:val="DA"/>
    <w:docVar w:name="LW_LANGUESFAISANTFOI.CP" w:val="&lt;UNUSED&gt;"/>
    <w:docVar w:name="LW_LEVEL_OF_SENSITIVITY" w:val="Standard treatment"/>
    <w:docVar w:name="LW_NOM.INST" w:val="EUROPA-KOMMISSIONE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om standardkontraktbestemmelser for overførsel af personoplysninger til tredjelande i henhold til Europa-Parlamentets og Rådets forordning (EU) 2016/679"/>
    <w:docVar w:name="LW_TITRE.OBJ.CP" w:val="om standardkontraktbestemmelser for overførsel af personoplysninger til tredjelande i henhold til Europa-Parlamentets og Rådets forordning (EU) 2016/679"/>
    <w:docVar w:name="LW_TYPE.DOC" w:val="KOMMISSIONENS GENNEMFØRELSESAFGØRELSE (EU) \u8230?/\u8230?"/>
    <w:docVar w:name="LW_TYPE.DOC.CP" w:val="KOMMISSIONENS GENNEMFØRELSESAFGØRELSE (EU)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C5918"/>
    <w:rsid w:val="000D0D65"/>
    <w:rsid w:val="000D600D"/>
    <w:rsid w:val="000D76BA"/>
    <w:rsid w:val="000D79DC"/>
    <w:rsid w:val="000E0EA5"/>
    <w:rsid w:val="000E198E"/>
    <w:rsid w:val="000E6B37"/>
    <w:rsid w:val="000F4F62"/>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C35A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6F2408"/>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D7788"/>
    <w:rsid w:val="007E7F52"/>
    <w:rsid w:val="007F1CE7"/>
    <w:rsid w:val="00812D69"/>
    <w:rsid w:val="008243C3"/>
    <w:rsid w:val="00836186"/>
    <w:rsid w:val="00841AD9"/>
    <w:rsid w:val="008521FA"/>
    <w:rsid w:val="00853D11"/>
    <w:rsid w:val="00877377"/>
    <w:rsid w:val="00880ADF"/>
    <w:rsid w:val="008A20CA"/>
    <w:rsid w:val="008A708F"/>
    <w:rsid w:val="008B157E"/>
    <w:rsid w:val="008B2DE3"/>
    <w:rsid w:val="008B5CCF"/>
    <w:rsid w:val="008C6D05"/>
    <w:rsid w:val="008F7E33"/>
    <w:rsid w:val="009103C3"/>
    <w:rsid w:val="009137D3"/>
    <w:rsid w:val="00921CD3"/>
    <w:rsid w:val="009268BF"/>
    <w:rsid w:val="0093581C"/>
    <w:rsid w:val="009422A2"/>
    <w:rsid w:val="00956552"/>
    <w:rsid w:val="00961DA5"/>
    <w:rsid w:val="009645DE"/>
    <w:rsid w:val="00981788"/>
    <w:rsid w:val="0098228E"/>
    <w:rsid w:val="00984CE1"/>
    <w:rsid w:val="00986B33"/>
    <w:rsid w:val="00987AD5"/>
    <w:rsid w:val="009A0F40"/>
    <w:rsid w:val="009A195B"/>
    <w:rsid w:val="009A7838"/>
    <w:rsid w:val="009B7138"/>
    <w:rsid w:val="009C07BF"/>
    <w:rsid w:val="009D56BE"/>
    <w:rsid w:val="00A210AB"/>
    <w:rsid w:val="00A216B4"/>
    <w:rsid w:val="00A25B1F"/>
    <w:rsid w:val="00A3247B"/>
    <w:rsid w:val="00A47A2B"/>
    <w:rsid w:val="00A61E49"/>
    <w:rsid w:val="00AA2355"/>
    <w:rsid w:val="00AB4456"/>
    <w:rsid w:val="00AC0AE2"/>
    <w:rsid w:val="00AC3037"/>
    <w:rsid w:val="00AC42F2"/>
    <w:rsid w:val="00AE0D3E"/>
    <w:rsid w:val="00AE2326"/>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B1D6C"/>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94CFC"/>
    <w:rsid w:val="00FA132A"/>
    <w:rsid w:val="00FD2C01"/>
    <w:rsid w:val="00FD38AF"/>
    <w:rsid w:val="00FD6913"/>
    <w:rsid w:val="00FD7A5D"/>
    <w:rsid w:val="00FD7B32"/>
    <w:rsid w:val="00FE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da-DK"/>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da-DK"/>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A5C5-E57E-4BC5-AD94-3F1702D0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3395</Words>
  <Characters>22384</Characters>
  <Application>Microsoft Office Word</Application>
  <DocSecurity>0</DocSecurity>
  <Lines>347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2021-05-21T14:20:00Z</dcterms:created>
  <dcterms:modified xsi:type="dcterms:W3CDTF">2021-05-21T14:21:00Z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