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724746" w:rsidRPr="003A5F9A" w14:paraId="178F74C3" w14:textId="77777777" w:rsidTr="00B304A4">
        <w:trPr>
          <w:trHeight w:val="220"/>
        </w:trPr>
        <w:tc>
          <w:tcPr>
            <w:tcW w:w="1996" w:type="pct"/>
            <w:vMerge w:val="restart"/>
            <w:tcBorders>
              <w:right w:val="single" w:sz="12" w:space="0" w:color="auto"/>
            </w:tcBorders>
          </w:tcPr>
          <w:p w14:paraId="36C73575" w14:textId="3259D027" w:rsidR="00724746" w:rsidRPr="00AA5A63" w:rsidRDefault="00724746"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135AA598" w14:textId="68462CEF" w:rsidR="00724746" w:rsidRPr="009A500A" w:rsidRDefault="00B304A4" w:rsidP="009A500A">
            <w:pPr>
              <w:pStyle w:val="Text1"/>
              <w:spacing w:before="60" w:after="60"/>
              <w:ind w:left="0"/>
              <w:rPr>
                <w:rFonts w:ascii="Verdana" w:hAnsi="Verdana" w:cs="Arial"/>
                <w:b/>
                <w:bCs/>
                <w:sz w:val="20"/>
                <w:szCs w:val="20"/>
              </w:rPr>
            </w:pPr>
            <w:r w:rsidRPr="00B304A4">
              <w:rPr>
                <w:rFonts w:ascii="Verdana" w:hAnsi="Verdana" w:cs="Arial"/>
                <w:b/>
                <w:bCs/>
                <w:sz w:val="20"/>
                <w:szCs w:val="20"/>
              </w:rPr>
              <w:t>TSI 2024 Flagship technical support project</w:t>
            </w:r>
          </w:p>
        </w:tc>
      </w:tr>
      <w:tr w:rsidR="00724746" w:rsidRPr="003A5F9A" w14:paraId="219B6C17" w14:textId="77777777" w:rsidTr="00B304A4">
        <w:trPr>
          <w:trHeight w:val="220"/>
        </w:trPr>
        <w:tc>
          <w:tcPr>
            <w:tcW w:w="1996" w:type="pct"/>
            <w:vMerge/>
            <w:tcBorders>
              <w:right w:val="single" w:sz="12" w:space="0" w:color="auto"/>
            </w:tcBorders>
          </w:tcPr>
          <w:p w14:paraId="7008E9AD" w14:textId="77777777" w:rsidR="00724746" w:rsidRDefault="00724746"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20F9937A" w14:textId="582D9BE6" w:rsidR="00724746" w:rsidRPr="009A500A" w:rsidRDefault="00724746" w:rsidP="00724746">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sidRPr="000202F7">
              <w:rPr>
                <w:rFonts w:ascii="Verdana" w:hAnsi="Verdana" w:cs="Arial"/>
                <w:b/>
                <w:bCs/>
                <w:sz w:val="20"/>
                <w:szCs w:val="20"/>
              </w:rPr>
              <w:t>Support to the Social Climate Fund and the revised EU Emissions Trading System</w:t>
            </w:r>
            <w:r w:rsidRPr="009A500A">
              <w:rPr>
                <w:rFonts w:ascii="Verdana" w:hAnsi="Verdana" w:cs="Arial"/>
                <w:b/>
                <w:bCs/>
                <w:sz w:val="20"/>
                <w:szCs w:val="20"/>
              </w:rPr>
              <w:t>”</w:t>
            </w:r>
          </w:p>
        </w:tc>
      </w:tr>
      <w:tr w:rsidR="00A7100F" w:rsidRPr="003A5F9A" w14:paraId="09039D34" w14:textId="77777777" w:rsidTr="00B304A4">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6EECAF07" w14:textId="0BF093CD" w:rsidR="00A7100F" w:rsidRPr="00AA5A63" w:rsidRDefault="00724746" w:rsidP="00724746">
            <w:pPr>
              <w:pStyle w:val="Text1"/>
              <w:spacing w:before="60" w:after="60"/>
              <w:ind w:left="0"/>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8D801A9" w14:textId="2762D68C" w:rsidR="00AA5A63" w:rsidRDefault="00AA5A63" w:rsidP="5AD5729F">
      <w:pPr>
        <w:rPr>
          <w:rFonts w:ascii="Verdana" w:hAnsi="Verdana"/>
          <w:b/>
          <w:bCs/>
          <w:sz w:val="32"/>
          <w:szCs w:val="32"/>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657CA1"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657CA1"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37E5F8A0" w:rsidR="001240F8" w:rsidRPr="00E84FE8" w:rsidRDefault="00724746"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657CA1"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657CA1"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54D0525B" w:rsidR="00B26DE0" w:rsidRPr="00E84FE8" w:rsidRDefault="00724746"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5411640E" w:rsidR="00380899" w:rsidRPr="00380899" w:rsidRDefault="00724746"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724746"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724746" w:rsidRPr="00E84FE8" w:rsidRDefault="00724746" w:rsidP="00724746">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3711822C" w:rsidR="00724746" w:rsidRPr="00087BC9" w:rsidRDefault="00724746" w:rsidP="00724746">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724746"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3D7F5873" w:rsidR="00724746" w:rsidRPr="002062A3" w:rsidRDefault="00724746" w:rsidP="00724746">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724746"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724746" w:rsidRPr="00380899" w:rsidRDefault="00724746" w:rsidP="00724746">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724746" w:rsidRDefault="00724746" w:rsidP="00724746">
            <w:pPr>
              <w:spacing w:before="60" w:after="60" w:line="240" w:lineRule="auto"/>
              <w:jc w:val="center"/>
              <w:rPr>
                <w:rFonts w:ascii="Verdana" w:eastAsia="Times New Roman" w:hAnsi="Verdana" w:cs="Arial"/>
                <w:b/>
                <w:bCs/>
                <w:sz w:val="20"/>
                <w:szCs w:val="20"/>
                <w:lang w:eastAsia="en-GB"/>
              </w:rPr>
            </w:pPr>
          </w:p>
          <w:p w14:paraId="671D73F0" w14:textId="77777777" w:rsidR="0011674B" w:rsidRDefault="0011674B" w:rsidP="0011674B">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6FF5A390" w14:textId="77777777" w:rsidR="0011674B" w:rsidRDefault="0011674B" w:rsidP="0011674B">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3D90C24D"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757AC887"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026BEAF8"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0121CC64"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08AAD6D3" w14:textId="77777777" w:rsidR="0011674B" w:rsidRDefault="0011674B" w:rsidP="0011674B">
            <w:pPr>
              <w:pStyle w:val="Text2"/>
              <w:spacing w:before="60" w:after="120"/>
              <w:ind w:left="720"/>
              <w:rPr>
                <w:rFonts w:ascii="Verdana" w:hAnsi="Verdana" w:cs="Arial"/>
                <w:sz w:val="20"/>
                <w:szCs w:val="20"/>
              </w:rPr>
            </w:pPr>
          </w:p>
          <w:p w14:paraId="1D00137F" w14:textId="77777777" w:rsidR="0011674B" w:rsidRDefault="0011674B" w:rsidP="0011674B">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26F8B45B"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2E2BBC1C"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5EDC48B9" w14:textId="77777777" w:rsidR="0011674B" w:rsidRDefault="0011674B" w:rsidP="0011674B">
            <w:pPr>
              <w:pStyle w:val="Text2"/>
              <w:numPr>
                <w:ilvl w:val="0"/>
                <w:numId w:val="29"/>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4BFA9470" w:rsidR="00724746" w:rsidRPr="00087BC9" w:rsidRDefault="00724746" w:rsidP="00724746">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20"/>
                <w:highlight w:val="yellow"/>
                <w:lang w:eastAsia="en-GB"/>
              </w:rPr>
            </w:pPr>
            <w:r w:rsidRPr="00334FF6">
              <w:rPr>
                <w:rFonts w:ascii="Verdana" w:hAnsi="Verdana"/>
                <w:b/>
                <w:color w:val="FF0000"/>
                <w:sz w:val="20"/>
                <w:highlight w:val="yellow"/>
              </w:rPr>
              <w:t xml:space="preserve">This general overview below is intended to help the </w:t>
            </w:r>
            <w:r>
              <w:rPr>
                <w:rFonts w:ascii="Verdana" w:hAnsi="Verdana"/>
                <w:b/>
                <w:color w:val="FF0000"/>
                <w:sz w:val="20"/>
                <w:highlight w:val="yellow"/>
              </w:rPr>
              <w:t>b</w:t>
            </w:r>
            <w:r w:rsidRPr="00334FF6">
              <w:rPr>
                <w:rFonts w:ascii="Verdana" w:hAnsi="Verdana"/>
                <w:b/>
                <w:color w:val="FF0000"/>
                <w:sz w:val="20"/>
                <w:highlight w:val="yellow"/>
              </w:rPr>
              <w:t xml:space="preserve">eneficiary </w:t>
            </w:r>
            <w:r>
              <w:rPr>
                <w:rFonts w:ascii="Verdana" w:hAnsi="Verdana"/>
                <w:b/>
                <w:color w:val="FF0000"/>
                <w:sz w:val="20"/>
                <w:highlight w:val="yellow"/>
              </w:rPr>
              <w:t>a</w:t>
            </w:r>
            <w:r w:rsidRPr="00334FF6">
              <w:rPr>
                <w:rFonts w:ascii="Verdana" w:hAnsi="Verdana"/>
                <w:b/>
                <w:color w:val="FF0000"/>
                <w:sz w:val="20"/>
                <w:highlight w:val="yellow"/>
              </w:rPr>
              <w:t xml:space="preserve">uthority describe the specific problems and needs by taking inspiration from the contextual information provided.  </w:t>
            </w:r>
          </w:p>
          <w:p w14:paraId="217CCD5E"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lang w:val="en-IE"/>
              </w:rPr>
            </w:pPr>
            <w:r w:rsidRPr="00334FF6">
              <w:rPr>
                <w:rFonts w:ascii="Verdana" w:hAnsi="Verdana"/>
                <w:b/>
                <w:color w:val="FF0000"/>
                <w:sz w:val="20"/>
                <w:highlight w:val="yellow"/>
                <w:lang w:val="en-IE"/>
              </w:rPr>
              <w:t xml:space="preserve">This general overview does not provide any information about the specific </w:t>
            </w:r>
            <w:r w:rsidRPr="00334FF6">
              <w:rPr>
                <w:rFonts w:ascii="Verdana" w:hAnsi="Verdana"/>
                <w:b/>
                <w:color w:val="FF0000"/>
                <w:sz w:val="20"/>
                <w:highlight w:val="yellow"/>
                <w:lang w:val="en-IE"/>
              </w:rPr>
              <w:lastRenderedPageBreak/>
              <w:t>situation in the Member State submitting the request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nor </w:t>
            </w:r>
            <w:r>
              <w:rPr>
                <w:rFonts w:ascii="Verdana" w:hAnsi="Verdana"/>
                <w:b/>
                <w:color w:val="FF0000"/>
                <w:sz w:val="20"/>
                <w:highlight w:val="yellow"/>
                <w:lang w:val="en-IE"/>
              </w:rPr>
              <w:t>about</w:t>
            </w:r>
            <w:r w:rsidRPr="00334FF6">
              <w:rPr>
                <w:rFonts w:ascii="Verdana" w:hAnsi="Verdana"/>
                <w:b/>
                <w:color w:val="FF0000"/>
                <w:sz w:val="20"/>
                <w:highlight w:val="yellow"/>
                <w:lang w:val="en-IE"/>
              </w:rPr>
              <w:t xml:space="preserve"> specific needs.</w:t>
            </w:r>
          </w:p>
          <w:p w14:paraId="53323576" w14:textId="3EE0E862"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r w:rsidRPr="00334FF6">
              <w:rPr>
                <w:rFonts w:ascii="Verdana" w:hAnsi="Verdana"/>
                <w:b/>
                <w:color w:val="FF0000"/>
                <w:sz w:val="20"/>
                <w:highlight w:val="yellow"/>
                <w:lang w:val="en-IE"/>
              </w:rPr>
              <w:t>When filling-in the request template online, y</w:t>
            </w:r>
            <w:proofErr w:type="spellStart"/>
            <w:r w:rsidRPr="00334FF6">
              <w:rPr>
                <w:rFonts w:ascii="Verdana" w:hAnsi="Verdana"/>
                <w:b/>
                <w:color w:val="FF0000"/>
                <w:sz w:val="20"/>
                <w:highlight w:val="yellow"/>
              </w:rPr>
              <w:t>ou</w:t>
            </w:r>
            <w:proofErr w:type="spellEnd"/>
            <w:r w:rsidRPr="00334FF6">
              <w:rPr>
                <w:rFonts w:ascii="Verdana" w:hAnsi="Verdana"/>
                <w:b/>
                <w:color w:val="FF0000"/>
                <w:sz w:val="20"/>
                <w:highlight w:val="yellow"/>
              </w:rPr>
              <w:t xml:space="preserve"> are invited to outline </w:t>
            </w:r>
            <w:r w:rsidRPr="00334FF6">
              <w:rPr>
                <w:rFonts w:ascii="Verdana" w:hAnsi="Verdana"/>
                <w:b/>
                <w:iCs/>
                <w:color w:val="FF0000"/>
                <w:sz w:val="20"/>
                <w:highlight w:val="yellow"/>
              </w:rPr>
              <w:t xml:space="preserve">your specific problems and needs, taking inspiration from the general overview and adapting it to your context, and to provide any additional information relevant </w:t>
            </w:r>
            <w:r w:rsidRPr="00334FF6">
              <w:rPr>
                <w:rFonts w:ascii="Verdana" w:hAnsi="Verdana"/>
                <w:b/>
                <w:color w:val="FF0000"/>
                <w:sz w:val="20"/>
                <w:highlight w:val="yellow"/>
                <w:lang w:val="en-IE"/>
              </w:rPr>
              <w:t>to your specific context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53144159" w14:textId="2D576A72" w:rsidR="00F12E94" w:rsidRPr="00F12E94" w:rsidRDefault="00F12E94" w:rsidP="00F12E94">
            <w:pPr>
              <w:shd w:val="clear" w:color="auto" w:fill="FFFF00"/>
              <w:spacing w:after="160" w:line="259" w:lineRule="auto"/>
              <w:jc w:val="both"/>
              <w:rPr>
                <w:rFonts w:ascii="Calibri" w:eastAsia="Times New Roman" w:hAnsi="Calibri" w:cs="Calibri"/>
              </w:rPr>
            </w:pPr>
            <w:r w:rsidRPr="00F12E94">
              <w:rPr>
                <w:rFonts w:ascii="Calibri" w:eastAsia="Times New Roman" w:hAnsi="Calibri" w:cs="Calibri"/>
              </w:rPr>
              <w:t>The “Fit for 55” package</w:t>
            </w:r>
            <w:r w:rsidR="00031DC0">
              <w:rPr>
                <w:rStyle w:val="FootnoteReference"/>
                <w:rFonts w:eastAsia="Times New Roman" w:cs="Calibri"/>
              </w:rPr>
              <w:footnoteReference w:id="3"/>
            </w:r>
            <w:r w:rsidRPr="00F12E94">
              <w:rPr>
                <w:rFonts w:ascii="Calibri" w:eastAsia="Times New Roman" w:hAnsi="Calibri" w:cs="Calibri"/>
              </w:rPr>
              <w:t xml:space="preserve"> is the EU’s largest and most ambitious legislative package in the area of climate and energy to date. It aims to achieve the EU’s 2030 climate targets adopted as part of the European Green Deal and the European Climate Law. As part of this package, the EU agreed to strengthen the EU Emissions Trading System (EU ETS), expand emissions trading to new sectors and establish a Social Climate Fund (SCF).</w:t>
            </w:r>
          </w:p>
          <w:p w14:paraId="4B1BE5F9" w14:textId="4B4E3339" w:rsidR="00F12E94" w:rsidRPr="00F12E94" w:rsidRDefault="00F12E94" w:rsidP="00F12E94">
            <w:pPr>
              <w:shd w:val="clear" w:color="auto" w:fill="FFFF00"/>
              <w:spacing w:after="160" w:line="259" w:lineRule="auto"/>
              <w:jc w:val="both"/>
              <w:rPr>
                <w:rFonts w:ascii="Calibri" w:eastAsia="Times New Roman" w:hAnsi="Calibri" w:cs="Calibri"/>
              </w:rPr>
            </w:pPr>
            <w:r w:rsidRPr="00F12E94">
              <w:rPr>
                <w:rFonts w:ascii="Calibri" w:eastAsia="Times New Roman" w:hAnsi="Calibri" w:cs="Calibri"/>
              </w:rPr>
              <w:t>First, the revision of the EU ETS Directive extends the existing system (ETS1) to maritime transport emissions as well as introduces the monitoring and reporting of emissions from municipal waste incineration from 2024.</w:t>
            </w:r>
          </w:p>
          <w:p w14:paraId="085257DA" w14:textId="77777777" w:rsidR="00F12E94" w:rsidRPr="00F12E94" w:rsidRDefault="00F12E94" w:rsidP="00F12E94">
            <w:pPr>
              <w:shd w:val="clear" w:color="auto" w:fill="FFFF00"/>
              <w:spacing w:after="160" w:line="259" w:lineRule="auto"/>
              <w:jc w:val="both"/>
              <w:rPr>
                <w:rFonts w:ascii="Calibri" w:eastAsia="Times New Roman" w:hAnsi="Calibri" w:cs="Calibri"/>
              </w:rPr>
            </w:pPr>
            <w:r w:rsidRPr="00F12E94">
              <w:rPr>
                <w:rFonts w:ascii="Calibri" w:eastAsia="Times New Roman" w:hAnsi="Calibri" w:cs="Calibri"/>
              </w:rPr>
              <w:t xml:space="preserve">Second, such revision introduces a new and separate emissions trading system for buildings, road transport and additional sectors (ETS2), which is estimated to include more than 10 000 regulated entities EU wide. Member States should identify regulated entities, issue greenhouse gas emission permits to them in 2024 and start the system of monitoring and reporting of emissions in 2025 to prepare for the issuance of allowances in 2027. </w:t>
            </w:r>
          </w:p>
          <w:p w14:paraId="5A010A3B" w14:textId="77777777" w:rsidR="00F12E94" w:rsidRPr="00F12E94" w:rsidRDefault="00F12E94" w:rsidP="00F12E94">
            <w:pPr>
              <w:shd w:val="clear" w:color="auto" w:fill="FFFF00"/>
              <w:spacing w:after="160" w:line="259" w:lineRule="auto"/>
              <w:jc w:val="both"/>
              <w:rPr>
                <w:rFonts w:ascii="Calibri" w:eastAsia="Times New Roman" w:hAnsi="Calibri" w:cs="Calibri"/>
              </w:rPr>
            </w:pPr>
            <w:r w:rsidRPr="00F12E94">
              <w:rPr>
                <w:rFonts w:ascii="Calibri" w:eastAsia="Times New Roman" w:hAnsi="Calibri" w:cs="Calibri"/>
              </w:rPr>
              <w:t>Finally, to address the social impacts that arise from the extension of emissions trading to buildings and road transport, the EU will establish a new Social Climate Fund. The SCF will provide dedicated financial support to Member States to help vulnerable households, micro-enterprises and transport users that are particularly affected by the price impacts of ETS2, especially citizens in energy or transport poverty. In particular, the SCF will provide funding to Member States to support measures and investments in energy efficiency, the renovation of buildings, the decarbonisation of heating and cooling in buildings, including the integration of renewable energy generation and storage, and the uptake of zero- and low-emission mobility and transport. Examples include home insulation, heat pumps, solar panels, electric mobility or public transport. Pending the impact of the structural investments on reducing vulnerable groups’ emissions and energy bills, Member States will also be able to provide well-targeted temporary direct income support, amounting to maximum 37.5% of the funding per Member State. The SCF will provide €65 billion in funding. With Member States’ national contributions agreed at 25% of the total estimated costs, the SCF will mobilise €86.7 billion.</w:t>
            </w:r>
          </w:p>
          <w:p w14:paraId="2B4DFD26" w14:textId="0A837EA2" w:rsidR="007267FF" w:rsidRDefault="00F12E94" w:rsidP="00F12E94">
            <w:pPr>
              <w:shd w:val="clear" w:color="auto" w:fill="FFFF00"/>
              <w:spacing w:after="0"/>
              <w:jc w:val="both"/>
            </w:pPr>
            <w:r w:rsidRPr="00F12E94">
              <w:rPr>
                <w:rFonts w:ascii="Calibri" w:eastAsia="Times New Roman" w:hAnsi="Calibri" w:cs="Calibri"/>
              </w:rPr>
              <w:t xml:space="preserve">In order to access the funding as of 2026, each Member State should submit a Social Climate Plan (SCP) to the European Commission by June 2025. The SCP will follow the template included in the SCF Regulation and identify concrete measures and investments to achieve the objective of the SCF to support a socially fair transition towards climate neutrality. The SCP will estimate the likely effects of ETS2 on particularly affected vulnerable groups, identify the vulnerable households, transport users and micro-enterprises targeted by the SCP, including through the application of the </w:t>
            </w:r>
            <w:r w:rsidRPr="00F12E94">
              <w:rPr>
                <w:rFonts w:ascii="Calibri" w:eastAsia="Times New Roman" w:hAnsi="Calibri" w:cs="Calibri"/>
              </w:rPr>
              <w:lastRenderedPageBreak/>
              <w:t>energy and transport poverty definitions, describe the concrete targeted measures and investments to be funded as well as include their related milestones and targets and their costs. The development of the SCP will also be subject to a carefully designed public consultation process with local and regional authorities, representatives of economic and social partners, relevant civil society organisations, youth organisations, and other relevant stakeholders. Member States will have to provide a summary of the consultation and how the input of stakeholders has been reflected in their SCP.</w:t>
            </w:r>
            <w:r w:rsidR="007267FF">
              <w:rPr>
                <w:rFonts w:ascii="Calibri" w:eastAsia="Times New Roman" w:hAnsi="Calibri" w:cs="Calibri"/>
              </w:rPr>
              <w:t xml:space="preserve"> </w:t>
            </w:r>
          </w:p>
          <w:p w14:paraId="148F1679" w14:textId="77777777" w:rsidR="005074AF" w:rsidRDefault="005074AF" w:rsidP="000B0B42">
            <w:pPr>
              <w:shd w:val="clear" w:color="auto" w:fill="FFFF00"/>
              <w:spacing w:before="240" w:after="0"/>
              <w:jc w:val="both"/>
              <w:rPr>
                <w:rFonts w:ascii="Calibri" w:eastAsia="Times New Roman" w:hAnsi="Calibri" w:cs="Calibri"/>
              </w:rPr>
            </w:pPr>
            <w:r>
              <w:t xml:space="preserve">In this context, </w:t>
            </w:r>
            <w:r w:rsidRPr="6D7FDA9D">
              <w:t xml:space="preserve">Member States may benefit from </w:t>
            </w:r>
            <w:r>
              <w:t xml:space="preserve">tailor-made </w:t>
            </w:r>
            <w:r w:rsidRPr="6D7FDA9D">
              <w:t>technical support for the preparation of their SCPs, as well as for the implementation of the revised EU ETS Directiv</w:t>
            </w:r>
            <w:r>
              <w:t>e, taking into account their specific national circumstances</w:t>
            </w:r>
            <w:r w:rsidRPr="6D7FDA9D">
              <w:t>.</w:t>
            </w:r>
          </w:p>
          <w:p w14:paraId="55726DF4" w14:textId="77777777" w:rsidR="00F06C2A" w:rsidRDefault="00F06C2A" w:rsidP="00F12E94">
            <w:pPr>
              <w:shd w:val="clear" w:color="auto" w:fill="FFFF00"/>
              <w:spacing w:after="0"/>
              <w:jc w:val="both"/>
              <w:rPr>
                <w:rFonts w:ascii="Calibri" w:eastAsia="Times New Roman" w:hAnsi="Calibri" w:cs="Calibri"/>
              </w:rPr>
            </w:pPr>
          </w:p>
          <w:p w14:paraId="1F2B5F28" w14:textId="3F8E7D9A"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w:t>
            </w:r>
            <w:r w:rsidR="00380C31">
              <w:rPr>
                <w:rFonts w:ascii="Verdana" w:hAnsi="Verdana" w:cs="Arial"/>
                <w:i/>
                <w:color w:val="FF0000"/>
                <w:sz w:val="20"/>
                <w:szCs w:val="20"/>
              </w:rPr>
              <w:t xml:space="preserve">the </w:t>
            </w:r>
            <w:r>
              <w:rPr>
                <w:rFonts w:ascii="Verdana" w:hAnsi="Verdana" w:cs="Arial"/>
                <w:i/>
                <w:color w:val="FF0000"/>
                <w:sz w:val="20"/>
                <w:szCs w:val="20"/>
              </w:rPr>
              <w:t xml:space="preserve">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0BB7A041"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21361E18" w:rsidR="00393CA9" w:rsidRPr="00EB3270" w:rsidDel="00CA5DB7" w:rsidRDefault="00393CA9" w:rsidP="00724746">
            <w:pPr>
              <w:shd w:val="clear" w:color="auto" w:fill="FFFF00"/>
              <w:spacing w:after="0"/>
              <w:jc w:val="both"/>
              <w:rPr>
                <w:rFonts w:ascii="Verdana" w:eastAsia="Times New Roman" w:hAnsi="Verdana" w:cs="Arial"/>
                <w:sz w:val="20"/>
                <w:szCs w:val="20"/>
                <w:lang w:eastAsia="en-GB"/>
              </w:rPr>
            </w:pPr>
          </w:p>
        </w:tc>
      </w:tr>
      <w:tr w:rsidR="00724746" w:rsidRPr="00F64CAB" w14:paraId="0280236E" w14:textId="77777777" w:rsidTr="008A4DC9">
        <w:trPr>
          <w:trHeight w:val="420"/>
        </w:trPr>
        <w:tc>
          <w:tcPr>
            <w:tcW w:w="9072" w:type="dxa"/>
            <w:gridSpan w:val="3"/>
            <w:shd w:val="clear" w:color="auto" w:fill="auto"/>
            <w:vAlign w:val="center"/>
          </w:tcPr>
          <w:p w14:paraId="131407E9" w14:textId="799BD032" w:rsidR="00724746" w:rsidRPr="00334FF6" w:rsidRDefault="00724746"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09CAE2B2"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810AA6">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50F63600"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810AA6">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226C69F8" w:rsidR="00547B77" w:rsidRPr="00140C8E" w:rsidRDefault="000703CC" w:rsidP="004B2508">
            <w:pPr>
              <w:pStyle w:val="ListParagraph"/>
              <w:numPr>
                <w:ilvl w:val="0"/>
                <w:numId w:val="17"/>
              </w:numPr>
              <w:rPr>
                <w:lang w:val="en-US" w:eastAsia="en-GB"/>
              </w:rPr>
            </w:pPr>
            <w:r>
              <w:rPr>
                <w:rFonts w:ascii="Verdana" w:eastAsia="Times New Roman" w:hAnsi="Verdana" w:cs="Arial"/>
                <w:sz w:val="20"/>
                <w:szCs w:val="20"/>
                <w:lang w:val="en-US" w:eastAsia="en-GB"/>
              </w:rPr>
              <w:lastRenderedPageBreak/>
              <w:t>Sustainable g</w:t>
            </w:r>
            <w:r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 xml:space="preserve">environment </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7BB76885"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61585B">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26728A">
              <w:rPr>
                <w:rFonts w:ascii="Verdana" w:hAnsi="Verdana"/>
                <w:b/>
                <w:bCs/>
                <w:sz w:val="20"/>
                <w:szCs w:val="20"/>
              </w:rPr>
              <w:t xml:space="preserve">topic(s) </w:t>
            </w:r>
            <w:r w:rsidR="00A3620D" w:rsidRPr="0026728A">
              <w:rPr>
                <w:rFonts w:ascii="Verdana" w:hAnsi="Verdana"/>
                <w:b/>
                <w:bCs/>
                <w:sz w:val="20"/>
                <w:szCs w:val="20"/>
              </w:rPr>
              <w:t>(</w:t>
            </w:r>
            <w:r w:rsidRPr="0026728A">
              <w:rPr>
                <w:rFonts w:ascii="Verdana" w:hAnsi="Verdana"/>
                <w:b/>
                <w:bCs/>
                <w:sz w:val="20"/>
                <w:szCs w:val="20"/>
              </w:rPr>
              <w:t>or policy actions</w:t>
            </w:r>
            <w:r w:rsidR="00A3620D" w:rsidRPr="0026728A">
              <w:rPr>
                <w:rFonts w:ascii="Verdana" w:hAnsi="Verdana"/>
                <w:b/>
                <w:bCs/>
                <w:sz w:val="20"/>
                <w:szCs w:val="20"/>
              </w:rPr>
              <w:t>)</w:t>
            </w:r>
            <w:r w:rsidRPr="0026728A">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26728A">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60044F8A" w:rsidR="00BB27BC" w:rsidRPr="0026728A" w:rsidRDefault="00657CA1" w:rsidP="0026728A">
            <w:pPr>
              <w:spacing w:after="0"/>
              <w:rPr>
                <w:rFonts w:ascii="Verdana" w:eastAsia="Times New Roman" w:hAnsi="Verdana" w:cs="Arial"/>
                <w:sz w:val="20"/>
                <w:szCs w:val="20"/>
                <w:lang w:eastAsia="en-GB"/>
              </w:rPr>
            </w:pPr>
            <w:r w:rsidRPr="00657CA1">
              <w:rPr>
                <w:rFonts w:ascii="Verdana" w:eastAsia="Times New Roman" w:hAnsi="Verdana" w:cs="Arial"/>
                <w:sz w:val="20"/>
                <w:szCs w:val="20"/>
                <w:lang w:val="en-US" w:eastAsia="en-GB"/>
              </w:rPr>
              <w:t xml:space="preserve">[Multiple-Choice: Selection from pre-determined options based on </w:t>
            </w:r>
            <w:hyperlink r:id="rId13" w:history="1">
              <w:r w:rsidRPr="00657CA1">
                <w:rPr>
                  <w:rStyle w:val="Hyperlink"/>
                  <w:rFonts w:ascii="Verdana" w:eastAsia="Times New Roman" w:hAnsi="Verdana" w:cs="Arial"/>
                  <w:sz w:val="20"/>
                  <w:szCs w:val="20"/>
                  <w:lang w:val="en-US" w:eastAsia="en-GB"/>
                </w:rPr>
                <w:t>DG REFORM list of topics</w:t>
              </w:r>
            </w:hyperlink>
            <w:r w:rsidRPr="00657CA1">
              <w:rPr>
                <w:rFonts w:ascii="Verdana" w:eastAsia="Times New Roman" w:hAnsi="Verdana" w:cs="Arial"/>
                <w:sz w:val="20"/>
                <w:szCs w:val="20"/>
                <w:lang w:val="en-US" w:eastAsia="en-GB"/>
              </w:rPr>
              <w:t>. Maximum: 5 options]</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056263DE" w:rsidR="003A5562" w:rsidRPr="00EC294B" w:rsidRDefault="00775D1C" w:rsidP="00724746">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26728A" w:rsidRPr="00F64CAB" w14:paraId="1F903FE5" w14:textId="77777777" w:rsidTr="00F06C2A">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00"/>
            <w:vAlign w:val="center"/>
          </w:tcPr>
          <w:p w14:paraId="7003CE73" w14:textId="0857E375" w:rsidR="0026728A" w:rsidRPr="00B304A4" w:rsidRDefault="0026728A" w:rsidP="0026728A">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B304A4">
              <w:rPr>
                <w:rFonts w:ascii="Verdana" w:eastAsia="Times New Roman" w:hAnsi="Verdana" w:cs="Arial"/>
                <w:b/>
                <w:iCs/>
                <w:color w:val="FF0000"/>
                <w:sz w:val="18"/>
                <w:szCs w:val="18"/>
                <w:highlight w:val="yellow"/>
              </w:rPr>
              <w:t>The TSI 2024 f</w:t>
            </w:r>
            <w:r w:rsidRPr="00B304A4">
              <w:rPr>
                <w:rFonts w:ascii="Verdana" w:eastAsia="Times New Roman" w:hAnsi="Verdana" w:cs="Arial"/>
                <w:b/>
                <w:color w:val="FF0000"/>
                <w:sz w:val="18"/>
                <w:szCs w:val="18"/>
                <w:highlight w:val="yellow"/>
                <w:lang w:eastAsia="en-GB"/>
              </w:rPr>
              <w:t xml:space="preserve">lagship technical support project </w:t>
            </w:r>
            <w:r w:rsidRPr="00B304A4">
              <w:rPr>
                <w:rFonts w:ascii="Verdana" w:hAnsi="Verdana" w:cs="Arial"/>
                <w:b/>
                <w:bCs/>
                <w:color w:val="FF0000"/>
                <w:sz w:val="18"/>
                <w:szCs w:val="18"/>
                <w:highlight w:val="yellow"/>
              </w:rPr>
              <w:t>“</w:t>
            </w:r>
            <w:r w:rsidRPr="00B304A4">
              <w:rPr>
                <w:rFonts w:ascii="Verdana" w:hAnsi="Verdana" w:cs="Arial"/>
                <w:b/>
                <w:bCs/>
                <w:color w:val="FF0000"/>
                <w:sz w:val="18"/>
                <w:szCs w:val="18"/>
              </w:rPr>
              <w:t>Support to the Social Climate Fund and the revised EU Emissions Trading System”</w:t>
            </w:r>
            <w:r w:rsidRPr="00B304A4">
              <w:rPr>
                <w:rFonts w:ascii="Verdana" w:hAnsi="Verdana" w:cs="Arial"/>
                <w:b/>
                <w:bCs/>
                <w:color w:val="FF0000"/>
                <w:sz w:val="18"/>
                <w:szCs w:val="18"/>
                <w:highlight w:val="yellow"/>
              </w:rPr>
              <w:t xml:space="preserve"> </w:t>
            </w:r>
            <w:r w:rsidRPr="00B304A4">
              <w:rPr>
                <w:rFonts w:ascii="Verdana" w:eastAsia="Times New Roman" w:hAnsi="Verdana" w:cs="Arial"/>
                <w:b/>
                <w:iCs/>
                <w:color w:val="FF0000"/>
                <w:sz w:val="18"/>
                <w:szCs w:val="18"/>
                <w:highlight w:val="yellow"/>
              </w:rPr>
              <w:t xml:space="preserve">identifies support measures under </w:t>
            </w:r>
            <w:r w:rsidR="00BF3F85" w:rsidRPr="00B304A4">
              <w:rPr>
                <w:rFonts w:ascii="Verdana" w:eastAsia="Times New Roman" w:hAnsi="Verdana" w:cs="Arial"/>
                <w:b/>
                <w:iCs/>
                <w:color w:val="FF0000"/>
                <w:sz w:val="18"/>
                <w:szCs w:val="18"/>
                <w:highlight w:val="yellow"/>
              </w:rPr>
              <w:t>two</w:t>
            </w:r>
            <w:r w:rsidRPr="00B304A4">
              <w:rPr>
                <w:rFonts w:ascii="Verdana" w:eastAsia="Times New Roman" w:hAnsi="Verdana" w:cs="Arial"/>
                <w:b/>
                <w:iCs/>
                <w:color w:val="FF0000"/>
                <w:sz w:val="18"/>
                <w:szCs w:val="18"/>
                <w:highlight w:val="yellow"/>
              </w:rPr>
              <w:t xml:space="preserve"> work packages that you can chose from and that can be tailor-made to your specific context. Additional measures can be added</w:t>
            </w:r>
            <w:r w:rsidR="00A86A83" w:rsidRPr="00B304A4">
              <w:rPr>
                <w:rFonts w:ascii="Verdana" w:eastAsia="Times New Roman" w:hAnsi="Verdana" w:cs="Arial"/>
                <w:b/>
                <w:iCs/>
                <w:color w:val="FF0000"/>
                <w:sz w:val="18"/>
                <w:szCs w:val="18"/>
                <w:highlight w:val="yellow"/>
              </w:rPr>
              <w:t xml:space="preserve"> under Work Package 2</w:t>
            </w:r>
            <w:r w:rsidRPr="00B304A4">
              <w:rPr>
                <w:rFonts w:ascii="Verdana" w:eastAsia="Times New Roman" w:hAnsi="Verdana" w:cs="Arial"/>
                <w:b/>
                <w:iCs/>
                <w:color w:val="FF0000"/>
                <w:sz w:val="18"/>
                <w:szCs w:val="18"/>
                <w:highlight w:val="yellow"/>
              </w:rPr>
              <w:t xml:space="preserve">. </w:t>
            </w:r>
          </w:p>
          <w:p w14:paraId="5D14083D" w14:textId="77777777" w:rsidR="0026728A" w:rsidRPr="00B304A4" w:rsidRDefault="0026728A" w:rsidP="0026728A">
            <w:pPr>
              <w:shd w:val="clear" w:color="auto" w:fill="FFFF00"/>
              <w:jc w:val="both"/>
              <w:rPr>
                <w:rFonts w:ascii="Verdana" w:eastAsia="Times New Roman" w:hAnsi="Verdana" w:cs="Arial"/>
                <w:b/>
                <w:iCs/>
                <w:color w:val="FF0000"/>
                <w:sz w:val="18"/>
                <w:szCs w:val="18"/>
                <w:highlight w:val="yellow"/>
              </w:rPr>
            </w:pPr>
            <w:r w:rsidRPr="00B304A4">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648CECBE" w14:textId="77777777" w:rsidR="0026728A" w:rsidRPr="00B304A4" w:rsidRDefault="0026728A" w:rsidP="0026728A">
            <w:pPr>
              <w:shd w:val="clear" w:color="auto" w:fill="FFFF00"/>
              <w:jc w:val="both"/>
              <w:rPr>
                <w:rFonts w:ascii="Verdana" w:eastAsia="Times New Roman" w:hAnsi="Verdana" w:cs="Arial"/>
                <w:b/>
                <w:iCs/>
                <w:color w:val="FF0000"/>
                <w:sz w:val="18"/>
                <w:szCs w:val="18"/>
                <w:highlight w:val="yellow"/>
              </w:rPr>
            </w:pPr>
            <w:r w:rsidRPr="00B304A4">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to address the problems identified in section 1.1.  </w:t>
            </w:r>
          </w:p>
          <w:p w14:paraId="0D631409" w14:textId="77777777" w:rsidR="0026728A" w:rsidRPr="009C1AE9" w:rsidRDefault="0026728A" w:rsidP="0026728A">
            <w:pPr>
              <w:shd w:val="clear" w:color="auto" w:fill="FFFF00"/>
              <w:jc w:val="both"/>
              <w:rPr>
                <w:rFonts w:ascii="Verdana" w:eastAsia="Times New Roman" w:hAnsi="Verdana" w:cs="Arial"/>
                <w:b/>
                <w:iCs/>
                <w:color w:val="FF0000"/>
                <w:sz w:val="20"/>
                <w:szCs w:val="20"/>
              </w:rPr>
            </w:pPr>
            <w:r w:rsidRPr="00B304A4">
              <w:rPr>
                <w:rFonts w:ascii="Verdana" w:eastAsia="Times New Roman" w:hAnsi="Verdana" w:cs="Arial"/>
                <w:b/>
                <w:iCs/>
                <w:color w:val="FF0000"/>
                <w:sz w:val="18"/>
                <w:szCs w:val="18"/>
                <w:highlight w:val="yellow"/>
              </w:rPr>
              <w:t>When filling in the request online, you are invited to only select and describe the technical support measures you are requesting, taking inspiration from the general overview, if you find it helpful, and to provide any additional information relevant to your specific context.</w:t>
            </w:r>
          </w:p>
          <w:p w14:paraId="2D045D09" w14:textId="68AAC985" w:rsidR="0026728A" w:rsidRDefault="0026728A" w:rsidP="0026728A">
            <w:pPr>
              <w:jc w:val="both"/>
              <w:rPr>
                <w:rFonts w:ascii="Verdana" w:eastAsia="Times New Roman" w:hAnsi="Verdana" w:cs="Arial"/>
                <w:b/>
                <w:iCs/>
                <w:color w:val="000000" w:themeColor="text1"/>
                <w:sz w:val="20"/>
                <w:szCs w:val="20"/>
                <w:u w:val="single"/>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CF7753">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55621375" w14:textId="77777777" w:rsidR="006319C5" w:rsidRPr="00707C1D" w:rsidRDefault="0026728A" w:rsidP="006319C5">
            <w:pPr>
              <w:spacing w:after="0" w:line="240" w:lineRule="auto"/>
              <w:jc w:val="both"/>
              <w:rPr>
                <w:rFonts w:ascii="Verdana" w:eastAsia="Times New Roman" w:hAnsi="Verdana" w:cs="Calibri"/>
                <w:bCs/>
                <w:sz w:val="20"/>
                <w:szCs w:val="20"/>
              </w:rPr>
            </w:pPr>
            <w:r w:rsidRPr="00CC3229">
              <w:rPr>
                <w:rFonts w:ascii="Segoe UI Symbol" w:eastAsia="Times New Roman" w:hAnsi="Segoe UI Symbol" w:cs="Segoe UI Symbol"/>
                <w:b/>
                <w:iCs/>
                <w:color w:val="000000" w:themeColor="text1"/>
                <w:sz w:val="20"/>
                <w:szCs w:val="20"/>
              </w:rPr>
              <w:t xml:space="preserve">☐ </w:t>
            </w:r>
            <w:r w:rsidRPr="00CC3229">
              <w:rPr>
                <w:rFonts w:ascii="Verdana" w:eastAsia="Times New Roman" w:hAnsi="Verdana" w:cs="Arial"/>
                <w:b/>
                <w:iCs/>
                <w:color w:val="000000" w:themeColor="text1"/>
                <w:sz w:val="20"/>
                <w:szCs w:val="20"/>
              </w:rPr>
              <w:t xml:space="preserve">Work Package 1 - </w:t>
            </w:r>
            <w:r w:rsidR="006319C5" w:rsidRPr="00707C1D">
              <w:rPr>
                <w:rFonts w:ascii="Verdana" w:eastAsia="Times New Roman" w:hAnsi="Verdana" w:cs="Calibri"/>
                <w:bCs/>
                <w:sz w:val="20"/>
                <w:szCs w:val="20"/>
              </w:rPr>
              <w:t>This work package provides support for key elements that Member States may include in their Social Climate Plans. All support measures listed below will be part of the work package. The package includes technical support for:</w:t>
            </w:r>
          </w:p>
          <w:p w14:paraId="2E91473F" w14:textId="77777777" w:rsidR="006319C5" w:rsidRPr="00707C1D" w:rsidRDefault="006319C5" w:rsidP="006319C5">
            <w:pPr>
              <w:spacing w:after="0" w:line="240" w:lineRule="auto"/>
              <w:jc w:val="both"/>
              <w:rPr>
                <w:rFonts w:ascii="Verdana" w:eastAsia="Times New Roman" w:hAnsi="Verdana" w:cs="Calibri"/>
                <w:bCs/>
                <w:sz w:val="20"/>
                <w:szCs w:val="20"/>
              </w:rPr>
            </w:pPr>
          </w:p>
          <w:p w14:paraId="16670A44" w14:textId="77777777" w:rsidR="006319C5" w:rsidRPr="00707C1D" w:rsidRDefault="006319C5" w:rsidP="006319C5">
            <w:pPr>
              <w:pStyle w:val="ListParagraph"/>
              <w:numPr>
                <w:ilvl w:val="0"/>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 xml:space="preserve">Carrying out </w:t>
            </w:r>
            <w:r w:rsidRPr="00E800A3">
              <w:rPr>
                <w:rFonts w:ascii="Verdana" w:eastAsia="Times New Roman" w:hAnsi="Verdana" w:cs="Calibri"/>
                <w:b/>
                <w:bCs/>
                <w:sz w:val="20"/>
                <w:szCs w:val="20"/>
              </w:rPr>
              <w:t>research to identify relevant stakeholders</w:t>
            </w:r>
            <w:r w:rsidRPr="00707C1D">
              <w:rPr>
                <w:rFonts w:ascii="Verdana" w:eastAsia="Times New Roman" w:hAnsi="Verdana" w:cs="Calibri"/>
                <w:bCs/>
                <w:sz w:val="20"/>
                <w:szCs w:val="20"/>
              </w:rPr>
              <w:t xml:space="preserve"> and </w:t>
            </w:r>
            <w:r w:rsidRPr="00E800A3">
              <w:rPr>
                <w:rFonts w:ascii="Verdana" w:eastAsia="Times New Roman" w:hAnsi="Verdana" w:cs="Calibri"/>
                <w:b/>
                <w:bCs/>
                <w:sz w:val="20"/>
                <w:szCs w:val="20"/>
              </w:rPr>
              <w:t>develop a robust stakeholder engagement plan</w:t>
            </w:r>
            <w:r w:rsidRPr="00707C1D">
              <w:rPr>
                <w:rFonts w:ascii="Verdana" w:eastAsia="Times New Roman" w:hAnsi="Verdana" w:cs="Calibri"/>
                <w:bCs/>
                <w:sz w:val="20"/>
                <w:szCs w:val="20"/>
              </w:rPr>
              <w:t xml:space="preserve">. </w:t>
            </w:r>
          </w:p>
          <w:p w14:paraId="0A018608" w14:textId="77777777" w:rsidR="006319C5" w:rsidRPr="00707C1D" w:rsidRDefault="006319C5" w:rsidP="006319C5">
            <w:pPr>
              <w:pStyle w:val="ListParagraph"/>
              <w:numPr>
                <w:ilvl w:val="0"/>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 xml:space="preserve">Carrying out </w:t>
            </w:r>
            <w:r w:rsidRPr="00E800A3">
              <w:rPr>
                <w:rFonts w:ascii="Verdana" w:eastAsia="Times New Roman" w:hAnsi="Verdana" w:cs="Calibri"/>
                <w:b/>
                <w:bCs/>
                <w:sz w:val="20"/>
                <w:szCs w:val="20"/>
              </w:rPr>
              <w:t>stakeholder engagement and consultation</w:t>
            </w:r>
            <w:r w:rsidRPr="00707C1D">
              <w:rPr>
                <w:rFonts w:ascii="Verdana" w:eastAsia="Times New Roman" w:hAnsi="Verdana" w:cs="Calibri"/>
                <w:bCs/>
                <w:sz w:val="20"/>
                <w:szCs w:val="20"/>
              </w:rPr>
              <w:t xml:space="preserve"> activities throughout the technical support.</w:t>
            </w:r>
          </w:p>
          <w:p w14:paraId="777FA4A3" w14:textId="77777777" w:rsidR="006319C5" w:rsidRPr="00707C1D" w:rsidRDefault="006319C5" w:rsidP="006319C5">
            <w:pPr>
              <w:pStyle w:val="ListParagraph"/>
              <w:numPr>
                <w:ilvl w:val="0"/>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 xml:space="preserve">Provision of expertise related to </w:t>
            </w:r>
            <w:r w:rsidRPr="00E800A3">
              <w:rPr>
                <w:rFonts w:ascii="Verdana" w:eastAsia="Times New Roman" w:hAnsi="Verdana" w:cs="Calibri"/>
                <w:b/>
                <w:bCs/>
                <w:sz w:val="20"/>
                <w:szCs w:val="20"/>
              </w:rPr>
              <w:t>policy change</w:t>
            </w:r>
            <w:r w:rsidRPr="00707C1D">
              <w:rPr>
                <w:rFonts w:ascii="Verdana" w:eastAsia="Times New Roman" w:hAnsi="Verdana" w:cs="Calibri"/>
                <w:bCs/>
                <w:sz w:val="20"/>
                <w:szCs w:val="20"/>
              </w:rPr>
              <w:t xml:space="preserve">, estimating the </w:t>
            </w:r>
            <w:r w:rsidRPr="00E800A3">
              <w:rPr>
                <w:rFonts w:ascii="Verdana" w:eastAsia="Times New Roman" w:hAnsi="Verdana" w:cs="Calibri"/>
                <w:b/>
                <w:bCs/>
                <w:sz w:val="20"/>
                <w:szCs w:val="20"/>
              </w:rPr>
              <w:t>likely effects of the increase in prices</w:t>
            </w:r>
            <w:r w:rsidRPr="00707C1D">
              <w:rPr>
                <w:rFonts w:ascii="Verdana" w:eastAsia="Times New Roman" w:hAnsi="Verdana" w:cs="Calibri"/>
                <w:bCs/>
                <w:sz w:val="20"/>
                <w:szCs w:val="20"/>
              </w:rPr>
              <w:t xml:space="preserve"> resulting from the inclusion of buildings and road </w:t>
            </w:r>
            <w:r w:rsidRPr="00707C1D">
              <w:rPr>
                <w:rFonts w:ascii="Verdana" w:eastAsia="Times New Roman" w:hAnsi="Verdana" w:cs="Calibri"/>
                <w:bCs/>
                <w:sz w:val="20"/>
                <w:szCs w:val="20"/>
              </w:rPr>
              <w:lastRenderedPageBreak/>
              <w:t>transport in the new emission trading at the appropriate territorial level.</w:t>
            </w:r>
          </w:p>
          <w:p w14:paraId="76DC0935" w14:textId="3AB29343" w:rsidR="006319C5" w:rsidRPr="00707C1D" w:rsidRDefault="006319C5" w:rsidP="006319C5">
            <w:pPr>
              <w:pStyle w:val="ListParagraph"/>
              <w:numPr>
                <w:ilvl w:val="0"/>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 xml:space="preserve">Carrying out studies to </w:t>
            </w:r>
            <w:r w:rsidR="003A65CB" w:rsidRPr="00E800A3">
              <w:rPr>
                <w:rFonts w:ascii="Verdana" w:eastAsia="Times New Roman" w:hAnsi="Verdana" w:cs="Calibri"/>
                <w:b/>
                <w:bCs/>
                <w:sz w:val="20"/>
                <w:szCs w:val="20"/>
              </w:rPr>
              <w:t>i</w:t>
            </w:r>
            <w:r w:rsidRPr="00E800A3">
              <w:rPr>
                <w:rFonts w:ascii="Verdana" w:eastAsia="Times New Roman" w:hAnsi="Verdana" w:cs="Calibri"/>
                <w:b/>
                <w:bCs/>
                <w:sz w:val="20"/>
                <w:szCs w:val="20"/>
              </w:rPr>
              <w:t>dentify vulnerable households</w:t>
            </w:r>
            <w:r w:rsidRPr="00707C1D">
              <w:rPr>
                <w:rFonts w:ascii="Verdana" w:eastAsia="Times New Roman" w:hAnsi="Verdana" w:cs="Calibri"/>
                <w:bCs/>
                <w:sz w:val="20"/>
                <w:szCs w:val="20"/>
              </w:rPr>
              <w:t xml:space="preserve">, </w:t>
            </w:r>
            <w:r w:rsidRPr="00E800A3">
              <w:rPr>
                <w:rFonts w:ascii="Verdana" w:eastAsia="Times New Roman" w:hAnsi="Verdana" w:cs="Calibri"/>
                <w:b/>
                <w:bCs/>
                <w:sz w:val="20"/>
                <w:szCs w:val="20"/>
              </w:rPr>
              <w:t>micro-enterprises</w:t>
            </w:r>
            <w:r w:rsidRPr="00707C1D">
              <w:rPr>
                <w:rFonts w:ascii="Verdana" w:eastAsia="Times New Roman" w:hAnsi="Verdana" w:cs="Calibri"/>
                <w:bCs/>
                <w:sz w:val="20"/>
                <w:szCs w:val="20"/>
              </w:rPr>
              <w:t xml:space="preserve"> and </w:t>
            </w:r>
            <w:r w:rsidRPr="00E800A3">
              <w:rPr>
                <w:rFonts w:ascii="Verdana" w:eastAsia="Times New Roman" w:hAnsi="Verdana" w:cs="Calibri"/>
                <w:b/>
                <w:bCs/>
                <w:sz w:val="20"/>
                <w:szCs w:val="20"/>
              </w:rPr>
              <w:t>transport users</w:t>
            </w:r>
            <w:r w:rsidRPr="00707C1D">
              <w:rPr>
                <w:rFonts w:ascii="Verdana" w:eastAsia="Times New Roman" w:hAnsi="Verdana" w:cs="Calibri"/>
                <w:bCs/>
                <w:sz w:val="20"/>
                <w:szCs w:val="20"/>
              </w:rPr>
              <w:t xml:space="preserve"> (in line with the definitions provided by Article 2 of the SCF Regulation and informed by the application of energy and transport poverty definitions at national level) and </w:t>
            </w:r>
            <w:r w:rsidRPr="00E800A3">
              <w:rPr>
                <w:rFonts w:ascii="Verdana" w:eastAsia="Times New Roman" w:hAnsi="Verdana" w:cs="Calibri"/>
                <w:b/>
                <w:bCs/>
                <w:sz w:val="20"/>
                <w:szCs w:val="20"/>
              </w:rPr>
              <w:t>estimating their numbers</w:t>
            </w:r>
            <w:r w:rsidRPr="00707C1D">
              <w:rPr>
                <w:rFonts w:ascii="Verdana" w:eastAsia="Times New Roman" w:hAnsi="Verdana" w:cs="Calibri"/>
                <w:bCs/>
                <w:sz w:val="20"/>
                <w:szCs w:val="20"/>
              </w:rPr>
              <w:t xml:space="preserve">. </w:t>
            </w:r>
          </w:p>
          <w:p w14:paraId="725A2A2A" w14:textId="120DE7D7" w:rsidR="006319C5" w:rsidRPr="00707C1D" w:rsidRDefault="006319C5" w:rsidP="006319C5">
            <w:pPr>
              <w:pStyle w:val="ListParagraph"/>
              <w:numPr>
                <w:ilvl w:val="0"/>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 xml:space="preserve">Provision of expertise related to </w:t>
            </w:r>
            <w:r w:rsidRPr="00E800A3">
              <w:rPr>
                <w:rFonts w:ascii="Verdana" w:eastAsia="Times New Roman" w:hAnsi="Verdana" w:cs="Calibri"/>
                <w:b/>
                <w:bCs/>
                <w:sz w:val="20"/>
                <w:szCs w:val="20"/>
              </w:rPr>
              <w:t>reform roadmaps</w:t>
            </w:r>
            <w:r w:rsidRPr="00707C1D">
              <w:rPr>
                <w:rFonts w:ascii="Verdana" w:eastAsia="Times New Roman" w:hAnsi="Verdana" w:cs="Calibri"/>
                <w:bCs/>
                <w:sz w:val="20"/>
                <w:szCs w:val="20"/>
              </w:rPr>
              <w:t xml:space="preserve">, including targeted measures and investments that could be covered by the SCP </w:t>
            </w:r>
            <w:r w:rsidR="00CF7753" w:rsidRPr="00707C1D">
              <w:rPr>
                <w:rFonts w:ascii="Verdana" w:eastAsia="Times New Roman" w:hAnsi="Verdana" w:cs="Calibri"/>
                <w:bCs/>
                <w:sz w:val="20"/>
                <w:szCs w:val="20"/>
              </w:rPr>
              <w:t>to</w:t>
            </w:r>
            <w:r w:rsidRPr="00707C1D">
              <w:rPr>
                <w:rFonts w:ascii="Verdana" w:eastAsia="Times New Roman" w:hAnsi="Verdana" w:cs="Calibri"/>
                <w:bCs/>
                <w:sz w:val="20"/>
                <w:szCs w:val="20"/>
              </w:rPr>
              <w:t xml:space="preserve"> mitigate the effects on the identified vulnerable groups, in the areas of buildings, road transport, and/or temporary direct income support, including technical input for:</w:t>
            </w:r>
          </w:p>
          <w:p w14:paraId="08108D77"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 xml:space="preserve">Key characteristics of the measures and investments; </w:t>
            </w:r>
          </w:p>
          <w:p w14:paraId="7E0FB99C"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Proposed milestones and targets;</w:t>
            </w:r>
          </w:p>
          <w:p w14:paraId="3C509C65"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Timetable for implementation;</w:t>
            </w:r>
          </w:p>
          <w:p w14:paraId="7B8C98F1"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Estimated cost of the identified measures and investments;</w:t>
            </w:r>
          </w:p>
          <w:p w14:paraId="5BD455FA"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Assessment of how the proposed measures and investments will contribute to mitigating the effects of the ETS extension on vulnerable groups;</w:t>
            </w:r>
          </w:p>
          <w:p w14:paraId="7BF33E8B"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Risks and mitigating measures for the implementation of the identified measures and investments;</w:t>
            </w:r>
          </w:p>
          <w:p w14:paraId="3DB35BD3"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Consistency of the measures with other relevant national plans and funds;</w:t>
            </w:r>
          </w:p>
          <w:p w14:paraId="24D674E9" w14:textId="77777777" w:rsidR="006319C5" w:rsidRPr="00707C1D" w:rsidRDefault="006319C5" w:rsidP="006319C5">
            <w:pPr>
              <w:pStyle w:val="ListParagraph"/>
              <w:numPr>
                <w:ilvl w:val="1"/>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rPr>
              <w:t>Assessment whether the identified measures and investments comply with the principle of Do No Significant Harm.</w:t>
            </w:r>
          </w:p>
          <w:p w14:paraId="524FDE84" w14:textId="77777777" w:rsidR="006319C5" w:rsidRPr="00707C1D" w:rsidRDefault="006319C5" w:rsidP="006319C5">
            <w:pPr>
              <w:pStyle w:val="ListParagraph"/>
              <w:numPr>
                <w:ilvl w:val="0"/>
                <w:numId w:val="19"/>
              </w:numPr>
              <w:spacing w:after="0" w:line="240" w:lineRule="auto"/>
              <w:jc w:val="both"/>
              <w:rPr>
                <w:rFonts w:ascii="Verdana" w:eastAsia="Times New Roman" w:hAnsi="Verdana" w:cs="Calibri"/>
                <w:bCs/>
                <w:sz w:val="20"/>
                <w:szCs w:val="20"/>
              </w:rPr>
            </w:pPr>
            <w:r w:rsidRPr="00707C1D">
              <w:rPr>
                <w:rFonts w:ascii="Verdana" w:eastAsia="Times New Roman" w:hAnsi="Verdana" w:cs="Calibri"/>
                <w:bCs/>
                <w:sz w:val="20"/>
                <w:szCs w:val="20"/>
                <w:lang w:val="en-US"/>
              </w:rPr>
              <w:t xml:space="preserve">Proposing arrangements for the </w:t>
            </w:r>
            <w:r w:rsidRPr="00E800A3">
              <w:rPr>
                <w:rFonts w:ascii="Verdana" w:eastAsia="Times New Roman" w:hAnsi="Verdana" w:cs="Calibri"/>
                <w:b/>
                <w:bCs/>
                <w:sz w:val="20"/>
                <w:szCs w:val="20"/>
                <w:lang w:val="en-US"/>
              </w:rPr>
              <w:t>effective monitoring and implementation</w:t>
            </w:r>
            <w:r w:rsidRPr="00707C1D">
              <w:rPr>
                <w:rFonts w:ascii="Verdana" w:eastAsia="Times New Roman" w:hAnsi="Verdana" w:cs="Calibri"/>
                <w:bCs/>
                <w:sz w:val="20"/>
                <w:szCs w:val="20"/>
                <w:lang w:val="en-US"/>
              </w:rPr>
              <w:t xml:space="preserve"> of the </w:t>
            </w:r>
            <w:r w:rsidRPr="00F81A1A">
              <w:rPr>
                <w:rFonts w:ascii="Verdana" w:eastAsia="Times New Roman" w:hAnsi="Verdana" w:cs="Calibri"/>
                <w:sz w:val="20"/>
                <w:szCs w:val="20"/>
                <w:lang w:val="en-US"/>
              </w:rPr>
              <w:t>identified measures and investments</w:t>
            </w:r>
            <w:r w:rsidRPr="00707C1D">
              <w:rPr>
                <w:rFonts w:ascii="Verdana" w:eastAsia="Times New Roman" w:hAnsi="Verdana" w:cs="Calibri"/>
                <w:bCs/>
                <w:sz w:val="20"/>
                <w:szCs w:val="20"/>
                <w:lang w:val="en-US"/>
              </w:rPr>
              <w:t>.</w:t>
            </w:r>
          </w:p>
          <w:p w14:paraId="48238BC8" w14:textId="709E759C" w:rsidR="00D1593E" w:rsidRDefault="00D1593E" w:rsidP="00D1593E">
            <w:pPr>
              <w:spacing w:after="0" w:line="240" w:lineRule="auto"/>
              <w:jc w:val="both"/>
              <w:rPr>
                <w:rFonts w:ascii="Calibri" w:eastAsia="Times New Roman" w:hAnsi="Calibri" w:cs="Calibri"/>
                <w:bCs/>
              </w:rPr>
            </w:pPr>
          </w:p>
          <w:p w14:paraId="0A12E21A" w14:textId="62C55CF9" w:rsidR="00D1593E" w:rsidRPr="00BB36A6" w:rsidRDefault="00BB36A6" w:rsidP="00BB36A6">
            <w:pPr>
              <w:pStyle w:val="paragraph"/>
              <w:textAlignment w:val="baseline"/>
              <w:rPr>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77FBD67B" w14:textId="42848B0E" w:rsidR="0026728A" w:rsidRPr="00CC3229" w:rsidRDefault="0026728A" w:rsidP="00CC3229">
            <w:pPr>
              <w:spacing w:after="0" w:line="240" w:lineRule="auto"/>
              <w:ind w:left="360"/>
              <w:jc w:val="both"/>
              <w:rPr>
                <w:rFonts w:ascii="Calibri" w:eastAsia="Times New Roman" w:hAnsi="Calibri" w:cs="Calibri"/>
                <w:bCs/>
              </w:rPr>
            </w:pPr>
          </w:p>
          <w:p w14:paraId="2C6823A1" w14:textId="77777777" w:rsidR="00331A8D" w:rsidRPr="00707C1D" w:rsidRDefault="0026728A" w:rsidP="00331A8D">
            <w:pPr>
              <w:spacing w:after="0" w:line="240" w:lineRule="auto"/>
              <w:contextualSpacing/>
              <w:jc w:val="both"/>
              <w:rPr>
                <w:rFonts w:ascii="Verdana" w:eastAsia="Times New Roman" w:hAnsi="Verdana" w:cs="Segoe UI Symbol"/>
                <w:b/>
                <w:bCs/>
                <w:sz w:val="20"/>
                <w:szCs w:val="20"/>
              </w:rPr>
            </w:pPr>
            <w:r w:rsidRPr="00410FFA">
              <w:rPr>
                <w:rFonts w:ascii="Segoe UI Symbol" w:eastAsia="Times New Roman" w:hAnsi="Segoe UI Symbol" w:cs="Segoe UI Symbol"/>
                <w:bCs/>
              </w:rPr>
              <w:t xml:space="preserve">☐ </w:t>
            </w:r>
            <w:r w:rsidRPr="001D1620">
              <w:rPr>
                <w:rFonts w:ascii="Verdana" w:eastAsia="Times New Roman" w:hAnsi="Verdana" w:cs="Segoe UI Symbol"/>
                <w:b/>
                <w:bCs/>
                <w:sz w:val="20"/>
                <w:szCs w:val="20"/>
              </w:rPr>
              <w:t xml:space="preserve">Work Package 2 - </w:t>
            </w:r>
            <w:r w:rsidR="00331A8D" w:rsidRPr="00707C1D">
              <w:rPr>
                <w:rFonts w:ascii="Verdana" w:eastAsia="Times New Roman" w:hAnsi="Verdana" w:cs="Segoe UI Symbol"/>
                <w:b/>
                <w:bCs/>
                <w:sz w:val="20"/>
                <w:szCs w:val="20"/>
              </w:rPr>
              <w:t>Provision of expertise related to formulation of strategies for strengthening and expanding the EU Emissions Trading System</w:t>
            </w:r>
          </w:p>
          <w:p w14:paraId="322B9BD3" w14:textId="77777777" w:rsidR="00331A8D" w:rsidRPr="00707C1D" w:rsidRDefault="00331A8D" w:rsidP="00331A8D">
            <w:pPr>
              <w:spacing w:after="0" w:line="240" w:lineRule="auto"/>
              <w:contextualSpacing/>
              <w:jc w:val="both"/>
              <w:rPr>
                <w:rFonts w:ascii="Verdana" w:eastAsia="Times New Roman" w:hAnsi="Verdana" w:cs="Segoe UI Symbol"/>
                <w:b/>
                <w:bCs/>
                <w:sz w:val="20"/>
                <w:szCs w:val="20"/>
              </w:rPr>
            </w:pPr>
          </w:p>
          <w:p w14:paraId="4E05BA4E" w14:textId="77777777" w:rsidR="00331A8D" w:rsidRPr="00707C1D" w:rsidRDefault="00331A8D" w:rsidP="00331A8D">
            <w:pPr>
              <w:spacing w:after="160" w:line="259" w:lineRule="auto"/>
              <w:rPr>
                <w:rFonts w:ascii="Verdana" w:eastAsia="Calibri" w:hAnsi="Verdana" w:cs="Times New Roman"/>
                <w:sz w:val="20"/>
                <w:szCs w:val="20"/>
                <w:lang w:val="en-US"/>
              </w:rPr>
            </w:pPr>
            <w:r w:rsidRPr="00707C1D">
              <w:rPr>
                <w:rFonts w:ascii="Verdana" w:eastAsia="Calibri" w:hAnsi="Verdana" w:cs="Times New Roman"/>
                <w:sz w:val="20"/>
                <w:szCs w:val="20"/>
              </w:rPr>
              <w:t xml:space="preserve">This work package provides support for </w:t>
            </w:r>
            <w:r w:rsidRPr="00E800A3">
              <w:rPr>
                <w:rFonts w:ascii="Verdana" w:eastAsia="Calibri" w:hAnsi="Verdana" w:cs="Times New Roman"/>
                <w:b/>
                <w:sz w:val="20"/>
                <w:szCs w:val="20"/>
              </w:rPr>
              <w:t>strengthening the</w:t>
            </w:r>
            <w:r w:rsidRPr="00707C1D">
              <w:rPr>
                <w:rFonts w:ascii="Verdana" w:eastAsia="Calibri" w:hAnsi="Verdana" w:cs="Times New Roman"/>
                <w:sz w:val="20"/>
                <w:szCs w:val="20"/>
              </w:rPr>
              <w:t xml:space="preserve"> </w:t>
            </w:r>
            <w:r w:rsidRPr="00E800A3">
              <w:rPr>
                <w:rFonts w:ascii="Verdana" w:eastAsia="Calibri" w:hAnsi="Verdana" w:cs="Times New Roman"/>
                <w:b/>
                <w:sz w:val="20"/>
                <w:szCs w:val="20"/>
              </w:rPr>
              <w:t>ETS1</w:t>
            </w:r>
            <w:r w:rsidRPr="00707C1D">
              <w:rPr>
                <w:rFonts w:ascii="Verdana" w:eastAsia="Calibri" w:hAnsi="Verdana" w:cs="Times New Roman"/>
                <w:sz w:val="20"/>
                <w:szCs w:val="20"/>
              </w:rPr>
              <w:t xml:space="preserve"> and </w:t>
            </w:r>
            <w:r w:rsidRPr="00E800A3">
              <w:rPr>
                <w:rFonts w:ascii="Verdana" w:eastAsia="Calibri" w:hAnsi="Verdana" w:cs="Times New Roman"/>
                <w:b/>
                <w:sz w:val="20"/>
                <w:szCs w:val="20"/>
              </w:rPr>
              <w:t>setting up the</w:t>
            </w:r>
            <w:r w:rsidRPr="00707C1D">
              <w:rPr>
                <w:rFonts w:ascii="Verdana" w:eastAsia="Calibri" w:hAnsi="Verdana" w:cs="Times New Roman"/>
                <w:sz w:val="20"/>
                <w:szCs w:val="20"/>
              </w:rPr>
              <w:t xml:space="preserve"> </w:t>
            </w:r>
            <w:r w:rsidRPr="00E800A3">
              <w:rPr>
                <w:rFonts w:ascii="Verdana" w:eastAsia="Calibri" w:hAnsi="Verdana" w:cs="Times New Roman"/>
                <w:b/>
                <w:sz w:val="20"/>
                <w:szCs w:val="20"/>
              </w:rPr>
              <w:t>ETS2</w:t>
            </w:r>
            <w:r w:rsidRPr="00707C1D">
              <w:rPr>
                <w:rFonts w:ascii="Verdana" w:eastAsia="Calibri" w:hAnsi="Verdana" w:cs="Times New Roman"/>
                <w:sz w:val="20"/>
                <w:szCs w:val="20"/>
              </w:rPr>
              <w:t xml:space="preserve"> to include buildings, road transport and additional sectors. Interested Member States may choose one or more of the following support measures:</w:t>
            </w:r>
          </w:p>
          <w:p w14:paraId="4CC91535" w14:textId="77777777" w:rsidR="00331A8D" w:rsidRPr="00707C1D" w:rsidRDefault="00331A8D" w:rsidP="00331A8D">
            <w:pPr>
              <w:pStyle w:val="ListParagraph"/>
              <w:numPr>
                <w:ilvl w:val="0"/>
                <w:numId w:val="27"/>
              </w:numPr>
              <w:spacing w:after="160" w:line="259" w:lineRule="auto"/>
              <w:rPr>
                <w:rFonts w:ascii="Verdana" w:eastAsia="Calibri" w:hAnsi="Verdana" w:cs="Times New Roman"/>
                <w:sz w:val="20"/>
                <w:szCs w:val="20"/>
                <w:lang w:val="en-US"/>
              </w:rPr>
            </w:pPr>
            <w:r w:rsidRPr="00707C1D">
              <w:rPr>
                <w:rFonts w:ascii="Segoe UI Symbol" w:eastAsia="Calibri" w:hAnsi="Segoe UI Symbol" w:cs="Segoe UI Symbol"/>
                <w:sz w:val="20"/>
                <w:szCs w:val="20"/>
                <w:lang w:val="en-US"/>
              </w:rPr>
              <w:t>☐</w:t>
            </w:r>
            <w:r w:rsidRPr="00707C1D">
              <w:rPr>
                <w:rFonts w:ascii="Verdana" w:eastAsia="Calibri" w:hAnsi="Verdana" w:cs="Segoe UI Symbol"/>
                <w:sz w:val="20"/>
                <w:szCs w:val="20"/>
                <w:lang w:val="en-US"/>
              </w:rPr>
              <w:t xml:space="preserve"> Provision of expertise related to </w:t>
            </w:r>
            <w:r w:rsidRPr="00E800A3">
              <w:rPr>
                <w:rFonts w:ascii="Verdana" w:eastAsia="Calibri" w:hAnsi="Verdana" w:cs="Segoe UI Symbol"/>
                <w:b/>
                <w:sz w:val="20"/>
                <w:szCs w:val="20"/>
                <w:lang w:val="en-US"/>
              </w:rPr>
              <w:t xml:space="preserve">policy advice for </w:t>
            </w:r>
            <w:r w:rsidRPr="00E800A3">
              <w:rPr>
                <w:rFonts w:ascii="Verdana" w:eastAsia="Calibri" w:hAnsi="Verdana" w:cs="Times New Roman"/>
                <w:b/>
                <w:sz w:val="20"/>
                <w:szCs w:val="20"/>
                <w:lang w:val="en-US"/>
              </w:rPr>
              <w:t>strengthening ETS1</w:t>
            </w:r>
            <w:r w:rsidRPr="00707C1D">
              <w:rPr>
                <w:rFonts w:ascii="Verdana" w:eastAsia="Calibri" w:hAnsi="Verdana" w:cs="Times New Roman"/>
                <w:sz w:val="20"/>
                <w:szCs w:val="20"/>
                <w:lang w:val="en-US"/>
              </w:rPr>
              <w:t>. This can include:</w:t>
            </w:r>
          </w:p>
          <w:p w14:paraId="593F680C" w14:textId="77777777" w:rsidR="00331A8D" w:rsidRPr="00707C1D" w:rsidRDefault="00331A8D" w:rsidP="00331A8D">
            <w:pPr>
              <w:numPr>
                <w:ilvl w:val="1"/>
                <w:numId w:val="24"/>
              </w:numPr>
              <w:spacing w:after="160" w:line="259" w:lineRule="auto"/>
              <w:contextualSpacing/>
              <w:rPr>
                <w:rFonts w:ascii="Verdana" w:eastAsia="Calibri" w:hAnsi="Verdana" w:cs="Times New Roman"/>
                <w:sz w:val="20"/>
                <w:szCs w:val="20"/>
                <w:lang w:val="en-US"/>
              </w:rPr>
            </w:pPr>
            <w:r w:rsidRPr="00707C1D">
              <w:rPr>
                <w:rFonts w:ascii="Verdana" w:eastAsia="Calibri" w:hAnsi="Verdana" w:cs="Times New Roman"/>
                <w:sz w:val="20"/>
                <w:szCs w:val="20"/>
                <w:lang w:val="en-US"/>
              </w:rPr>
              <w:t xml:space="preserve">carrying out of </w:t>
            </w:r>
            <w:r w:rsidRPr="00E800A3">
              <w:rPr>
                <w:rFonts w:ascii="Verdana" w:eastAsia="Calibri" w:hAnsi="Verdana" w:cs="Times New Roman"/>
                <w:b/>
                <w:sz w:val="20"/>
                <w:szCs w:val="20"/>
                <w:lang w:val="en-US"/>
              </w:rPr>
              <w:t>feasibility studies</w:t>
            </w:r>
            <w:r w:rsidRPr="00707C1D">
              <w:rPr>
                <w:rFonts w:ascii="Verdana" w:eastAsia="Calibri" w:hAnsi="Verdana" w:cs="Times New Roman"/>
                <w:sz w:val="20"/>
                <w:szCs w:val="20"/>
                <w:lang w:val="en-US"/>
              </w:rPr>
              <w:t xml:space="preserve"> for the implementation of the ETS1 extension to the </w:t>
            </w:r>
            <w:r w:rsidRPr="00F81A1A">
              <w:rPr>
                <w:rFonts w:ascii="Verdana" w:eastAsia="Calibri" w:hAnsi="Verdana" w:cs="Times New Roman"/>
                <w:bCs/>
                <w:sz w:val="20"/>
                <w:szCs w:val="20"/>
                <w:lang w:val="en-US"/>
              </w:rPr>
              <w:t>maritime transport sector</w:t>
            </w:r>
            <w:r w:rsidRPr="00707C1D">
              <w:rPr>
                <w:rFonts w:ascii="Verdana" w:eastAsia="Calibri" w:hAnsi="Verdana" w:cs="Times New Roman"/>
                <w:sz w:val="20"/>
                <w:szCs w:val="20"/>
                <w:lang w:val="en-US"/>
              </w:rPr>
              <w:t>, including recommendations for capacity building of ETS administering authorities on issues specific to the maritime transport sector;</w:t>
            </w:r>
          </w:p>
          <w:p w14:paraId="70876D5F" w14:textId="78B0B521" w:rsidR="00331A8D" w:rsidRDefault="00331A8D" w:rsidP="00331A8D">
            <w:pPr>
              <w:numPr>
                <w:ilvl w:val="1"/>
                <w:numId w:val="24"/>
              </w:numPr>
              <w:spacing w:after="160" w:line="259" w:lineRule="auto"/>
              <w:contextualSpacing/>
              <w:rPr>
                <w:rFonts w:ascii="Verdana" w:eastAsia="Calibri" w:hAnsi="Verdana" w:cs="Times New Roman"/>
                <w:bCs/>
                <w:sz w:val="20"/>
                <w:szCs w:val="20"/>
                <w:lang w:val="en-US"/>
              </w:rPr>
            </w:pPr>
            <w:r w:rsidRPr="00707C1D">
              <w:rPr>
                <w:rFonts w:ascii="Verdana" w:eastAsia="Calibri" w:hAnsi="Verdana" w:cs="Times New Roman"/>
                <w:sz w:val="20"/>
                <w:szCs w:val="20"/>
                <w:lang w:val="en-US"/>
              </w:rPr>
              <w:t xml:space="preserve">Provision of expertise related to </w:t>
            </w:r>
            <w:r w:rsidRPr="00E800A3">
              <w:rPr>
                <w:rFonts w:ascii="Verdana" w:eastAsia="Calibri" w:hAnsi="Verdana" w:cs="Times New Roman"/>
                <w:b/>
                <w:sz w:val="20"/>
                <w:szCs w:val="20"/>
                <w:lang w:val="en-US"/>
              </w:rPr>
              <w:t>policy change for monitoring, reporting and verifying emissions</w:t>
            </w:r>
            <w:r w:rsidRPr="00707C1D">
              <w:rPr>
                <w:rFonts w:ascii="Verdana" w:eastAsia="Calibri" w:hAnsi="Verdana" w:cs="Times New Roman"/>
                <w:sz w:val="20"/>
                <w:szCs w:val="20"/>
                <w:lang w:val="en-US"/>
              </w:rPr>
              <w:t xml:space="preserve"> from </w:t>
            </w:r>
            <w:r w:rsidRPr="00F81A1A">
              <w:rPr>
                <w:rFonts w:ascii="Verdana" w:eastAsia="Calibri" w:hAnsi="Verdana" w:cs="Times New Roman"/>
                <w:bCs/>
                <w:sz w:val="20"/>
                <w:szCs w:val="20"/>
                <w:lang w:val="en-US"/>
              </w:rPr>
              <w:t>municipal waste incineration.</w:t>
            </w:r>
          </w:p>
          <w:p w14:paraId="268C2D32" w14:textId="77777777" w:rsidR="00331A8D" w:rsidRPr="00707C1D" w:rsidRDefault="00331A8D" w:rsidP="00331A8D">
            <w:pPr>
              <w:pStyle w:val="ListParagraph"/>
              <w:numPr>
                <w:ilvl w:val="0"/>
                <w:numId w:val="27"/>
              </w:numPr>
              <w:spacing w:after="160" w:line="259" w:lineRule="auto"/>
              <w:rPr>
                <w:rFonts w:ascii="Verdana" w:eastAsia="Calibri" w:hAnsi="Verdana" w:cs="Times New Roman"/>
                <w:sz w:val="20"/>
                <w:szCs w:val="20"/>
                <w:lang w:val="en-US"/>
              </w:rPr>
            </w:pPr>
            <w:r w:rsidRPr="00707C1D">
              <w:rPr>
                <w:rFonts w:ascii="Segoe UI Symbol" w:eastAsia="Calibri" w:hAnsi="Segoe UI Symbol" w:cs="Segoe UI Symbol"/>
                <w:sz w:val="20"/>
                <w:szCs w:val="20"/>
                <w:lang w:val="en-US"/>
              </w:rPr>
              <w:t>☐</w:t>
            </w:r>
            <w:r w:rsidRPr="00707C1D">
              <w:rPr>
                <w:rFonts w:ascii="Verdana" w:eastAsia="Calibri" w:hAnsi="Verdana" w:cs="Segoe UI Symbol"/>
                <w:sz w:val="20"/>
                <w:szCs w:val="20"/>
                <w:lang w:val="en-US"/>
              </w:rPr>
              <w:t xml:space="preserve"> Provision of expertise related to policy change in order to </w:t>
            </w:r>
            <w:r w:rsidRPr="00E800A3">
              <w:rPr>
                <w:rFonts w:ascii="Verdana" w:eastAsia="Calibri" w:hAnsi="Verdana" w:cs="Times New Roman"/>
                <w:b/>
                <w:sz w:val="20"/>
                <w:szCs w:val="20"/>
                <w:lang w:val="en-US"/>
              </w:rPr>
              <w:t>set-up</w:t>
            </w:r>
            <w:r w:rsidRPr="00707C1D">
              <w:rPr>
                <w:rFonts w:ascii="Verdana" w:eastAsia="Calibri" w:hAnsi="Verdana" w:cs="Times New Roman"/>
                <w:sz w:val="20"/>
                <w:szCs w:val="20"/>
                <w:lang w:val="en-US"/>
              </w:rPr>
              <w:t xml:space="preserve"> </w:t>
            </w:r>
            <w:r w:rsidRPr="00E800A3">
              <w:rPr>
                <w:rFonts w:ascii="Verdana" w:eastAsia="Calibri" w:hAnsi="Verdana" w:cs="Times New Roman"/>
                <w:b/>
                <w:sz w:val="20"/>
                <w:szCs w:val="20"/>
                <w:lang w:val="en-US"/>
              </w:rPr>
              <w:t>ETS2</w:t>
            </w:r>
            <w:r w:rsidRPr="00707C1D">
              <w:rPr>
                <w:rFonts w:ascii="Verdana" w:eastAsia="Calibri" w:hAnsi="Verdana" w:cs="Times New Roman"/>
                <w:sz w:val="20"/>
                <w:szCs w:val="20"/>
                <w:lang w:val="en-US"/>
              </w:rPr>
              <w:t xml:space="preserve"> for </w:t>
            </w:r>
            <w:r w:rsidRPr="00E800A3">
              <w:rPr>
                <w:rFonts w:ascii="Verdana" w:eastAsia="Calibri" w:hAnsi="Verdana" w:cs="Times New Roman"/>
                <w:b/>
                <w:sz w:val="20"/>
                <w:szCs w:val="20"/>
                <w:lang w:val="en-US"/>
              </w:rPr>
              <w:t>buildings</w:t>
            </w:r>
            <w:r w:rsidRPr="00E800A3">
              <w:rPr>
                <w:rFonts w:ascii="Verdana" w:eastAsia="Calibri" w:hAnsi="Verdana" w:cs="Times New Roman"/>
                <w:sz w:val="20"/>
                <w:szCs w:val="20"/>
                <w:lang w:val="en-US"/>
              </w:rPr>
              <w:t xml:space="preserve">, </w:t>
            </w:r>
            <w:r w:rsidRPr="00E800A3">
              <w:rPr>
                <w:rFonts w:ascii="Verdana" w:eastAsia="Calibri" w:hAnsi="Verdana" w:cs="Times New Roman"/>
                <w:b/>
                <w:sz w:val="20"/>
                <w:szCs w:val="20"/>
                <w:lang w:val="en-US"/>
              </w:rPr>
              <w:t>road transport</w:t>
            </w:r>
            <w:r w:rsidRPr="00707C1D">
              <w:rPr>
                <w:rFonts w:ascii="Verdana" w:eastAsia="Calibri" w:hAnsi="Verdana" w:cs="Times New Roman"/>
                <w:sz w:val="20"/>
                <w:szCs w:val="20"/>
                <w:lang w:val="en-US"/>
              </w:rPr>
              <w:t xml:space="preserve"> and additional sectors. This can include: </w:t>
            </w:r>
          </w:p>
          <w:p w14:paraId="6AAEA83C" w14:textId="77777777" w:rsidR="00331A8D" w:rsidRPr="00707C1D" w:rsidRDefault="00331A8D" w:rsidP="00331A8D">
            <w:pPr>
              <w:numPr>
                <w:ilvl w:val="1"/>
                <w:numId w:val="25"/>
              </w:numPr>
              <w:spacing w:after="160" w:line="259" w:lineRule="auto"/>
              <w:contextualSpacing/>
              <w:rPr>
                <w:rFonts w:ascii="Verdana" w:eastAsia="Calibri" w:hAnsi="Verdana" w:cs="Times New Roman"/>
                <w:sz w:val="20"/>
                <w:szCs w:val="20"/>
                <w:lang w:val="en-US"/>
              </w:rPr>
            </w:pPr>
            <w:r w:rsidRPr="00707C1D">
              <w:rPr>
                <w:rFonts w:ascii="Verdana" w:eastAsia="Calibri" w:hAnsi="Verdana" w:cs="Times New Roman"/>
                <w:sz w:val="20"/>
                <w:szCs w:val="20"/>
                <w:lang w:val="en-US"/>
              </w:rPr>
              <w:t xml:space="preserve">Administrative </w:t>
            </w:r>
            <w:r w:rsidRPr="00E800A3">
              <w:rPr>
                <w:rFonts w:ascii="Verdana" w:eastAsia="Calibri" w:hAnsi="Verdana" w:cs="Times New Roman"/>
                <w:b/>
                <w:sz w:val="20"/>
                <w:szCs w:val="20"/>
                <w:lang w:val="en-US"/>
              </w:rPr>
              <w:t>capacity building</w:t>
            </w:r>
            <w:r w:rsidRPr="00707C1D">
              <w:rPr>
                <w:rFonts w:ascii="Verdana" w:eastAsia="Calibri" w:hAnsi="Verdana" w:cs="Times New Roman"/>
                <w:sz w:val="20"/>
                <w:szCs w:val="20"/>
                <w:lang w:val="en-US"/>
              </w:rPr>
              <w:t xml:space="preserve"> for </w:t>
            </w:r>
            <w:r w:rsidRPr="00E800A3">
              <w:rPr>
                <w:rFonts w:ascii="Verdana" w:eastAsia="Calibri" w:hAnsi="Verdana" w:cs="Times New Roman"/>
                <w:b/>
                <w:sz w:val="20"/>
                <w:szCs w:val="20"/>
                <w:lang w:val="en-US"/>
              </w:rPr>
              <w:t>monitoring, reporting and verifying emissions</w:t>
            </w:r>
            <w:r w:rsidRPr="00707C1D">
              <w:rPr>
                <w:rFonts w:ascii="Verdana" w:eastAsia="Calibri" w:hAnsi="Verdana" w:cs="Times New Roman"/>
                <w:sz w:val="20"/>
                <w:szCs w:val="20"/>
                <w:lang w:val="en-US"/>
              </w:rPr>
              <w:t xml:space="preserve"> under ETS2, as well as identifying, issuing permits to and supervising regulated entities and related outreach activities;</w:t>
            </w:r>
          </w:p>
          <w:p w14:paraId="4978F42A" w14:textId="77777777" w:rsidR="00331A8D" w:rsidRPr="00707C1D" w:rsidRDefault="00331A8D" w:rsidP="00331A8D">
            <w:pPr>
              <w:numPr>
                <w:ilvl w:val="1"/>
                <w:numId w:val="25"/>
              </w:numPr>
              <w:spacing w:after="160" w:line="259" w:lineRule="auto"/>
              <w:contextualSpacing/>
              <w:rPr>
                <w:rFonts w:ascii="Verdana" w:eastAsia="Calibri" w:hAnsi="Verdana" w:cs="Times New Roman"/>
                <w:sz w:val="20"/>
                <w:szCs w:val="20"/>
                <w:lang w:val="en-US"/>
              </w:rPr>
            </w:pPr>
            <w:r w:rsidRPr="00707C1D">
              <w:rPr>
                <w:rFonts w:ascii="Verdana" w:eastAsia="Calibri" w:hAnsi="Verdana" w:cs="Times New Roman"/>
                <w:sz w:val="20"/>
                <w:szCs w:val="20"/>
                <w:lang w:val="en-US"/>
              </w:rPr>
              <w:t xml:space="preserve">Support for </w:t>
            </w:r>
            <w:r w:rsidRPr="00E800A3">
              <w:rPr>
                <w:rFonts w:ascii="Verdana" w:eastAsia="Calibri" w:hAnsi="Verdana" w:cs="Times New Roman"/>
                <w:b/>
                <w:sz w:val="20"/>
                <w:szCs w:val="20"/>
                <w:lang w:val="en-US"/>
              </w:rPr>
              <w:t>developing a roadmap</w:t>
            </w:r>
            <w:r w:rsidRPr="00707C1D">
              <w:rPr>
                <w:rFonts w:ascii="Verdana" w:eastAsia="Calibri" w:hAnsi="Verdana" w:cs="Times New Roman"/>
                <w:sz w:val="20"/>
                <w:szCs w:val="20"/>
                <w:lang w:val="en-US"/>
              </w:rPr>
              <w:t xml:space="preserve"> for further implementing and improving the </w:t>
            </w:r>
            <w:r w:rsidRPr="00E800A3">
              <w:rPr>
                <w:rFonts w:ascii="Verdana" w:eastAsia="Calibri" w:hAnsi="Verdana" w:cs="Times New Roman"/>
                <w:b/>
                <w:sz w:val="20"/>
                <w:szCs w:val="20"/>
                <w:lang w:val="en-US"/>
              </w:rPr>
              <w:t>implementation of ETS2</w:t>
            </w:r>
            <w:r w:rsidRPr="00707C1D">
              <w:rPr>
                <w:rFonts w:ascii="Verdana" w:eastAsia="Calibri" w:hAnsi="Verdana" w:cs="Times New Roman"/>
                <w:sz w:val="20"/>
                <w:szCs w:val="20"/>
                <w:lang w:val="en-US"/>
              </w:rPr>
              <w:t xml:space="preserve"> in the medium term, including for example improvements to monitoring methods and IT systems, and identifying synergies and complementarities with national measures </w:t>
            </w:r>
            <w:r w:rsidRPr="00707C1D">
              <w:rPr>
                <w:rFonts w:ascii="Verdana" w:eastAsia="Calibri" w:hAnsi="Verdana" w:cs="Times New Roman"/>
                <w:sz w:val="20"/>
                <w:szCs w:val="20"/>
                <w:lang w:val="en-US"/>
              </w:rPr>
              <w:lastRenderedPageBreak/>
              <w:t xml:space="preserve">covering the same sectors. </w:t>
            </w:r>
          </w:p>
          <w:p w14:paraId="53D1D0E5" w14:textId="38442E7E" w:rsidR="00331A8D" w:rsidRPr="00707C1D" w:rsidRDefault="00331A8D" w:rsidP="00331A8D">
            <w:pPr>
              <w:pStyle w:val="ListParagraph"/>
              <w:numPr>
                <w:ilvl w:val="0"/>
                <w:numId w:val="27"/>
              </w:numPr>
              <w:spacing w:after="160" w:line="259" w:lineRule="auto"/>
              <w:rPr>
                <w:rFonts w:ascii="Verdana" w:eastAsia="Calibri" w:hAnsi="Verdana" w:cs="Times New Roman"/>
                <w:sz w:val="20"/>
                <w:szCs w:val="20"/>
                <w:lang w:val="en-US"/>
              </w:rPr>
            </w:pPr>
            <w:r w:rsidRPr="00707C1D">
              <w:rPr>
                <w:rFonts w:ascii="Segoe UI Symbol" w:eastAsia="Calibri" w:hAnsi="Segoe UI Symbol" w:cs="Segoe UI Symbol"/>
                <w:sz w:val="20"/>
                <w:szCs w:val="20"/>
                <w:lang w:val="en-US"/>
              </w:rPr>
              <w:t>☐</w:t>
            </w:r>
            <w:r w:rsidRPr="00707C1D">
              <w:rPr>
                <w:rFonts w:ascii="Verdana" w:eastAsia="Calibri" w:hAnsi="Verdana" w:cs="Segoe UI Symbol"/>
                <w:sz w:val="20"/>
                <w:szCs w:val="20"/>
                <w:lang w:val="en-US"/>
              </w:rPr>
              <w:t xml:space="preserve"> </w:t>
            </w:r>
            <w:r>
              <w:rPr>
                <w:rFonts w:ascii="Verdana" w:eastAsia="Calibri" w:hAnsi="Verdana" w:cs="Segoe UI Symbol"/>
                <w:sz w:val="20"/>
                <w:szCs w:val="20"/>
                <w:lang w:val="en-US"/>
              </w:rPr>
              <w:t>P</w:t>
            </w:r>
            <w:r w:rsidRPr="00707C1D">
              <w:rPr>
                <w:rFonts w:ascii="Verdana" w:eastAsia="Calibri" w:hAnsi="Verdana" w:cs="Segoe UI Symbol"/>
                <w:sz w:val="20"/>
                <w:szCs w:val="20"/>
                <w:lang w:val="en-US"/>
              </w:rPr>
              <w:t xml:space="preserve">rovision of expertise related to </w:t>
            </w:r>
            <w:r w:rsidRPr="00E800A3">
              <w:rPr>
                <w:rFonts w:ascii="Verdana" w:eastAsia="Calibri" w:hAnsi="Verdana" w:cs="Segoe UI Symbol"/>
                <w:b/>
                <w:sz w:val="20"/>
                <w:szCs w:val="20"/>
                <w:lang w:val="en-US"/>
              </w:rPr>
              <w:t>legislative, institutional, structural and administrative reforms</w:t>
            </w:r>
            <w:r w:rsidRPr="00707C1D">
              <w:rPr>
                <w:rFonts w:ascii="Verdana" w:eastAsia="Calibri" w:hAnsi="Verdana" w:cs="Segoe UI Symbol"/>
                <w:sz w:val="20"/>
                <w:szCs w:val="20"/>
                <w:lang w:val="en-US"/>
              </w:rPr>
              <w:t xml:space="preserve"> in order to u</w:t>
            </w:r>
            <w:r w:rsidRPr="00707C1D">
              <w:rPr>
                <w:rFonts w:ascii="Verdana" w:eastAsia="Calibri" w:hAnsi="Verdana" w:cs="Times New Roman"/>
                <w:sz w:val="20"/>
                <w:szCs w:val="20"/>
                <w:lang w:val="en-US"/>
              </w:rPr>
              <w:t xml:space="preserve">se </w:t>
            </w:r>
            <w:r w:rsidRPr="00E800A3">
              <w:rPr>
                <w:rFonts w:ascii="Verdana" w:eastAsia="Calibri" w:hAnsi="Verdana" w:cs="Times New Roman"/>
                <w:b/>
                <w:sz w:val="20"/>
                <w:szCs w:val="20"/>
                <w:lang w:val="en-US"/>
              </w:rPr>
              <w:t>ETS1</w:t>
            </w:r>
            <w:r w:rsidRPr="00707C1D">
              <w:rPr>
                <w:rFonts w:ascii="Verdana" w:eastAsia="Calibri" w:hAnsi="Verdana" w:cs="Times New Roman"/>
                <w:sz w:val="20"/>
                <w:szCs w:val="20"/>
                <w:lang w:val="en-US"/>
              </w:rPr>
              <w:t xml:space="preserve"> and </w:t>
            </w:r>
            <w:r w:rsidRPr="00E800A3">
              <w:rPr>
                <w:rFonts w:ascii="Verdana" w:eastAsia="Calibri" w:hAnsi="Verdana" w:cs="Times New Roman"/>
                <w:b/>
                <w:sz w:val="20"/>
                <w:szCs w:val="20"/>
                <w:lang w:val="en-US"/>
              </w:rPr>
              <w:t>ETS2</w:t>
            </w:r>
            <w:r w:rsidRPr="00707C1D">
              <w:rPr>
                <w:rFonts w:ascii="Verdana" w:eastAsia="Calibri" w:hAnsi="Verdana" w:cs="Times New Roman"/>
                <w:sz w:val="20"/>
                <w:szCs w:val="20"/>
                <w:lang w:val="en-US"/>
              </w:rPr>
              <w:t xml:space="preserve"> national </w:t>
            </w:r>
            <w:r w:rsidRPr="00E800A3">
              <w:rPr>
                <w:rFonts w:ascii="Verdana" w:eastAsia="Calibri" w:hAnsi="Verdana" w:cs="Times New Roman"/>
                <w:b/>
                <w:sz w:val="20"/>
                <w:szCs w:val="20"/>
                <w:lang w:val="en-US"/>
              </w:rPr>
              <w:t>auction revenues</w:t>
            </w:r>
            <w:r w:rsidRPr="00707C1D">
              <w:rPr>
                <w:rFonts w:ascii="Verdana" w:eastAsia="Calibri" w:hAnsi="Verdana" w:cs="Times New Roman"/>
                <w:sz w:val="20"/>
                <w:szCs w:val="20"/>
                <w:lang w:val="en-US"/>
              </w:rPr>
              <w:t xml:space="preserve">. This can include: </w:t>
            </w:r>
          </w:p>
          <w:p w14:paraId="3347C958" w14:textId="77777777" w:rsidR="00331A8D" w:rsidRPr="00707C1D" w:rsidRDefault="00331A8D" w:rsidP="00331A8D">
            <w:pPr>
              <w:numPr>
                <w:ilvl w:val="1"/>
                <w:numId w:val="26"/>
              </w:numPr>
              <w:spacing w:after="160" w:line="259" w:lineRule="auto"/>
              <w:contextualSpacing/>
              <w:rPr>
                <w:rFonts w:ascii="Verdana" w:eastAsia="Calibri" w:hAnsi="Verdana" w:cs="Times New Roman"/>
                <w:sz w:val="20"/>
                <w:szCs w:val="20"/>
                <w:lang w:val="en-US"/>
              </w:rPr>
            </w:pPr>
            <w:r w:rsidRPr="00707C1D">
              <w:rPr>
                <w:rFonts w:ascii="Verdana" w:eastAsia="Calibri" w:hAnsi="Verdana" w:cs="Times New Roman"/>
                <w:sz w:val="20"/>
                <w:szCs w:val="20"/>
                <w:lang w:val="en-US"/>
              </w:rPr>
              <w:t xml:space="preserve">Support for implementing the </w:t>
            </w:r>
            <w:r w:rsidRPr="00E800A3">
              <w:rPr>
                <w:rFonts w:ascii="Verdana" w:eastAsia="Calibri" w:hAnsi="Verdana" w:cs="Times New Roman"/>
                <w:b/>
                <w:sz w:val="20"/>
                <w:szCs w:val="20"/>
                <w:lang w:val="en-US"/>
              </w:rPr>
              <w:t>changes to the</w:t>
            </w:r>
            <w:r w:rsidRPr="00707C1D">
              <w:rPr>
                <w:rFonts w:ascii="Verdana" w:eastAsia="Calibri" w:hAnsi="Verdana" w:cs="Times New Roman"/>
                <w:sz w:val="20"/>
                <w:szCs w:val="20"/>
                <w:lang w:val="en-US"/>
              </w:rPr>
              <w:t xml:space="preserve"> </w:t>
            </w:r>
            <w:r w:rsidRPr="00E800A3">
              <w:rPr>
                <w:rFonts w:ascii="Verdana" w:eastAsia="Calibri" w:hAnsi="Verdana" w:cs="Times New Roman"/>
                <w:b/>
                <w:sz w:val="20"/>
                <w:szCs w:val="20"/>
                <w:lang w:val="en-US"/>
              </w:rPr>
              <w:t xml:space="preserve">rules </w:t>
            </w:r>
            <w:r w:rsidRPr="00E800A3">
              <w:rPr>
                <w:rFonts w:ascii="Verdana" w:eastAsia="Calibri" w:hAnsi="Verdana" w:cs="Times New Roman"/>
                <w:sz w:val="20"/>
                <w:szCs w:val="20"/>
                <w:lang w:val="en-US"/>
              </w:rPr>
              <w:t>on the use of</w:t>
            </w:r>
            <w:r w:rsidRPr="00E800A3">
              <w:rPr>
                <w:rFonts w:ascii="Verdana" w:eastAsia="Calibri" w:hAnsi="Verdana" w:cs="Times New Roman"/>
                <w:b/>
                <w:sz w:val="20"/>
                <w:szCs w:val="20"/>
                <w:lang w:val="en-US"/>
              </w:rPr>
              <w:t xml:space="preserve"> auction revenues for ETS1</w:t>
            </w:r>
            <w:r w:rsidRPr="00707C1D">
              <w:rPr>
                <w:rFonts w:ascii="Verdana" w:eastAsia="Calibri" w:hAnsi="Verdana" w:cs="Times New Roman"/>
                <w:sz w:val="20"/>
                <w:szCs w:val="20"/>
                <w:lang w:val="en-US"/>
              </w:rPr>
              <w:t xml:space="preserve">, including developing options for the use of these revenues for the </w:t>
            </w:r>
            <w:proofErr w:type="spellStart"/>
            <w:r w:rsidRPr="00707C1D">
              <w:rPr>
                <w:rFonts w:ascii="Verdana" w:eastAsia="Calibri" w:hAnsi="Verdana" w:cs="Times New Roman"/>
                <w:sz w:val="20"/>
                <w:szCs w:val="20"/>
                <w:lang w:val="en-US"/>
              </w:rPr>
              <w:t>decarbonisation</w:t>
            </w:r>
            <w:proofErr w:type="spellEnd"/>
            <w:r w:rsidRPr="00707C1D">
              <w:rPr>
                <w:rFonts w:ascii="Verdana" w:eastAsia="Calibri" w:hAnsi="Verdana" w:cs="Times New Roman"/>
                <w:sz w:val="20"/>
                <w:szCs w:val="20"/>
                <w:lang w:val="en-US"/>
              </w:rPr>
              <w:t xml:space="preserve"> of the maritime transport sector and the protection of marine-based ecosystems;</w:t>
            </w:r>
          </w:p>
          <w:p w14:paraId="6403FAE0" w14:textId="4EB58478" w:rsidR="00331A8D" w:rsidRDefault="00331A8D" w:rsidP="00331A8D">
            <w:pPr>
              <w:numPr>
                <w:ilvl w:val="1"/>
                <w:numId w:val="26"/>
              </w:numPr>
              <w:spacing w:after="160" w:line="259" w:lineRule="auto"/>
              <w:contextualSpacing/>
              <w:rPr>
                <w:rFonts w:ascii="Verdana" w:eastAsia="Calibri" w:hAnsi="Verdana" w:cs="Times New Roman"/>
                <w:sz w:val="20"/>
                <w:szCs w:val="20"/>
                <w:lang w:val="en-US"/>
              </w:rPr>
            </w:pPr>
            <w:r w:rsidRPr="00707C1D">
              <w:rPr>
                <w:rFonts w:ascii="Verdana" w:eastAsia="Calibri" w:hAnsi="Verdana" w:cs="Times New Roman"/>
                <w:sz w:val="20"/>
                <w:szCs w:val="20"/>
                <w:lang w:val="en-US"/>
              </w:rPr>
              <w:t xml:space="preserve">Support </w:t>
            </w:r>
            <w:r w:rsidRPr="00F81A1A">
              <w:rPr>
                <w:rFonts w:ascii="Verdana" w:eastAsia="Calibri" w:hAnsi="Verdana" w:cs="Times New Roman"/>
                <w:sz w:val="20"/>
                <w:szCs w:val="20"/>
                <w:lang w:val="en-US"/>
              </w:rPr>
              <w:t>for implementing the rules</w:t>
            </w:r>
            <w:r w:rsidRPr="00707C1D">
              <w:rPr>
                <w:rFonts w:ascii="Verdana" w:eastAsia="Calibri" w:hAnsi="Verdana" w:cs="Times New Roman"/>
                <w:sz w:val="20"/>
                <w:szCs w:val="20"/>
                <w:lang w:val="en-US"/>
              </w:rPr>
              <w:t xml:space="preserve"> on the use of</w:t>
            </w:r>
            <w:r w:rsidRPr="00E800A3">
              <w:rPr>
                <w:rFonts w:ascii="Verdana" w:eastAsia="Calibri" w:hAnsi="Verdana" w:cs="Times New Roman"/>
                <w:b/>
                <w:sz w:val="20"/>
                <w:szCs w:val="20"/>
                <w:lang w:val="en-US"/>
              </w:rPr>
              <w:t xml:space="preserve"> auction revenues for ETS2</w:t>
            </w:r>
            <w:r w:rsidRPr="00707C1D">
              <w:rPr>
                <w:rFonts w:ascii="Verdana" w:eastAsia="Calibri" w:hAnsi="Verdana" w:cs="Times New Roman"/>
                <w:sz w:val="20"/>
                <w:szCs w:val="20"/>
                <w:lang w:val="en-US"/>
              </w:rPr>
              <w:t>.</w:t>
            </w:r>
          </w:p>
          <w:p w14:paraId="24A7C5D7" w14:textId="77777777" w:rsidR="00A669DF" w:rsidRDefault="00A669DF" w:rsidP="00A669DF">
            <w:pPr>
              <w:spacing w:after="160" w:line="259" w:lineRule="auto"/>
              <w:ind w:left="1440"/>
              <w:contextualSpacing/>
              <w:rPr>
                <w:rFonts w:ascii="Verdana" w:eastAsia="Calibri" w:hAnsi="Verdana" w:cs="Times New Roman"/>
                <w:sz w:val="20"/>
                <w:szCs w:val="20"/>
                <w:lang w:val="en-US"/>
              </w:rPr>
            </w:pPr>
          </w:p>
          <w:p w14:paraId="3A4875F0" w14:textId="77777777" w:rsidR="00A64E53" w:rsidRDefault="00A64E53" w:rsidP="00A64E53">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07BC4F47" w14:textId="77777777" w:rsidR="00331A8D" w:rsidRPr="00707C1D" w:rsidRDefault="00331A8D" w:rsidP="00331A8D">
            <w:pPr>
              <w:spacing w:after="0" w:line="240" w:lineRule="auto"/>
              <w:contextualSpacing/>
              <w:jc w:val="both"/>
              <w:rPr>
                <w:rFonts w:ascii="Verdana" w:eastAsia="Times New Roman" w:hAnsi="Verdana" w:cs="Calibri"/>
                <w:b/>
                <w:sz w:val="20"/>
                <w:szCs w:val="20"/>
                <w:lang w:val="en-US"/>
              </w:rPr>
            </w:pPr>
          </w:p>
          <w:p w14:paraId="5E39F97C" w14:textId="77777777" w:rsidR="00331A8D" w:rsidRPr="00707C1D" w:rsidRDefault="00331A8D" w:rsidP="00331A8D">
            <w:pPr>
              <w:pStyle w:val="ListParagraph"/>
              <w:numPr>
                <w:ilvl w:val="0"/>
                <w:numId w:val="27"/>
              </w:numPr>
              <w:spacing w:after="160" w:line="259" w:lineRule="auto"/>
              <w:rPr>
                <w:rFonts w:ascii="Verdana" w:eastAsia="Times New Roman" w:hAnsi="Verdana" w:cstheme="minorHAnsi"/>
                <w:sz w:val="20"/>
                <w:szCs w:val="20"/>
                <w:lang w:eastAsia="en-GB"/>
              </w:rPr>
            </w:pPr>
            <w:r w:rsidRPr="00707C1D">
              <w:rPr>
                <w:rFonts w:ascii="Segoe UI Symbol" w:eastAsia="Calibri" w:hAnsi="Segoe UI Symbol" w:cs="Segoe UI Symbol"/>
                <w:sz w:val="20"/>
                <w:szCs w:val="20"/>
              </w:rPr>
              <w:t>☐</w:t>
            </w:r>
            <w:r w:rsidRPr="00707C1D">
              <w:rPr>
                <w:rFonts w:ascii="Verdana" w:eastAsia="Times New Roman" w:hAnsi="Verdana" w:cs="Arial"/>
                <w:sz w:val="20"/>
                <w:szCs w:val="20"/>
                <w:lang w:eastAsia="en-GB"/>
              </w:rPr>
              <w:t xml:space="preserve"> </w:t>
            </w:r>
            <w:r w:rsidRPr="00707C1D">
              <w:rPr>
                <w:rFonts w:ascii="Verdana" w:eastAsia="Times New Roman" w:hAnsi="Verdana" w:cstheme="minorHAnsi"/>
                <w:sz w:val="20"/>
                <w:szCs w:val="20"/>
                <w:lang w:eastAsia="en-GB"/>
              </w:rPr>
              <w:t>Other [please specify]</w:t>
            </w:r>
          </w:p>
          <w:p w14:paraId="54BF0266" w14:textId="7124E7B4" w:rsidR="00D1593E" w:rsidRDefault="00D1593E" w:rsidP="00D1593E">
            <w:pPr>
              <w:spacing w:after="0" w:line="240" w:lineRule="auto"/>
              <w:jc w:val="both"/>
              <w:rPr>
                <w:rFonts w:ascii="Verdana" w:eastAsia="Times New Roman" w:hAnsi="Verdana" w:cs="Arial"/>
                <w:sz w:val="20"/>
                <w:szCs w:val="20"/>
                <w:lang w:eastAsia="en-GB"/>
              </w:rPr>
            </w:pPr>
          </w:p>
          <w:p w14:paraId="4D328577" w14:textId="77777777" w:rsidR="00A64E53" w:rsidRDefault="00A64E53" w:rsidP="00A64E53">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087618C4" w14:textId="77777777" w:rsidR="0026728A" w:rsidRPr="00C15E87" w:rsidRDefault="0026728A" w:rsidP="0026728A">
            <w:pPr>
              <w:spacing w:after="0"/>
              <w:rPr>
                <w:rFonts w:ascii="Verdana" w:eastAsia="Times New Roman" w:hAnsi="Verdana" w:cs="Arial"/>
                <w:sz w:val="20"/>
                <w:szCs w:val="20"/>
                <w:lang w:eastAsia="en-GB"/>
              </w:rPr>
            </w:pPr>
          </w:p>
          <w:p w14:paraId="35A0CBF4" w14:textId="77777777" w:rsidR="0026728A" w:rsidRPr="00C15E87" w:rsidRDefault="0026728A" w:rsidP="0026728A">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26728A" w:rsidRPr="00F64CAB" w:rsidRDefault="0026728A" w:rsidP="0026728A">
            <w:pPr>
              <w:rPr>
                <w:rFonts w:ascii="Verdana" w:eastAsia="Times New Roman" w:hAnsi="Verdana" w:cs="Arial"/>
                <w:b/>
                <w:bCs/>
                <w:sz w:val="20"/>
                <w:szCs w:val="20"/>
                <w:lang w:val="en-US" w:eastAsia="en-GB"/>
              </w:rPr>
            </w:pPr>
          </w:p>
        </w:tc>
      </w:tr>
      <w:tr w:rsidR="0026728A"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26728A" w:rsidRPr="00F64CAB" w:rsidRDefault="0026728A" w:rsidP="0026728A">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26728A" w:rsidRPr="00F64CAB" w:rsidRDefault="0026728A" w:rsidP="0026728A">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26728A"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26728A" w:rsidRDefault="0026728A" w:rsidP="0026728A">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26728A" w:rsidRPr="00F64CAB" w:rsidRDefault="0026728A" w:rsidP="0026728A">
            <w:pPr>
              <w:spacing w:after="0"/>
              <w:jc w:val="both"/>
              <w:rPr>
                <w:rFonts w:ascii="Verdana" w:eastAsia="Times New Roman" w:hAnsi="Verdana" w:cs="Arial"/>
                <w:b/>
                <w:bCs/>
                <w:sz w:val="20"/>
                <w:szCs w:val="20"/>
                <w:lang w:val="en-US" w:eastAsia="en-GB"/>
              </w:rPr>
            </w:pPr>
          </w:p>
        </w:tc>
      </w:tr>
      <w:tr w:rsidR="0026728A"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26728A" w:rsidRPr="00F64CAB" w:rsidRDefault="0026728A" w:rsidP="0026728A">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26728A" w:rsidRPr="00F64CAB" w:rsidRDefault="0026728A" w:rsidP="0026728A">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26728A"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26728A" w:rsidRDefault="0026728A" w:rsidP="0026728A">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26728A" w:rsidRPr="00F64CAB" w:rsidRDefault="0026728A" w:rsidP="0026728A">
            <w:pPr>
              <w:spacing w:after="0"/>
              <w:jc w:val="both"/>
              <w:rPr>
                <w:rFonts w:ascii="Verdana" w:eastAsia="Times New Roman" w:hAnsi="Verdana" w:cs="Arial"/>
                <w:sz w:val="20"/>
                <w:szCs w:val="20"/>
                <w:lang w:val="en-US" w:eastAsia="en-GB"/>
              </w:rPr>
            </w:pPr>
          </w:p>
        </w:tc>
      </w:tr>
      <w:tr w:rsidR="0026728A"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26728A" w:rsidRPr="00F64CAB" w:rsidRDefault="0026728A" w:rsidP="0026728A">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26728A" w:rsidRPr="00F64CAB" w:rsidRDefault="0026728A" w:rsidP="0026728A">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26728A"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26728A" w:rsidRDefault="0026728A" w:rsidP="0026728A">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26728A" w:rsidRPr="00F64CAB" w:rsidRDefault="0026728A" w:rsidP="0026728A">
            <w:pPr>
              <w:spacing w:after="0"/>
              <w:jc w:val="both"/>
              <w:rPr>
                <w:rFonts w:ascii="Verdana" w:eastAsia="Times New Roman" w:hAnsi="Verdana" w:cs="Arial"/>
                <w:sz w:val="20"/>
                <w:szCs w:val="20"/>
                <w:lang w:val="en-US" w:eastAsia="en-GB"/>
              </w:rPr>
            </w:pPr>
          </w:p>
        </w:tc>
      </w:tr>
      <w:tr w:rsidR="0026728A"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26728A" w:rsidRPr="00F64CAB" w:rsidRDefault="0026728A" w:rsidP="0026728A">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26728A" w:rsidRDefault="0026728A" w:rsidP="0026728A">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26728A" w:rsidRPr="003A5562" w:rsidRDefault="0026728A" w:rsidP="0026728A">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26728A"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26728A" w:rsidRPr="00F64CAB" w:rsidRDefault="0026728A" w:rsidP="0026728A">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724746" w:rsidRPr="00F64CAB" w14:paraId="0172EF1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E980B26" w14:textId="3E73A8E3" w:rsidR="00724746" w:rsidRPr="008C2EFF" w:rsidRDefault="00724746" w:rsidP="0026728A">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9F0AEE8" w14:textId="19592F7F" w:rsidR="00724746" w:rsidRPr="008C2EFF" w:rsidRDefault="00724746" w:rsidP="0026728A">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 xml:space="preserve">If applicable, indicate any envisaged provider or implementing partner of technical support measures (please do not provide names of private providers). Include the reasoning behind and explanations as to their </w:t>
            </w:r>
            <w:r>
              <w:rPr>
                <w:rFonts w:ascii="Verdana" w:eastAsia="Times New Roman" w:hAnsi="Verdana" w:cs="Arial"/>
                <w:b/>
                <w:bCs/>
                <w:sz w:val="20"/>
                <w:szCs w:val="20"/>
                <w:lang w:val="en-US" w:eastAsia="en-GB"/>
              </w:rPr>
              <w:lastRenderedPageBreak/>
              <w:t>know-how/capacity.</w:t>
            </w:r>
          </w:p>
        </w:tc>
      </w:tr>
      <w:tr w:rsidR="00724746" w:rsidRPr="00F64CAB" w14:paraId="4367F0E3" w14:textId="77777777" w:rsidTr="0072474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028AC54" w14:textId="06A324AA" w:rsidR="00724746" w:rsidRPr="008C2EFF" w:rsidRDefault="00724746" w:rsidP="0026728A">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lastRenderedPageBreak/>
              <w:t>[Insert Text; between 50-100 words]</w:t>
            </w:r>
          </w:p>
        </w:tc>
      </w:tr>
      <w:tr w:rsidR="0026728A"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7FEECA6E" w:rsidR="0026728A" w:rsidRPr="008C2EFF" w:rsidRDefault="0026728A" w:rsidP="0026728A">
            <w:pPr>
              <w:pStyle w:val="Text2"/>
              <w:spacing w:after="0"/>
              <w:ind w:left="0"/>
              <w:rPr>
                <w:rFonts w:ascii="Verdana" w:hAnsi="Verdana" w:cs="Arial"/>
                <w:b/>
                <w:bCs/>
                <w:sz w:val="20"/>
                <w:szCs w:val="20"/>
              </w:rPr>
            </w:pPr>
            <w:r w:rsidRPr="008C2EFF">
              <w:rPr>
                <w:rFonts w:ascii="Verdana" w:hAnsi="Verdana" w:cs="Arial"/>
                <w:b/>
                <w:bCs/>
                <w:sz w:val="20"/>
                <w:szCs w:val="20"/>
              </w:rPr>
              <w:t>2.</w:t>
            </w:r>
            <w:r w:rsidR="00724746">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26728A" w:rsidRPr="008C2EFF" w:rsidRDefault="0026728A" w:rsidP="0026728A">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26728A"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26728A" w:rsidRPr="008C2EFF" w:rsidRDefault="0026728A" w:rsidP="0026728A">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26728A"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1A1C1A2B" w:rsidR="0026728A" w:rsidRPr="008C2EFF" w:rsidRDefault="0026728A" w:rsidP="0026728A">
            <w:pPr>
              <w:pStyle w:val="Text2"/>
              <w:spacing w:after="0"/>
              <w:ind w:left="0"/>
              <w:rPr>
                <w:rFonts w:ascii="Verdana" w:hAnsi="Verdana" w:cs="Arial"/>
                <w:b/>
                <w:bCs/>
                <w:sz w:val="20"/>
                <w:szCs w:val="20"/>
              </w:rPr>
            </w:pPr>
            <w:r w:rsidRPr="008C2EFF">
              <w:rPr>
                <w:rFonts w:ascii="Verdana" w:hAnsi="Verdana" w:cs="Arial"/>
                <w:b/>
                <w:bCs/>
                <w:sz w:val="20"/>
                <w:szCs w:val="20"/>
              </w:rPr>
              <w:t>2.</w:t>
            </w:r>
            <w:r w:rsidR="00724746">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26728A" w:rsidRPr="008C2EFF" w:rsidRDefault="0026728A" w:rsidP="0026728A">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26728A"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26728A" w:rsidRPr="008C2EFF" w:rsidRDefault="0026728A" w:rsidP="0026728A">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26728A"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6B7AF3A6" w:rsidR="0026728A" w:rsidRPr="008C2EFF" w:rsidRDefault="0026728A" w:rsidP="0026728A">
            <w:pPr>
              <w:pStyle w:val="Text2"/>
              <w:spacing w:after="0"/>
              <w:ind w:left="0"/>
              <w:rPr>
                <w:rFonts w:ascii="Verdana" w:hAnsi="Verdana" w:cs="Arial"/>
                <w:b/>
                <w:bCs/>
                <w:sz w:val="20"/>
                <w:szCs w:val="20"/>
              </w:rPr>
            </w:pPr>
            <w:r w:rsidRPr="008C2EFF">
              <w:rPr>
                <w:rFonts w:ascii="Verdana" w:hAnsi="Verdana" w:cs="Arial"/>
                <w:b/>
                <w:bCs/>
                <w:sz w:val="20"/>
                <w:szCs w:val="20"/>
              </w:rPr>
              <w:t>2.</w:t>
            </w:r>
            <w:r w:rsidR="00724746">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26728A" w:rsidRPr="008C2EFF" w:rsidRDefault="0026728A" w:rsidP="0026728A">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26728A"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26728A" w:rsidRPr="008C2EFF" w:rsidRDefault="0026728A" w:rsidP="0026728A">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657CA1"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657CA1"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657CA1"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657CA1"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657CA1"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lastRenderedPageBreak/>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657CA1"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657CA1"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657CA1"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657CA1"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657CA1"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657CA1"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lastRenderedPageBreak/>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w:t>
            </w:r>
            <w:r w:rsidRPr="00E84FE8">
              <w:rPr>
                <w:rFonts w:ascii="Verdana" w:hAnsi="Verdana" w:cs="Arial"/>
                <w:sz w:val="20"/>
                <w:szCs w:val="20"/>
              </w:rPr>
              <w:lastRenderedPageBreak/>
              <w:t xml:space="preserve">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lastRenderedPageBreak/>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bookmarkEnd w:id="0"/>
    </w:tbl>
    <w:p w14:paraId="619CD694" w14:textId="29B83C1D" w:rsidR="00A752AF" w:rsidRPr="0011674B" w:rsidRDefault="00A752AF" w:rsidP="0011674B">
      <w:pPr>
        <w:jc w:val="both"/>
        <w:rPr>
          <w:rFonts w:ascii="Verdana" w:hAnsi="Verdana"/>
          <w:b/>
          <w:sz w:val="20"/>
        </w:rPr>
      </w:pPr>
    </w:p>
    <w:sectPr w:rsidR="00A752AF" w:rsidRPr="0011674B"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915A11" w:rsidRDefault="00915A11" w:rsidP="00EE6AE0">
      <w:pPr>
        <w:spacing w:after="0" w:line="240" w:lineRule="auto"/>
      </w:pPr>
      <w:r>
        <w:separator/>
      </w:r>
    </w:p>
  </w:endnote>
  <w:endnote w:type="continuationSeparator" w:id="0">
    <w:p w14:paraId="300ECC39" w14:textId="77777777" w:rsidR="00915A11" w:rsidRDefault="00915A11" w:rsidP="00EE6AE0">
      <w:pPr>
        <w:spacing w:after="0" w:line="240" w:lineRule="auto"/>
      </w:pPr>
      <w:r>
        <w:continuationSeparator/>
      </w:r>
    </w:p>
  </w:endnote>
  <w:endnote w:type="continuationNotice" w:id="1">
    <w:p w14:paraId="7A6C72DD" w14:textId="77777777" w:rsidR="00915A11" w:rsidRDefault="00915A11">
      <w:pPr>
        <w:spacing w:after="0" w:line="240" w:lineRule="auto"/>
      </w:pPr>
    </w:p>
  </w:endnote>
  <w:endnote w:id="2">
    <w:p w14:paraId="7A1EDC16" w14:textId="3033F1B1" w:rsidR="00915A11" w:rsidRPr="00F60328" w:rsidRDefault="00915A11"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915A11" w:rsidRDefault="0091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1ABE83DD" w:rsidR="00915A11" w:rsidRDefault="00915A11">
        <w:pPr>
          <w:pStyle w:val="Footer"/>
          <w:jc w:val="right"/>
        </w:pPr>
        <w:r>
          <w:fldChar w:fldCharType="begin"/>
        </w:r>
        <w:r>
          <w:instrText xml:space="preserve"> PAGE   \* MERGEFORMAT </w:instrText>
        </w:r>
        <w:r>
          <w:fldChar w:fldCharType="separate"/>
        </w:r>
        <w:r w:rsidR="00724746">
          <w:rPr>
            <w:noProof/>
          </w:rPr>
          <w:t>8</w:t>
        </w:r>
        <w:r>
          <w:rPr>
            <w:noProof/>
          </w:rPr>
          <w:fldChar w:fldCharType="end"/>
        </w:r>
      </w:p>
    </w:sdtContent>
  </w:sdt>
  <w:p w14:paraId="18949379" w14:textId="77777777" w:rsidR="00915A11" w:rsidRDefault="00915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915A11" w:rsidRDefault="00915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915A11" w:rsidRDefault="00915A11" w:rsidP="00EE6AE0">
      <w:pPr>
        <w:spacing w:after="0" w:line="240" w:lineRule="auto"/>
      </w:pPr>
      <w:r>
        <w:separator/>
      </w:r>
    </w:p>
  </w:footnote>
  <w:footnote w:type="continuationSeparator" w:id="0">
    <w:p w14:paraId="74AC8B31" w14:textId="77777777" w:rsidR="00915A11" w:rsidRDefault="00915A11" w:rsidP="00EE6AE0">
      <w:pPr>
        <w:spacing w:after="0" w:line="240" w:lineRule="auto"/>
      </w:pPr>
      <w:r>
        <w:continuationSeparator/>
      </w:r>
    </w:p>
  </w:footnote>
  <w:footnote w:type="continuationNotice" w:id="1">
    <w:p w14:paraId="27404E37" w14:textId="77777777" w:rsidR="00915A11" w:rsidRDefault="00915A11">
      <w:pPr>
        <w:spacing w:after="0" w:line="240" w:lineRule="auto"/>
      </w:pPr>
    </w:p>
  </w:footnote>
  <w:footnote w:id="2">
    <w:p w14:paraId="4E2C912F" w14:textId="77777777" w:rsidR="00915A11" w:rsidRPr="0047408E" w:rsidRDefault="00915A11">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0D9B6066" w14:textId="404B2348" w:rsidR="00031DC0" w:rsidRPr="00031DC0" w:rsidRDefault="00031DC0" w:rsidP="00B76E9A">
      <w:pPr>
        <w:pStyle w:val="FootnoteText"/>
        <w:ind w:left="142" w:hanging="142"/>
      </w:pPr>
      <w:r>
        <w:rPr>
          <w:rStyle w:val="FootnoteReference"/>
        </w:rPr>
        <w:footnoteRef/>
      </w:r>
      <w:r>
        <w:t xml:space="preserve"> </w:t>
      </w:r>
      <w:r w:rsidRPr="00031DC0">
        <w:t>Communication on 'Fit for 55': delivering the EU's 2030 Climate Target on the way to climate neutrality COM/2021/550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915A11" w:rsidRDefault="0091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915A11" w:rsidRPr="00FA4464" w:rsidRDefault="00915A11"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915A11" w:rsidRDefault="00915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915A11" w:rsidRDefault="0091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2D6C4334"/>
    <w:multiLevelType w:val="hybridMultilevel"/>
    <w:tmpl w:val="5858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19AD"/>
    <w:multiLevelType w:val="hybridMultilevel"/>
    <w:tmpl w:val="4F607E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849A5"/>
    <w:multiLevelType w:val="hybridMultilevel"/>
    <w:tmpl w:val="1CC2953C"/>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17"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D5B3B9A"/>
    <w:multiLevelType w:val="multilevel"/>
    <w:tmpl w:val="6738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67260"/>
    <w:multiLevelType w:val="hybridMultilevel"/>
    <w:tmpl w:val="2960B766"/>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A5FB3"/>
    <w:multiLevelType w:val="hybridMultilevel"/>
    <w:tmpl w:val="49022D70"/>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4944623">
    <w:abstractNumId w:val="2"/>
  </w:num>
  <w:num w:numId="2" w16cid:durableId="2084141475">
    <w:abstractNumId w:val="5"/>
  </w:num>
  <w:num w:numId="3" w16cid:durableId="216823677">
    <w:abstractNumId w:val="4"/>
  </w:num>
  <w:num w:numId="4" w16cid:durableId="656424361">
    <w:abstractNumId w:val="26"/>
  </w:num>
  <w:num w:numId="5" w16cid:durableId="407045365">
    <w:abstractNumId w:val="7"/>
  </w:num>
  <w:num w:numId="6" w16cid:durableId="1669551963">
    <w:abstractNumId w:val="8"/>
  </w:num>
  <w:num w:numId="7" w16cid:durableId="280839859">
    <w:abstractNumId w:val="10"/>
  </w:num>
  <w:num w:numId="8" w16cid:durableId="380642627">
    <w:abstractNumId w:val="24"/>
  </w:num>
  <w:num w:numId="9" w16cid:durableId="1291745867">
    <w:abstractNumId w:val="21"/>
  </w:num>
  <w:num w:numId="10" w16cid:durableId="842354646">
    <w:abstractNumId w:val="14"/>
  </w:num>
  <w:num w:numId="11" w16cid:durableId="14039318">
    <w:abstractNumId w:val="18"/>
  </w:num>
  <w:num w:numId="12" w16cid:durableId="749616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383590">
    <w:abstractNumId w:val="3"/>
  </w:num>
  <w:num w:numId="14" w16cid:durableId="1572160745">
    <w:abstractNumId w:val="13"/>
  </w:num>
  <w:num w:numId="15" w16cid:durableId="1634751856">
    <w:abstractNumId w:val="0"/>
  </w:num>
  <w:num w:numId="16" w16cid:durableId="2096701654">
    <w:abstractNumId w:val="17"/>
  </w:num>
  <w:num w:numId="17" w16cid:durableId="232813652">
    <w:abstractNumId w:val="1"/>
  </w:num>
  <w:num w:numId="18" w16cid:durableId="992219382">
    <w:abstractNumId w:val="6"/>
  </w:num>
  <w:num w:numId="19" w16cid:durableId="2133791782">
    <w:abstractNumId w:val="22"/>
  </w:num>
  <w:num w:numId="20" w16cid:durableId="2120908739">
    <w:abstractNumId w:val="16"/>
  </w:num>
  <w:num w:numId="21" w16cid:durableId="1327783789">
    <w:abstractNumId w:val="23"/>
  </w:num>
  <w:num w:numId="22" w16cid:durableId="72509286">
    <w:abstractNumId w:val="12"/>
  </w:num>
  <w:num w:numId="23" w16cid:durableId="555311505">
    <w:abstractNumId w:val="11"/>
  </w:num>
  <w:num w:numId="24" w16cid:durableId="1561593472">
    <w:abstractNumId w:val="25"/>
  </w:num>
  <w:num w:numId="25" w16cid:durableId="1209415487">
    <w:abstractNumId w:val="20"/>
  </w:num>
  <w:num w:numId="26" w16cid:durableId="2146309152">
    <w:abstractNumId w:val="15"/>
  </w:num>
  <w:num w:numId="27" w16cid:durableId="170802385">
    <w:abstractNumId w:val="9"/>
  </w:num>
  <w:num w:numId="28" w16cid:durableId="1052801670">
    <w:abstractNumId w:val="19"/>
  </w:num>
  <w:num w:numId="29" w16cid:durableId="105913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06B15"/>
    <w:rsid w:val="0000742B"/>
    <w:rsid w:val="000100A4"/>
    <w:rsid w:val="00010D04"/>
    <w:rsid w:val="000135BB"/>
    <w:rsid w:val="00013D60"/>
    <w:rsid w:val="0001491A"/>
    <w:rsid w:val="00014BD4"/>
    <w:rsid w:val="00016208"/>
    <w:rsid w:val="0001731C"/>
    <w:rsid w:val="000202F7"/>
    <w:rsid w:val="00025F52"/>
    <w:rsid w:val="00031DC0"/>
    <w:rsid w:val="00032090"/>
    <w:rsid w:val="00036D70"/>
    <w:rsid w:val="00037D40"/>
    <w:rsid w:val="000433AC"/>
    <w:rsid w:val="00045DD2"/>
    <w:rsid w:val="00047AF3"/>
    <w:rsid w:val="00052F40"/>
    <w:rsid w:val="00054544"/>
    <w:rsid w:val="000573A6"/>
    <w:rsid w:val="00060746"/>
    <w:rsid w:val="00060B9E"/>
    <w:rsid w:val="00062713"/>
    <w:rsid w:val="000703CC"/>
    <w:rsid w:val="00071AC4"/>
    <w:rsid w:val="00073CEF"/>
    <w:rsid w:val="00080242"/>
    <w:rsid w:val="00084951"/>
    <w:rsid w:val="0008727F"/>
    <w:rsid w:val="00087BC9"/>
    <w:rsid w:val="00087D96"/>
    <w:rsid w:val="000A0FAA"/>
    <w:rsid w:val="000A3888"/>
    <w:rsid w:val="000A48F1"/>
    <w:rsid w:val="000A6292"/>
    <w:rsid w:val="000A7759"/>
    <w:rsid w:val="000B0B04"/>
    <w:rsid w:val="000B0B42"/>
    <w:rsid w:val="000B63C0"/>
    <w:rsid w:val="000B6CF7"/>
    <w:rsid w:val="000C5361"/>
    <w:rsid w:val="000C612B"/>
    <w:rsid w:val="000D06F2"/>
    <w:rsid w:val="000D0926"/>
    <w:rsid w:val="000D25FF"/>
    <w:rsid w:val="000D5A14"/>
    <w:rsid w:val="000E0C93"/>
    <w:rsid w:val="000E0E25"/>
    <w:rsid w:val="000E1567"/>
    <w:rsid w:val="000E57D0"/>
    <w:rsid w:val="000F257B"/>
    <w:rsid w:val="000F5BC6"/>
    <w:rsid w:val="000F67D3"/>
    <w:rsid w:val="000F6884"/>
    <w:rsid w:val="001056AC"/>
    <w:rsid w:val="001060ED"/>
    <w:rsid w:val="00106160"/>
    <w:rsid w:val="001127D2"/>
    <w:rsid w:val="001152AE"/>
    <w:rsid w:val="0011674B"/>
    <w:rsid w:val="00117A61"/>
    <w:rsid w:val="00123EA4"/>
    <w:rsid w:val="001240F8"/>
    <w:rsid w:val="00126003"/>
    <w:rsid w:val="00127287"/>
    <w:rsid w:val="00130D40"/>
    <w:rsid w:val="00132A25"/>
    <w:rsid w:val="00140C8E"/>
    <w:rsid w:val="001427C5"/>
    <w:rsid w:val="00145C07"/>
    <w:rsid w:val="00154168"/>
    <w:rsid w:val="0015773E"/>
    <w:rsid w:val="00163FA5"/>
    <w:rsid w:val="001644F6"/>
    <w:rsid w:val="00170569"/>
    <w:rsid w:val="0017179C"/>
    <w:rsid w:val="001722E2"/>
    <w:rsid w:val="00173710"/>
    <w:rsid w:val="00177BB5"/>
    <w:rsid w:val="0018295F"/>
    <w:rsid w:val="00186D3F"/>
    <w:rsid w:val="00187FF6"/>
    <w:rsid w:val="001924BA"/>
    <w:rsid w:val="00193469"/>
    <w:rsid w:val="001977ED"/>
    <w:rsid w:val="001A0B00"/>
    <w:rsid w:val="001A5290"/>
    <w:rsid w:val="001A6C1A"/>
    <w:rsid w:val="001A7979"/>
    <w:rsid w:val="001B3A5B"/>
    <w:rsid w:val="001B3D7E"/>
    <w:rsid w:val="001B4CA4"/>
    <w:rsid w:val="001B6A3A"/>
    <w:rsid w:val="001B6E02"/>
    <w:rsid w:val="001C1AB3"/>
    <w:rsid w:val="001C2730"/>
    <w:rsid w:val="001C44E8"/>
    <w:rsid w:val="001D017F"/>
    <w:rsid w:val="001D1620"/>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6728A"/>
    <w:rsid w:val="00270E0E"/>
    <w:rsid w:val="00271C51"/>
    <w:rsid w:val="00271C71"/>
    <w:rsid w:val="002738E2"/>
    <w:rsid w:val="0028448B"/>
    <w:rsid w:val="002848DC"/>
    <w:rsid w:val="00286CA3"/>
    <w:rsid w:val="00292CD3"/>
    <w:rsid w:val="00295EAD"/>
    <w:rsid w:val="00297F87"/>
    <w:rsid w:val="002A6200"/>
    <w:rsid w:val="002B5F8E"/>
    <w:rsid w:val="002B703C"/>
    <w:rsid w:val="002C02B1"/>
    <w:rsid w:val="002C11A9"/>
    <w:rsid w:val="002C449C"/>
    <w:rsid w:val="002C5913"/>
    <w:rsid w:val="002D64D2"/>
    <w:rsid w:val="002D670E"/>
    <w:rsid w:val="002E3AFF"/>
    <w:rsid w:val="002F1566"/>
    <w:rsid w:val="002F4656"/>
    <w:rsid w:val="002F712F"/>
    <w:rsid w:val="00300A4B"/>
    <w:rsid w:val="003018BC"/>
    <w:rsid w:val="00305060"/>
    <w:rsid w:val="003061EF"/>
    <w:rsid w:val="003065BC"/>
    <w:rsid w:val="00320931"/>
    <w:rsid w:val="0032586D"/>
    <w:rsid w:val="00326FF9"/>
    <w:rsid w:val="0033195E"/>
    <w:rsid w:val="00331A8D"/>
    <w:rsid w:val="00336C9F"/>
    <w:rsid w:val="003448F1"/>
    <w:rsid w:val="00347344"/>
    <w:rsid w:val="003508A6"/>
    <w:rsid w:val="00351D5C"/>
    <w:rsid w:val="00356CC4"/>
    <w:rsid w:val="0035718D"/>
    <w:rsid w:val="003571E6"/>
    <w:rsid w:val="00377808"/>
    <w:rsid w:val="003802CB"/>
    <w:rsid w:val="00380899"/>
    <w:rsid w:val="00380C31"/>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A65CB"/>
    <w:rsid w:val="003B077A"/>
    <w:rsid w:val="003B3BB0"/>
    <w:rsid w:val="003C2FAD"/>
    <w:rsid w:val="003C4F83"/>
    <w:rsid w:val="003C5A57"/>
    <w:rsid w:val="003C6E67"/>
    <w:rsid w:val="003D06A2"/>
    <w:rsid w:val="003D3A3D"/>
    <w:rsid w:val="003D4D40"/>
    <w:rsid w:val="003D5E2B"/>
    <w:rsid w:val="003D68FB"/>
    <w:rsid w:val="003D7B7B"/>
    <w:rsid w:val="003E0249"/>
    <w:rsid w:val="003E0A87"/>
    <w:rsid w:val="003E3E6E"/>
    <w:rsid w:val="003F34D5"/>
    <w:rsid w:val="003F68D7"/>
    <w:rsid w:val="004019E1"/>
    <w:rsid w:val="00404E6D"/>
    <w:rsid w:val="004051A0"/>
    <w:rsid w:val="00405A02"/>
    <w:rsid w:val="00405D81"/>
    <w:rsid w:val="00410166"/>
    <w:rsid w:val="00410FFA"/>
    <w:rsid w:val="00412B20"/>
    <w:rsid w:val="00412CB4"/>
    <w:rsid w:val="00414364"/>
    <w:rsid w:val="004146B0"/>
    <w:rsid w:val="0041552D"/>
    <w:rsid w:val="00420A19"/>
    <w:rsid w:val="0042111B"/>
    <w:rsid w:val="00431136"/>
    <w:rsid w:val="00434040"/>
    <w:rsid w:val="00434B92"/>
    <w:rsid w:val="0044533F"/>
    <w:rsid w:val="0044775D"/>
    <w:rsid w:val="00447B04"/>
    <w:rsid w:val="00450562"/>
    <w:rsid w:val="004519D5"/>
    <w:rsid w:val="00463F74"/>
    <w:rsid w:val="00471F42"/>
    <w:rsid w:val="0047305E"/>
    <w:rsid w:val="0047408E"/>
    <w:rsid w:val="00474C8C"/>
    <w:rsid w:val="00477CA5"/>
    <w:rsid w:val="00480822"/>
    <w:rsid w:val="00483128"/>
    <w:rsid w:val="00485788"/>
    <w:rsid w:val="00490741"/>
    <w:rsid w:val="00491980"/>
    <w:rsid w:val="004924BB"/>
    <w:rsid w:val="004A36BA"/>
    <w:rsid w:val="004A44F0"/>
    <w:rsid w:val="004A6C1B"/>
    <w:rsid w:val="004B2508"/>
    <w:rsid w:val="004B2A29"/>
    <w:rsid w:val="004B3274"/>
    <w:rsid w:val="004B34AE"/>
    <w:rsid w:val="004B5E1D"/>
    <w:rsid w:val="004C3C68"/>
    <w:rsid w:val="004D2640"/>
    <w:rsid w:val="004D485E"/>
    <w:rsid w:val="004E2E17"/>
    <w:rsid w:val="004F00EB"/>
    <w:rsid w:val="004F799C"/>
    <w:rsid w:val="005074AF"/>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585B"/>
    <w:rsid w:val="006161CE"/>
    <w:rsid w:val="006227C2"/>
    <w:rsid w:val="0062328B"/>
    <w:rsid w:val="00626265"/>
    <w:rsid w:val="006262E0"/>
    <w:rsid w:val="00626C81"/>
    <w:rsid w:val="006319C5"/>
    <w:rsid w:val="00632580"/>
    <w:rsid w:val="006370FD"/>
    <w:rsid w:val="006425CE"/>
    <w:rsid w:val="00646298"/>
    <w:rsid w:val="00650695"/>
    <w:rsid w:val="00656307"/>
    <w:rsid w:val="00656BE6"/>
    <w:rsid w:val="00657CA1"/>
    <w:rsid w:val="006648D2"/>
    <w:rsid w:val="00667807"/>
    <w:rsid w:val="00670295"/>
    <w:rsid w:val="00677A34"/>
    <w:rsid w:val="006864AE"/>
    <w:rsid w:val="006874CA"/>
    <w:rsid w:val="00693EFF"/>
    <w:rsid w:val="00694197"/>
    <w:rsid w:val="00696AEE"/>
    <w:rsid w:val="006979CD"/>
    <w:rsid w:val="006A3BAA"/>
    <w:rsid w:val="006A4CF2"/>
    <w:rsid w:val="006B4E8B"/>
    <w:rsid w:val="006B5BE4"/>
    <w:rsid w:val="006B6BFF"/>
    <w:rsid w:val="006C1FBD"/>
    <w:rsid w:val="006D04FD"/>
    <w:rsid w:val="006D4F1C"/>
    <w:rsid w:val="006D5913"/>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746"/>
    <w:rsid w:val="0072487E"/>
    <w:rsid w:val="007267FF"/>
    <w:rsid w:val="0073016D"/>
    <w:rsid w:val="00731204"/>
    <w:rsid w:val="00731789"/>
    <w:rsid w:val="007336D0"/>
    <w:rsid w:val="007353E2"/>
    <w:rsid w:val="00736FCB"/>
    <w:rsid w:val="00741C91"/>
    <w:rsid w:val="00745037"/>
    <w:rsid w:val="0074774C"/>
    <w:rsid w:val="00751662"/>
    <w:rsid w:val="00756C93"/>
    <w:rsid w:val="0076002F"/>
    <w:rsid w:val="00762EAE"/>
    <w:rsid w:val="00765249"/>
    <w:rsid w:val="00765C35"/>
    <w:rsid w:val="00766EC1"/>
    <w:rsid w:val="00775D1C"/>
    <w:rsid w:val="00783A7A"/>
    <w:rsid w:val="00783D15"/>
    <w:rsid w:val="0078425F"/>
    <w:rsid w:val="00784DDF"/>
    <w:rsid w:val="00786BF7"/>
    <w:rsid w:val="00787E9D"/>
    <w:rsid w:val="007911D4"/>
    <w:rsid w:val="007A1609"/>
    <w:rsid w:val="007A2C4C"/>
    <w:rsid w:val="007A2DB5"/>
    <w:rsid w:val="007B061E"/>
    <w:rsid w:val="007B0E72"/>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2C6"/>
    <w:rsid w:val="008054D1"/>
    <w:rsid w:val="00805A85"/>
    <w:rsid w:val="00807ED1"/>
    <w:rsid w:val="00810AA6"/>
    <w:rsid w:val="00816654"/>
    <w:rsid w:val="008256C7"/>
    <w:rsid w:val="00833A74"/>
    <w:rsid w:val="00840332"/>
    <w:rsid w:val="0084345E"/>
    <w:rsid w:val="008455EB"/>
    <w:rsid w:val="00845604"/>
    <w:rsid w:val="0084652C"/>
    <w:rsid w:val="0085036E"/>
    <w:rsid w:val="00852E8E"/>
    <w:rsid w:val="00854A82"/>
    <w:rsid w:val="00860C8C"/>
    <w:rsid w:val="008638C4"/>
    <w:rsid w:val="00866E39"/>
    <w:rsid w:val="008737FC"/>
    <w:rsid w:val="00875BC5"/>
    <w:rsid w:val="00884486"/>
    <w:rsid w:val="00890119"/>
    <w:rsid w:val="0089219C"/>
    <w:rsid w:val="00894643"/>
    <w:rsid w:val="00895291"/>
    <w:rsid w:val="008A2C86"/>
    <w:rsid w:val="008A46ED"/>
    <w:rsid w:val="008A4D75"/>
    <w:rsid w:val="008A4D8E"/>
    <w:rsid w:val="008A4DC9"/>
    <w:rsid w:val="008A787C"/>
    <w:rsid w:val="008B0DFC"/>
    <w:rsid w:val="008B3127"/>
    <w:rsid w:val="008B492C"/>
    <w:rsid w:val="008C164A"/>
    <w:rsid w:val="008C2A80"/>
    <w:rsid w:val="008C2EFF"/>
    <w:rsid w:val="008D74DA"/>
    <w:rsid w:val="008D7F0D"/>
    <w:rsid w:val="008E0A79"/>
    <w:rsid w:val="008F7E04"/>
    <w:rsid w:val="00900E61"/>
    <w:rsid w:val="0090180B"/>
    <w:rsid w:val="00905CDE"/>
    <w:rsid w:val="00906136"/>
    <w:rsid w:val="0090678A"/>
    <w:rsid w:val="00912B2D"/>
    <w:rsid w:val="00914465"/>
    <w:rsid w:val="00915A11"/>
    <w:rsid w:val="009165E1"/>
    <w:rsid w:val="009174E2"/>
    <w:rsid w:val="009226A6"/>
    <w:rsid w:val="0092612D"/>
    <w:rsid w:val="009338B9"/>
    <w:rsid w:val="00935657"/>
    <w:rsid w:val="00936A93"/>
    <w:rsid w:val="00937AC0"/>
    <w:rsid w:val="00940AAD"/>
    <w:rsid w:val="00940EB6"/>
    <w:rsid w:val="009435EE"/>
    <w:rsid w:val="00946DF0"/>
    <w:rsid w:val="00953A8B"/>
    <w:rsid w:val="00956321"/>
    <w:rsid w:val="00961AAB"/>
    <w:rsid w:val="00962426"/>
    <w:rsid w:val="00962F61"/>
    <w:rsid w:val="00965374"/>
    <w:rsid w:val="00972619"/>
    <w:rsid w:val="0097568F"/>
    <w:rsid w:val="00982E93"/>
    <w:rsid w:val="00984960"/>
    <w:rsid w:val="009866B1"/>
    <w:rsid w:val="00997319"/>
    <w:rsid w:val="009A500A"/>
    <w:rsid w:val="009B1C73"/>
    <w:rsid w:val="009B5DA5"/>
    <w:rsid w:val="009C133C"/>
    <w:rsid w:val="009C25C6"/>
    <w:rsid w:val="009C31F7"/>
    <w:rsid w:val="009C4676"/>
    <w:rsid w:val="009C6DD4"/>
    <w:rsid w:val="009C72DD"/>
    <w:rsid w:val="009D1D3E"/>
    <w:rsid w:val="009D2B8D"/>
    <w:rsid w:val="009E1C0A"/>
    <w:rsid w:val="009E2AB7"/>
    <w:rsid w:val="009E3306"/>
    <w:rsid w:val="009E33A8"/>
    <w:rsid w:val="009F0856"/>
    <w:rsid w:val="009F2561"/>
    <w:rsid w:val="009F3D97"/>
    <w:rsid w:val="00A008E6"/>
    <w:rsid w:val="00A00921"/>
    <w:rsid w:val="00A06932"/>
    <w:rsid w:val="00A07817"/>
    <w:rsid w:val="00A10390"/>
    <w:rsid w:val="00A108DE"/>
    <w:rsid w:val="00A11C3D"/>
    <w:rsid w:val="00A12619"/>
    <w:rsid w:val="00A138DE"/>
    <w:rsid w:val="00A2151A"/>
    <w:rsid w:val="00A3118E"/>
    <w:rsid w:val="00A3620D"/>
    <w:rsid w:val="00A4640A"/>
    <w:rsid w:val="00A50355"/>
    <w:rsid w:val="00A50DD6"/>
    <w:rsid w:val="00A55814"/>
    <w:rsid w:val="00A60AD9"/>
    <w:rsid w:val="00A61EE1"/>
    <w:rsid w:val="00A6296E"/>
    <w:rsid w:val="00A63E64"/>
    <w:rsid w:val="00A64E53"/>
    <w:rsid w:val="00A669DF"/>
    <w:rsid w:val="00A7100F"/>
    <w:rsid w:val="00A72B53"/>
    <w:rsid w:val="00A73E9F"/>
    <w:rsid w:val="00A752AF"/>
    <w:rsid w:val="00A77664"/>
    <w:rsid w:val="00A8277E"/>
    <w:rsid w:val="00A86A83"/>
    <w:rsid w:val="00A915F0"/>
    <w:rsid w:val="00A9384D"/>
    <w:rsid w:val="00A95153"/>
    <w:rsid w:val="00A97C92"/>
    <w:rsid w:val="00AA0769"/>
    <w:rsid w:val="00AA3062"/>
    <w:rsid w:val="00AA43E1"/>
    <w:rsid w:val="00AA5A63"/>
    <w:rsid w:val="00AB3CCC"/>
    <w:rsid w:val="00AB72EA"/>
    <w:rsid w:val="00AB7D36"/>
    <w:rsid w:val="00AC3FFE"/>
    <w:rsid w:val="00AC7E95"/>
    <w:rsid w:val="00AD04D6"/>
    <w:rsid w:val="00AD2252"/>
    <w:rsid w:val="00AD2980"/>
    <w:rsid w:val="00AD3BC9"/>
    <w:rsid w:val="00AE3422"/>
    <w:rsid w:val="00AE388C"/>
    <w:rsid w:val="00AE4F74"/>
    <w:rsid w:val="00AF0831"/>
    <w:rsid w:val="00AF08B2"/>
    <w:rsid w:val="00B105B2"/>
    <w:rsid w:val="00B11516"/>
    <w:rsid w:val="00B11C31"/>
    <w:rsid w:val="00B1775D"/>
    <w:rsid w:val="00B241B1"/>
    <w:rsid w:val="00B26DE0"/>
    <w:rsid w:val="00B30305"/>
    <w:rsid w:val="00B304A4"/>
    <w:rsid w:val="00B31A32"/>
    <w:rsid w:val="00B320E5"/>
    <w:rsid w:val="00B41660"/>
    <w:rsid w:val="00B41AFF"/>
    <w:rsid w:val="00B42CE9"/>
    <w:rsid w:val="00B46999"/>
    <w:rsid w:val="00B50F3C"/>
    <w:rsid w:val="00B57B38"/>
    <w:rsid w:val="00B61EBA"/>
    <w:rsid w:val="00B673DF"/>
    <w:rsid w:val="00B74A52"/>
    <w:rsid w:val="00B76E9A"/>
    <w:rsid w:val="00B82655"/>
    <w:rsid w:val="00B90C21"/>
    <w:rsid w:val="00B91A80"/>
    <w:rsid w:val="00B9504D"/>
    <w:rsid w:val="00B974B9"/>
    <w:rsid w:val="00B97EB6"/>
    <w:rsid w:val="00BA13A5"/>
    <w:rsid w:val="00BA2FC2"/>
    <w:rsid w:val="00BA4ABF"/>
    <w:rsid w:val="00BA749B"/>
    <w:rsid w:val="00BB180F"/>
    <w:rsid w:val="00BB19CD"/>
    <w:rsid w:val="00BB27BC"/>
    <w:rsid w:val="00BB36A6"/>
    <w:rsid w:val="00BB4B21"/>
    <w:rsid w:val="00BB5C53"/>
    <w:rsid w:val="00BB7CF9"/>
    <w:rsid w:val="00BC4A69"/>
    <w:rsid w:val="00BC4DE2"/>
    <w:rsid w:val="00BD1C5F"/>
    <w:rsid w:val="00BD2D6A"/>
    <w:rsid w:val="00BD4922"/>
    <w:rsid w:val="00BD5082"/>
    <w:rsid w:val="00BE4F39"/>
    <w:rsid w:val="00BE556C"/>
    <w:rsid w:val="00BF3BF0"/>
    <w:rsid w:val="00BF3F85"/>
    <w:rsid w:val="00BF4345"/>
    <w:rsid w:val="00BF4619"/>
    <w:rsid w:val="00BF4FE2"/>
    <w:rsid w:val="00BF6092"/>
    <w:rsid w:val="00C10F59"/>
    <w:rsid w:val="00C15E87"/>
    <w:rsid w:val="00C21EA8"/>
    <w:rsid w:val="00C23927"/>
    <w:rsid w:val="00C244E5"/>
    <w:rsid w:val="00C31D13"/>
    <w:rsid w:val="00C33B2C"/>
    <w:rsid w:val="00C37707"/>
    <w:rsid w:val="00C4127D"/>
    <w:rsid w:val="00C414DB"/>
    <w:rsid w:val="00C435B9"/>
    <w:rsid w:val="00C45BD6"/>
    <w:rsid w:val="00C462EE"/>
    <w:rsid w:val="00C52F24"/>
    <w:rsid w:val="00C55217"/>
    <w:rsid w:val="00C63699"/>
    <w:rsid w:val="00C659FE"/>
    <w:rsid w:val="00C72BBE"/>
    <w:rsid w:val="00C7446E"/>
    <w:rsid w:val="00C8131F"/>
    <w:rsid w:val="00C83E77"/>
    <w:rsid w:val="00C878F5"/>
    <w:rsid w:val="00C91F4C"/>
    <w:rsid w:val="00C96D03"/>
    <w:rsid w:val="00CA33AA"/>
    <w:rsid w:val="00CA498B"/>
    <w:rsid w:val="00CA5055"/>
    <w:rsid w:val="00CA5DB7"/>
    <w:rsid w:val="00CB2B6A"/>
    <w:rsid w:val="00CB38BA"/>
    <w:rsid w:val="00CB7E84"/>
    <w:rsid w:val="00CC0BA2"/>
    <w:rsid w:val="00CC1798"/>
    <w:rsid w:val="00CC3229"/>
    <w:rsid w:val="00CC4817"/>
    <w:rsid w:val="00CC61F8"/>
    <w:rsid w:val="00CD4389"/>
    <w:rsid w:val="00CD73BD"/>
    <w:rsid w:val="00CD7801"/>
    <w:rsid w:val="00CE586A"/>
    <w:rsid w:val="00CE5E2C"/>
    <w:rsid w:val="00CE622B"/>
    <w:rsid w:val="00CE678C"/>
    <w:rsid w:val="00CF27BA"/>
    <w:rsid w:val="00CF2803"/>
    <w:rsid w:val="00CF3547"/>
    <w:rsid w:val="00CF4A3F"/>
    <w:rsid w:val="00CF7753"/>
    <w:rsid w:val="00D00C9D"/>
    <w:rsid w:val="00D07AAF"/>
    <w:rsid w:val="00D101BA"/>
    <w:rsid w:val="00D13858"/>
    <w:rsid w:val="00D1593E"/>
    <w:rsid w:val="00D171AF"/>
    <w:rsid w:val="00D2057A"/>
    <w:rsid w:val="00D22D5C"/>
    <w:rsid w:val="00D25DEF"/>
    <w:rsid w:val="00D31033"/>
    <w:rsid w:val="00D33A1A"/>
    <w:rsid w:val="00D3645C"/>
    <w:rsid w:val="00D40879"/>
    <w:rsid w:val="00D40B58"/>
    <w:rsid w:val="00D5039B"/>
    <w:rsid w:val="00D53C14"/>
    <w:rsid w:val="00D56489"/>
    <w:rsid w:val="00D57A2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6BB8"/>
    <w:rsid w:val="00DB3F6A"/>
    <w:rsid w:val="00DB40DC"/>
    <w:rsid w:val="00DB7BED"/>
    <w:rsid w:val="00DC426E"/>
    <w:rsid w:val="00DD0FF5"/>
    <w:rsid w:val="00DD1E2B"/>
    <w:rsid w:val="00DD2F32"/>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44E8D"/>
    <w:rsid w:val="00E5529F"/>
    <w:rsid w:val="00E56007"/>
    <w:rsid w:val="00E62E5B"/>
    <w:rsid w:val="00E66473"/>
    <w:rsid w:val="00E671B0"/>
    <w:rsid w:val="00E72687"/>
    <w:rsid w:val="00E73796"/>
    <w:rsid w:val="00E73C92"/>
    <w:rsid w:val="00E74D52"/>
    <w:rsid w:val="00E76E3D"/>
    <w:rsid w:val="00E800A3"/>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BA"/>
    <w:rsid w:val="00F01DBF"/>
    <w:rsid w:val="00F06502"/>
    <w:rsid w:val="00F06C2A"/>
    <w:rsid w:val="00F07EF6"/>
    <w:rsid w:val="00F12E94"/>
    <w:rsid w:val="00F13CF3"/>
    <w:rsid w:val="00F20050"/>
    <w:rsid w:val="00F266F8"/>
    <w:rsid w:val="00F35416"/>
    <w:rsid w:val="00F3550B"/>
    <w:rsid w:val="00F40A75"/>
    <w:rsid w:val="00F546E2"/>
    <w:rsid w:val="00F5509A"/>
    <w:rsid w:val="00F60328"/>
    <w:rsid w:val="00F64CAB"/>
    <w:rsid w:val="00F7738C"/>
    <w:rsid w:val="00F81A1A"/>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1DB5"/>
    <w:rsid w:val="00FB24EE"/>
    <w:rsid w:val="00FB5CCD"/>
    <w:rsid w:val="00FB71D4"/>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paragraph">
    <w:name w:val="paragraph"/>
    <w:basedOn w:val="Normal"/>
    <w:rsid w:val="00BB36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B36A6"/>
  </w:style>
  <w:style w:type="character" w:styleId="UnresolvedMention">
    <w:name w:val="Unresolved Mention"/>
    <w:basedOn w:val="DefaultParagraphFont"/>
    <w:uiPriority w:val="99"/>
    <w:semiHidden/>
    <w:unhideWhenUsed/>
    <w:rsid w:val="00657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253">
      <w:bodyDiv w:val="1"/>
      <w:marLeft w:val="0"/>
      <w:marRight w:val="0"/>
      <w:marTop w:val="0"/>
      <w:marBottom w:val="0"/>
      <w:divBdr>
        <w:top w:val="none" w:sz="0" w:space="0" w:color="auto"/>
        <w:left w:val="none" w:sz="0" w:space="0" w:color="auto"/>
        <w:bottom w:val="none" w:sz="0" w:space="0" w:color="auto"/>
        <w:right w:val="none" w:sz="0" w:space="0" w:color="auto"/>
      </w:divBdr>
    </w:div>
    <w:div w:id="105776290">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313603747">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32625931">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562450176">
      <w:bodyDiv w:val="1"/>
      <w:marLeft w:val="0"/>
      <w:marRight w:val="0"/>
      <w:marTop w:val="0"/>
      <w:marBottom w:val="0"/>
      <w:divBdr>
        <w:top w:val="none" w:sz="0" w:space="0" w:color="auto"/>
        <w:left w:val="none" w:sz="0" w:space="0" w:color="auto"/>
        <w:bottom w:val="none" w:sz="0" w:space="0" w:color="auto"/>
        <w:right w:val="none" w:sz="0" w:space="0" w:color="auto"/>
      </w:divBdr>
    </w:div>
    <w:div w:id="563493198">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770659066">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01031565">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137649952">
      <w:bodyDiv w:val="1"/>
      <w:marLeft w:val="0"/>
      <w:marRight w:val="0"/>
      <w:marTop w:val="0"/>
      <w:marBottom w:val="0"/>
      <w:divBdr>
        <w:top w:val="none" w:sz="0" w:space="0" w:color="auto"/>
        <w:left w:val="none" w:sz="0" w:space="0" w:color="auto"/>
        <w:bottom w:val="none" w:sz="0" w:space="0" w:color="auto"/>
        <w:right w:val="none" w:sz="0" w:space="0" w:color="auto"/>
      </w:divBdr>
    </w:div>
    <w:div w:id="1160124264">
      <w:bodyDiv w:val="1"/>
      <w:marLeft w:val="0"/>
      <w:marRight w:val="0"/>
      <w:marTop w:val="0"/>
      <w:marBottom w:val="0"/>
      <w:divBdr>
        <w:top w:val="none" w:sz="0" w:space="0" w:color="auto"/>
        <w:left w:val="none" w:sz="0" w:space="0" w:color="auto"/>
        <w:bottom w:val="none" w:sz="0" w:space="0" w:color="auto"/>
        <w:right w:val="none" w:sz="0" w:space="0" w:color="auto"/>
      </w:divBdr>
    </w:div>
    <w:div w:id="1197813965">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52227772">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05547625">
      <w:bodyDiv w:val="1"/>
      <w:marLeft w:val="0"/>
      <w:marRight w:val="0"/>
      <w:marTop w:val="0"/>
      <w:marBottom w:val="0"/>
      <w:divBdr>
        <w:top w:val="none" w:sz="0" w:space="0" w:color="auto"/>
        <w:left w:val="none" w:sz="0" w:space="0" w:color="auto"/>
        <w:bottom w:val="none" w:sz="0" w:space="0" w:color="auto"/>
        <w:right w:val="none" w:sz="0" w:space="0" w:color="auto"/>
      </w:divBdr>
    </w:div>
    <w:div w:id="2054428221">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3-07/List%20of%20topics%20for%20TSI%202024%20templ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Props1.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3CD9CCF4-6CD7-4B39-BA8E-78392E9EA31D}">
  <ds:schemaRefs>
    <ds:schemaRef ds:uri="http://schemas.openxmlformats.org/officeDocument/2006/bibliography"/>
  </ds:schemaRefs>
</ds:datastoreItem>
</file>

<file path=customXml/itemProps4.xml><?xml version="1.0" encoding="utf-8"?>
<ds:datastoreItem xmlns:ds="http://schemas.openxmlformats.org/officeDocument/2006/customXml" ds:itemID="{9D3F1A50-6163-442F-93E5-2E044B5413C1}">
  <ds:schemaRefs>
    <ds:schemaRef ds:uri="http://schemas.microsoft.com/office/2006/documentManagement/types"/>
    <ds:schemaRef ds:uri="dff91fe5-b91d-4940-8e43-17920bc15740"/>
    <ds:schemaRef ds:uri="http://purl.org/dc/elements/1.1/"/>
    <ds:schemaRef ds:uri="http://schemas.microsoft.com/office/2006/metadata/properties"/>
    <ds:schemaRef ds:uri="http://schemas.microsoft.com/office/infopath/2007/PartnerControls"/>
    <ds:schemaRef ds:uri="http://purl.org/dc/terms/"/>
    <ds:schemaRef ds:uri="aa30d10d-b30d-4a7a-9d26-d2ca493895f6"/>
    <ds:schemaRef ds:uri="http://schemas.openxmlformats.org/package/2006/metadata/core-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3956</Words>
  <Characters>22472</Characters>
  <Application>Microsoft Office Word</Application>
  <DocSecurity>0</DocSecurity>
  <Lines>548</Lines>
  <Paragraphs>278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9</cp:revision>
  <cp:lastPrinted>2023-04-27T09:23:00Z</cp:lastPrinted>
  <dcterms:created xsi:type="dcterms:W3CDTF">2023-06-22T08:36:00Z</dcterms:created>
  <dcterms:modified xsi:type="dcterms:W3CDTF">2023-07-20T13:13:00Z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