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0F" w:rsidRPr="0024225B" w:rsidRDefault="00DA410F" w:rsidP="0024225B">
      <w:pPr>
        <w:spacing w:before="240" w:after="240"/>
        <w:jc w:val="center"/>
        <w:rPr>
          <w:b/>
          <w:noProof/>
          <w:sz w:val="28"/>
          <w:szCs w:val="32"/>
        </w:rPr>
      </w:pPr>
      <w:bookmarkStart w:id="0" w:name="_GoBack"/>
      <w:bookmarkEnd w:id="0"/>
      <w:r>
        <w:rPr>
          <w:b/>
          <w:noProof/>
          <w:sz w:val="28"/>
        </w:rPr>
        <w:t>Časna izjava o</w:t>
      </w:r>
      <w:r>
        <w:rPr>
          <w:b/>
          <w:noProof/>
          <w:sz w:val="28"/>
          <w:szCs w:val="32"/>
        </w:rPr>
        <w:br/>
      </w:r>
      <w:r>
        <w:rPr>
          <w:b/>
          <w:noProof/>
          <w:sz w:val="28"/>
        </w:rPr>
        <w:t>kriterijima za isključenje i kriterijima za odabir</w:t>
      </w:r>
    </w:p>
    <w:p w:rsidR="00DA410F" w:rsidRDefault="00DA410F" w:rsidP="0024225B">
      <w:pPr>
        <w:spacing w:before="100" w:beforeAutospacing="1" w:after="100" w:afterAutospacing="1"/>
        <w:jc w:val="both"/>
        <w:rPr>
          <w:noProof/>
        </w:rPr>
      </w:pPr>
      <w:r>
        <w:t>U nastavku potpisana osoba [</w:t>
      </w:r>
      <w:r>
        <w:rPr>
          <w:i/>
          <w:noProof/>
          <w:highlight w:val="lightGray"/>
        </w:rPr>
        <w:t>navedite ime i prezime potpisnika ovog obrasca</w:t>
      </w:r>
      <w: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Tr="00A40405">
        <w:tc>
          <w:tcPr>
            <w:tcW w:w="3369" w:type="dxa"/>
            <w:shd w:val="clear" w:color="auto" w:fill="auto"/>
          </w:tcPr>
          <w:p w:rsidR="005E41BC" w:rsidRDefault="005E41BC" w:rsidP="00583379">
            <w:pPr>
              <w:jc w:val="both"/>
              <w:rPr>
                <w:noProof/>
              </w:rPr>
            </w:pPr>
            <w:r>
              <w:t>(</w:t>
            </w:r>
            <w:r>
              <w:rPr>
                <w:i/>
                <w:noProof/>
              </w:rPr>
              <w:t>samo za fizičke osobe</w:t>
            </w:r>
            <w:r>
              <w:t>) u svoje ime</w:t>
            </w:r>
          </w:p>
        </w:tc>
        <w:tc>
          <w:tcPr>
            <w:tcW w:w="6378" w:type="dxa"/>
            <w:shd w:val="clear" w:color="auto" w:fill="auto"/>
          </w:tcPr>
          <w:p w:rsidR="003154CD" w:rsidRDefault="005E41BC" w:rsidP="00583379">
            <w:pPr>
              <w:jc w:val="both"/>
              <w:rPr>
                <w:noProof/>
              </w:rPr>
            </w:pPr>
            <w:r>
              <w:t>(</w:t>
            </w:r>
            <w:r>
              <w:rPr>
                <w:i/>
                <w:noProof/>
              </w:rPr>
              <w:t>samo za pravne osobe</w:t>
            </w:r>
            <w:r>
              <w:t xml:space="preserve">) kao zastupnik sljedeće pravne osobe: </w:t>
            </w:r>
          </w:p>
          <w:p w:rsidR="005E41BC" w:rsidRDefault="005E41BC" w:rsidP="00583379">
            <w:pPr>
              <w:jc w:val="both"/>
              <w:rPr>
                <w:noProof/>
              </w:rPr>
            </w:pPr>
          </w:p>
        </w:tc>
      </w:tr>
      <w:tr w:rsidR="003154CD" w:rsidTr="00A40405">
        <w:tc>
          <w:tcPr>
            <w:tcW w:w="3369" w:type="dxa"/>
            <w:shd w:val="clear" w:color="auto" w:fill="auto"/>
          </w:tcPr>
          <w:p w:rsidR="003154CD" w:rsidRDefault="005E41BC" w:rsidP="00583379">
            <w:pPr>
              <w:jc w:val="both"/>
            </w:pPr>
            <w:r>
              <w:t xml:space="preserve">Broj osobne iskaznice ili putovnice: </w:t>
            </w:r>
          </w:p>
          <w:p w:rsidR="005E41BC" w:rsidRDefault="005E41BC" w:rsidP="00583379">
            <w:pPr>
              <w:jc w:val="both"/>
              <w:rPr>
                <w:noProof/>
              </w:rPr>
            </w:pPr>
          </w:p>
          <w:p w:rsidR="00D841AD" w:rsidRPr="005E41BC" w:rsidRDefault="00D841AD" w:rsidP="00583379">
            <w:pPr>
              <w:jc w:val="both"/>
              <w:rPr>
                <w:noProof/>
              </w:rPr>
            </w:pPr>
            <w:r>
              <w:t>(„osoba”)</w:t>
            </w:r>
          </w:p>
        </w:tc>
        <w:tc>
          <w:tcPr>
            <w:tcW w:w="6378" w:type="dxa"/>
            <w:shd w:val="clear" w:color="auto" w:fill="auto"/>
          </w:tcPr>
          <w:p w:rsidR="005E41BC" w:rsidRPr="00583379" w:rsidRDefault="005E41BC" w:rsidP="00892BCE">
            <w:pPr>
              <w:rPr>
                <w:b/>
              </w:rPr>
            </w:pPr>
            <w:r>
              <w:t>Puni službeni naziv:</w:t>
            </w:r>
          </w:p>
          <w:p w:rsidR="005E41BC" w:rsidRPr="00892BCE" w:rsidRDefault="005E41BC" w:rsidP="005E41BC">
            <w:r>
              <w:t xml:space="preserve">Službeni pravni oblik: </w:t>
            </w:r>
          </w:p>
          <w:p w:rsidR="005E41BC" w:rsidRPr="00583379" w:rsidRDefault="005E41BC" w:rsidP="005E41BC">
            <w:pPr>
              <w:rPr>
                <w:b/>
              </w:rPr>
            </w:pPr>
            <w:r>
              <w:t>Broj upisa u registar poslovnih subjekata:</w:t>
            </w:r>
            <w:r>
              <w:rPr>
                <w:b/>
              </w:rPr>
              <w:t xml:space="preserve"> </w:t>
            </w:r>
          </w:p>
          <w:p w:rsidR="005E41BC" w:rsidRPr="00583379" w:rsidRDefault="005E41BC" w:rsidP="005E41BC">
            <w:pPr>
              <w:rPr>
                <w:b/>
              </w:rPr>
            </w:pPr>
            <w:r>
              <w:t xml:space="preserve">Puna službena adresa: </w:t>
            </w:r>
          </w:p>
          <w:p w:rsidR="003154CD" w:rsidRDefault="005E41BC" w:rsidP="00892BCE">
            <w:r>
              <w:t xml:space="preserve">PDV broj: </w:t>
            </w:r>
          </w:p>
          <w:p w:rsidR="005E41BC" w:rsidRDefault="005E41BC" w:rsidP="005E41BC">
            <w:pPr>
              <w:rPr>
                <w:noProof/>
              </w:rPr>
            </w:pPr>
          </w:p>
          <w:p w:rsidR="00D841AD" w:rsidRDefault="00D841AD" w:rsidP="005E41BC">
            <w:pPr>
              <w:rPr>
                <w:noProof/>
              </w:rPr>
            </w:pPr>
            <w:r>
              <w:t>(„osoba”)</w:t>
            </w:r>
          </w:p>
        </w:tc>
      </w:tr>
    </w:tbl>
    <w:p w:rsidR="00897553" w:rsidRPr="00F76ABA" w:rsidRDefault="00897553" w:rsidP="0024225B">
      <w:pPr>
        <w:pStyle w:val="Title"/>
        <w:rPr>
          <w:noProof/>
        </w:rPr>
      </w:pPr>
      <w:r>
        <w:t>I – Situacija za isključenje za osobu</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Tr="00F7691A">
        <w:tc>
          <w:tcPr>
            <w:tcW w:w="8238" w:type="dxa"/>
            <w:shd w:val="clear" w:color="auto" w:fill="auto"/>
          </w:tcPr>
          <w:p w:rsidR="00F7691A" w:rsidRDefault="00F7691A" w:rsidP="0010150F">
            <w:pPr>
              <w:numPr>
                <w:ilvl w:val="0"/>
                <w:numId w:val="17"/>
              </w:numPr>
              <w:spacing w:before="40" w:after="40"/>
              <w:jc w:val="both"/>
              <w:rPr>
                <w:noProof/>
              </w:rPr>
            </w:pPr>
            <w:r>
              <w:t xml:space="preserve"> izjavljuje da se prethodno navedena osoba nalazi u nekoj od sljedećih situacija:</w:t>
            </w:r>
          </w:p>
        </w:tc>
        <w:tc>
          <w:tcPr>
            <w:tcW w:w="812" w:type="dxa"/>
            <w:shd w:val="clear" w:color="auto" w:fill="auto"/>
          </w:tcPr>
          <w:p w:rsidR="00F7691A" w:rsidRDefault="00F7691A" w:rsidP="00F7691A">
            <w:pPr>
              <w:spacing w:before="40" w:after="40"/>
              <w:ind w:left="142"/>
              <w:jc w:val="both"/>
              <w:rPr>
                <w:noProof/>
              </w:rPr>
            </w:pPr>
            <w:r>
              <w:t>DA</w:t>
            </w:r>
          </w:p>
        </w:tc>
        <w:tc>
          <w:tcPr>
            <w:tcW w:w="705" w:type="dxa"/>
            <w:shd w:val="clear" w:color="auto" w:fill="auto"/>
          </w:tcPr>
          <w:p w:rsidR="00F7691A" w:rsidRDefault="00F7691A" w:rsidP="00F7691A">
            <w:pPr>
              <w:spacing w:before="40" w:after="40"/>
              <w:ind w:left="142"/>
              <w:jc w:val="both"/>
              <w:rPr>
                <w:noProof/>
              </w:rPr>
            </w:pPr>
            <w:r>
              <w:t>NE</w:t>
            </w:r>
          </w:p>
        </w:tc>
      </w:tr>
      <w:tr w:rsidR="00E33977" w:rsidTr="00F7691A">
        <w:tc>
          <w:tcPr>
            <w:tcW w:w="8238" w:type="dxa"/>
            <w:shd w:val="clear" w:color="auto" w:fill="auto"/>
          </w:tcPr>
          <w:p w:rsidR="00E33977" w:rsidRDefault="00E33977" w:rsidP="004B29AF">
            <w:pPr>
              <w:pStyle w:val="Text1"/>
              <w:numPr>
                <w:ilvl w:val="0"/>
                <w:numId w:val="15"/>
              </w:numPr>
              <w:spacing w:before="40" w:after="40"/>
              <w:rPr>
                <w:noProof/>
              </w:rPr>
            </w:pPr>
            <w:r>
              <w:t>podnositelj zahtjeva nalazi se u stečaju, u postupku u slučaju nesolventnosti ili u postupku likvidacije, njegovom imovinom upravlja stečajni upravitelj ili sud, u nagodbi je s vjerovnicima, njegove su poslovne aktivnosti suspendirane ili je u bilo kakvoj istovrsnoj situaciji koja proizlazi iz sličnog postupka predviđenog nacionalnim zakonodavstvom ili propisima;</w:t>
            </w:r>
          </w:p>
        </w:tc>
        <w:tc>
          <w:tcPr>
            <w:tcW w:w="812" w:type="dxa"/>
            <w:shd w:val="clear" w:color="auto" w:fill="auto"/>
          </w:tcPr>
          <w:p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E33977" w:rsidTr="00F7691A">
        <w:tc>
          <w:tcPr>
            <w:tcW w:w="8238" w:type="dxa"/>
            <w:shd w:val="clear" w:color="auto" w:fill="auto"/>
          </w:tcPr>
          <w:p w:rsidR="00E33977" w:rsidRDefault="00E33977" w:rsidP="00583379">
            <w:pPr>
              <w:pStyle w:val="Text1"/>
              <w:numPr>
                <w:ilvl w:val="0"/>
                <w:numId w:val="15"/>
              </w:numPr>
              <w:spacing w:before="40" w:after="40"/>
              <w:rPr>
                <w:noProof/>
              </w:rPr>
            </w:pPr>
            <w:r>
              <w:t>konačnom presudom ili konačnom upravnom odlukom utvrđeno je da osoba krši svoje obveze u vezi s plaćanjem poreza ili doprinosa za socijalno osiguranje u skladu s pravom zemlje u kojoj ima poslovni nastan, zemlje u kojoj se nalazi javni naručitelj ili zemlje u kojoj se izvršava ugovor;</w:t>
            </w:r>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1F666D">
              <w:rPr>
                <w:noProof/>
              </w:rPr>
            </w:r>
            <w:r w:rsidR="001F666D">
              <w:rPr>
                <w:noProof/>
              </w:rPr>
              <w:fldChar w:fldCharType="separate"/>
            </w:r>
            <w:r>
              <w:rPr>
                <w:noProof/>
              </w:rPr>
              <w:fldChar w:fldCharType="end"/>
            </w:r>
            <w:bookmarkEnd w:id="1"/>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7D7A5F" w:rsidTr="00F7691A">
        <w:tc>
          <w:tcPr>
            <w:tcW w:w="8238" w:type="dxa"/>
            <w:shd w:val="clear" w:color="auto" w:fill="auto"/>
          </w:tcPr>
          <w:p w:rsidR="007D7A5F" w:rsidRDefault="007D7A5F" w:rsidP="00583379">
            <w:pPr>
              <w:pStyle w:val="Text1"/>
              <w:numPr>
                <w:ilvl w:val="0"/>
                <w:numId w:val="15"/>
              </w:numPr>
              <w:spacing w:before="40" w:after="40"/>
              <w:rPr>
                <w:noProof/>
              </w:rPr>
            </w:pPr>
            <w:r>
              <w:t>konačnom presudom ili konačnom upravnom odlukom utvrđeno je da je osoba kriva za tešku povredu dužnosti zbog kršenja primjenjivih zakona ili drugih propisa ili etičkih normi profesije kojoj osoba pripada ili zbog protupravnog postupanja koje utječe na njezinu profesionalnu vjerodostojnost u slučaju da se takvim postupanjem pokazuje protuzakonita namjera ili gruba nepažnja, uključujući posebno bilo koje od sljedećih postupanja:</w:t>
            </w:r>
          </w:p>
        </w:tc>
        <w:tc>
          <w:tcPr>
            <w:tcW w:w="1517" w:type="dxa"/>
            <w:gridSpan w:val="2"/>
            <w:shd w:val="clear" w:color="auto" w:fill="auto"/>
          </w:tcPr>
          <w:p w:rsidR="007D7A5F" w:rsidRDefault="007D7A5F" w:rsidP="00583379">
            <w:pPr>
              <w:spacing w:before="240" w:after="120"/>
              <w:jc w:val="both"/>
              <w:rPr>
                <w:noProof/>
              </w:rPr>
            </w:pPr>
          </w:p>
        </w:tc>
      </w:tr>
      <w:tr w:rsidR="00E33977" w:rsidTr="00F7691A">
        <w:tc>
          <w:tcPr>
            <w:tcW w:w="8238" w:type="dxa"/>
            <w:shd w:val="clear" w:color="auto" w:fill="auto"/>
          </w:tcPr>
          <w:p w:rsidR="00E33977" w:rsidRDefault="00E33977" w:rsidP="00251321">
            <w:pPr>
              <w:pStyle w:val="Text1"/>
              <w:spacing w:before="40" w:after="40"/>
              <w:ind w:left="709"/>
              <w:rPr>
                <w:noProof/>
              </w:rPr>
            </w:pPr>
            <w:bookmarkStart w:id="2" w:name="_DV_C368"/>
            <w:r>
              <w:rPr>
                <w:color w:val="000000"/>
              </w:rPr>
              <w:t>i. prijevarno ili nesavjesno lažno predstavljanje podataka potrebnih za provjeru nepostojanja osnova za isključenje ili ispunjenja kriterija za odabir ili prilikom izvršenja ugovora;</w:t>
            </w:r>
            <w:bookmarkEnd w:id="2"/>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3" w:name="_DV_C369"/>
            <w:r>
              <w:rPr>
                <w:color w:val="000000"/>
              </w:rPr>
              <w:t>ii. dogovaranje s drugim osobama radi narušavanja tržišnog natjecanja;</w:t>
            </w:r>
            <w:bookmarkEnd w:id="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4" w:name="_DV_C371"/>
            <w:r>
              <w:rPr>
                <w:color w:val="000000"/>
              </w:rPr>
              <w:t>iii. kršenje prava intelektualnog vlasništva;</w:t>
            </w:r>
            <w:bookmarkEnd w:id="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5" w:name="_DV_C372"/>
            <w:r>
              <w:rPr>
                <w:color w:val="000000"/>
              </w:rPr>
              <w:t>iv. pokušaj da se utječe na proces odlučivanja javnog naručitelja tijekom postupka dodjele;</w:t>
            </w:r>
            <w:bookmarkEnd w:id="5"/>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6" w:name="_DV_C373"/>
            <w:r>
              <w:rPr>
                <w:color w:val="000000"/>
              </w:rPr>
              <w:t>v. pokušaj da se dobiju povjerljive informacije koje bi joj mogle omogućiti nepoštenu prednost u postupku dodjele</w:t>
            </w:r>
            <w:bookmarkEnd w:id="6"/>
            <w:r>
              <w:rPr>
                <w:b/>
                <w:i/>
                <w:color w:val="000000"/>
              </w:rPr>
              <w:t xml:space="preserve">;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7D7A5F" w:rsidTr="00F7691A">
        <w:tc>
          <w:tcPr>
            <w:tcW w:w="8238" w:type="dxa"/>
            <w:shd w:val="clear" w:color="auto" w:fill="auto"/>
          </w:tcPr>
          <w:p w:rsidR="007D7A5F" w:rsidRPr="00583379" w:rsidRDefault="007D7A5F" w:rsidP="00A40405">
            <w:pPr>
              <w:pStyle w:val="Text1"/>
              <w:numPr>
                <w:ilvl w:val="0"/>
                <w:numId w:val="15"/>
              </w:numPr>
              <w:spacing w:before="40" w:after="40"/>
              <w:ind w:left="357" w:hanging="357"/>
              <w:rPr>
                <w:color w:val="000000"/>
              </w:rPr>
            </w:pPr>
            <w:r>
              <w:t>konačnom presudom utvrđeno je da je osoba kriva za sljedeće:</w:t>
            </w:r>
          </w:p>
        </w:tc>
        <w:tc>
          <w:tcPr>
            <w:tcW w:w="1517" w:type="dxa"/>
            <w:gridSpan w:val="2"/>
            <w:shd w:val="clear" w:color="auto" w:fill="auto"/>
          </w:tcPr>
          <w:p w:rsidR="007D7A5F" w:rsidRDefault="007D7A5F" w:rsidP="00583379">
            <w:pPr>
              <w:spacing w:before="240" w:after="120"/>
              <w:jc w:val="both"/>
              <w:rPr>
                <w:noProof/>
              </w:rPr>
            </w:pPr>
          </w:p>
        </w:tc>
      </w:tr>
      <w:tr w:rsidR="00C475D8" w:rsidTr="00F7691A">
        <w:tc>
          <w:tcPr>
            <w:tcW w:w="8238" w:type="dxa"/>
            <w:shd w:val="clear" w:color="auto" w:fill="auto"/>
          </w:tcPr>
          <w:p w:rsidR="00C475D8" w:rsidRDefault="00C475D8" w:rsidP="00583379">
            <w:pPr>
              <w:pStyle w:val="Text1"/>
              <w:spacing w:before="40" w:after="40"/>
              <w:ind w:left="709"/>
              <w:rPr>
                <w:noProof/>
              </w:rPr>
            </w:pPr>
            <w:r>
              <w:rPr>
                <w:color w:val="000000"/>
              </w:rPr>
              <w:lastRenderedPageBreak/>
              <w:t>i. prijevaru u smislu članka 1. Konvencije o zaštiti financijskih interesa Europskih zajednica, sastavljene Aktom Vijeća od 26. srpnja 1995.</w:t>
            </w:r>
            <w:bookmarkStart w:id="7" w:name="_DV_C378"/>
            <w:r>
              <w:rPr>
                <w:color w:val="000000"/>
              </w:rPr>
              <w:t>;</w:t>
            </w:r>
            <w:bookmarkEnd w:id="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C475D8" w:rsidTr="00F7691A">
        <w:tc>
          <w:tcPr>
            <w:tcW w:w="8238" w:type="dxa"/>
            <w:shd w:val="clear" w:color="auto" w:fill="auto"/>
          </w:tcPr>
          <w:p w:rsidR="00C475D8" w:rsidRDefault="00C475D8" w:rsidP="004B29AF">
            <w:pPr>
              <w:pStyle w:val="Text1"/>
              <w:spacing w:before="40" w:after="40"/>
              <w:ind w:left="709"/>
              <w:rPr>
                <w:noProof/>
              </w:rPr>
            </w:pPr>
            <w:bookmarkStart w:id="8" w:name="_DV_C379"/>
            <w:r>
              <w:rPr>
                <w:color w:val="000000"/>
              </w:rPr>
              <w:t>ii. korupciju kako je definirana u članku 3. Konvencije o borbi protiv korupcije koja uključuje dužnosnike Europskih zajednica ili dužnosnike država članica EU-a</w:t>
            </w:r>
            <w:bookmarkStart w:id="9" w:name="_DV_C381"/>
            <w:bookmarkEnd w:id="8"/>
            <w:r>
              <w:rPr>
                <w:color w:val="000000"/>
              </w:rPr>
              <w:t>, sastavljene Aktom Vijeća od 26. svibnja 1997., i članku 2. stavku 1. Okvirne odluke Vijeća 2003/568/PUP</w:t>
            </w:r>
            <w:bookmarkStart w:id="10" w:name="_DV_C383"/>
            <w:bookmarkEnd w:id="9"/>
            <w:r>
              <w:rPr>
                <w:color w:val="000000"/>
              </w:rPr>
              <w:t>, kao i korupciju kako je definirana u pravnim odredbama zemlje u kojoj se nalazi javni naručitelj, zemlje u kojoj osoba ima poslovni nastan ili zemlje u kojoj se izvršava ugovor;</w:t>
            </w:r>
            <w:bookmarkEnd w:id="10"/>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11" w:name="_DV_C384"/>
            <w:r>
              <w:rPr>
                <w:color w:val="000000"/>
              </w:rPr>
              <w:t>iii.</w:t>
            </w:r>
            <w:bookmarkStart w:id="12" w:name="_DV_M250"/>
            <w:bookmarkEnd w:id="11"/>
            <w:bookmarkEnd w:id="12"/>
            <w:r>
              <w:rPr>
                <w:color w:val="000000"/>
              </w:rPr>
              <w:t xml:space="preserve"> sudjelovanje u zločinačkoj organizaciji, </w:t>
            </w:r>
            <w:bookmarkStart w:id="13" w:name="_DV_C385"/>
            <w:r>
              <w:rPr>
                <w:color w:val="000000"/>
              </w:rPr>
              <w:t>kako je definirano u članku 2. Okvirne odluke Vijeća 2008/841/PUP</w:t>
            </w:r>
            <w:bookmarkStart w:id="14" w:name="_DV_C387"/>
            <w:bookmarkEnd w:id="13"/>
            <w:r>
              <w:rPr>
                <w:color w:val="000000"/>
              </w:rPr>
              <w:t>;</w:t>
            </w:r>
            <w:bookmarkEnd w:id="1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C475D8" w:rsidTr="00F7691A">
        <w:tc>
          <w:tcPr>
            <w:tcW w:w="8238" w:type="dxa"/>
            <w:shd w:val="clear" w:color="auto" w:fill="auto"/>
          </w:tcPr>
          <w:p w:rsidR="00C475D8" w:rsidRDefault="003E4DCC" w:rsidP="00583379">
            <w:pPr>
              <w:pStyle w:val="Text1"/>
              <w:spacing w:before="40" w:after="40"/>
              <w:ind w:left="709"/>
              <w:rPr>
                <w:noProof/>
              </w:rPr>
            </w:pPr>
            <w:r>
              <w:rPr>
                <w:color w:val="000000"/>
              </w:rPr>
              <w:t>iv.</w:t>
            </w:r>
            <w:bookmarkStart w:id="15" w:name="_DV_M251"/>
            <w:bookmarkEnd w:id="15"/>
            <w:r>
              <w:rPr>
                <w:color w:val="000000"/>
              </w:rPr>
              <w:t xml:space="preserve"> </w:t>
            </w:r>
            <w:r>
              <w:t>pranje novca</w:t>
            </w:r>
            <w:bookmarkStart w:id="16" w:name="_DV_C391"/>
            <w:r>
              <w:rPr>
                <w:color w:val="000000"/>
              </w:rPr>
              <w:t xml:space="preserve"> ili</w:t>
            </w:r>
            <w:bookmarkStart w:id="17" w:name="_DV_M252"/>
            <w:bookmarkEnd w:id="16"/>
            <w:bookmarkEnd w:id="17"/>
            <w:r>
              <w:t xml:space="preserve"> financiranje terorizma, </w:t>
            </w:r>
            <w:bookmarkStart w:id="18" w:name="_DV_C392"/>
            <w:r>
              <w:rPr>
                <w:color w:val="000000"/>
              </w:rPr>
              <w:t>kako je definirano u članku 1. Direktive 2005/60/EZ Europskog parlamenta i Vijeća</w:t>
            </w:r>
            <w:bookmarkStart w:id="19" w:name="_DV_C394"/>
            <w:bookmarkEnd w:id="18"/>
            <w:r>
              <w:rPr>
                <w:color w:val="000000"/>
              </w:rPr>
              <w:t>;</w:t>
            </w:r>
            <w:bookmarkEnd w:id="19"/>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20" w:name="_DV_C395"/>
            <w:r>
              <w:rPr>
                <w:color w:val="000000"/>
              </w:rPr>
              <w:t xml:space="preserve">v. </w:t>
            </w:r>
            <w:bookmarkStart w:id="21" w:name="_DV_M253"/>
            <w:bookmarkEnd w:id="20"/>
            <w:bookmarkEnd w:id="21"/>
            <w:r>
              <w:t>kaznena djela terorizma</w:t>
            </w:r>
            <w:bookmarkStart w:id="22" w:name="_DV_C397"/>
            <w:r>
              <w:rPr>
                <w:color w:val="000000"/>
              </w:rPr>
              <w:t xml:space="preserve"> ili kaznena djela povezana s terorističkim aktivnostima, kako su definirana u članku 1. odnosno članku 3. Okvirne odluke Vijeća 2002/475/PUP</w:t>
            </w:r>
            <w:bookmarkStart w:id="23" w:name="_DV_C399"/>
            <w:bookmarkEnd w:id="22"/>
            <w:r>
              <w:rPr>
                <w:color w:val="000000"/>
              </w:rPr>
              <w:t>, ili poticanje, pomaganje, potpora ili pokušaj počinjenja takvih kaznenih djela, kako je navedeno u članku 4. te odluke;</w:t>
            </w:r>
            <w:bookmarkEnd w:id="2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24" w:name="_DV_C400"/>
            <w:r>
              <w:rPr>
                <w:color w:val="000000"/>
              </w:rPr>
              <w:t xml:space="preserve">vi. </w:t>
            </w:r>
            <w:bookmarkStart w:id="25" w:name="_DV_M254"/>
            <w:bookmarkEnd w:id="24"/>
            <w:bookmarkEnd w:id="25"/>
            <w:r>
              <w:t xml:space="preserve">dječji rad i druge oblike trgovanja ljudima </w:t>
            </w:r>
            <w:bookmarkStart w:id="26" w:name="_DV_C402"/>
            <w:r>
              <w:rPr>
                <w:color w:val="000000"/>
              </w:rPr>
              <w:t>kako je definirano u članku 2. Direktive 2011/36/EU Europskog parlamenta i Vijeća</w:t>
            </w:r>
            <w:bookmarkStart w:id="27" w:name="_DV_C404"/>
            <w:bookmarkEnd w:id="26"/>
            <w:r>
              <w:rPr>
                <w:color w:val="000000"/>
              </w:rPr>
              <w:t>;</w:t>
            </w:r>
            <w:bookmarkEnd w:id="2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numPr>
                <w:ilvl w:val="0"/>
                <w:numId w:val="15"/>
              </w:numPr>
              <w:spacing w:before="40" w:after="40"/>
              <w:rPr>
                <w:color w:val="000000"/>
              </w:rPr>
            </w:pPr>
            <w:r>
              <w:t xml:space="preserve">osoba je pokazala znatne nedostatke u poštovanju glavnih obveza prilikom izvršenja ugovora koji se financira iz proračuna Unije, što je dovelo do preuranjenog otkaza ugovora ili primjene ugovornih kazni ili drugih ugovornih sankcija, ili što je otkriveno nakon provjera, revizija ili istraga dužnosnika za ovjeravanje, OLAF-a ili Revizorskog suda;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numPr>
                <w:ilvl w:val="0"/>
                <w:numId w:val="15"/>
              </w:numPr>
              <w:spacing w:before="40" w:after="40"/>
              <w:rPr>
                <w:noProof/>
              </w:rPr>
            </w:pPr>
            <w:bookmarkStart w:id="28" w:name="_DV_C410"/>
            <w:r>
              <w:rPr>
                <w:color w:val="000000"/>
              </w:rPr>
              <w:t xml:space="preserve">konačnom presudom ili konačnom upravnom odlukom utvrđeno je da je osoba počinila nepravilnosti u smislu članka 1. stavka 2. Uredbe Vijeća (EZ, Euratom) br. 2988/95 </w:t>
            </w:r>
            <w:bookmarkEnd w:id="28"/>
            <w:r>
              <w:rPr>
                <w:color w:val="000000"/>
              </w:rPr>
              <w:t>;</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116FF1" w:rsidTr="00F7691A">
        <w:tc>
          <w:tcPr>
            <w:tcW w:w="8238" w:type="dxa"/>
            <w:shd w:val="clear" w:color="auto" w:fill="auto"/>
          </w:tcPr>
          <w:p w:rsidR="00116FF1" w:rsidRDefault="00116FF1" w:rsidP="00583379">
            <w:pPr>
              <w:pStyle w:val="Text1"/>
              <w:numPr>
                <w:ilvl w:val="0"/>
                <w:numId w:val="15"/>
              </w:numPr>
              <w:spacing w:before="40" w:after="40"/>
              <w:rPr>
                <w:color w:val="000000"/>
              </w:rPr>
            </w:pPr>
            <w:r>
              <w:rPr>
                <w:color w:val="000000"/>
              </w:rPr>
              <w:t>u slučajevima teške povrede dužnosti, prijevare, korupcije, drugih kaznenih djela, znatnog nedostatka u izvršenju ugovora ili nepravilnosti za podnositelja zahtjeva vrijedi sljedeće:</w:t>
            </w:r>
          </w:p>
          <w:p w:rsidR="00116FF1" w:rsidRDefault="00116FF1" w:rsidP="006C6DFD">
            <w:pPr>
              <w:pStyle w:val="Text1"/>
              <w:numPr>
                <w:ilvl w:val="0"/>
                <w:numId w:val="25"/>
              </w:numPr>
              <w:spacing w:before="40" w:after="40"/>
              <w:ind w:left="709" w:firstLine="0"/>
              <w:rPr>
                <w:color w:val="000000"/>
              </w:rPr>
            </w:pPr>
            <w:r>
              <w:rPr>
                <w:color w:val="000000"/>
              </w:rPr>
              <w:t>činjenice utvrđene u kontekstu revizija ili istraga koje provodi Revizorski sud, OLAF ili unutarnja revizija, ili svih drugih provjera, revizija ili kontrola poduzetih pod odgovornošću dužnosnika za ovjeravanje institucije EU-a, europskog ureda ili agencije ili tijela EU-a;</w:t>
            </w:r>
          </w:p>
          <w:p w:rsidR="00116FF1" w:rsidRDefault="00116FF1" w:rsidP="006C6DFD">
            <w:pPr>
              <w:pStyle w:val="Text1"/>
              <w:numPr>
                <w:ilvl w:val="0"/>
                <w:numId w:val="25"/>
              </w:numPr>
              <w:spacing w:before="40" w:after="40"/>
              <w:ind w:left="709" w:firstLine="0"/>
              <w:rPr>
                <w:color w:val="000000"/>
              </w:rPr>
            </w:pPr>
            <w:r>
              <w:rPr>
                <w:color w:val="000000"/>
              </w:rPr>
              <w:t>upravne odluke koje nisu konačne, a koje mogu uključivati stegovne mjere koje provodi nadležno nadzorno tijelo odgovorno za provjeru primjene normi profesionalne etike;</w:t>
            </w:r>
          </w:p>
          <w:p w:rsidR="00116FF1" w:rsidRDefault="00116FF1" w:rsidP="006C6DFD">
            <w:pPr>
              <w:pStyle w:val="Text1"/>
              <w:numPr>
                <w:ilvl w:val="0"/>
                <w:numId w:val="25"/>
              </w:numPr>
              <w:spacing w:before="40" w:after="40"/>
              <w:ind w:left="709" w:firstLine="0"/>
              <w:rPr>
                <w:color w:val="000000"/>
              </w:rPr>
            </w:pPr>
            <w:r>
              <w:rPr>
                <w:color w:val="000000"/>
              </w:rPr>
              <w:t>odluke ESB-a, EIB-a, Europskog investicijskog fonda ili međunarodnih organizacija;</w:t>
            </w:r>
          </w:p>
          <w:p w:rsidR="00116FF1" w:rsidRDefault="00116FF1" w:rsidP="006C6DFD">
            <w:pPr>
              <w:pStyle w:val="Text1"/>
              <w:numPr>
                <w:ilvl w:val="0"/>
                <w:numId w:val="25"/>
              </w:numPr>
              <w:spacing w:before="40" w:after="40"/>
              <w:ind w:left="709" w:firstLine="0"/>
              <w:rPr>
                <w:color w:val="000000"/>
              </w:rPr>
            </w:pPr>
            <w:r>
              <w:rPr>
                <w:color w:val="000000"/>
              </w:rPr>
              <w:t>odluke Komisije u vezi s kršenjem pravila Unije o tržišnom natjecanju ili nacionalnog nadležnog tijela u vezi s kršenjem prava Unije ili nacionalnog prava o tržišnom natjecanju; ili</w:t>
            </w:r>
          </w:p>
          <w:p w:rsidR="00116FF1" w:rsidRPr="00583379" w:rsidRDefault="00116FF1" w:rsidP="003E5E5C">
            <w:pPr>
              <w:pStyle w:val="Text1"/>
              <w:numPr>
                <w:ilvl w:val="0"/>
                <w:numId w:val="25"/>
              </w:numPr>
              <w:spacing w:before="40" w:after="40"/>
              <w:ind w:left="709" w:firstLine="0"/>
              <w:rPr>
                <w:color w:val="000000"/>
              </w:rPr>
            </w:pPr>
            <w:r>
              <w:rPr>
                <w:color w:val="000000"/>
              </w:rPr>
              <w:t xml:space="preserve">odluke o isključenju dužnosnika za ovjeravanje institucije EU-a, europskog ureda ili agencije ili tijela EU-a. </w:t>
            </w:r>
          </w:p>
        </w:tc>
        <w:tc>
          <w:tcPr>
            <w:tcW w:w="812" w:type="dxa"/>
            <w:shd w:val="clear" w:color="auto" w:fill="auto"/>
          </w:tcPr>
          <w:p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705" w:type="dxa"/>
            <w:shd w:val="clear" w:color="auto" w:fill="auto"/>
          </w:tcPr>
          <w:p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bl>
    <w:p w:rsidR="00897553" w:rsidRPr="0024225B" w:rsidRDefault="00897553" w:rsidP="0024225B">
      <w:pPr>
        <w:pStyle w:val="Title"/>
        <w:jc w:val="both"/>
        <w:rPr>
          <w:b w:val="0"/>
          <w:smallCaps w:val="0"/>
        </w:rPr>
      </w:pPr>
      <w:bookmarkStart w:id="29" w:name="_DV_C376"/>
      <w:r>
        <w:t>II – Situacije za isključenje za fizičke osobe koje su ovlaštene za zastupanje, odlučivanje ili imaju kontrolu nad pravnom osobom</w:t>
      </w:r>
    </w:p>
    <w:p w:rsidR="00897553" w:rsidRPr="0024225B" w:rsidRDefault="001F135A" w:rsidP="0024225B">
      <w:pPr>
        <w:autoSpaceDE w:val="0"/>
        <w:autoSpaceDN w:val="0"/>
        <w:adjustRightInd w:val="0"/>
        <w:spacing w:before="120" w:after="240"/>
        <w:jc w:val="center"/>
        <w:rPr>
          <w:i/>
          <w:noProof/>
        </w:rPr>
      </w:pPr>
      <w:r>
        <w:rPr>
          <w:b/>
          <w:i/>
          <w:noProof/>
          <w:u w:val="single"/>
        </w:rPr>
        <w:lastRenderedPageBreak/>
        <w:t>Ne primjenjuje se na fizičke osobe, države članice i lokalna tijela vlasti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3"/>
        <w:gridCol w:w="657"/>
        <w:gridCol w:w="605"/>
        <w:gridCol w:w="1336"/>
      </w:tblGrid>
      <w:tr w:rsidR="001F135A" w:rsidTr="001F135A">
        <w:tc>
          <w:tcPr>
            <w:tcW w:w="7763" w:type="dxa"/>
            <w:shd w:val="clear" w:color="auto" w:fill="auto"/>
            <w:vAlign w:val="center"/>
          </w:tcPr>
          <w:p w:rsidR="001F135A" w:rsidRPr="003E5E5C" w:rsidRDefault="001F135A" w:rsidP="00FF0711">
            <w:pPr>
              <w:numPr>
                <w:ilvl w:val="0"/>
                <w:numId w:val="17"/>
              </w:numPr>
              <w:spacing w:before="40" w:after="40"/>
              <w:jc w:val="both"/>
              <w:rPr>
                <w:noProof/>
              </w:rPr>
            </w:pPr>
            <w:r>
              <w:t xml:space="preserve">izjavljuje da se fizička osoba koja je član upravnog, upravljačkog ili nadzornog tijela prethodno navedene pravne osobe ili koja ima ovlasti zastupanja, donošenja odluka ili kontrole u odnosu na prethodno navedenu pravnu osobu (ovo se odnosi na direktore poduzeća, članove uprave ili nadzornog odbora te slučajeve u kojima jedna fizička osoba drži većinu udjela) nalazi u nekoj od sljedećih situacija: </w:t>
            </w:r>
          </w:p>
        </w:tc>
        <w:tc>
          <w:tcPr>
            <w:tcW w:w="670" w:type="dxa"/>
            <w:shd w:val="clear" w:color="auto" w:fill="auto"/>
          </w:tcPr>
          <w:p w:rsidR="001F135A" w:rsidRDefault="001F135A" w:rsidP="00583379">
            <w:pPr>
              <w:spacing w:before="240" w:after="120"/>
              <w:jc w:val="both"/>
              <w:rPr>
                <w:noProof/>
              </w:rPr>
            </w:pPr>
            <w:r>
              <w:t>DA</w:t>
            </w:r>
          </w:p>
        </w:tc>
        <w:tc>
          <w:tcPr>
            <w:tcW w:w="614" w:type="dxa"/>
            <w:shd w:val="clear" w:color="auto" w:fill="auto"/>
          </w:tcPr>
          <w:p w:rsidR="001F135A" w:rsidRDefault="001F135A" w:rsidP="00583379">
            <w:pPr>
              <w:spacing w:before="240" w:after="120"/>
              <w:jc w:val="both"/>
              <w:rPr>
                <w:noProof/>
              </w:rPr>
            </w:pPr>
            <w:r>
              <w:t>NE</w:t>
            </w:r>
          </w:p>
        </w:tc>
        <w:tc>
          <w:tcPr>
            <w:tcW w:w="614" w:type="dxa"/>
          </w:tcPr>
          <w:p w:rsidR="001F135A" w:rsidRDefault="001F135A" w:rsidP="00583379">
            <w:pPr>
              <w:spacing w:before="240" w:after="120"/>
              <w:jc w:val="both"/>
              <w:rPr>
                <w:noProof/>
              </w:rPr>
            </w:pPr>
            <w:r>
              <w:t>nije primjenjivo</w:t>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t>Prethodno navedena situacija pod (c) (teška povreda dužnosti)</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t>Prethodno navedena situacija pod (d) (prijevara, korupcija ili drugo kazneno djelo)</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t>Prethodno navedena situacija pod (e) (znatni nedostaci pri izvršenju ugovora)</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t>Prethodno navedena situacija pod (f) (nepravilnosti)</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bl>
    <w:p w:rsidR="00CA27B0" w:rsidRDefault="00CA27B0" w:rsidP="0024225B">
      <w:pPr>
        <w:pStyle w:val="Title"/>
        <w:rPr>
          <w:noProof/>
        </w:rPr>
      </w:pPr>
      <w:r>
        <w:t>III – Situacije za isključenje za fizičke ili pravne osobe koje prihvaćaju neograničenu odgovornost za dugove pravne osobe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2"/>
        <w:gridCol w:w="658"/>
        <w:gridCol w:w="605"/>
        <w:gridCol w:w="1336"/>
      </w:tblGrid>
      <w:tr w:rsidR="003E5E5C" w:rsidTr="00EE2C43">
        <w:tc>
          <w:tcPr>
            <w:tcW w:w="7747" w:type="dxa"/>
            <w:shd w:val="clear" w:color="auto" w:fill="auto"/>
          </w:tcPr>
          <w:p w:rsidR="003E5E5C" w:rsidRDefault="003E5E5C" w:rsidP="00BA61F8">
            <w:pPr>
              <w:numPr>
                <w:ilvl w:val="0"/>
                <w:numId w:val="17"/>
              </w:numPr>
              <w:spacing w:before="40" w:after="40"/>
              <w:jc w:val="both"/>
              <w:rPr>
                <w:noProof/>
              </w:rPr>
            </w:pPr>
            <w:r>
              <w:t xml:space="preserve"> izjavljuje da se fizička ili pravna osoba, koja prihvaća neograničenu odgovornost za dugove prethodno navedene pravne osobe, nalazi u nekoj od sljedećih situacija: </w:t>
            </w:r>
          </w:p>
        </w:tc>
        <w:tc>
          <w:tcPr>
            <w:tcW w:w="670" w:type="dxa"/>
            <w:shd w:val="clear" w:color="auto" w:fill="auto"/>
          </w:tcPr>
          <w:p w:rsidR="003E5E5C" w:rsidRDefault="003E5E5C" w:rsidP="00583379">
            <w:pPr>
              <w:spacing w:before="240" w:after="120"/>
              <w:jc w:val="both"/>
              <w:rPr>
                <w:noProof/>
              </w:rPr>
            </w:pPr>
            <w:r>
              <w:t>DA</w:t>
            </w:r>
          </w:p>
        </w:tc>
        <w:tc>
          <w:tcPr>
            <w:tcW w:w="614" w:type="dxa"/>
          </w:tcPr>
          <w:p w:rsidR="003E5E5C" w:rsidRDefault="003E5E5C" w:rsidP="00583379">
            <w:pPr>
              <w:spacing w:before="240" w:after="120"/>
              <w:jc w:val="both"/>
              <w:rPr>
                <w:noProof/>
              </w:rPr>
            </w:pPr>
            <w:r>
              <w:t>NE</w:t>
            </w:r>
          </w:p>
        </w:tc>
        <w:tc>
          <w:tcPr>
            <w:tcW w:w="630" w:type="dxa"/>
            <w:shd w:val="clear" w:color="auto" w:fill="auto"/>
          </w:tcPr>
          <w:p w:rsidR="003E5E5C" w:rsidRDefault="003E5E5C" w:rsidP="00583379">
            <w:pPr>
              <w:spacing w:before="240" w:after="120"/>
              <w:jc w:val="both"/>
              <w:rPr>
                <w:noProof/>
              </w:rPr>
            </w:pPr>
            <w:r>
              <w:t>nije primjenjivo</w:t>
            </w:r>
          </w:p>
        </w:tc>
      </w:tr>
      <w:tr w:rsidR="003E5E5C" w:rsidTr="004B29AF">
        <w:tc>
          <w:tcPr>
            <w:tcW w:w="7747" w:type="dxa"/>
            <w:shd w:val="clear" w:color="auto" w:fill="auto"/>
            <w:vAlign w:val="center"/>
          </w:tcPr>
          <w:p w:rsidR="003E5E5C" w:rsidRDefault="003E5E5C" w:rsidP="00583379">
            <w:pPr>
              <w:pStyle w:val="Text1"/>
              <w:spacing w:before="40" w:after="40"/>
              <w:ind w:left="360"/>
              <w:rPr>
                <w:noProof/>
              </w:rPr>
            </w:pPr>
            <w:r>
              <w:t>Prethodno navedena situacija pod (a) (stečaj)</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3E5E5C" w:rsidTr="004B29AF">
        <w:tc>
          <w:tcPr>
            <w:tcW w:w="7747" w:type="dxa"/>
            <w:shd w:val="clear" w:color="auto" w:fill="auto"/>
            <w:vAlign w:val="center"/>
          </w:tcPr>
          <w:p w:rsidR="003E5E5C" w:rsidRDefault="003E5E5C" w:rsidP="004B29AF">
            <w:pPr>
              <w:pStyle w:val="Text1"/>
              <w:spacing w:before="40" w:after="40"/>
              <w:ind w:left="360"/>
              <w:rPr>
                <w:noProof/>
              </w:rPr>
            </w:pPr>
            <w:r>
              <w:t>Prethodno navedena situacija pod (b) (kršenje obveza u vezi s plaćanjem poreza ili doprinosa za socijalno osiguranje)</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bl>
    <w:p w:rsidR="00CA27B0" w:rsidRDefault="00CA27B0" w:rsidP="0024225B">
      <w:pPr>
        <w:pStyle w:val="Title"/>
        <w:rPr>
          <w:noProof/>
        </w:rPr>
      </w:pPr>
      <w:r>
        <w:t>IV – Razlozi za odbijanje sudjelovanja u postupku</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5E5C" w:rsidTr="004C1A2B">
        <w:tc>
          <w:tcPr>
            <w:tcW w:w="8472" w:type="dxa"/>
            <w:shd w:val="clear" w:color="auto" w:fill="auto"/>
          </w:tcPr>
          <w:p w:rsidR="003E5E5C" w:rsidRDefault="003E5E5C" w:rsidP="00FA1E79">
            <w:pPr>
              <w:numPr>
                <w:ilvl w:val="0"/>
                <w:numId w:val="17"/>
              </w:numPr>
              <w:spacing w:before="40" w:after="40"/>
              <w:jc w:val="both"/>
              <w:rPr>
                <w:noProof/>
              </w:rPr>
            </w:pPr>
            <w:r>
              <w:t xml:space="preserve"> izjavljuje da je prethodno navedena osoba:</w:t>
            </w:r>
          </w:p>
        </w:tc>
        <w:tc>
          <w:tcPr>
            <w:tcW w:w="670" w:type="dxa"/>
            <w:shd w:val="clear" w:color="auto" w:fill="auto"/>
          </w:tcPr>
          <w:p w:rsidR="003E5E5C" w:rsidRDefault="003E5E5C" w:rsidP="00583379">
            <w:pPr>
              <w:spacing w:before="240" w:after="120"/>
              <w:jc w:val="both"/>
              <w:rPr>
                <w:noProof/>
              </w:rPr>
            </w:pPr>
            <w:r>
              <w:t>DA</w:t>
            </w:r>
          </w:p>
        </w:tc>
        <w:tc>
          <w:tcPr>
            <w:tcW w:w="614" w:type="dxa"/>
            <w:shd w:val="clear" w:color="auto" w:fill="auto"/>
          </w:tcPr>
          <w:p w:rsidR="003E5E5C" w:rsidRDefault="003E5E5C" w:rsidP="00583379">
            <w:pPr>
              <w:spacing w:before="240" w:after="120"/>
              <w:jc w:val="both"/>
              <w:rPr>
                <w:noProof/>
              </w:rPr>
            </w:pPr>
            <w:r>
              <w:t>NE</w:t>
            </w:r>
          </w:p>
        </w:tc>
      </w:tr>
      <w:tr w:rsidR="003E5E5C" w:rsidTr="007C6650">
        <w:tc>
          <w:tcPr>
            <w:tcW w:w="8472" w:type="dxa"/>
            <w:shd w:val="clear" w:color="auto" w:fill="auto"/>
          </w:tcPr>
          <w:p w:rsidR="003E5E5C" w:rsidRDefault="003E5E5C" w:rsidP="00C40246">
            <w:pPr>
              <w:pStyle w:val="Text1"/>
              <w:numPr>
                <w:ilvl w:val="0"/>
                <w:numId w:val="15"/>
              </w:numPr>
              <w:spacing w:before="40" w:after="40"/>
              <w:rPr>
                <w:noProof/>
              </w:rPr>
            </w:pPr>
            <w:r>
              <w:t xml:space="preserve">narušila tržišno natjecanje ranijim sudjelovanjem u pripremi dokumentacije o nabavi za ovaj postupak nabave. </w:t>
            </w:r>
          </w:p>
        </w:tc>
        <w:tc>
          <w:tcPr>
            <w:tcW w:w="670" w:type="dxa"/>
            <w:shd w:val="clear" w:color="auto" w:fill="auto"/>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14" w:type="dxa"/>
            <w:shd w:val="clear" w:color="auto" w:fill="auto"/>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bl>
    <w:bookmarkEnd w:id="29"/>
    <w:p w:rsidR="00F96EAB" w:rsidRPr="006C6DFD" w:rsidRDefault="00F816D2" w:rsidP="0024225B">
      <w:pPr>
        <w:pStyle w:val="Title"/>
        <w:rPr>
          <w:noProof/>
        </w:rPr>
      </w:pPr>
      <w:r>
        <w:t>V – Popravne mjere</w:t>
      </w:r>
    </w:p>
    <w:p w:rsidR="005C6293" w:rsidRDefault="005C6293" w:rsidP="007C6650">
      <w:pPr>
        <w:spacing w:before="120" w:after="120"/>
        <w:jc w:val="both"/>
        <w:rPr>
          <w:color w:val="000000"/>
        </w:rPr>
      </w:pPr>
      <w:r>
        <w:t xml:space="preserve">Ako osoba izjavi da se nalazi u jednoj od </w:t>
      </w:r>
      <w:r>
        <w:rPr>
          <w:color w:val="000000"/>
        </w:rPr>
        <w:t>prethodno navedenih situacija za isključenje, mora navesti mjere koje je poduzela da bi ispravila situaciju za isključenje i tako dokazati svoju pouzdanost. To može uključivati primjerice tehničke i organizacijske mjere te mjere u vezi s osobljem za sprečavanje ponavljanja postupanja, naknade štete ili plaćanja novčanih kazni. Relevantni pisani dokazi u kojima su prikazane korektivne mjere moraju se priložiti ovoj izjavi. To se ne odnosi na situacije iz točke (d) ove izjave.</w:t>
      </w:r>
    </w:p>
    <w:p w:rsidR="00F96EAB" w:rsidRPr="007D7A5F" w:rsidRDefault="00F816D2" w:rsidP="0024225B">
      <w:pPr>
        <w:pStyle w:val="Title"/>
        <w:rPr>
          <w:noProof/>
        </w:rPr>
      </w:pPr>
      <w:r>
        <w:t>VI – Dostavljanje dokaza na zahtjev</w:t>
      </w:r>
    </w:p>
    <w:p w:rsidR="00DA410F" w:rsidRPr="00F76ABA" w:rsidRDefault="00B84C49" w:rsidP="007C6650">
      <w:pPr>
        <w:spacing w:before="120" w:after="120"/>
        <w:ind w:firstLine="11"/>
        <w:jc w:val="both"/>
        <w:rPr>
          <w:noProof/>
        </w:rPr>
      </w:pPr>
      <w:r>
        <w:lastRenderedPageBreak/>
        <w:t>Na zahtjev i u roku koji utvrdi javni naručitelj, osoba mora dostaviti informacije o osobama koje su članovi upravnog, upravljačkog ili nadzornog tijela. Mora dostaviti i sljedeće dokaze koji se odnose na samu osobu te na fizičke ili pravne osobe koje prihvaćaju neograničenu odgovornost za dugove osobe:</w:t>
      </w:r>
    </w:p>
    <w:p w:rsidR="00357CC2" w:rsidRPr="00583379" w:rsidRDefault="00DA410F" w:rsidP="0024225B">
      <w:pPr>
        <w:pStyle w:val="Text1"/>
        <w:spacing w:before="100" w:beforeAutospacing="1" w:after="100" w:afterAutospacing="1"/>
        <w:ind w:left="284"/>
        <w:rPr>
          <w:rFonts w:ascii="Arial Narrow" w:hAnsi="Arial Narrow"/>
          <w:noProof/>
        </w:rPr>
      </w:pPr>
      <w:r>
        <w:rPr>
          <w:rFonts w:ascii="Arial Narrow" w:hAnsi="Arial Narrow"/>
          <w:noProof/>
        </w:rPr>
        <w:t xml:space="preserve">Za situacije opisane pod (a), (c), (d) ili (f) potrebno je dostaviti izvadak iz sudskog registra novijeg datuma ili, u suprotnom, ekvivalentni dokument novijeg datuma koji je izdalo sudsko ili upravno tijelo države poslovnog nastana osobe kojim se dokazuje da su ti zahtjevi ispunjeni. </w:t>
      </w:r>
    </w:p>
    <w:p w:rsidR="00E6004E" w:rsidRPr="00583379"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snapToGrid w:val="0"/>
        </w:rPr>
      </w:pPr>
      <w:r>
        <w:rPr>
          <w:rFonts w:ascii="Arial Narrow" w:hAnsi="Arial Narrow"/>
          <w:noProof/>
        </w:rPr>
        <w:t>Za situaciju opisanu pod (a) ili (b) potrebno je dostaviti potvrde novijeg datuma koje je izdalo nadležno tijelo predmetne države. Tim se dokumentima mora dokazati da je osoba ispunila sve obveze koje se odnose na plaćanje poreza i doprinosa s osnove socijalnog osiguranja, uključujući PDV, porez na dohodak (samo fizičke osobe), porez na dobit (samo pravne osobe) te doprinose za socijalno osiguranje. Ako se u predmetnoj državi ne izdaju prethodno opisani dokumenti, oni se mogu zamijeniti izjavom pod prisegom pred sudskim tijelom ili bilježnikom ili, u suprotnom, svečanom izjavom pred upravnim tijelom ili kvalificiranim strukovnim tijelom u državi njezina poslovnog nastana.</w:t>
      </w:r>
    </w:p>
    <w:p w:rsidR="008C4A00" w:rsidRDefault="00C55150" w:rsidP="0024225B">
      <w:pPr>
        <w:spacing w:before="100" w:beforeAutospacing="1" w:after="100" w:afterAutospacing="1"/>
        <w:jc w:val="both"/>
      </w:pPr>
      <w:r>
        <w:t xml:space="preserve">Od osobe se ne zahtijeva da dostavi dokaze ako su oni već dostavljeni za drugi postupak nabave. Dokumenti moraju biti izdani najviše godinu dana prije datuma kada ih je javni naručitelj zatražio i moraju biti i dalje valjani na taj datum. </w:t>
      </w:r>
    </w:p>
    <w:p w:rsidR="008C4A00" w:rsidRDefault="00A40405" w:rsidP="0024225B">
      <w:pPr>
        <w:spacing w:before="100" w:beforeAutospacing="1" w:after="100" w:afterAutospacing="1"/>
        <w:jc w:val="both"/>
      </w:pPr>
      <w:r>
        <w:t xml:space="preserve">Potpisnik izjavljuje da je osoba već dostavila pisane dokaze za prethodni postupak i potvrđuje da nije došlo ni do kakvih promjena u vezi s njezinom situacijom: </w:t>
      </w:r>
    </w:p>
    <w:tbl>
      <w:tblPr>
        <w:tblStyle w:val="TableGrid"/>
        <w:tblW w:w="9464" w:type="dxa"/>
        <w:tblLook w:val="04A0" w:firstRow="1" w:lastRow="0" w:firstColumn="1" w:lastColumn="0" w:noHBand="0" w:noVBand="1"/>
      </w:tblPr>
      <w:tblGrid>
        <w:gridCol w:w="4786"/>
        <w:gridCol w:w="4678"/>
      </w:tblGrid>
      <w:tr w:rsidR="000C2EE8" w:rsidRPr="000C2EE8" w:rsidTr="0024225B">
        <w:tc>
          <w:tcPr>
            <w:tcW w:w="4786" w:type="dxa"/>
          </w:tcPr>
          <w:p w:rsidR="000C2EE8" w:rsidRPr="0024225B" w:rsidRDefault="000C2EE8" w:rsidP="0024225B">
            <w:pPr>
              <w:spacing w:before="100" w:beforeAutospacing="1" w:after="100" w:afterAutospacing="1"/>
              <w:jc w:val="center"/>
              <w:rPr>
                <w:b/>
                <w:sz w:val="22"/>
              </w:rPr>
            </w:pPr>
            <w:r>
              <w:rPr>
                <w:b/>
                <w:sz w:val="22"/>
              </w:rPr>
              <w:t>Dokument</w:t>
            </w:r>
          </w:p>
        </w:tc>
        <w:tc>
          <w:tcPr>
            <w:tcW w:w="4678" w:type="dxa"/>
          </w:tcPr>
          <w:p w:rsidR="000C2EE8" w:rsidRPr="0024225B" w:rsidRDefault="000C2EE8" w:rsidP="0024225B">
            <w:pPr>
              <w:spacing w:before="100" w:beforeAutospacing="1" w:after="100" w:afterAutospacing="1"/>
              <w:jc w:val="center"/>
              <w:rPr>
                <w:b/>
                <w:sz w:val="22"/>
              </w:rPr>
            </w:pPr>
            <w:r>
              <w:rPr>
                <w:b/>
                <w:sz w:val="22"/>
              </w:rPr>
              <w:t>Potpuno upućivanje na prethodni postupak</w:t>
            </w:r>
          </w:p>
        </w:tc>
      </w:tr>
      <w:tr w:rsidR="00FF0711" w:rsidTr="005D6DE3">
        <w:tc>
          <w:tcPr>
            <w:tcW w:w="4786" w:type="dxa"/>
          </w:tcPr>
          <w:p w:rsidR="00FF0711" w:rsidRDefault="00FF0711" w:rsidP="0024225B">
            <w:pPr>
              <w:spacing w:before="100" w:beforeAutospacing="1" w:after="100" w:afterAutospacing="1"/>
            </w:pPr>
            <w:r>
              <w:rPr>
                <w:i/>
                <w:highlight w:val="lightGray"/>
              </w:rPr>
              <w:t>Dodati retke prema potrebi.</w:t>
            </w:r>
          </w:p>
        </w:tc>
        <w:tc>
          <w:tcPr>
            <w:tcW w:w="4678" w:type="dxa"/>
          </w:tcPr>
          <w:p w:rsidR="00FF0711" w:rsidRDefault="00FF0711" w:rsidP="0024225B">
            <w:pPr>
              <w:spacing w:before="100" w:beforeAutospacing="1" w:after="100" w:afterAutospacing="1"/>
            </w:pPr>
          </w:p>
        </w:tc>
      </w:tr>
    </w:tbl>
    <w:p w:rsidR="00DC56F6" w:rsidRPr="00BC61E2" w:rsidRDefault="00F816D2" w:rsidP="0024225B">
      <w:pPr>
        <w:pStyle w:val="Title"/>
        <w:rPr>
          <w:i/>
        </w:rPr>
      </w:pPr>
      <w:r>
        <w:t>VII – Kriteriji za odabir</w:t>
      </w:r>
      <w:r>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5"/>
        <w:gridCol w:w="686"/>
        <w:gridCol w:w="599"/>
        <w:gridCol w:w="1336"/>
      </w:tblGrid>
      <w:tr w:rsidR="00376A09" w:rsidTr="00376A09">
        <w:tc>
          <w:tcPr>
            <w:tcW w:w="7344" w:type="dxa"/>
            <w:shd w:val="clear" w:color="auto" w:fill="auto"/>
          </w:tcPr>
          <w:p w:rsidR="00376A09" w:rsidRPr="00C475D8" w:rsidRDefault="00376A09" w:rsidP="00664C39">
            <w:pPr>
              <w:numPr>
                <w:ilvl w:val="0"/>
                <w:numId w:val="17"/>
              </w:numPr>
              <w:spacing w:before="120" w:after="120"/>
              <w:jc w:val="both"/>
              <w:rPr>
                <w:noProof/>
              </w:rPr>
            </w:pPr>
            <w:r>
              <w:t>izjavljuje da prethodno navedena osoba zadovoljava kriterije za odabir primjenjive na nju pojedinačno, kako su utvrđeni u natječajnim specifikacijama:</w:t>
            </w:r>
          </w:p>
        </w:tc>
        <w:tc>
          <w:tcPr>
            <w:tcW w:w="704" w:type="dxa"/>
            <w:shd w:val="clear" w:color="auto" w:fill="auto"/>
          </w:tcPr>
          <w:p w:rsidR="00376A09" w:rsidRDefault="00376A09" w:rsidP="00D744A3">
            <w:pPr>
              <w:spacing w:before="240" w:after="120"/>
              <w:jc w:val="both"/>
              <w:rPr>
                <w:noProof/>
              </w:rPr>
            </w:pPr>
            <w:r>
              <w:t>DA</w:t>
            </w:r>
          </w:p>
        </w:tc>
        <w:tc>
          <w:tcPr>
            <w:tcW w:w="608" w:type="dxa"/>
            <w:shd w:val="clear" w:color="auto" w:fill="auto"/>
          </w:tcPr>
          <w:p w:rsidR="00376A09" w:rsidRDefault="00376A09" w:rsidP="00D744A3">
            <w:pPr>
              <w:spacing w:before="240" w:after="120"/>
              <w:jc w:val="both"/>
              <w:rPr>
                <w:noProof/>
              </w:rPr>
            </w:pPr>
            <w:r>
              <w:t>NE</w:t>
            </w:r>
          </w:p>
        </w:tc>
        <w:tc>
          <w:tcPr>
            <w:tcW w:w="630" w:type="dxa"/>
            <w:shd w:val="clear" w:color="auto" w:fill="auto"/>
          </w:tcPr>
          <w:p w:rsidR="00376A09" w:rsidRDefault="00376A09" w:rsidP="00D744A3">
            <w:pPr>
              <w:spacing w:before="240" w:after="120"/>
              <w:jc w:val="both"/>
              <w:rPr>
                <w:noProof/>
              </w:rPr>
            </w:pPr>
            <w:r>
              <w:t>nije primjenjivo</w:t>
            </w:r>
          </w:p>
        </w:tc>
      </w:tr>
      <w:tr w:rsidR="00376A09" w:rsidTr="0024225B">
        <w:tc>
          <w:tcPr>
            <w:tcW w:w="7344" w:type="dxa"/>
            <w:shd w:val="clear" w:color="auto" w:fill="auto"/>
          </w:tcPr>
          <w:p w:rsidR="00376A09" w:rsidRDefault="00376A09" w:rsidP="00583379">
            <w:pPr>
              <w:pStyle w:val="Text1"/>
              <w:numPr>
                <w:ilvl w:val="0"/>
                <w:numId w:val="24"/>
              </w:numPr>
              <w:spacing w:before="40" w:after="40"/>
              <w:rPr>
                <w:noProof/>
              </w:rPr>
            </w:pPr>
            <w:r>
              <w:t>osoba je pravno i regulatorno sposobna za obavljanje profesionalne djelatnosti, potrebne za izvršenje ugovora, kako se zahtijeva u odjeljku [</w:t>
            </w:r>
            <w:r>
              <w:rPr>
                <w:i/>
                <w:noProof/>
                <w:highlight w:val="lightGray"/>
              </w:rPr>
              <w:t>navesti</w:t>
            </w:r>
            <w:r>
              <w:t>] natječajnih specifikacija;</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376A09" w:rsidTr="0024225B">
        <w:tc>
          <w:tcPr>
            <w:tcW w:w="7344" w:type="dxa"/>
            <w:shd w:val="clear" w:color="auto" w:fill="auto"/>
          </w:tcPr>
          <w:p w:rsidR="00376A09" w:rsidRDefault="00376A09" w:rsidP="00583379">
            <w:pPr>
              <w:pStyle w:val="Text1"/>
              <w:numPr>
                <w:ilvl w:val="0"/>
                <w:numId w:val="24"/>
              </w:numPr>
              <w:spacing w:before="40" w:after="40"/>
              <w:rPr>
                <w:noProof/>
              </w:rPr>
            </w:pPr>
            <w:r>
              <w:t>ispunjuje primjenjive ekonomske i financijske kriterije navedene u odjeljku [</w:t>
            </w:r>
            <w:r>
              <w:rPr>
                <w:i/>
                <w:noProof/>
                <w:highlight w:val="lightGray"/>
              </w:rPr>
              <w:t>navesti</w:t>
            </w:r>
            <w:r>
              <w:t>] natječajnih specifikacija;</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r w:rsidR="00376A09" w:rsidTr="0024225B">
        <w:tc>
          <w:tcPr>
            <w:tcW w:w="7344" w:type="dxa"/>
            <w:shd w:val="clear" w:color="auto" w:fill="auto"/>
          </w:tcPr>
          <w:p w:rsidR="00376A09" w:rsidRDefault="00376A09" w:rsidP="00583379">
            <w:pPr>
              <w:pStyle w:val="Text1"/>
              <w:numPr>
                <w:ilvl w:val="0"/>
                <w:numId w:val="24"/>
              </w:numPr>
              <w:spacing w:before="40" w:after="40"/>
              <w:rPr>
                <w:noProof/>
              </w:rPr>
            </w:pPr>
            <w:r>
              <w:t>ispunjuje primjenjive tehničke i stručne kriterije navedene u odjeljku [</w:t>
            </w:r>
            <w:r>
              <w:rPr>
                <w:i/>
                <w:noProof/>
                <w:highlight w:val="lightGray"/>
              </w:rPr>
              <w:t>navesti</w:t>
            </w:r>
            <w:r>
              <w:t>] natječajnih specifikacija;</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bl>
    <w:p w:rsidR="00C87D95" w:rsidRPr="0024225B" w:rsidRDefault="00C87D95" w:rsidP="00C87D95"/>
    <w:p w:rsidR="00C87D95" w:rsidRPr="00BC61E2" w:rsidRDefault="00C87D95" w:rsidP="00C87D95">
      <w:pPr>
        <w:rPr>
          <w:b/>
          <w:i/>
          <w:color w:val="0070C0"/>
        </w:rPr>
      </w:pPr>
      <w:r>
        <w:rPr>
          <w:b/>
          <w:i/>
          <w:color w:val="0070C0"/>
          <w:highlight w:val="yellow"/>
        </w:rPr>
        <w:t>Javni naručitelj mora prethodno navedenu tablicu prilagoditi kriterijima koji su navedeni u natječajnim specifikacijama (tj. dodati retke za svaki kriterij ili izbrisati nerelevantne retke).</w:t>
      </w:r>
      <w:r>
        <w:rPr>
          <w:b/>
          <w:i/>
          <w:color w:val="0070C0"/>
        </w:rPr>
        <w:t xml:space="preserve"> </w:t>
      </w:r>
    </w:p>
    <w:p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687"/>
        <w:gridCol w:w="594"/>
        <w:gridCol w:w="13"/>
        <w:gridCol w:w="1323"/>
      </w:tblGrid>
      <w:tr w:rsidR="00376A09" w:rsidTr="00376A09">
        <w:tc>
          <w:tcPr>
            <w:tcW w:w="7344" w:type="dxa"/>
            <w:shd w:val="clear" w:color="auto" w:fill="auto"/>
          </w:tcPr>
          <w:p w:rsidR="00376A09" w:rsidRDefault="00376A09" w:rsidP="00BE4FA7">
            <w:pPr>
              <w:numPr>
                <w:ilvl w:val="0"/>
                <w:numId w:val="17"/>
              </w:numPr>
              <w:spacing w:before="120" w:after="120"/>
              <w:jc w:val="both"/>
              <w:rPr>
                <w:noProof/>
              </w:rPr>
            </w:pPr>
            <w:r>
              <w:t xml:space="preserve"> ako je prethodno navedena osoba </w:t>
            </w:r>
            <w:r>
              <w:rPr>
                <w:b/>
                <w:noProof/>
              </w:rPr>
              <w:t>jedini ponuditelj</w:t>
            </w:r>
            <w:r>
              <w:t xml:space="preserve"> ili </w:t>
            </w:r>
            <w:r>
              <w:rPr>
                <w:b/>
                <w:noProof/>
              </w:rPr>
              <w:t>glavni ponuditelj u slučaju zajedničke ponude</w:t>
            </w:r>
            <w:r>
              <w:t>, izjavljuje da:</w:t>
            </w:r>
          </w:p>
        </w:tc>
        <w:tc>
          <w:tcPr>
            <w:tcW w:w="704" w:type="dxa"/>
            <w:shd w:val="clear" w:color="auto" w:fill="auto"/>
          </w:tcPr>
          <w:p w:rsidR="00376A09" w:rsidRDefault="00376A09" w:rsidP="00A91324">
            <w:pPr>
              <w:spacing w:before="240" w:after="120"/>
              <w:jc w:val="both"/>
              <w:rPr>
                <w:noProof/>
              </w:rPr>
            </w:pPr>
            <w:r>
              <w:t>DA</w:t>
            </w:r>
          </w:p>
        </w:tc>
        <w:tc>
          <w:tcPr>
            <w:tcW w:w="602" w:type="dxa"/>
            <w:shd w:val="clear" w:color="auto" w:fill="auto"/>
          </w:tcPr>
          <w:p w:rsidR="00376A09" w:rsidRDefault="00376A09" w:rsidP="0092045D">
            <w:pPr>
              <w:spacing w:before="240" w:after="120"/>
              <w:jc w:val="both"/>
              <w:rPr>
                <w:noProof/>
              </w:rPr>
            </w:pPr>
            <w:r>
              <w:t>NE</w:t>
            </w:r>
          </w:p>
        </w:tc>
        <w:tc>
          <w:tcPr>
            <w:tcW w:w="636" w:type="dxa"/>
            <w:gridSpan w:val="2"/>
            <w:shd w:val="clear" w:color="auto" w:fill="auto"/>
          </w:tcPr>
          <w:p w:rsidR="00376A09" w:rsidRDefault="00376A09" w:rsidP="00011028">
            <w:pPr>
              <w:spacing w:before="240" w:after="120"/>
              <w:jc w:val="both"/>
              <w:rPr>
                <w:noProof/>
              </w:rPr>
            </w:pPr>
            <w:r>
              <w:t>nije primjenjivo</w:t>
            </w:r>
          </w:p>
        </w:tc>
      </w:tr>
      <w:tr w:rsidR="00376A09" w:rsidTr="0024225B">
        <w:tc>
          <w:tcPr>
            <w:tcW w:w="7344" w:type="dxa"/>
            <w:shd w:val="clear" w:color="auto" w:fill="auto"/>
          </w:tcPr>
          <w:p w:rsidR="00376A09" w:rsidRDefault="00376A09" w:rsidP="00874F07">
            <w:pPr>
              <w:pStyle w:val="Text1"/>
              <w:numPr>
                <w:ilvl w:val="0"/>
                <w:numId w:val="24"/>
              </w:numPr>
              <w:spacing w:before="40" w:after="40"/>
              <w:rPr>
                <w:noProof/>
              </w:rPr>
            </w:pPr>
            <w:r>
              <w:t xml:space="preserve">ponuditelj, uključujući sve članove skupine u slučaju zajedničke ponude te uključujući podizvoditelje ako je primjenjivo, zadovoljava sve kriterije za odabir za koje će se </w:t>
            </w:r>
            <w:r>
              <w:lastRenderedPageBreak/>
              <w:t>izvršiti konsolidirana procjena kako je utvrđeno u natječajnim specifikacijama.</w:t>
            </w:r>
          </w:p>
        </w:tc>
        <w:tc>
          <w:tcPr>
            <w:tcW w:w="704" w:type="dxa"/>
            <w:shd w:val="clear" w:color="auto" w:fill="auto"/>
          </w:tcPr>
          <w:p w:rsidR="00376A09" w:rsidRDefault="00376A09" w:rsidP="00FA1E79">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08" w:type="dxa"/>
            <w:gridSpan w:val="2"/>
            <w:shd w:val="clear" w:color="auto" w:fill="auto"/>
          </w:tcPr>
          <w:p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c>
          <w:tcPr>
            <w:tcW w:w="630" w:type="dxa"/>
          </w:tcPr>
          <w:p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666D">
              <w:rPr>
                <w:noProof/>
              </w:rPr>
            </w:r>
            <w:r w:rsidR="001F666D">
              <w:rPr>
                <w:noProof/>
              </w:rPr>
              <w:fldChar w:fldCharType="separate"/>
            </w:r>
            <w:r>
              <w:rPr>
                <w:noProof/>
              </w:rPr>
              <w:fldChar w:fldCharType="end"/>
            </w:r>
          </w:p>
        </w:tc>
      </w:tr>
    </w:tbl>
    <w:p w:rsidR="00154CF6" w:rsidRPr="00BC61E2" w:rsidRDefault="00154CF6" w:rsidP="00154CF6">
      <w:pPr>
        <w:pStyle w:val="Title"/>
        <w:rPr>
          <w:i/>
        </w:rPr>
      </w:pPr>
      <w:r>
        <w:lastRenderedPageBreak/>
        <w:t>VII – Dokazi za odabir</w:t>
      </w:r>
    </w:p>
    <w:p w:rsidR="00154CF6" w:rsidRDefault="00154CF6" w:rsidP="00154CF6">
      <w:pPr>
        <w:spacing w:before="100" w:beforeAutospacing="1" w:after="100" w:afterAutospacing="1"/>
        <w:jc w:val="both"/>
        <w:rPr>
          <w:noProof/>
        </w:rPr>
      </w:pPr>
      <w:r>
        <w:t>Potpisnik izjavljuje da prethodno navedena osoba može na zahtjev i bez odlaganja dostaviti potrebne popratne dokumente navedene u relevantnim odjeljcima natječajnih specifikacija koji nisu dostupni u elektroničkom obliku.</w:t>
      </w:r>
    </w:p>
    <w:p w:rsidR="001C5CDF" w:rsidRDefault="001C5CDF" w:rsidP="00154CF6">
      <w:pPr>
        <w:spacing w:before="100" w:beforeAutospacing="1" w:after="100" w:afterAutospacing="1"/>
        <w:jc w:val="both"/>
      </w:pPr>
      <w:r>
        <w:t xml:space="preserve">Od osobe se ne zahtijeva da dostavi dokaze ako su oni već dostavljeni za drugi postupak nabave. Dokumenti moraju biti izdani najviše godinu dana prije datuma kada ih je javni naručitelj zatražio i moraju biti i dalje valjani na taj datum. </w:t>
      </w:r>
    </w:p>
    <w:p w:rsidR="001C5CDF" w:rsidRDefault="00154CF6" w:rsidP="0024225B">
      <w:pPr>
        <w:spacing w:before="100" w:beforeAutospacing="1" w:after="100" w:afterAutospacing="1"/>
        <w:jc w:val="both"/>
      </w:pPr>
      <w:r>
        <w:t xml:space="preserve">Potpisnik izjavljuje da je osoba već dostavila pisane dokaze za prethodni postupak i potvrđuje da nije došlo ni do kakvih promjena u vezi s njezinom situacijom: </w:t>
      </w:r>
    </w:p>
    <w:tbl>
      <w:tblPr>
        <w:tblStyle w:val="TableGrid"/>
        <w:tblW w:w="9464" w:type="dxa"/>
        <w:tblLook w:val="04A0" w:firstRow="1" w:lastRow="0" w:firstColumn="1" w:lastColumn="0" w:noHBand="0" w:noVBand="1"/>
      </w:tblPr>
      <w:tblGrid>
        <w:gridCol w:w="4786"/>
        <w:gridCol w:w="4678"/>
      </w:tblGrid>
      <w:tr w:rsidR="00C87D95" w:rsidRPr="000C2EE8" w:rsidTr="004D49FF">
        <w:tc>
          <w:tcPr>
            <w:tcW w:w="4786" w:type="dxa"/>
          </w:tcPr>
          <w:p w:rsidR="00C87D95" w:rsidRPr="004D49FF" w:rsidRDefault="00C87D95">
            <w:pPr>
              <w:spacing w:before="100" w:beforeAutospacing="1" w:after="100" w:afterAutospacing="1"/>
              <w:jc w:val="center"/>
              <w:rPr>
                <w:b/>
                <w:sz w:val="22"/>
              </w:rPr>
            </w:pPr>
            <w:r>
              <w:rPr>
                <w:b/>
                <w:sz w:val="22"/>
              </w:rPr>
              <w:t>Dokument</w:t>
            </w:r>
          </w:p>
        </w:tc>
        <w:tc>
          <w:tcPr>
            <w:tcW w:w="4678" w:type="dxa"/>
          </w:tcPr>
          <w:p w:rsidR="00C87D95" w:rsidRPr="004D49FF" w:rsidRDefault="00C87D95" w:rsidP="004D49FF">
            <w:pPr>
              <w:spacing w:before="100" w:beforeAutospacing="1" w:after="100" w:afterAutospacing="1"/>
              <w:jc w:val="center"/>
              <w:rPr>
                <w:b/>
                <w:sz w:val="22"/>
              </w:rPr>
            </w:pPr>
            <w:r>
              <w:rPr>
                <w:b/>
                <w:sz w:val="22"/>
              </w:rPr>
              <w:t>Potpuno upućivanje na prethodni postupak</w:t>
            </w:r>
          </w:p>
        </w:tc>
      </w:tr>
      <w:tr w:rsidR="00C87D95" w:rsidTr="004D49FF">
        <w:tc>
          <w:tcPr>
            <w:tcW w:w="4786" w:type="dxa"/>
          </w:tcPr>
          <w:p w:rsidR="00C87D95" w:rsidRDefault="00C87D95" w:rsidP="004D49FF">
            <w:pPr>
              <w:spacing w:before="100" w:beforeAutospacing="1" w:after="100" w:afterAutospacing="1"/>
            </w:pPr>
            <w:r>
              <w:rPr>
                <w:i/>
                <w:highlight w:val="lightGray"/>
              </w:rPr>
              <w:t>Dodati retke prema potrebi.</w:t>
            </w:r>
          </w:p>
        </w:tc>
        <w:tc>
          <w:tcPr>
            <w:tcW w:w="4678" w:type="dxa"/>
          </w:tcPr>
          <w:p w:rsidR="00C87D95" w:rsidRDefault="00C87D95" w:rsidP="004D49FF">
            <w:pPr>
              <w:spacing w:before="100" w:beforeAutospacing="1" w:after="100" w:afterAutospacing="1"/>
            </w:pPr>
          </w:p>
        </w:tc>
      </w:tr>
    </w:tbl>
    <w:p w:rsidR="001C5CDF" w:rsidRDefault="001C5CDF" w:rsidP="004D4F4A">
      <w:pPr>
        <w:spacing w:before="40" w:after="40"/>
        <w:jc w:val="both"/>
        <w:rPr>
          <w:noProof/>
        </w:rPr>
      </w:pPr>
    </w:p>
    <w:p w:rsidR="00BA61F8" w:rsidRPr="0024225B" w:rsidRDefault="00BA61F8" w:rsidP="004D4F4A">
      <w:pPr>
        <w:spacing w:before="40" w:after="40"/>
        <w:jc w:val="both"/>
        <w:rPr>
          <w:b/>
          <w:i/>
          <w:noProof/>
        </w:rPr>
      </w:pPr>
      <w:r>
        <w:rPr>
          <w:b/>
          <w:i/>
          <w:noProof/>
        </w:rPr>
        <w:t>Prethodno navedenoj osobi može se odbiti sudjelovanje u ovom postupku i može joj se izreći administrativna kazna (isključenje ili financijska sankcija) ako se bilo koja dostavljena izjava ili informacija, koje su bile uvjet za sudjelovanje u postupku, pokažu neistinitima.</w:t>
      </w:r>
    </w:p>
    <w:p w:rsidR="00156071" w:rsidRPr="00F76ABA" w:rsidRDefault="00156071" w:rsidP="004D4F4A">
      <w:pPr>
        <w:spacing w:before="40" w:after="40"/>
        <w:jc w:val="both"/>
        <w:rPr>
          <w:noProof/>
        </w:rPr>
      </w:pPr>
    </w:p>
    <w:p w:rsidR="00DA410F" w:rsidRPr="00F76ABA" w:rsidRDefault="004D4F4A" w:rsidP="004A4B4A">
      <w:pPr>
        <w:tabs>
          <w:tab w:val="left" w:pos="4395"/>
          <w:tab w:val="left" w:pos="7797"/>
        </w:tabs>
        <w:spacing w:before="40" w:after="40"/>
        <w:jc w:val="both"/>
        <w:rPr>
          <w:noProof/>
        </w:rPr>
      </w:pPr>
      <w:r>
        <w:t>Ime i prezime</w:t>
      </w:r>
      <w:r>
        <w:tab/>
        <w:t>Datum</w:t>
      </w:r>
      <w:r>
        <w:tab/>
        <w:t>Potpis</w:t>
      </w:r>
    </w:p>
    <w:p w:rsidR="00DA410F" w:rsidRPr="00F76ABA" w:rsidRDefault="00DA410F" w:rsidP="004D4F4A">
      <w:pPr>
        <w:rPr>
          <w:noProof/>
        </w:rPr>
      </w:pPr>
    </w:p>
    <w:sectPr w:rsidR="00DA410F" w:rsidRPr="00F76ABA" w:rsidSect="00C11B0F">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66D" w:rsidRDefault="001F666D">
      <w:r>
        <w:separator/>
      </w:r>
    </w:p>
  </w:endnote>
  <w:endnote w:type="continuationSeparator" w:id="0">
    <w:p w:rsidR="001F666D" w:rsidRDefault="001F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66D" w:rsidRDefault="001F666D">
      <w:r>
        <w:separator/>
      </w:r>
    </w:p>
  </w:footnote>
  <w:footnote w:type="continuationSeparator" w:id="0">
    <w:p w:rsidR="001F666D" w:rsidRDefault="001F6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23" w:rsidRPr="004A3BDB" w:rsidRDefault="004A3BDB" w:rsidP="004A3BDB">
    <w:pPr>
      <w:pStyle w:val="Header"/>
      <w:jc w:val="right"/>
      <w:rPr>
        <w:sz w:val="20"/>
      </w:rPr>
    </w:pPr>
    <w:r>
      <w:rPr>
        <w:sz w:val="20"/>
      </w:rPr>
      <w:t>Verzija iz ožujka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F135A"/>
    <w:rsid w:val="001F666D"/>
    <w:rsid w:val="002121C3"/>
    <w:rsid w:val="00214D18"/>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37501"/>
    <w:rsid w:val="004613D0"/>
    <w:rsid w:val="00466AA5"/>
    <w:rsid w:val="004A3BDB"/>
    <w:rsid w:val="004A4B4A"/>
    <w:rsid w:val="004B187F"/>
    <w:rsid w:val="004B1983"/>
    <w:rsid w:val="004B29AF"/>
    <w:rsid w:val="004D4F4A"/>
    <w:rsid w:val="004D4F81"/>
    <w:rsid w:val="0050151E"/>
    <w:rsid w:val="00501E73"/>
    <w:rsid w:val="005063A7"/>
    <w:rsid w:val="00515AA9"/>
    <w:rsid w:val="00583379"/>
    <w:rsid w:val="00590E7C"/>
    <w:rsid w:val="005A24DC"/>
    <w:rsid w:val="005B251C"/>
    <w:rsid w:val="005C6293"/>
    <w:rsid w:val="005E41BC"/>
    <w:rsid w:val="005E5268"/>
    <w:rsid w:val="006572BD"/>
    <w:rsid w:val="00664C39"/>
    <w:rsid w:val="00670A9C"/>
    <w:rsid w:val="00693DC0"/>
    <w:rsid w:val="006A5BCA"/>
    <w:rsid w:val="006B7C44"/>
    <w:rsid w:val="006C5DA3"/>
    <w:rsid w:val="006C6DFD"/>
    <w:rsid w:val="006E194A"/>
    <w:rsid w:val="006F2DF6"/>
    <w:rsid w:val="007105F4"/>
    <w:rsid w:val="00730771"/>
    <w:rsid w:val="00735919"/>
    <w:rsid w:val="00753333"/>
    <w:rsid w:val="007740A0"/>
    <w:rsid w:val="007801E8"/>
    <w:rsid w:val="00797829"/>
    <w:rsid w:val="007C10CF"/>
    <w:rsid w:val="007C1171"/>
    <w:rsid w:val="007C6650"/>
    <w:rsid w:val="007D7A5F"/>
    <w:rsid w:val="007E7A77"/>
    <w:rsid w:val="00810432"/>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65C0"/>
    <w:rsid w:val="00985E31"/>
    <w:rsid w:val="009D19B9"/>
    <w:rsid w:val="009F09C3"/>
    <w:rsid w:val="009F5E6E"/>
    <w:rsid w:val="00A278B9"/>
    <w:rsid w:val="00A40405"/>
    <w:rsid w:val="00A52221"/>
    <w:rsid w:val="00A67419"/>
    <w:rsid w:val="00A84DE0"/>
    <w:rsid w:val="00AA00F5"/>
    <w:rsid w:val="00AA0A0C"/>
    <w:rsid w:val="00AA10D6"/>
    <w:rsid w:val="00AB251A"/>
    <w:rsid w:val="00AB30FA"/>
    <w:rsid w:val="00AD1D16"/>
    <w:rsid w:val="00AD3CBA"/>
    <w:rsid w:val="00AF508E"/>
    <w:rsid w:val="00AF6D8E"/>
    <w:rsid w:val="00B13667"/>
    <w:rsid w:val="00B26822"/>
    <w:rsid w:val="00B316EE"/>
    <w:rsid w:val="00B418F3"/>
    <w:rsid w:val="00B84C49"/>
    <w:rsid w:val="00B953D3"/>
    <w:rsid w:val="00BA61F8"/>
    <w:rsid w:val="00BC61E2"/>
    <w:rsid w:val="00BD22D5"/>
    <w:rsid w:val="00BE4FA7"/>
    <w:rsid w:val="00BF2C04"/>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841AD"/>
    <w:rsid w:val="00D9381D"/>
    <w:rsid w:val="00DA410F"/>
    <w:rsid w:val="00DA59FF"/>
    <w:rsid w:val="00DC3E96"/>
    <w:rsid w:val="00DC56F6"/>
    <w:rsid w:val="00DE5E11"/>
    <w:rsid w:val="00DF45B2"/>
    <w:rsid w:val="00E00149"/>
    <w:rsid w:val="00E012CB"/>
    <w:rsid w:val="00E12354"/>
    <w:rsid w:val="00E2030C"/>
    <w:rsid w:val="00E21446"/>
    <w:rsid w:val="00E33977"/>
    <w:rsid w:val="00E6004E"/>
    <w:rsid w:val="00EC5131"/>
    <w:rsid w:val="00EF4899"/>
    <w:rsid w:val="00F00EDA"/>
    <w:rsid w:val="00F028EB"/>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hr-H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hr-HR" w:eastAsia="hr-HR" w:bidi="hr-HR"/>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hr-HR" w:eastAsia="hr-HR" w:bidi="hr-HR"/>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hr-HR" w:eastAsia="hr-HR" w:bidi="hr-HR"/>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hr-HR" w:eastAsia="hr-HR"/>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hr-HR" w:eastAsia="hr-HR"/>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hr-H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hr-HR" w:eastAsia="hr-HR" w:bidi="hr-HR"/>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hr-HR" w:eastAsia="hr-HR" w:bidi="hr-HR"/>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hr-HR" w:eastAsia="hr-HR" w:bidi="hr-HR"/>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hr-HR" w:eastAsia="hr-HR"/>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hr-HR" w:eastAsia="hr-HR"/>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5.xml><?xml version="1.0" encoding="utf-8"?>
<ds:datastoreItem xmlns:ds="http://schemas.openxmlformats.org/officeDocument/2006/customXml" ds:itemID="{2C799260-D9EE-4A18-BAC3-73097F6C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DONNELLY Cillian (COMM-EXT)</cp:lastModifiedBy>
  <cp:revision>2</cp:revision>
  <cp:lastPrinted>2016-02-26T13:49:00Z</cp:lastPrinted>
  <dcterms:created xsi:type="dcterms:W3CDTF">2017-01-10T09:21:00Z</dcterms:created>
  <dcterms:modified xsi:type="dcterms:W3CDTF">2017-01-10T09:21:00Z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