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5D621EC7" w:rsidR="00BB79A4" w:rsidRPr="00B42AEB" w:rsidRDefault="00C03814" w:rsidP="00C03814">
      <w:pPr>
        <w:pStyle w:val="Pagedecouverture"/>
        <w:rPr>
          <w:noProof/>
        </w:rPr>
      </w:pPr>
      <w:bookmarkStart w:id="0" w:name="LW_BM_COVERPAGE"/>
      <w:r>
        <w:rPr>
          <w:noProof/>
        </w:rPr>
        <w:pict w14:anchorId="786C5C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7D943201-0251-4738-A3D6-F46B294C0D4D" style="width:455.15pt;height:310.45pt">
            <v:imagedata r:id="rId8" o:title=""/>
          </v:shape>
        </w:pict>
      </w:r>
    </w:p>
    <w:bookmarkEnd w:id="0"/>
    <w:p w14:paraId="7528B035" w14:textId="77777777" w:rsidR="004329BF" w:rsidRPr="00B42AEB" w:rsidRDefault="004329BF" w:rsidP="00B42AEB">
      <w:pPr>
        <w:rPr>
          <w:noProof/>
        </w:rPr>
        <w:sectPr w:rsidR="004329BF" w:rsidRPr="00B42AEB" w:rsidSect="00C03814">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728543"/>
      <w:bookmarkStart w:id="4" w:name="_GoBack"/>
      <w:bookmarkEnd w:id="1"/>
      <w:bookmarkEnd w:id="2"/>
      <w:bookmarkEnd w:id="4"/>
      <w:r>
        <w:rPr>
          <w:noProof/>
        </w:rPr>
        <w:lastRenderedPageBreak/>
        <w:t>Werrej</w:t>
      </w:r>
      <w:bookmarkEnd w:id="3"/>
    </w:p>
    <w:sdt>
      <w:sdtPr>
        <w:rPr>
          <w:lang w:val="en-IE"/>
        </w:rPr>
        <w:id w:val="-2143641472"/>
        <w:docPartObj>
          <w:docPartGallery w:val="Table of Contents"/>
          <w:docPartUnique/>
        </w:docPartObj>
      </w:sdtPr>
      <w:sdtEndPr/>
      <w:sdtContent>
        <w:p w14:paraId="3EF7B2B3" w14:textId="700252AE" w:rsidR="00166D0F" w:rsidRDefault="00A11876" w:rsidP="00B50F49">
          <w:pPr>
            <w:pStyle w:val="TOC1"/>
            <w:rPr>
              <w:rFonts w:asciiTheme="minorHAnsi" w:eastAsiaTheme="minorEastAsia" w:hAnsiTheme="minorHAnsi" w:cstheme="minorBidi"/>
              <w:kern w:val="2"/>
              <w:sz w:val="22"/>
              <w:szCs w:val="22"/>
              <w14:ligatures w14:val="standardContextual"/>
            </w:rPr>
          </w:pPr>
          <w:r>
            <w:fldChar w:fldCharType="begin"/>
          </w:r>
          <w:r>
            <w:instrText xml:space="preserve"> TOC \o "1-3" \h \z \u </w:instrText>
          </w:r>
          <w:r>
            <w:fldChar w:fldCharType="separate"/>
          </w:r>
          <w:hyperlink w:anchor="_Toc158728544" w:history="1">
            <w:r w:rsidR="00166D0F" w:rsidRPr="00B50F49">
              <w:rPr>
                <w:rStyle w:val="Hyperlink"/>
                <w:b/>
                <w:bCs/>
              </w:rPr>
              <w:t>1.</w:t>
            </w:r>
            <w:r w:rsidR="00166D0F" w:rsidRPr="00B50F49">
              <w:rPr>
                <w:rFonts w:asciiTheme="minorHAnsi" w:eastAsiaTheme="minorEastAsia" w:hAnsiTheme="minorHAnsi" w:cstheme="minorBidi"/>
                <w:b/>
                <w:bCs/>
                <w:kern w:val="2"/>
                <w:sz w:val="22"/>
                <w:szCs w:val="22"/>
                <w14:ligatures w14:val="standardContextual"/>
              </w:rPr>
              <w:tab/>
            </w:r>
            <w:r w:rsidR="00166D0F" w:rsidRPr="00B50F49">
              <w:rPr>
                <w:rStyle w:val="Hyperlink"/>
                <w:b/>
                <w:bCs/>
              </w:rPr>
              <w:t>Introduzzjoni</w:t>
            </w:r>
            <w:r w:rsidR="00166D0F">
              <w:rPr>
                <w:webHidden/>
              </w:rPr>
              <w:tab/>
            </w:r>
            <w:r w:rsidR="00166D0F">
              <w:rPr>
                <w:webHidden/>
              </w:rPr>
              <w:fldChar w:fldCharType="begin"/>
            </w:r>
            <w:r w:rsidR="00166D0F">
              <w:rPr>
                <w:webHidden/>
              </w:rPr>
              <w:instrText xml:space="preserve"> PAGEREF _Toc158728544 \h </w:instrText>
            </w:r>
            <w:r w:rsidR="00166D0F">
              <w:rPr>
                <w:webHidden/>
              </w:rPr>
            </w:r>
            <w:r w:rsidR="00166D0F">
              <w:rPr>
                <w:webHidden/>
              </w:rPr>
              <w:fldChar w:fldCharType="separate"/>
            </w:r>
            <w:r w:rsidR="00166D0F">
              <w:rPr>
                <w:webHidden/>
              </w:rPr>
              <w:t>3</w:t>
            </w:r>
            <w:r w:rsidR="00166D0F">
              <w:rPr>
                <w:webHidden/>
              </w:rPr>
              <w:fldChar w:fldCharType="end"/>
            </w:r>
          </w:hyperlink>
        </w:p>
        <w:p w14:paraId="3F8F5ECF" w14:textId="574B3475"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45" w:history="1">
            <w:r w:rsidR="00166D0F" w:rsidRPr="00B50F49">
              <w:rPr>
                <w:rStyle w:val="Hyperlink"/>
                <w:b/>
                <w:bCs/>
              </w:rPr>
              <w:t>2.</w:t>
            </w:r>
            <w:r w:rsidR="00166D0F" w:rsidRPr="00B50F49">
              <w:rPr>
                <w:rFonts w:asciiTheme="minorHAnsi" w:eastAsiaTheme="minorEastAsia" w:hAnsiTheme="minorHAnsi" w:cstheme="minorBidi"/>
                <w:kern w:val="2"/>
                <w:sz w:val="22"/>
                <w:szCs w:val="22"/>
                <w14:ligatures w14:val="standardContextual"/>
              </w:rPr>
              <w:tab/>
            </w:r>
            <w:r w:rsidR="00166D0F" w:rsidRPr="00B50F49">
              <w:rPr>
                <w:rStyle w:val="Hyperlink"/>
                <w:b/>
                <w:bCs/>
              </w:rPr>
              <w:t>Kwistjonijiet ewlenin li jiffaċċjaw iċ-ċittadini b’diżabilità</w:t>
            </w:r>
            <w:r w:rsidR="00166D0F" w:rsidRPr="00B50F49">
              <w:rPr>
                <w:webHidden/>
              </w:rPr>
              <w:tab/>
            </w:r>
            <w:r w:rsidR="00166D0F" w:rsidRPr="00B50F49">
              <w:rPr>
                <w:webHidden/>
              </w:rPr>
              <w:fldChar w:fldCharType="begin"/>
            </w:r>
            <w:r w:rsidR="00166D0F" w:rsidRPr="00B50F49">
              <w:rPr>
                <w:webHidden/>
              </w:rPr>
              <w:instrText xml:space="preserve"> PAGEREF _Toc158728545 \h </w:instrText>
            </w:r>
            <w:r w:rsidR="00166D0F" w:rsidRPr="00B50F49">
              <w:rPr>
                <w:webHidden/>
              </w:rPr>
            </w:r>
            <w:r w:rsidR="00166D0F" w:rsidRPr="00B50F49">
              <w:rPr>
                <w:webHidden/>
              </w:rPr>
              <w:fldChar w:fldCharType="separate"/>
            </w:r>
            <w:r w:rsidR="00166D0F" w:rsidRPr="00B50F49">
              <w:rPr>
                <w:webHidden/>
              </w:rPr>
              <w:t>8</w:t>
            </w:r>
            <w:r w:rsidR="00166D0F" w:rsidRPr="00B50F49">
              <w:rPr>
                <w:webHidden/>
              </w:rPr>
              <w:fldChar w:fldCharType="end"/>
            </w:r>
          </w:hyperlink>
        </w:p>
        <w:p w14:paraId="7A35069C" w14:textId="1116A5BE"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46" w:history="1">
            <w:r w:rsidR="00166D0F" w:rsidRPr="00B50F49">
              <w:rPr>
                <w:rStyle w:val="Hyperlink"/>
                <w:b/>
                <w:bCs/>
              </w:rPr>
              <w:t>3.</w:t>
            </w:r>
            <w:r w:rsidR="00166D0F" w:rsidRPr="00B50F49">
              <w:rPr>
                <w:rFonts w:asciiTheme="minorHAnsi" w:eastAsiaTheme="minorEastAsia" w:hAnsiTheme="minorHAnsi" w:cstheme="minorBidi"/>
                <w:kern w:val="2"/>
                <w:sz w:val="22"/>
                <w:szCs w:val="22"/>
                <w14:ligatures w14:val="standardContextual"/>
              </w:rPr>
              <w:tab/>
            </w:r>
            <w:r w:rsidR="00166D0F" w:rsidRPr="00B50F49">
              <w:rPr>
                <w:rStyle w:val="Hyperlink"/>
                <w:b/>
                <w:bCs/>
              </w:rPr>
              <w:t>Qafas tal-UE</w:t>
            </w:r>
            <w:r w:rsidR="00166D0F" w:rsidRPr="00B50F49">
              <w:rPr>
                <w:webHidden/>
              </w:rPr>
              <w:tab/>
            </w:r>
            <w:r w:rsidR="00166D0F" w:rsidRPr="00B50F49">
              <w:rPr>
                <w:webHidden/>
              </w:rPr>
              <w:fldChar w:fldCharType="begin"/>
            </w:r>
            <w:r w:rsidR="00166D0F" w:rsidRPr="00B50F49">
              <w:rPr>
                <w:webHidden/>
              </w:rPr>
              <w:instrText xml:space="preserve"> PAGEREF _Toc158728546 \h </w:instrText>
            </w:r>
            <w:r w:rsidR="00166D0F" w:rsidRPr="00B50F49">
              <w:rPr>
                <w:webHidden/>
              </w:rPr>
            </w:r>
            <w:r w:rsidR="00166D0F" w:rsidRPr="00B50F49">
              <w:rPr>
                <w:webHidden/>
              </w:rPr>
              <w:fldChar w:fldCharType="separate"/>
            </w:r>
            <w:r w:rsidR="00166D0F" w:rsidRPr="00B50F49">
              <w:rPr>
                <w:webHidden/>
              </w:rPr>
              <w:t>9</w:t>
            </w:r>
            <w:r w:rsidR="00166D0F" w:rsidRPr="00B50F49">
              <w:rPr>
                <w:webHidden/>
              </w:rPr>
              <w:fldChar w:fldCharType="end"/>
            </w:r>
          </w:hyperlink>
        </w:p>
        <w:p w14:paraId="5F4B7F96" w14:textId="1DFBB6D1"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47" w:history="1">
            <w:r w:rsidR="00166D0F" w:rsidRPr="007F6C78">
              <w:rPr>
                <w:rStyle w:val="Hyperlink"/>
                <w:noProof/>
              </w:rPr>
              <w:t>3.1.</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Trattati</w:t>
            </w:r>
            <w:r w:rsidR="00166D0F">
              <w:rPr>
                <w:noProof/>
                <w:webHidden/>
              </w:rPr>
              <w:tab/>
            </w:r>
            <w:r w:rsidR="00166D0F">
              <w:rPr>
                <w:noProof/>
                <w:webHidden/>
              </w:rPr>
              <w:fldChar w:fldCharType="begin"/>
            </w:r>
            <w:r w:rsidR="00166D0F">
              <w:rPr>
                <w:noProof/>
                <w:webHidden/>
              </w:rPr>
              <w:instrText xml:space="preserve"> PAGEREF _Toc158728547 \h </w:instrText>
            </w:r>
            <w:r w:rsidR="00166D0F">
              <w:rPr>
                <w:noProof/>
                <w:webHidden/>
              </w:rPr>
            </w:r>
            <w:r w:rsidR="00166D0F">
              <w:rPr>
                <w:noProof/>
                <w:webHidden/>
              </w:rPr>
              <w:fldChar w:fldCharType="separate"/>
            </w:r>
            <w:r w:rsidR="00166D0F">
              <w:rPr>
                <w:noProof/>
                <w:webHidden/>
              </w:rPr>
              <w:t>9</w:t>
            </w:r>
            <w:r w:rsidR="00166D0F">
              <w:rPr>
                <w:noProof/>
                <w:webHidden/>
              </w:rPr>
              <w:fldChar w:fldCharType="end"/>
            </w:r>
          </w:hyperlink>
        </w:p>
        <w:p w14:paraId="6E6A9380" w14:textId="0A1AFC33"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48" w:history="1">
            <w:r w:rsidR="00166D0F" w:rsidRPr="007F6C78">
              <w:rPr>
                <w:rStyle w:val="Hyperlink"/>
                <w:noProof/>
              </w:rPr>
              <w:t>3.2.</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Il-Konvenzjoni tan-Nazzjonijiet Uniti dwar id-Drittijiet ta’ Persuni b’Diżabilità</w:t>
            </w:r>
            <w:r w:rsidR="00166D0F">
              <w:rPr>
                <w:noProof/>
                <w:webHidden/>
              </w:rPr>
              <w:tab/>
            </w:r>
            <w:r w:rsidR="00166D0F">
              <w:rPr>
                <w:noProof/>
                <w:webHidden/>
              </w:rPr>
              <w:fldChar w:fldCharType="begin"/>
            </w:r>
            <w:r w:rsidR="00166D0F">
              <w:rPr>
                <w:noProof/>
                <w:webHidden/>
              </w:rPr>
              <w:instrText xml:space="preserve"> PAGEREF _Toc158728548 \h </w:instrText>
            </w:r>
            <w:r w:rsidR="00166D0F">
              <w:rPr>
                <w:noProof/>
                <w:webHidden/>
              </w:rPr>
            </w:r>
            <w:r w:rsidR="00166D0F">
              <w:rPr>
                <w:noProof/>
                <w:webHidden/>
              </w:rPr>
              <w:fldChar w:fldCharType="separate"/>
            </w:r>
            <w:r w:rsidR="00166D0F">
              <w:rPr>
                <w:noProof/>
                <w:webHidden/>
              </w:rPr>
              <w:t>9</w:t>
            </w:r>
            <w:r w:rsidR="00166D0F">
              <w:rPr>
                <w:noProof/>
                <w:webHidden/>
              </w:rPr>
              <w:fldChar w:fldCharType="end"/>
            </w:r>
          </w:hyperlink>
        </w:p>
        <w:p w14:paraId="09A998EE" w14:textId="7BF9F3E0"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49" w:history="1">
            <w:r w:rsidR="00166D0F" w:rsidRPr="007F6C78">
              <w:rPr>
                <w:rStyle w:val="Hyperlink"/>
                <w:noProof/>
              </w:rPr>
              <w:t>3.3.</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Il-Karta tad-Drittijiet Fundamentali tal-UE</w:t>
            </w:r>
            <w:r w:rsidR="00166D0F">
              <w:rPr>
                <w:noProof/>
                <w:webHidden/>
              </w:rPr>
              <w:tab/>
            </w:r>
            <w:r w:rsidR="00166D0F">
              <w:rPr>
                <w:noProof/>
                <w:webHidden/>
              </w:rPr>
              <w:fldChar w:fldCharType="begin"/>
            </w:r>
            <w:r w:rsidR="00166D0F">
              <w:rPr>
                <w:noProof/>
                <w:webHidden/>
              </w:rPr>
              <w:instrText xml:space="preserve"> PAGEREF _Toc158728549 \h </w:instrText>
            </w:r>
            <w:r w:rsidR="00166D0F">
              <w:rPr>
                <w:noProof/>
                <w:webHidden/>
              </w:rPr>
            </w:r>
            <w:r w:rsidR="00166D0F">
              <w:rPr>
                <w:noProof/>
                <w:webHidden/>
              </w:rPr>
              <w:fldChar w:fldCharType="separate"/>
            </w:r>
            <w:r w:rsidR="00166D0F">
              <w:rPr>
                <w:noProof/>
                <w:webHidden/>
              </w:rPr>
              <w:t>10</w:t>
            </w:r>
            <w:r w:rsidR="00166D0F">
              <w:rPr>
                <w:noProof/>
                <w:webHidden/>
              </w:rPr>
              <w:fldChar w:fldCharType="end"/>
            </w:r>
          </w:hyperlink>
        </w:p>
        <w:p w14:paraId="4A5C86A7" w14:textId="4FACB9DF"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0" w:history="1">
            <w:r w:rsidR="00166D0F" w:rsidRPr="007F6C78">
              <w:rPr>
                <w:rStyle w:val="Hyperlink"/>
                <w:noProof/>
              </w:rPr>
              <w:t>3.4.</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Il-liġi elettorali tal-UE</w:t>
            </w:r>
            <w:r w:rsidR="00166D0F">
              <w:rPr>
                <w:noProof/>
                <w:webHidden/>
              </w:rPr>
              <w:tab/>
            </w:r>
            <w:r w:rsidR="00166D0F">
              <w:rPr>
                <w:noProof/>
                <w:webHidden/>
              </w:rPr>
              <w:fldChar w:fldCharType="begin"/>
            </w:r>
            <w:r w:rsidR="00166D0F">
              <w:rPr>
                <w:noProof/>
                <w:webHidden/>
              </w:rPr>
              <w:instrText xml:space="preserve"> PAGEREF _Toc158728550 \h </w:instrText>
            </w:r>
            <w:r w:rsidR="00166D0F">
              <w:rPr>
                <w:noProof/>
                <w:webHidden/>
              </w:rPr>
            </w:r>
            <w:r w:rsidR="00166D0F">
              <w:rPr>
                <w:noProof/>
                <w:webHidden/>
              </w:rPr>
              <w:fldChar w:fldCharType="separate"/>
            </w:r>
            <w:r w:rsidR="00166D0F">
              <w:rPr>
                <w:noProof/>
                <w:webHidden/>
              </w:rPr>
              <w:t>10</w:t>
            </w:r>
            <w:r w:rsidR="00166D0F">
              <w:rPr>
                <w:noProof/>
                <w:webHidden/>
              </w:rPr>
              <w:fldChar w:fldCharType="end"/>
            </w:r>
          </w:hyperlink>
        </w:p>
        <w:p w14:paraId="5AA6843E" w14:textId="13FE5742"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1" w:history="1">
            <w:r w:rsidR="00166D0F" w:rsidRPr="007F6C78">
              <w:rPr>
                <w:rStyle w:val="Hyperlink"/>
                <w:noProof/>
              </w:rPr>
              <w:t>3.5.</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Drittijiet tal-vot taċ-ċittadini mobbli tal-UE</w:t>
            </w:r>
            <w:r w:rsidR="00166D0F">
              <w:rPr>
                <w:noProof/>
                <w:webHidden/>
              </w:rPr>
              <w:tab/>
            </w:r>
            <w:r w:rsidR="00166D0F">
              <w:rPr>
                <w:noProof/>
                <w:webHidden/>
              </w:rPr>
              <w:fldChar w:fldCharType="begin"/>
            </w:r>
            <w:r w:rsidR="00166D0F">
              <w:rPr>
                <w:noProof/>
                <w:webHidden/>
              </w:rPr>
              <w:instrText xml:space="preserve"> PAGEREF _Toc158728551 \h </w:instrText>
            </w:r>
            <w:r w:rsidR="00166D0F">
              <w:rPr>
                <w:noProof/>
                <w:webHidden/>
              </w:rPr>
            </w:r>
            <w:r w:rsidR="00166D0F">
              <w:rPr>
                <w:noProof/>
                <w:webHidden/>
              </w:rPr>
              <w:fldChar w:fldCharType="separate"/>
            </w:r>
            <w:r w:rsidR="00166D0F">
              <w:rPr>
                <w:noProof/>
                <w:webHidden/>
              </w:rPr>
              <w:t>11</w:t>
            </w:r>
            <w:r w:rsidR="00166D0F">
              <w:rPr>
                <w:noProof/>
                <w:webHidden/>
              </w:rPr>
              <w:fldChar w:fldCharType="end"/>
            </w:r>
          </w:hyperlink>
        </w:p>
        <w:p w14:paraId="412C149E" w14:textId="4095BFE7"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2" w:history="1">
            <w:r w:rsidR="00166D0F" w:rsidRPr="007F6C78">
              <w:rPr>
                <w:rStyle w:val="Hyperlink"/>
                <w:noProof/>
              </w:rPr>
              <w:t>3.6.</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Trasparenza tar-reklamar politiku</w:t>
            </w:r>
            <w:r w:rsidR="00166D0F">
              <w:rPr>
                <w:noProof/>
                <w:webHidden/>
              </w:rPr>
              <w:tab/>
            </w:r>
            <w:r w:rsidR="00166D0F">
              <w:rPr>
                <w:noProof/>
                <w:webHidden/>
              </w:rPr>
              <w:fldChar w:fldCharType="begin"/>
            </w:r>
            <w:r w:rsidR="00166D0F">
              <w:rPr>
                <w:noProof/>
                <w:webHidden/>
              </w:rPr>
              <w:instrText xml:space="preserve"> PAGEREF _Toc158728552 \h </w:instrText>
            </w:r>
            <w:r w:rsidR="00166D0F">
              <w:rPr>
                <w:noProof/>
                <w:webHidden/>
              </w:rPr>
            </w:r>
            <w:r w:rsidR="00166D0F">
              <w:rPr>
                <w:noProof/>
                <w:webHidden/>
              </w:rPr>
              <w:fldChar w:fldCharType="separate"/>
            </w:r>
            <w:r w:rsidR="00166D0F">
              <w:rPr>
                <w:noProof/>
                <w:webHidden/>
              </w:rPr>
              <w:t>12</w:t>
            </w:r>
            <w:r w:rsidR="00166D0F">
              <w:rPr>
                <w:noProof/>
                <w:webHidden/>
              </w:rPr>
              <w:fldChar w:fldCharType="end"/>
            </w:r>
          </w:hyperlink>
        </w:p>
        <w:p w14:paraId="531FBFEC" w14:textId="25E0CDD7"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3" w:history="1">
            <w:r w:rsidR="00166D0F" w:rsidRPr="007F6C78">
              <w:rPr>
                <w:rStyle w:val="Hyperlink"/>
                <w:noProof/>
              </w:rPr>
              <w:t>3.7.</w:t>
            </w:r>
            <w:r w:rsidR="00166D0F">
              <w:rPr>
                <w:rFonts w:asciiTheme="minorHAnsi" w:eastAsiaTheme="minorEastAsia" w:hAnsiTheme="minorHAnsi" w:cstheme="minorBidi"/>
                <w:noProof/>
                <w:kern w:val="2"/>
                <w:sz w:val="22"/>
                <w:szCs w:val="22"/>
                <w14:ligatures w14:val="standardContextual"/>
              </w:rPr>
              <w:tab/>
            </w:r>
            <w:r w:rsidR="00166D0F" w:rsidRPr="007F6C78">
              <w:rPr>
                <w:rStyle w:val="Hyperlink"/>
                <w:noProof/>
              </w:rPr>
              <w:t>Testi oħrajn tad-dritt tal-UE</w:t>
            </w:r>
            <w:r w:rsidR="00166D0F">
              <w:rPr>
                <w:noProof/>
                <w:webHidden/>
              </w:rPr>
              <w:tab/>
            </w:r>
            <w:r w:rsidR="00166D0F">
              <w:rPr>
                <w:noProof/>
                <w:webHidden/>
              </w:rPr>
              <w:fldChar w:fldCharType="begin"/>
            </w:r>
            <w:r w:rsidR="00166D0F">
              <w:rPr>
                <w:noProof/>
                <w:webHidden/>
              </w:rPr>
              <w:instrText xml:space="preserve"> PAGEREF _Toc158728553 \h </w:instrText>
            </w:r>
            <w:r w:rsidR="00166D0F">
              <w:rPr>
                <w:noProof/>
                <w:webHidden/>
              </w:rPr>
            </w:r>
            <w:r w:rsidR="00166D0F">
              <w:rPr>
                <w:noProof/>
                <w:webHidden/>
              </w:rPr>
              <w:fldChar w:fldCharType="separate"/>
            </w:r>
            <w:r w:rsidR="00166D0F">
              <w:rPr>
                <w:noProof/>
                <w:webHidden/>
              </w:rPr>
              <w:t>12</w:t>
            </w:r>
            <w:r w:rsidR="00166D0F">
              <w:rPr>
                <w:noProof/>
                <w:webHidden/>
              </w:rPr>
              <w:fldChar w:fldCharType="end"/>
            </w:r>
          </w:hyperlink>
        </w:p>
        <w:p w14:paraId="0412A85D" w14:textId="1C7EC106"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54" w:history="1">
            <w:r w:rsidR="00166D0F" w:rsidRPr="00B50F49">
              <w:rPr>
                <w:rStyle w:val="Hyperlink"/>
                <w:b/>
                <w:bCs/>
              </w:rPr>
              <w:t>4. Standards internazzjonali applikabbli għall-Istati Membri tal-UE</w:t>
            </w:r>
            <w:r w:rsidR="00166D0F" w:rsidRPr="00B50F49">
              <w:rPr>
                <w:webHidden/>
              </w:rPr>
              <w:tab/>
            </w:r>
            <w:r w:rsidR="00166D0F" w:rsidRPr="00B50F49">
              <w:rPr>
                <w:webHidden/>
              </w:rPr>
              <w:fldChar w:fldCharType="begin"/>
            </w:r>
            <w:r w:rsidR="00166D0F" w:rsidRPr="00B50F49">
              <w:rPr>
                <w:webHidden/>
              </w:rPr>
              <w:instrText xml:space="preserve"> PAGEREF _Toc158728554 \h </w:instrText>
            </w:r>
            <w:r w:rsidR="00166D0F" w:rsidRPr="00B50F49">
              <w:rPr>
                <w:webHidden/>
              </w:rPr>
            </w:r>
            <w:r w:rsidR="00166D0F" w:rsidRPr="00B50F49">
              <w:rPr>
                <w:webHidden/>
              </w:rPr>
              <w:fldChar w:fldCharType="separate"/>
            </w:r>
            <w:r w:rsidR="00166D0F" w:rsidRPr="00B50F49">
              <w:rPr>
                <w:webHidden/>
              </w:rPr>
              <w:t>13</w:t>
            </w:r>
            <w:r w:rsidR="00166D0F" w:rsidRPr="00B50F49">
              <w:rPr>
                <w:webHidden/>
              </w:rPr>
              <w:fldChar w:fldCharType="end"/>
            </w:r>
          </w:hyperlink>
        </w:p>
        <w:p w14:paraId="5AD1B347" w14:textId="45B10487"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55" w:history="1">
            <w:r w:rsidR="00166D0F" w:rsidRPr="00B50F49">
              <w:rPr>
                <w:rStyle w:val="Hyperlink"/>
                <w:b/>
                <w:bCs/>
              </w:rPr>
              <w:t>5. Ambjenti li jappoġġaw il-parteċipazzjoni fl-elezzjonijiet</w:t>
            </w:r>
            <w:r w:rsidR="00166D0F" w:rsidRPr="00B50F49">
              <w:rPr>
                <w:webHidden/>
              </w:rPr>
              <w:tab/>
            </w:r>
            <w:r w:rsidR="00166D0F" w:rsidRPr="00B50F49">
              <w:rPr>
                <w:webHidden/>
              </w:rPr>
              <w:fldChar w:fldCharType="begin"/>
            </w:r>
            <w:r w:rsidR="00166D0F" w:rsidRPr="00B50F49">
              <w:rPr>
                <w:webHidden/>
              </w:rPr>
              <w:instrText xml:space="preserve"> PAGEREF _Toc158728555 \h </w:instrText>
            </w:r>
            <w:r w:rsidR="00166D0F" w:rsidRPr="00B50F49">
              <w:rPr>
                <w:webHidden/>
              </w:rPr>
            </w:r>
            <w:r w:rsidR="00166D0F" w:rsidRPr="00B50F49">
              <w:rPr>
                <w:webHidden/>
              </w:rPr>
              <w:fldChar w:fldCharType="separate"/>
            </w:r>
            <w:r w:rsidR="00166D0F" w:rsidRPr="00B50F49">
              <w:rPr>
                <w:webHidden/>
              </w:rPr>
              <w:t>15</w:t>
            </w:r>
            <w:r w:rsidR="00166D0F" w:rsidRPr="00B50F49">
              <w:rPr>
                <w:webHidden/>
              </w:rPr>
              <w:fldChar w:fldCharType="end"/>
            </w:r>
          </w:hyperlink>
        </w:p>
        <w:p w14:paraId="39D78D2D" w14:textId="760287EF"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6" w:history="1">
            <w:r w:rsidR="00166D0F" w:rsidRPr="007F6C78">
              <w:rPr>
                <w:rStyle w:val="Hyperlink"/>
                <w:noProof/>
                <w:lang w:val="fr-BE"/>
              </w:rPr>
              <w:t>5,1. L-iżvilupp ta’ politiki speċifiċi</w:t>
            </w:r>
            <w:r w:rsidR="00166D0F">
              <w:rPr>
                <w:noProof/>
                <w:webHidden/>
              </w:rPr>
              <w:tab/>
            </w:r>
            <w:r w:rsidR="00166D0F">
              <w:rPr>
                <w:noProof/>
                <w:webHidden/>
              </w:rPr>
              <w:fldChar w:fldCharType="begin"/>
            </w:r>
            <w:r w:rsidR="00166D0F">
              <w:rPr>
                <w:noProof/>
                <w:webHidden/>
              </w:rPr>
              <w:instrText xml:space="preserve"> PAGEREF _Toc158728556 \h </w:instrText>
            </w:r>
            <w:r w:rsidR="00166D0F">
              <w:rPr>
                <w:noProof/>
                <w:webHidden/>
              </w:rPr>
            </w:r>
            <w:r w:rsidR="00166D0F">
              <w:rPr>
                <w:noProof/>
                <w:webHidden/>
              </w:rPr>
              <w:fldChar w:fldCharType="separate"/>
            </w:r>
            <w:r w:rsidR="00166D0F">
              <w:rPr>
                <w:noProof/>
                <w:webHidden/>
              </w:rPr>
              <w:t>15</w:t>
            </w:r>
            <w:r w:rsidR="00166D0F">
              <w:rPr>
                <w:noProof/>
                <w:webHidden/>
              </w:rPr>
              <w:fldChar w:fldCharType="end"/>
            </w:r>
          </w:hyperlink>
        </w:p>
        <w:p w14:paraId="1D4FBDC8" w14:textId="792F3270"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7" w:history="1">
            <w:r w:rsidR="00166D0F" w:rsidRPr="007F6C78">
              <w:rPr>
                <w:rStyle w:val="Hyperlink"/>
                <w:noProof/>
              </w:rPr>
              <w:t>5,2. Sensibilizzazzjoni u tibdil fl-attitudnijiet</w:t>
            </w:r>
            <w:r w:rsidR="00166D0F">
              <w:rPr>
                <w:noProof/>
                <w:webHidden/>
              </w:rPr>
              <w:tab/>
            </w:r>
            <w:r w:rsidR="00166D0F">
              <w:rPr>
                <w:noProof/>
                <w:webHidden/>
              </w:rPr>
              <w:fldChar w:fldCharType="begin"/>
            </w:r>
            <w:r w:rsidR="00166D0F">
              <w:rPr>
                <w:noProof/>
                <w:webHidden/>
              </w:rPr>
              <w:instrText xml:space="preserve"> PAGEREF _Toc158728557 \h </w:instrText>
            </w:r>
            <w:r w:rsidR="00166D0F">
              <w:rPr>
                <w:noProof/>
                <w:webHidden/>
              </w:rPr>
            </w:r>
            <w:r w:rsidR="00166D0F">
              <w:rPr>
                <w:noProof/>
                <w:webHidden/>
              </w:rPr>
              <w:fldChar w:fldCharType="separate"/>
            </w:r>
            <w:r w:rsidR="00166D0F">
              <w:rPr>
                <w:noProof/>
                <w:webHidden/>
              </w:rPr>
              <w:t>15</w:t>
            </w:r>
            <w:r w:rsidR="00166D0F">
              <w:rPr>
                <w:noProof/>
                <w:webHidden/>
              </w:rPr>
              <w:fldChar w:fldCharType="end"/>
            </w:r>
          </w:hyperlink>
        </w:p>
        <w:p w14:paraId="1730719C" w14:textId="240659E1"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8" w:history="1">
            <w:r w:rsidR="00166D0F" w:rsidRPr="007F6C78">
              <w:rPr>
                <w:rStyle w:val="Hyperlink"/>
                <w:noProof/>
                <w:lang w:val="fr-BE"/>
              </w:rPr>
              <w:t>5,3. Il-kooperazzjoni mal-organizzazzjonijiet li jappoġġaw id-drittijiet tal-persuni b’diżabilità</w:t>
            </w:r>
            <w:r w:rsidR="00166D0F">
              <w:rPr>
                <w:noProof/>
                <w:webHidden/>
              </w:rPr>
              <w:tab/>
            </w:r>
            <w:r w:rsidR="00166D0F">
              <w:rPr>
                <w:noProof/>
                <w:webHidden/>
              </w:rPr>
              <w:fldChar w:fldCharType="begin"/>
            </w:r>
            <w:r w:rsidR="00166D0F">
              <w:rPr>
                <w:noProof/>
                <w:webHidden/>
              </w:rPr>
              <w:instrText xml:space="preserve"> PAGEREF _Toc158728558 \h </w:instrText>
            </w:r>
            <w:r w:rsidR="00166D0F">
              <w:rPr>
                <w:noProof/>
                <w:webHidden/>
              </w:rPr>
            </w:r>
            <w:r w:rsidR="00166D0F">
              <w:rPr>
                <w:noProof/>
                <w:webHidden/>
              </w:rPr>
              <w:fldChar w:fldCharType="separate"/>
            </w:r>
            <w:r w:rsidR="00166D0F">
              <w:rPr>
                <w:noProof/>
                <w:webHidden/>
              </w:rPr>
              <w:t>17</w:t>
            </w:r>
            <w:r w:rsidR="00166D0F">
              <w:rPr>
                <w:noProof/>
                <w:webHidden/>
              </w:rPr>
              <w:fldChar w:fldCharType="end"/>
            </w:r>
          </w:hyperlink>
        </w:p>
        <w:p w14:paraId="388319E1" w14:textId="6BCB02AA"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59" w:history="1">
            <w:r w:rsidR="00166D0F" w:rsidRPr="007F6C78">
              <w:rPr>
                <w:rStyle w:val="Hyperlink"/>
                <w:noProof/>
              </w:rPr>
              <w:t>5,4. Iż-żieda fl-aċċessibbiltà u fl-utilizzabbiltà tal-binjiet</w:t>
            </w:r>
            <w:r w:rsidR="00166D0F">
              <w:rPr>
                <w:noProof/>
                <w:webHidden/>
              </w:rPr>
              <w:tab/>
            </w:r>
            <w:r w:rsidR="00166D0F">
              <w:rPr>
                <w:noProof/>
                <w:webHidden/>
              </w:rPr>
              <w:fldChar w:fldCharType="begin"/>
            </w:r>
            <w:r w:rsidR="00166D0F">
              <w:rPr>
                <w:noProof/>
                <w:webHidden/>
              </w:rPr>
              <w:instrText xml:space="preserve"> PAGEREF _Toc158728559 \h </w:instrText>
            </w:r>
            <w:r w:rsidR="00166D0F">
              <w:rPr>
                <w:noProof/>
                <w:webHidden/>
              </w:rPr>
            </w:r>
            <w:r w:rsidR="00166D0F">
              <w:rPr>
                <w:noProof/>
                <w:webHidden/>
              </w:rPr>
              <w:fldChar w:fldCharType="separate"/>
            </w:r>
            <w:r w:rsidR="00166D0F">
              <w:rPr>
                <w:noProof/>
                <w:webHidden/>
              </w:rPr>
              <w:t>18</w:t>
            </w:r>
            <w:r w:rsidR="00166D0F">
              <w:rPr>
                <w:noProof/>
                <w:webHidden/>
              </w:rPr>
              <w:fldChar w:fldCharType="end"/>
            </w:r>
          </w:hyperlink>
        </w:p>
        <w:p w14:paraId="1884AD06" w14:textId="309627AE"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0" w:history="1">
            <w:r w:rsidR="00166D0F" w:rsidRPr="007F6C78">
              <w:rPr>
                <w:rStyle w:val="Hyperlink"/>
                <w:noProof/>
              </w:rPr>
              <w:t>5.5 Taħriġ u appoġġ speċifiku għall-uffiċjali elettorali</w:t>
            </w:r>
            <w:r w:rsidR="00166D0F">
              <w:rPr>
                <w:noProof/>
                <w:webHidden/>
              </w:rPr>
              <w:tab/>
            </w:r>
            <w:r w:rsidR="00166D0F">
              <w:rPr>
                <w:noProof/>
                <w:webHidden/>
              </w:rPr>
              <w:fldChar w:fldCharType="begin"/>
            </w:r>
            <w:r w:rsidR="00166D0F">
              <w:rPr>
                <w:noProof/>
                <w:webHidden/>
              </w:rPr>
              <w:instrText xml:space="preserve"> PAGEREF _Toc158728560 \h </w:instrText>
            </w:r>
            <w:r w:rsidR="00166D0F">
              <w:rPr>
                <w:noProof/>
                <w:webHidden/>
              </w:rPr>
            </w:r>
            <w:r w:rsidR="00166D0F">
              <w:rPr>
                <w:noProof/>
                <w:webHidden/>
              </w:rPr>
              <w:fldChar w:fldCharType="separate"/>
            </w:r>
            <w:r w:rsidR="00166D0F">
              <w:rPr>
                <w:noProof/>
                <w:webHidden/>
              </w:rPr>
              <w:t>18</w:t>
            </w:r>
            <w:r w:rsidR="00166D0F">
              <w:rPr>
                <w:noProof/>
                <w:webHidden/>
              </w:rPr>
              <w:fldChar w:fldCharType="end"/>
            </w:r>
          </w:hyperlink>
        </w:p>
        <w:p w14:paraId="34EE8251" w14:textId="3F592FAC"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61" w:history="1">
            <w:r w:rsidR="00166D0F" w:rsidRPr="00B50F49">
              <w:rPr>
                <w:rStyle w:val="Hyperlink"/>
                <w:b/>
                <w:bCs/>
              </w:rPr>
              <w:t>6. Ħidma biex jintlaħqu l-persuni b’diżabilità matul iċ-ċiklu elettorali</w:t>
            </w:r>
            <w:r w:rsidR="00166D0F" w:rsidRPr="00B50F49">
              <w:rPr>
                <w:webHidden/>
              </w:rPr>
              <w:tab/>
            </w:r>
            <w:r w:rsidR="00166D0F" w:rsidRPr="00B50F49">
              <w:rPr>
                <w:webHidden/>
              </w:rPr>
              <w:fldChar w:fldCharType="begin"/>
            </w:r>
            <w:r w:rsidR="00166D0F" w:rsidRPr="00B50F49">
              <w:rPr>
                <w:webHidden/>
              </w:rPr>
              <w:instrText xml:space="preserve"> PAGEREF _Toc158728561 \h </w:instrText>
            </w:r>
            <w:r w:rsidR="00166D0F" w:rsidRPr="00B50F49">
              <w:rPr>
                <w:webHidden/>
              </w:rPr>
            </w:r>
            <w:r w:rsidR="00166D0F" w:rsidRPr="00B50F49">
              <w:rPr>
                <w:webHidden/>
              </w:rPr>
              <w:fldChar w:fldCharType="separate"/>
            </w:r>
            <w:r w:rsidR="00166D0F" w:rsidRPr="00B50F49">
              <w:rPr>
                <w:webHidden/>
              </w:rPr>
              <w:t>19</w:t>
            </w:r>
            <w:r w:rsidR="00166D0F" w:rsidRPr="00B50F49">
              <w:rPr>
                <w:webHidden/>
              </w:rPr>
              <w:fldChar w:fldCharType="end"/>
            </w:r>
          </w:hyperlink>
        </w:p>
        <w:p w14:paraId="3D0A2DAD" w14:textId="095310F6"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2" w:history="1">
            <w:r w:rsidR="00166D0F" w:rsidRPr="007F6C78">
              <w:rPr>
                <w:rStyle w:val="Hyperlink"/>
                <w:noProof/>
              </w:rPr>
              <w:t>6,1. L-aċċessibbiltà tal-komunikazzjonijiet uffiċjali</w:t>
            </w:r>
            <w:r w:rsidR="00166D0F">
              <w:rPr>
                <w:noProof/>
                <w:webHidden/>
              </w:rPr>
              <w:tab/>
            </w:r>
            <w:r w:rsidR="00166D0F">
              <w:rPr>
                <w:noProof/>
                <w:webHidden/>
              </w:rPr>
              <w:fldChar w:fldCharType="begin"/>
            </w:r>
            <w:r w:rsidR="00166D0F">
              <w:rPr>
                <w:noProof/>
                <w:webHidden/>
              </w:rPr>
              <w:instrText xml:space="preserve"> PAGEREF _Toc158728562 \h </w:instrText>
            </w:r>
            <w:r w:rsidR="00166D0F">
              <w:rPr>
                <w:noProof/>
                <w:webHidden/>
              </w:rPr>
            </w:r>
            <w:r w:rsidR="00166D0F">
              <w:rPr>
                <w:noProof/>
                <w:webHidden/>
              </w:rPr>
              <w:fldChar w:fldCharType="separate"/>
            </w:r>
            <w:r w:rsidR="00166D0F">
              <w:rPr>
                <w:noProof/>
                <w:webHidden/>
              </w:rPr>
              <w:t>19</w:t>
            </w:r>
            <w:r w:rsidR="00166D0F">
              <w:rPr>
                <w:noProof/>
                <w:webHidden/>
              </w:rPr>
              <w:fldChar w:fldCharType="end"/>
            </w:r>
          </w:hyperlink>
        </w:p>
        <w:p w14:paraId="4A870DEE" w14:textId="0D0FB609"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3" w:history="1">
            <w:r w:rsidR="00166D0F" w:rsidRPr="007F6C78">
              <w:rPr>
                <w:rStyle w:val="Hyperlink"/>
                <w:noProof/>
              </w:rPr>
              <w:t>6,2. L-aċċessibbiltà tar-reklamar politiku</w:t>
            </w:r>
            <w:r w:rsidR="00166D0F">
              <w:rPr>
                <w:noProof/>
                <w:webHidden/>
              </w:rPr>
              <w:tab/>
            </w:r>
            <w:r w:rsidR="00166D0F">
              <w:rPr>
                <w:noProof/>
                <w:webHidden/>
              </w:rPr>
              <w:fldChar w:fldCharType="begin"/>
            </w:r>
            <w:r w:rsidR="00166D0F">
              <w:rPr>
                <w:noProof/>
                <w:webHidden/>
              </w:rPr>
              <w:instrText xml:space="preserve"> PAGEREF _Toc158728563 \h </w:instrText>
            </w:r>
            <w:r w:rsidR="00166D0F">
              <w:rPr>
                <w:noProof/>
                <w:webHidden/>
              </w:rPr>
            </w:r>
            <w:r w:rsidR="00166D0F">
              <w:rPr>
                <w:noProof/>
                <w:webHidden/>
              </w:rPr>
              <w:fldChar w:fldCharType="separate"/>
            </w:r>
            <w:r w:rsidR="00166D0F">
              <w:rPr>
                <w:noProof/>
                <w:webHidden/>
              </w:rPr>
              <w:t>21</w:t>
            </w:r>
            <w:r w:rsidR="00166D0F">
              <w:rPr>
                <w:noProof/>
                <w:webHidden/>
              </w:rPr>
              <w:fldChar w:fldCharType="end"/>
            </w:r>
          </w:hyperlink>
        </w:p>
        <w:p w14:paraId="3A2E3343" w14:textId="0169B27E"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64" w:history="1">
            <w:r w:rsidR="00166D0F" w:rsidRPr="00B50F49">
              <w:rPr>
                <w:rStyle w:val="Hyperlink"/>
                <w:b/>
                <w:bCs/>
              </w:rPr>
              <w:t>7. Disinn universali u akkomodazzjoni raġonevoli fiċ-ċiklu elettorali - proċeduri, faċilitajiet u materjali</w:t>
            </w:r>
            <w:r w:rsidR="00166D0F" w:rsidRPr="00B50F49">
              <w:rPr>
                <w:webHidden/>
              </w:rPr>
              <w:tab/>
            </w:r>
            <w:r w:rsidR="00166D0F" w:rsidRPr="00B50F49">
              <w:rPr>
                <w:webHidden/>
              </w:rPr>
              <w:fldChar w:fldCharType="begin"/>
            </w:r>
            <w:r w:rsidR="00166D0F" w:rsidRPr="00B50F49">
              <w:rPr>
                <w:webHidden/>
              </w:rPr>
              <w:instrText xml:space="preserve"> PAGEREF _Toc158728564 \h </w:instrText>
            </w:r>
            <w:r w:rsidR="00166D0F" w:rsidRPr="00B50F49">
              <w:rPr>
                <w:webHidden/>
              </w:rPr>
            </w:r>
            <w:r w:rsidR="00166D0F" w:rsidRPr="00B50F49">
              <w:rPr>
                <w:webHidden/>
              </w:rPr>
              <w:fldChar w:fldCharType="separate"/>
            </w:r>
            <w:r w:rsidR="00166D0F" w:rsidRPr="00B50F49">
              <w:rPr>
                <w:webHidden/>
              </w:rPr>
              <w:t>22</w:t>
            </w:r>
            <w:r w:rsidR="00166D0F" w:rsidRPr="00B50F49">
              <w:rPr>
                <w:webHidden/>
              </w:rPr>
              <w:fldChar w:fldCharType="end"/>
            </w:r>
          </w:hyperlink>
        </w:p>
        <w:p w14:paraId="197155FA" w14:textId="166DD1D5"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5" w:history="1">
            <w:r w:rsidR="00166D0F" w:rsidRPr="007F6C78">
              <w:rPr>
                <w:rStyle w:val="Hyperlink"/>
                <w:noProof/>
                <w:lang w:val="fr-BE"/>
              </w:rPr>
              <w:t>7,1. Proċeduri ta’ reġistrazzjoni</w:t>
            </w:r>
            <w:r w:rsidR="00166D0F">
              <w:rPr>
                <w:noProof/>
                <w:webHidden/>
              </w:rPr>
              <w:tab/>
            </w:r>
            <w:r w:rsidR="00166D0F">
              <w:rPr>
                <w:noProof/>
                <w:webHidden/>
              </w:rPr>
              <w:fldChar w:fldCharType="begin"/>
            </w:r>
            <w:r w:rsidR="00166D0F">
              <w:rPr>
                <w:noProof/>
                <w:webHidden/>
              </w:rPr>
              <w:instrText xml:space="preserve"> PAGEREF _Toc158728565 \h </w:instrText>
            </w:r>
            <w:r w:rsidR="00166D0F">
              <w:rPr>
                <w:noProof/>
                <w:webHidden/>
              </w:rPr>
            </w:r>
            <w:r w:rsidR="00166D0F">
              <w:rPr>
                <w:noProof/>
                <w:webHidden/>
              </w:rPr>
              <w:fldChar w:fldCharType="separate"/>
            </w:r>
            <w:r w:rsidR="00166D0F">
              <w:rPr>
                <w:noProof/>
                <w:webHidden/>
              </w:rPr>
              <w:t>22</w:t>
            </w:r>
            <w:r w:rsidR="00166D0F">
              <w:rPr>
                <w:noProof/>
                <w:webHidden/>
              </w:rPr>
              <w:fldChar w:fldCharType="end"/>
            </w:r>
          </w:hyperlink>
        </w:p>
        <w:p w14:paraId="2BFC19FC" w14:textId="1AC074AA"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6" w:history="1">
            <w:r w:rsidR="00166D0F" w:rsidRPr="007F6C78">
              <w:rPr>
                <w:rStyle w:val="Hyperlink"/>
                <w:noProof/>
                <w:lang w:val="fr-BE"/>
              </w:rPr>
              <w:t>7,2. Iż-żieda fl-aċċessibbiltà tal-postijiet tal-votazzjoni, tal-kabini tal-votazzjoni u tal-kaxxi tal-voti</w:t>
            </w:r>
            <w:r w:rsidR="00166D0F">
              <w:rPr>
                <w:noProof/>
                <w:webHidden/>
              </w:rPr>
              <w:tab/>
            </w:r>
            <w:r w:rsidR="00166D0F">
              <w:rPr>
                <w:noProof/>
                <w:webHidden/>
              </w:rPr>
              <w:fldChar w:fldCharType="begin"/>
            </w:r>
            <w:r w:rsidR="00166D0F">
              <w:rPr>
                <w:noProof/>
                <w:webHidden/>
              </w:rPr>
              <w:instrText xml:space="preserve"> PAGEREF _Toc158728566 \h </w:instrText>
            </w:r>
            <w:r w:rsidR="00166D0F">
              <w:rPr>
                <w:noProof/>
                <w:webHidden/>
              </w:rPr>
            </w:r>
            <w:r w:rsidR="00166D0F">
              <w:rPr>
                <w:noProof/>
                <w:webHidden/>
              </w:rPr>
              <w:fldChar w:fldCharType="separate"/>
            </w:r>
            <w:r w:rsidR="00166D0F">
              <w:rPr>
                <w:noProof/>
                <w:webHidden/>
              </w:rPr>
              <w:t>23</w:t>
            </w:r>
            <w:r w:rsidR="00166D0F">
              <w:rPr>
                <w:noProof/>
                <w:webHidden/>
              </w:rPr>
              <w:fldChar w:fldCharType="end"/>
            </w:r>
          </w:hyperlink>
        </w:p>
        <w:p w14:paraId="017D9AF0" w14:textId="5DFF0513"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7" w:history="1">
            <w:r w:rsidR="00166D0F" w:rsidRPr="007F6C78">
              <w:rPr>
                <w:rStyle w:val="Hyperlink"/>
                <w:noProof/>
                <w:lang w:val="fr-BE"/>
              </w:rPr>
              <w:t>7.3 Żieda fl-aċċessibbiltà tal-poloz tal-votazzjoni</w:t>
            </w:r>
            <w:r w:rsidR="00166D0F">
              <w:rPr>
                <w:noProof/>
                <w:webHidden/>
              </w:rPr>
              <w:tab/>
            </w:r>
            <w:r w:rsidR="00166D0F">
              <w:rPr>
                <w:noProof/>
                <w:webHidden/>
              </w:rPr>
              <w:fldChar w:fldCharType="begin"/>
            </w:r>
            <w:r w:rsidR="00166D0F">
              <w:rPr>
                <w:noProof/>
                <w:webHidden/>
              </w:rPr>
              <w:instrText xml:space="preserve"> PAGEREF _Toc158728567 \h </w:instrText>
            </w:r>
            <w:r w:rsidR="00166D0F">
              <w:rPr>
                <w:noProof/>
                <w:webHidden/>
              </w:rPr>
            </w:r>
            <w:r w:rsidR="00166D0F">
              <w:rPr>
                <w:noProof/>
                <w:webHidden/>
              </w:rPr>
              <w:fldChar w:fldCharType="separate"/>
            </w:r>
            <w:r w:rsidR="00166D0F">
              <w:rPr>
                <w:noProof/>
                <w:webHidden/>
              </w:rPr>
              <w:t>25</w:t>
            </w:r>
            <w:r w:rsidR="00166D0F">
              <w:rPr>
                <w:noProof/>
                <w:webHidden/>
              </w:rPr>
              <w:fldChar w:fldCharType="end"/>
            </w:r>
          </w:hyperlink>
        </w:p>
        <w:p w14:paraId="4AAD9A1E" w14:textId="552FE279"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8" w:history="1">
            <w:r w:rsidR="00166D0F" w:rsidRPr="007F6C78">
              <w:rPr>
                <w:rStyle w:val="Hyperlink"/>
                <w:noProof/>
                <w:lang w:val="fr-BE"/>
              </w:rPr>
              <w:t>7,4. Iż-żieda fl-aċċessibbiltà tal-magni tal-votazzjoni</w:t>
            </w:r>
            <w:r w:rsidR="00166D0F">
              <w:rPr>
                <w:noProof/>
                <w:webHidden/>
              </w:rPr>
              <w:tab/>
            </w:r>
            <w:r w:rsidR="00166D0F">
              <w:rPr>
                <w:noProof/>
                <w:webHidden/>
              </w:rPr>
              <w:fldChar w:fldCharType="begin"/>
            </w:r>
            <w:r w:rsidR="00166D0F">
              <w:rPr>
                <w:noProof/>
                <w:webHidden/>
              </w:rPr>
              <w:instrText xml:space="preserve"> PAGEREF _Toc158728568 \h </w:instrText>
            </w:r>
            <w:r w:rsidR="00166D0F">
              <w:rPr>
                <w:noProof/>
                <w:webHidden/>
              </w:rPr>
            </w:r>
            <w:r w:rsidR="00166D0F">
              <w:rPr>
                <w:noProof/>
                <w:webHidden/>
              </w:rPr>
              <w:fldChar w:fldCharType="separate"/>
            </w:r>
            <w:r w:rsidR="00166D0F">
              <w:rPr>
                <w:noProof/>
                <w:webHidden/>
              </w:rPr>
              <w:t>27</w:t>
            </w:r>
            <w:r w:rsidR="00166D0F">
              <w:rPr>
                <w:noProof/>
                <w:webHidden/>
              </w:rPr>
              <w:fldChar w:fldCharType="end"/>
            </w:r>
          </w:hyperlink>
        </w:p>
        <w:p w14:paraId="00FE3BD5" w14:textId="7B120E1E"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69" w:history="1">
            <w:r w:rsidR="00166D0F" w:rsidRPr="007F6C78">
              <w:rPr>
                <w:rStyle w:val="Hyperlink"/>
                <w:noProof/>
                <w:lang w:val="fr-BE"/>
              </w:rPr>
              <w:t>7,5. Metodi ta’ votazzjoni komplementari</w:t>
            </w:r>
            <w:r w:rsidR="00166D0F">
              <w:rPr>
                <w:noProof/>
                <w:webHidden/>
              </w:rPr>
              <w:tab/>
            </w:r>
            <w:r w:rsidR="00166D0F">
              <w:rPr>
                <w:noProof/>
                <w:webHidden/>
              </w:rPr>
              <w:fldChar w:fldCharType="begin"/>
            </w:r>
            <w:r w:rsidR="00166D0F">
              <w:rPr>
                <w:noProof/>
                <w:webHidden/>
              </w:rPr>
              <w:instrText xml:space="preserve"> PAGEREF _Toc158728569 \h </w:instrText>
            </w:r>
            <w:r w:rsidR="00166D0F">
              <w:rPr>
                <w:noProof/>
                <w:webHidden/>
              </w:rPr>
            </w:r>
            <w:r w:rsidR="00166D0F">
              <w:rPr>
                <w:noProof/>
                <w:webHidden/>
              </w:rPr>
              <w:fldChar w:fldCharType="separate"/>
            </w:r>
            <w:r w:rsidR="00166D0F">
              <w:rPr>
                <w:noProof/>
                <w:webHidden/>
              </w:rPr>
              <w:t>27</w:t>
            </w:r>
            <w:r w:rsidR="00166D0F">
              <w:rPr>
                <w:noProof/>
                <w:webHidden/>
              </w:rPr>
              <w:fldChar w:fldCharType="end"/>
            </w:r>
          </w:hyperlink>
        </w:p>
        <w:p w14:paraId="344A0B88" w14:textId="50D78D61"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70" w:history="1">
            <w:r w:rsidR="00166D0F" w:rsidRPr="007F6C78">
              <w:rPr>
                <w:rStyle w:val="Hyperlink"/>
                <w:noProof/>
                <w:lang w:val="fr-BE"/>
              </w:rPr>
              <w:t>7,6. L-aċċess għas-soluzzjoni tat-tilwim elettorali</w:t>
            </w:r>
            <w:r w:rsidR="00166D0F">
              <w:rPr>
                <w:noProof/>
                <w:webHidden/>
              </w:rPr>
              <w:tab/>
            </w:r>
            <w:r w:rsidR="00166D0F">
              <w:rPr>
                <w:noProof/>
                <w:webHidden/>
              </w:rPr>
              <w:fldChar w:fldCharType="begin"/>
            </w:r>
            <w:r w:rsidR="00166D0F">
              <w:rPr>
                <w:noProof/>
                <w:webHidden/>
              </w:rPr>
              <w:instrText xml:space="preserve"> PAGEREF _Toc158728570 \h </w:instrText>
            </w:r>
            <w:r w:rsidR="00166D0F">
              <w:rPr>
                <w:noProof/>
                <w:webHidden/>
              </w:rPr>
            </w:r>
            <w:r w:rsidR="00166D0F">
              <w:rPr>
                <w:noProof/>
                <w:webHidden/>
              </w:rPr>
              <w:fldChar w:fldCharType="separate"/>
            </w:r>
            <w:r w:rsidR="00166D0F">
              <w:rPr>
                <w:noProof/>
                <w:webHidden/>
              </w:rPr>
              <w:t>29</w:t>
            </w:r>
            <w:r w:rsidR="00166D0F">
              <w:rPr>
                <w:noProof/>
                <w:webHidden/>
              </w:rPr>
              <w:fldChar w:fldCharType="end"/>
            </w:r>
          </w:hyperlink>
        </w:p>
        <w:p w14:paraId="17A9403E" w14:textId="26088B0F"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71" w:history="1">
            <w:r w:rsidR="00166D0F" w:rsidRPr="007F6C78">
              <w:rPr>
                <w:rStyle w:val="Hyperlink"/>
                <w:noProof/>
                <w:lang w:val="fr-BE"/>
              </w:rPr>
              <w:t xml:space="preserve">7,7. Il-ġbir ta’ </w:t>
            </w:r>
            <w:r w:rsidR="00166D0F" w:rsidRPr="007F6C78">
              <w:rPr>
                <w:rStyle w:val="Hyperlink"/>
                <w:i/>
                <w:iCs/>
                <w:noProof/>
                <w:lang w:val="fr-BE"/>
              </w:rPr>
              <w:t>data</w:t>
            </w:r>
            <w:r w:rsidR="00166D0F" w:rsidRPr="007F6C78">
              <w:rPr>
                <w:rStyle w:val="Hyperlink"/>
                <w:noProof/>
                <w:lang w:val="fr-BE"/>
              </w:rPr>
              <w:t xml:space="preserve"> dwar il-parteċipazzjoni ta’ persuni b’diżabilità fl-elezzjonijiet</w:t>
            </w:r>
            <w:r w:rsidR="00166D0F">
              <w:rPr>
                <w:noProof/>
                <w:webHidden/>
              </w:rPr>
              <w:tab/>
            </w:r>
            <w:r w:rsidR="00166D0F">
              <w:rPr>
                <w:noProof/>
                <w:webHidden/>
              </w:rPr>
              <w:fldChar w:fldCharType="begin"/>
            </w:r>
            <w:r w:rsidR="00166D0F">
              <w:rPr>
                <w:noProof/>
                <w:webHidden/>
              </w:rPr>
              <w:instrText xml:space="preserve"> PAGEREF _Toc158728571 \h </w:instrText>
            </w:r>
            <w:r w:rsidR="00166D0F">
              <w:rPr>
                <w:noProof/>
                <w:webHidden/>
              </w:rPr>
            </w:r>
            <w:r w:rsidR="00166D0F">
              <w:rPr>
                <w:noProof/>
                <w:webHidden/>
              </w:rPr>
              <w:fldChar w:fldCharType="separate"/>
            </w:r>
            <w:r w:rsidR="00166D0F">
              <w:rPr>
                <w:noProof/>
                <w:webHidden/>
              </w:rPr>
              <w:t>30</w:t>
            </w:r>
            <w:r w:rsidR="00166D0F">
              <w:rPr>
                <w:noProof/>
                <w:webHidden/>
              </w:rPr>
              <w:fldChar w:fldCharType="end"/>
            </w:r>
          </w:hyperlink>
        </w:p>
        <w:p w14:paraId="531255B7" w14:textId="2288B443" w:rsidR="00166D0F" w:rsidRDefault="00C03814">
          <w:pPr>
            <w:pStyle w:val="TOC2"/>
            <w:rPr>
              <w:rFonts w:asciiTheme="minorHAnsi" w:eastAsiaTheme="minorEastAsia" w:hAnsiTheme="minorHAnsi" w:cstheme="minorBidi"/>
              <w:noProof/>
              <w:kern w:val="2"/>
              <w:sz w:val="22"/>
              <w:szCs w:val="22"/>
              <w14:ligatures w14:val="standardContextual"/>
            </w:rPr>
          </w:pPr>
          <w:hyperlink w:anchor="_Toc158728572" w:history="1">
            <w:r w:rsidR="00166D0F" w:rsidRPr="007F6C78">
              <w:rPr>
                <w:rStyle w:val="Hyperlink"/>
                <w:noProof/>
                <w:lang w:val="fr-BE"/>
              </w:rPr>
              <w:t>7,8. Il-monitoraġġ u l-valutazzjoni tal-aċċessibbiltà tal-elezzjonijiet</w:t>
            </w:r>
            <w:r w:rsidR="00166D0F">
              <w:rPr>
                <w:noProof/>
                <w:webHidden/>
              </w:rPr>
              <w:tab/>
            </w:r>
            <w:r w:rsidR="00166D0F">
              <w:rPr>
                <w:noProof/>
                <w:webHidden/>
              </w:rPr>
              <w:fldChar w:fldCharType="begin"/>
            </w:r>
            <w:r w:rsidR="00166D0F">
              <w:rPr>
                <w:noProof/>
                <w:webHidden/>
              </w:rPr>
              <w:instrText xml:space="preserve"> PAGEREF _Toc158728572 \h </w:instrText>
            </w:r>
            <w:r w:rsidR="00166D0F">
              <w:rPr>
                <w:noProof/>
                <w:webHidden/>
              </w:rPr>
            </w:r>
            <w:r w:rsidR="00166D0F">
              <w:rPr>
                <w:noProof/>
                <w:webHidden/>
              </w:rPr>
              <w:fldChar w:fldCharType="separate"/>
            </w:r>
            <w:r w:rsidR="00166D0F">
              <w:rPr>
                <w:noProof/>
                <w:webHidden/>
              </w:rPr>
              <w:t>31</w:t>
            </w:r>
            <w:r w:rsidR="00166D0F">
              <w:rPr>
                <w:noProof/>
                <w:webHidden/>
              </w:rPr>
              <w:fldChar w:fldCharType="end"/>
            </w:r>
          </w:hyperlink>
        </w:p>
        <w:p w14:paraId="016F1EBF" w14:textId="69C32A90" w:rsidR="00166D0F" w:rsidRPr="00B50F49" w:rsidRDefault="00C03814" w:rsidP="00B50F49">
          <w:pPr>
            <w:pStyle w:val="TOC1"/>
            <w:rPr>
              <w:rFonts w:asciiTheme="minorHAnsi" w:eastAsiaTheme="minorEastAsia" w:hAnsiTheme="minorHAnsi" w:cstheme="minorBidi"/>
              <w:kern w:val="2"/>
              <w:sz w:val="22"/>
              <w:szCs w:val="22"/>
              <w14:ligatures w14:val="standardContextual"/>
            </w:rPr>
          </w:pPr>
          <w:hyperlink w:anchor="_Toc158728573" w:history="1">
            <w:r w:rsidR="00166D0F" w:rsidRPr="00B50F49">
              <w:rPr>
                <w:rStyle w:val="Hyperlink"/>
                <w:b/>
                <w:bCs/>
              </w:rPr>
              <w:t>8. Kunsiderazzjonijiet finali</w:t>
            </w:r>
            <w:r w:rsidR="00166D0F" w:rsidRPr="00B50F49">
              <w:rPr>
                <w:webHidden/>
              </w:rPr>
              <w:tab/>
            </w:r>
            <w:r w:rsidR="00166D0F" w:rsidRPr="00B50F49">
              <w:rPr>
                <w:webHidden/>
              </w:rPr>
              <w:fldChar w:fldCharType="begin"/>
            </w:r>
            <w:r w:rsidR="00166D0F" w:rsidRPr="00B50F49">
              <w:rPr>
                <w:webHidden/>
              </w:rPr>
              <w:instrText xml:space="preserve"> PAGEREF _Toc158728573 \h </w:instrText>
            </w:r>
            <w:r w:rsidR="00166D0F" w:rsidRPr="00B50F49">
              <w:rPr>
                <w:webHidden/>
              </w:rPr>
            </w:r>
            <w:r w:rsidR="00166D0F" w:rsidRPr="00B50F49">
              <w:rPr>
                <w:webHidden/>
              </w:rPr>
              <w:fldChar w:fldCharType="separate"/>
            </w:r>
            <w:r w:rsidR="00166D0F" w:rsidRPr="00B50F49">
              <w:rPr>
                <w:webHidden/>
              </w:rPr>
              <w:t>32</w:t>
            </w:r>
            <w:r w:rsidR="00166D0F" w:rsidRPr="00B50F49">
              <w:rPr>
                <w:webHidden/>
              </w:rPr>
              <w:fldChar w:fldCharType="end"/>
            </w:r>
          </w:hyperlink>
        </w:p>
        <w:p w14:paraId="1EFB254F" w14:textId="61288262"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74" w:history="1">
            <w:r w:rsidR="00166D0F" w:rsidRPr="007F6C78">
              <w:rPr>
                <w:rStyle w:val="Hyperlink"/>
              </w:rPr>
              <w:t>Anness 1 - Qafas li jippermetti lill-persuni b’diżabilità jaċċessaw l-elezzjonijiet</w:t>
            </w:r>
            <w:r w:rsidR="00166D0F">
              <w:rPr>
                <w:webHidden/>
              </w:rPr>
              <w:tab/>
            </w:r>
            <w:r w:rsidR="00166D0F">
              <w:rPr>
                <w:webHidden/>
              </w:rPr>
              <w:fldChar w:fldCharType="begin"/>
            </w:r>
            <w:r w:rsidR="00166D0F">
              <w:rPr>
                <w:webHidden/>
              </w:rPr>
              <w:instrText xml:space="preserve"> PAGEREF _Toc158728574 \h </w:instrText>
            </w:r>
            <w:r w:rsidR="00166D0F">
              <w:rPr>
                <w:webHidden/>
              </w:rPr>
            </w:r>
            <w:r w:rsidR="00166D0F">
              <w:rPr>
                <w:webHidden/>
              </w:rPr>
              <w:fldChar w:fldCharType="separate"/>
            </w:r>
            <w:r w:rsidR="00166D0F">
              <w:rPr>
                <w:webHidden/>
              </w:rPr>
              <w:t>35</w:t>
            </w:r>
            <w:r w:rsidR="00166D0F">
              <w:rPr>
                <w:webHidden/>
              </w:rPr>
              <w:fldChar w:fldCharType="end"/>
            </w:r>
          </w:hyperlink>
        </w:p>
        <w:p w14:paraId="23D309B7" w14:textId="1577F35F"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75" w:history="1">
            <w:r w:rsidR="00166D0F" w:rsidRPr="007F6C78">
              <w:rPr>
                <w:rStyle w:val="Hyperlink"/>
              </w:rPr>
              <w:t>Anness 2 – Eżempji ta’ listi ta’ kontroll biex tiġi vvalutata l-aċċessibbiltà tal-postijiet tal-votazzjoni</w:t>
            </w:r>
            <w:r w:rsidR="00166D0F">
              <w:rPr>
                <w:webHidden/>
              </w:rPr>
              <w:tab/>
            </w:r>
            <w:r w:rsidR="00166D0F">
              <w:rPr>
                <w:webHidden/>
              </w:rPr>
              <w:fldChar w:fldCharType="begin"/>
            </w:r>
            <w:r w:rsidR="00166D0F">
              <w:rPr>
                <w:webHidden/>
              </w:rPr>
              <w:instrText xml:space="preserve"> PAGEREF _Toc158728575 \h </w:instrText>
            </w:r>
            <w:r w:rsidR="00166D0F">
              <w:rPr>
                <w:webHidden/>
              </w:rPr>
            </w:r>
            <w:r w:rsidR="00166D0F">
              <w:rPr>
                <w:webHidden/>
              </w:rPr>
              <w:fldChar w:fldCharType="separate"/>
            </w:r>
            <w:r w:rsidR="00166D0F">
              <w:rPr>
                <w:webHidden/>
              </w:rPr>
              <w:t>37</w:t>
            </w:r>
            <w:r w:rsidR="00166D0F">
              <w:rPr>
                <w:webHidden/>
              </w:rPr>
              <w:fldChar w:fldCharType="end"/>
            </w:r>
          </w:hyperlink>
        </w:p>
        <w:p w14:paraId="7228716E" w14:textId="0D123A50"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76" w:history="1">
            <w:r w:rsidR="00166D0F" w:rsidRPr="007F6C78">
              <w:rPr>
                <w:rStyle w:val="Hyperlink"/>
              </w:rPr>
              <w:t>Anness 3 – Eżempju ta’ rakkomandazzjonijiet ġenerali għall-uffiċjali tal-postijiet tal-votazzjoni</w:t>
            </w:r>
            <w:r w:rsidR="00166D0F">
              <w:rPr>
                <w:webHidden/>
              </w:rPr>
              <w:tab/>
            </w:r>
            <w:r w:rsidR="00166D0F">
              <w:rPr>
                <w:webHidden/>
              </w:rPr>
              <w:fldChar w:fldCharType="begin"/>
            </w:r>
            <w:r w:rsidR="00166D0F">
              <w:rPr>
                <w:webHidden/>
              </w:rPr>
              <w:instrText xml:space="preserve"> PAGEREF _Toc158728576 \h </w:instrText>
            </w:r>
            <w:r w:rsidR="00166D0F">
              <w:rPr>
                <w:webHidden/>
              </w:rPr>
            </w:r>
            <w:r w:rsidR="00166D0F">
              <w:rPr>
                <w:webHidden/>
              </w:rPr>
              <w:fldChar w:fldCharType="separate"/>
            </w:r>
            <w:r w:rsidR="00166D0F">
              <w:rPr>
                <w:webHidden/>
              </w:rPr>
              <w:t>39</w:t>
            </w:r>
            <w:r w:rsidR="00166D0F">
              <w:rPr>
                <w:webHidden/>
              </w:rPr>
              <w:fldChar w:fldCharType="end"/>
            </w:r>
          </w:hyperlink>
        </w:p>
        <w:p w14:paraId="14947725" w14:textId="5CB61716"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77" w:history="1">
            <w:r w:rsidR="00166D0F" w:rsidRPr="007F6C78">
              <w:rPr>
                <w:rStyle w:val="Hyperlink"/>
              </w:rPr>
              <w:t>Anness 4 – Eżempju ta’ kif għandu jiġi pprovdut aċċess għall-bini tal-postijiet tal-votazzjoni</w:t>
            </w:r>
            <w:r w:rsidR="00166D0F">
              <w:rPr>
                <w:webHidden/>
              </w:rPr>
              <w:tab/>
            </w:r>
            <w:r w:rsidR="00166D0F">
              <w:rPr>
                <w:webHidden/>
              </w:rPr>
              <w:fldChar w:fldCharType="begin"/>
            </w:r>
            <w:r w:rsidR="00166D0F">
              <w:rPr>
                <w:webHidden/>
              </w:rPr>
              <w:instrText xml:space="preserve"> PAGEREF _Toc158728577 \h </w:instrText>
            </w:r>
            <w:r w:rsidR="00166D0F">
              <w:rPr>
                <w:webHidden/>
              </w:rPr>
            </w:r>
            <w:r w:rsidR="00166D0F">
              <w:rPr>
                <w:webHidden/>
              </w:rPr>
              <w:fldChar w:fldCharType="separate"/>
            </w:r>
            <w:r w:rsidR="00166D0F">
              <w:rPr>
                <w:webHidden/>
              </w:rPr>
              <w:t>40</w:t>
            </w:r>
            <w:r w:rsidR="00166D0F">
              <w:rPr>
                <w:webHidden/>
              </w:rPr>
              <w:fldChar w:fldCharType="end"/>
            </w:r>
          </w:hyperlink>
        </w:p>
        <w:p w14:paraId="1EAB9126" w14:textId="38E76961"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78" w:history="1">
            <w:r w:rsidR="00166D0F" w:rsidRPr="007F6C78">
              <w:rPr>
                <w:rStyle w:val="Hyperlink"/>
              </w:rPr>
              <w:t>Anness 5 – Eżempju ta’ kif għandu jiġi ddisinnjat post tal-votazzjoni aċċessibbli</w:t>
            </w:r>
            <w:r w:rsidR="00166D0F">
              <w:rPr>
                <w:webHidden/>
              </w:rPr>
              <w:tab/>
            </w:r>
            <w:r w:rsidR="00166D0F">
              <w:rPr>
                <w:webHidden/>
              </w:rPr>
              <w:fldChar w:fldCharType="begin"/>
            </w:r>
            <w:r w:rsidR="00166D0F">
              <w:rPr>
                <w:webHidden/>
              </w:rPr>
              <w:instrText xml:space="preserve"> PAGEREF _Toc158728578 \h </w:instrText>
            </w:r>
            <w:r w:rsidR="00166D0F">
              <w:rPr>
                <w:webHidden/>
              </w:rPr>
            </w:r>
            <w:r w:rsidR="00166D0F">
              <w:rPr>
                <w:webHidden/>
              </w:rPr>
              <w:fldChar w:fldCharType="separate"/>
            </w:r>
            <w:r w:rsidR="00166D0F">
              <w:rPr>
                <w:webHidden/>
              </w:rPr>
              <w:t>40</w:t>
            </w:r>
            <w:r w:rsidR="00166D0F">
              <w:rPr>
                <w:webHidden/>
              </w:rPr>
              <w:fldChar w:fldCharType="end"/>
            </w:r>
          </w:hyperlink>
        </w:p>
        <w:p w14:paraId="36EC15F4" w14:textId="261E30C6"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79" w:history="1">
            <w:r w:rsidR="00166D0F" w:rsidRPr="007F6C78">
              <w:rPr>
                <w:rStyle w:val="Hyperlink"/>
              </w:rPr>
              <w:t>Anness 6 – Eżempji ta’ kabini tal-votazzjoni adattati</w:t>
            </w:r>
            <w:r w:rsidR="00166D0F">
              <w:rPr>
                <w:webHidden/>
              </w:rPr>
              <w:tab/>
            </w:r>
            <w:r w:rsidR="00166D0F">
              <w:rPr>
                <w:webHidden/>
              </w:rPr>
              <w:fldChar w:fldCharType="begin"/>
            </w:r>
            <w:r w:rsidR="00166D0F">
              <w:rPr>
                <w:webHidden/>
              </w:rPr>
              <w:instrText xml:space="preserve"> PAGEREF _Toc158728579 \h </w:instrText>
            </w:r>
            <w:r w:rsidR="00166D0F">
              <w:rPr>
                <w:webHidden/>
              </w:rPr>
            </w:r>
            <w:r w:rsidR="00166D0F">
              <w:rPr>
                <w:webHidden/>
              </w:rPr>
              <w:fldChar w:fldCharType="separate"/>
            </w:r>
            <w:r w:rsidR="00166D0F">
              <w:rPr>
                <w:webHidden/>
              </w:rPr>
              <w:t>41</w:t>
            </w:r>
            <w:r w:rsidR="00166D0F">
              <w:rPr>
                <w:webHidden/>
              </w:rPr>
              <w:fldChar w:fldCharType="end"/>
            </w:r>
          </w:hyperlink>
        </w:p>
        <w:p w14:paraId="1A12FF7E" w14:textId="35E39184"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80" w:history="1">
            <w:r w:rsidR="00166D0F" w:rsidRPr="007F6C78">
              <w:rPr>
                <w:rStyle w:val="Hyperlink"/>
              </w:rPr>
              <w:t>Anness 7 – Il-kunċett ta’ diżabilità użat mill-Istati Membri fil-kuntest tal-elezzjonijiet</w:t>
            </w:r>
            <w:r w:rsidR="00166D0F">
              <w:rPr>
                <w:webHidden/>
              </w:rPr>
              <w:tab/>
            </w:r>
            <w:r w:rsidR="00166D0F">
              <w:rPr>
                <w:webHidden/>
              </w:rPr>
              <w:fldChar w:fldCharType="begin"/>
            </w:r>
            <w:r w:rsidR="00166D0F">
              <w:rPr>
                <w:webHidden/>
              </w:rPr>
              <w:instrText xml:space="preserve"> PAGEREF _Toc158728580 \h </w:instrText>
            </w:r>
            <w:r w:rsidR="00166D0F">
              <w:rPr>
                <w:webHidden/>
              </w:rPr>
            </w:r>
            <w:r w:rsidR="00166D0F">
              <w:rPr>
                <w:webHidden/>
              </w:rPr>
              <w:fldChar w:fldCharType="separate"/>
            </w:r>
            <w:r w:rsidR="00166D0F">
              <w:rPr>
                <w:webHidden/>
              </w:rPr>
              <w:t>41</w:t>
            </w:r>
            <w:r w:rsidR="00166D0F">
              <w:rPr>
                <w:webHidden/>
              </w:rPr>
              <w:fldChar w:fldCharType="end"/>
            </w:r>
          </w:hyperlink>
        </w:p>
        <w:p w14:paraId="65E0540C" w14:textId="147D001F"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81" w:history="1">
            <w:r w:rsidR="00166D0F" w:rsidRPr="007F6C78">
              <w:rPr>
                <w:rStyle w:val="Hyperlink"/>
              </w:rPr>
              <w:t>Anness 8 – Id-dritt tal-UE u l-istandards tal-UE b’rilevanza fil-kuntest tal-aċċessibbiltà tal-elezzjonijiet għall-persuni b’diżabilità</w:t>
            </w:r>
            <w:r w:rsidR="00166D0F">
              <w:rPr>
                <w:webHidden/>
              </w:rPr>
              <w:tab/>
            </w:r>
            <w:r w:rsidR="00166D0F">
              <w:rPr>
                <w:webHidden/>
              </w:rPr>
              <w:fldChar w:fldCharType="begin"/>
            </w:r>
            <w:r w:rsidR="00166D0F">
              <w:rPr>
                <w:webHidden/>
              </w:rPr>
              <w:instrText xml:space="preserve"> PAGEREF _Toc158728581 \h </w:instrText>
            </w:r>
            <w:r w:rsidR="00166D0F">
              <w:rPr>
                <w:webHidden/>
              </w:rPr>
            </w:r>
            <w:r w:rsidR="00166D0F">
              <w:rPr>
                <w:webHidden/>
              </w:rPr>
              <w:fldChar w:fldCharType="separate"/>
            </w:r>
            <w:r w:rsidR="00166D0F">
              <w:rPr>
                <w:webHidden/>
              </w:rPr>
              <w:t>44</w:t>
            </w:r>
            <w:r w:rsidR="00166D0F">
              <w:rPr>
                <w:webHidden/>
              </w:rPr>
              <w:fldChar w:fldCharType="end"/>
            </w:r>
          </w:hyperlink>
        </w:p>
        <w:p w14:paraId="6A0530F1" w14:textId="78B2CF09"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82" w:history="1">
            <w:r w:rsidR="00166D0F" w:rsidRPr="007F6C78">
              <w:rPr>
                <w:rStyle w:val="Hyperlink"/>
              </w:rPr>
              <w:t>Anness 9 - L-eżiti ta’ grupp ta’ fokus dwar l-aċċessibbiltà għall-elezzjonijiet għall-persuni b’diżabilità organizzat mill-Kummissjoni fis-7 ta’ Settembru 2023</w:t>
            </w:r>
            <w:r w:rsidR="00166D0F">
              <w:rPr>
                <w:webHidden/>
              </w:rPr>
              <w:tab/>
            </w:r>
            <w:r w:rsidR="00166D0F">
              <w:rPr>
                <w:webHidden/>
              </w:rPr>
              <w:fldChar w:fldCharType="begin"/>
            </w:r>
            <w:r w:rsidR="00166D0F">
              <w:rPr>
                <w:webHidden/>
              </w:rPr>
              <w:instrText xml:space="preserve"> PAGEREF _Toc158728582 \h </w:instrText>
            </w:r>
            <w:r w:rsidR="00166D0F">
              <w:rPr>
                <w:webHidden/>
              </w:rPr>
            </w:r>
            <w:r w:rsidR="00166D0F">
              <w:rPr>
                <w:webHidden/>
              </w:rPr>
              <w:fldChar w:fldCharType="separate"/>
            </w:r>
            <w:r w:rsidR="00166D0F">
              <w:rPr>
                <w:webHidden/>
              </w:rPr>
              <w:t>47</w:t>
            </w:r>
            <w:r w:rsidR="00166D0F">
              <w:rPr>
                <w:webHidden/>
              </w:rPr>
              <w:fldChar w:fldCharType="end"/>
            </w:r>
          </w:hyperlink>
        </w:p>
        <w:p w14:paraId="64336C8F" w14:textId="3F99679A"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83" w:history="1">
            <w:r w:rsidR="00166D0F" w:rsidRPr="007F6C78">
              <w:rPr>
                <w:rStyle w:val="Hyperlink"/>
              </w:rPr>
              <w:t>Anness 10 – Disponibbiltà ta’ għodod ta’ assistenza, kabini tal-votazzjoni u kaxxi tal-voti aċċessibbli</w:t>
            </w:r>
            <w:r w:rsidR="00166D0F">
              <w:rPr>
                <w:webHidden/>
              </w:rPr>
              <w:tab/>
            </w:r>
            <w:r w:rsidR="00166D0F">
              <w:rPr>
                <w:webHidden/>
              </w:rPr>
              <w:fldChar w:fldCharType="begin"/>
            </w:r>
            <w:r w:rsidR="00166D0F">
              <w:rPr>
                <w:webHidden/>
              </w:rPr>
              <w:instrText xml:space="preserve"> PAGEREF _Toc158728583 \h </w:instrText>
            </w:r>
            <w:r w:rsidR="00166D0F">
              <w:rPr>
                <w:webHidden/>
              </w:rPr>
            </w:r>
            <w:r w:rsidR="00166D0F">
              <w:rPr>
                <w:webHidden/>
              </w:rPr>
              <w:fldChar w:fldCharType="separate"/>
            </w:r>
            <w:r w:rsidR="00166D0F">
              <w:rPr>
                <w:webHidden/>
              </w:rPr>
              <w:t>49</w:t>
            </w:r>
            <w:r w:rsidR="00166D0F">
              <w:rPr>
                <w:webHidden/>
              </w:rPr>
              <w:fldChar w:fldCharType="end"/>
            </w:r>
          </w:hyperlink>
        </w:p>
        <w:p w14:paraId="23D89014" w14:textId="1A66D079" w:rsidR="00166D0F" w:rsidRDefault="00C03814" w:rsidP="00B50F49">
          <w:pPr>
            <w:pStyle w:val="TOC1"/>
            <w:rPr>
              <w:rFonts w:asciiTheme="minorHAnsi" w:eastAsiaTheme="minorEastAsia" w:hAnsiTheme="minorHAnsi" w:cstheme="minorBidi"/>
              <w:kern w:val="2"/>
              <w:sz w:val="22"/>
              <w:szCs w:val="22"/>
              <w14:ligatures w14:val="standardContextual"/>
            </w:rPr>
          </w:pPr>
          <w:hyperlink w:anchor="_Toc158728584" w:history="1">
            <w:r w:rsidR="00166D0F" w:rsidRPr="007F6C78">
              <w:rPr>
                <w:rStyle w:val="Hyperlink"/>
              </w:rPr>
              <w:t>Anness 11 - Għażliet ta’ votazzjoni komplementari disponibbli għall-persuni b’diżabilità fl-Istati Membri tal-UE</w:t>
            </w:r>
            <w:r w:rsidR="00166D0F">
              <w:rPr>
                <w:webHidden/>
              </w:rPr>
              <w:tab/>
            </w:r>
            <w:r w:rsidR="00166D0F">
              <w:rPr>
                <w:webHidden/>
              </w:rPr>
              <w:fldChar w:fldCharType="begin"/>
            </w:r>
            <w:r w:rsidR="00166D0F">
              <w:rPr>
                <w:webHidden/>
              </w:rPr>
              <w:instrText xml:space="preserve"> PAGEREF _Toc158728584 \h </w:instrText>
            </w:r>
            <w:r w:rsidR="00166D0F">
              <w:rPr>
                <w:webHidden/>
              </w:rPr>
            </w:r>
            <w:r w:rsidR="00166D0F">
              <w:rPr>
                <w:webHidden/>
              </w:rPr>
              <w:fldChar w:fldCharType="separate"/>
            </w:r>
            <w:r w:rsidR="00166D0F">
              <w:rPr>
                <w:webHidden/>
              </w:rPr>
              <w:t>51</w:t>
            </w:r>
            <w:r w:rsidR="00166D0F">
              <w:rPr>
                <w:webHidden/>
              </w:rPr>
              <w:fldChar w:fldCharType="end"/>
            </w:r>
          </w:hyperlink>
        </w:p>
        <w:p w14:paraId="3A48D0F8" w14:textId="69277B1F"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728544"/>
      <w:bookmarkEnd w:id="5"/>
      <w:bookmarkEnd w:id="6"/>
      <w:bookmarkEnd w:id="7"/>
      <w:bookmarkEnd w:id="8"/>
      <w:r>
        <w:rPr>
          <w:noProof/>
        </w:rPr>
        <w:t>Introduzzjoni</w:t>
      </w:r>
      <w:bookmarkEnd w:id="9"/>
      <w:bookmarkEnd w:id="10"/>
    </w:p>
    <w:p w14:paraId="4FB845FE" w14:textId="2E9A1E6D" w:rsidR="00F06738" w:rsidRPr="00B42AEB" w:rsidRDefault="00A96911" w:rsidP="00B42AEB">
      <w:pPr>
        <w:rPr>
          <w:noProof/>
        </w:rPr>
      </w:pPr>
      <w:r>
        <w:rPr>
          <w:noProof/>
        </w:rPr>
        <w:t>Il-President tal-Kummissjoni Ewropea von der Leyen ħabbret meta ħadet il-kariga li l-bini ta’ Unjoni ta’ Ugwaljanza se jkun waħda mill-prijoritajiet ewlenin tal-Kummissjoni tagħha.</w:t>
      </w:r>
      <w:r>
        <w:rPr>
          <w:rStyle w:val="FootnoteReference"/>
          <w:noProof/>
        </w:rPr>
        <w:t>(</w:t>
      </w:r>
      <w:r>
        <w:rPr>
          <w:rStyle w:val="FootnoteReference"/>
          <w:noProof/>
        </w:rPr>
        <w:footnoteReference w:id="2"/>
      </w:r>
      <w:r>
        <w:rPr>
          <w:rStyle w:val="FootnoteReference"/>
          <w:noProof/>
        </w:rPr>
        <w:t>)</w:t>
      </w:r>
    </w:p>
    <w:p w14:paraId="74B96FFE" w14:textId="0A0BA016" w:rsidR="00BF5544" w:rsidRPr="00B42AEB" w:rsidRDefault="00EF5AB9" w:rsidP="00B42AEB">
      <w:pPr>
        <w:rPr>
          <w:noProof/>
        </w:rPr>
      </w:pPr>
      <w:r>
        <w:rPr>
          <w:noProof/>
        </w:rPr>
        <w:t>Il-kapaċità li wieħed jipparteċipa fl-elezzjonijiet hija essenzjali għal demokrazija vibranti. Dan imur lil hinn mis-sempliċi dritt tal-vot; dan ifisser ukoll li tista’ toħroġ bħala kandidat, tingħaqad ma’ partit politiku, tinvolvi ruħek fil-proċess elettorali bħala uffiċjal elettorali jew osservatur elettorali u taċċessa l-informazzjoni. Dan jinkludi li tkun tista’ tesprimi l-preferenzi elettorali tiegħek b’mod liberu u ġust, b’segretezza sħiħa. Iċ-ċittadini kollha għandhom ikunu jistgħu jipparteċipaw b’mod effettiv fil-ħajja politika fl-UE. Kull vot jgħodd. Iżda madankollu l-parteċipazzjoni fil-ħajja politika għadha sfida għal ħafna.</w:t>
      </w:r>
    </w:p>
    <w:p w14:paraId="60452DE3" w14:textId="1FB95C83" w:rsidR="00A54759" w:rsidRPr="00B42AEB" w:rsidRDefault="1A7BFF85" w:rsidP="00B42AEB">
      <w:pPr>
        <w:rPr>
          <w:noProof/>
        </w:rPr>
      </w:pPr>
      <w:r>
        <w:rPr>
          <w:noProof/>
        </w:rPr>
        <w:t xml:space="preserve">Fl-UE, il-persuni b’diżabilità għadhom jiffaċċjaw diffikultajiet fl-eżerċitar tad-drittijiet elettorali tagħhom. </w:t>
      </w:r>
      <w:r w:rsidRPr="00B50F49">
        <w:rPr>
          <w:noProof/>
          <w:lang w:val="es-ES"/>
        </w:rPr>
        <w:t>Madwar 27 % tal-popolazzjoni tal-UE għandhom xi forma ta’ diżabilità.</w:t>
      </w:r>
      <w:r w:rsidRPr="00B50F49">
        <w:rPr>
          <w:noProof/>
          <w:vertAlign w:val="superscript"/>
          <w:lang w:val="es-ES"/>
        </w:rPr>
        <w:t>(</w:t>
      </w:r>
      <w:r>
        <w:rPr>
          <w:noProof/>
          <w:vertAlign w:val="superscript"/>
        </w:rPr>
        <w:footnoteReference w:id="3"/>
      </w:r>
      <w:r>
        <w:rPr>
          <w:noProof/>
          <w:vertAlign w:val="superscript"/>
        </w:rPr>
        <w:t>)</w:t>
      </w:r>
      <w:r>
        <w:rPr>
          <w:noProof/>
        </w:rPr>
        <w:t xml:space="preserve"> Dawn jinkludu persuni li għandhom indebolimenti fiżiċi, mentali, intellettwali jew sensorji fit-tul li flimkien ma’ diversi ostakli jistgħu jfixklu l-parteċipazzjoni sħiħa u effettiva tagħhom fis-soċjetà fuq bażi ugwali ma’ ħaddieħor. </w:t>
      </w:r>
    </w:p>
    <w:p w14:paraId="3FD5B7BF" w14:textId="38B21CF3" w:rsidR="00C24C52" w:rsidRPr="00B42AEB" w:rsidRDefault="00E86740" w:rsidP="00B42AEB">
      <w:pPr>
        <w:rPr>
          <w:noProof/>
        </w:rPr>
      </w:pPr>
      <w:r>
        <w:rPr>
          <w:noProof/>
        </w:rPr>
        <w:t>Hija r-responsabbiltà tal-Istati Membri li jorganizzaw l-elezzjonijiet nazzjonali, f’konformità mal-impenji internazzjonali tagħhom. Il-Kummissjoni tappoġġa, fost l-oħrajn, il-kondiviżjoni ta’ prattiki tajbin, inkluż dwar magni tal-votazzjoni aċċessibbli u aġġustamenti speċifiċi u kif jiġu pprovduti għażliet għall-votanti b’diżabilità. L-UE tiffinanzja wkoll l-organizzazzjonijiet għall-persuni b’diżabilità fil-livell tal-UE sabiex jissensibilizzaw u jippromwovu d-drittijiet u jtejbu l-kapaċità tal-organizzazzjonijiet membri tagħhom.</w:t>
      </w:r>
    </w:p>
    <w:p w14:paraId="00221810" w14:textId="45CFB989" w:rsidR="005F5A33" w:rsidRPr="00B42AEB" w:rsidRDefault="00ED1FD7" w:rsidP="00B42AEB">
      <w:pPr>
        <w:rPr>
          <w:noProof/>
        </w:rPr>
      </w:pPr>
      <w:r>
        <w:rPr>
          <w:noProof/>
        </w:rPr>
        <w:t>Ir-rapport</w:t>
      </w:r>
      <w:r>
        <w:rPr>
          <w:rStyle w:val="FootnoteReference"/>
          <w:noProof/>
        </w:rPr>
        <w:t>(</w:t>
      </w:r>
      <w:r>
        <w:rPr>
          <w:rStyle w:val="FootnoteReference"/>
          <w:noProof/>
        </w:rPr>
        <w:footnoteReference w:id="4"/>
      </w:r>
      <w:r>
        <w:rPr>
          <w:rStyle w:val="FootnoteReference"/>
          <w:noProof/>
        </w:rPr>
        <w:t>)</w:t>
      </w:r>
      <w:r>
        <w:rPr>
          <w:noProof/>
        </w:rPr>
        <w:t xml:space="preserve"> maħruġ mill-Kummissjoni dwar l-elezzjonijiet tal-2019 għall-Parlament Ewropew issottolinja li ċ-ċittadini b’diżabilità jiffaċċjaw ostakli addizzjonali biex jeżerċitaw id-drittijiet elettorali tagħhom.</w:t>
      </w:r>
      <w:r w:rsidR="00B50F49">
        <w:rPr>
          <w:rStyle w:val="FootnoteReference"/>
          <w:noProof/>
        </w:rPr>
        <w:t>(</w:t>
      </w:r>
      <w:r>
        <w:rPr>
          <w:rStyle w:val="FootnoteReference"/>
          <w:noProof/>
        </w:rPr>
        <w:footnoteReference w:id="5"/>
      </w:r>
      <w:r>
        <w:rPr>
          <w:rStyle w:val="FootnoteReference"/>
          <w:noProof/>
        </w:rPr>
        <w:t>)</w:t>
      </w:r>
      <w:r>
        <w:rPr>
          <w:noProof/>
        </w:rPr>
        <w:t xml:space="preserve"> Ir-rapport enfasizza l-importanza li jiġu indirizzati dawn l-ostakli fid-dawl tal-elezzjonijiet li jmiss tal-Parlament Ewropew.</w:t>
      </w:r>
    </w:p>
    <w:p w14:paraId="4E2F3A83" w14:textId="5E678BFC" w:rsidR="00B25AC6" w:rsidRPr="00B42AEB" w:rsidRDefault="00B25AC6" w:rsidP="00B42AEB">
      <w:pPr>
        <w:rPr>
          <w:noProof/>
        </w:rPr>
      </w:pPr>
      <w:r>
        <w:rPr>
          <w:noProof/>
        </w:rPr>
        <w:t>Il-Parlament Ewropew issottolinja l-importanza li jiġu appoġġati d-drittijiet tal-vot tal-persuni b’diżabilità. Fir-riżoluzzjoni tiegħu tas-26 ta’ Novembru 2020 dwar ir-rendikont tal-elezzjonijiet Ewropej, huwa talab lill-Istati Membri biex iżidu l-iskambji tal-aħjar prattika biex itejbu l-aċċess għall-postijiet tal-votazzjoni għall-persuni b’diżabilità. Il-Parlament Ewropew indika li, għall-votanti b’diżabilità, l-arranġamenti prattiċi tal-votazzjoni huma importanti daqs l-aċċess għall-informazzjoni jew għall-postijiet tal-votazzjoni. Fir-Riżoluzzjoni tiegħu tal-10 ta’ Marzu 2022 dwar ir-Rapport dwar iċ-Ċittadinanza tal-UE tal-2020, il-Parlament talab lill-Kummissjoni u lill-Istati Membri jiskambjaw u jippromwovu l-aħjar prattiki fi ħdan in-Network Ewropew ta’ Kooperazzjoni dwar l-Elezzjonijiet</w:t>
      </w:r>
      <w:r>
        <w:rPr>
          <w:rStyle w:val="FootnoteReference"/>
          <w:noProof/>
        </w:rPr>
        <w:t>(</w:t>
      </w:r>
      <w:r>
        <w:rPr>
          <w:rStyle w:val="FootnoteReference"/>
          <w:noProof/>
        </w:rPr>
        <w:footnoteReference w:id="6"/>
      </w:r>
      <w:r w:rsidR="00B50F49">
        <w:rPr>
          <w:rStyle w:val="FootnoteReference"/>
          <w:noProof/>
        </w:rPr>
        <w:t>)</w:t>
      </w:r>
      <w:r>
        <w:rPr>
          <w:noProof/>
        </w:rPr>
        <w:t>, dwar kif għandhom jiġu ssodisfati l-ħtiġijiet elettorali speċifiċi ta’ gruppi żvantaġġati ta’ ċittadini, biex iżidu l-parteċipazzjoni tagħhom fl-elezzjonijiet u biex jagħtu s-setgħa lil dawn il-gruppi biex jeżerċitaw id-drittijiet tal-vot tagħhom fl-elezzjonijiet li jmiss għall-Parlament Ewropew.</w:t>
      </w:r>
    </w:p>
    <w:p w14:paraId="04E49DFE" w14:textId="2E5B1372" w:rsidR="00B25AC6" w:rsidRPr="00B42AEB" w:rsidRDefault="0043426B" w:rsidP="00B42AEB">
      <w:pPr>
        <w:rPr>
          <w:noProof/>
        </w:rPr>
      </w:pPr>
      <w:r>
        <w:rPr>
          <w:noProof/>
        </w:rPr>
        <w:t>Fir-riżoluzzjoni leġiżlattiva tiegħu dwar il-proposta għal Regolament tal-Kunsill dwar l-elezzjoni tal-membri tal-Parlament Ewropew b’vot universali dirett</w:t>
      </w:r>
      <w:r>
        <w:rPr>
          <w:noProof/>
          <w:vertAlign w:val="superscript"/>
        </w:rPr>
        <w:t>(</w:t>
      </w:r>
      <w:r>
        <w:rPr>
          <w:noProof/>
          <w:vertAlign w:val="superscript"/>
        </w:rPr>
        <w:footnoteReference w:id="7"/>
      </w:r>
      <w:r>
        <w:rPr>
          <w:noProof/>
          <w:vertAlign w:val="superscript"/>
        </w:rPr>
        <w:t>)</w:t>
      </w:r>
      <w:r>
        <w:rPr>
          <w:noProof/>
        </w:rPr>
        <w:t xml:space="preserve">, il-Parlament Ewropew talab lill-Istati Membri jiżguraw li ċ-ċittadini kollha jkollhom aċċess għall-informazzjoni u għall-votazzjoni fuq bażi ugwali, inklużi l-persuni b’diżabilità. </w:t>
      </w:r>
      <w:r w:rsidRPr="00166D0F">
        <w:rPr>
          <w:noProof/>
          <w:lang w:val="fr-BE"/>
        </w:rPr>
        <w:t>Dan jinkludi, pereżempju, il-kiri ta’ bini adattat meta l-istrutturi pubbliċi ma jkunux adattati.</w:t>
      </w:r>
      <w:r w:rsidRPr="00166D0F">
        <w:rPr>
          <w:noProof/>
          <w:vertAlign w:val="superscript"/>
          <w:lang w:val="fr-BE"/>
        </w:rPr>
        <w:t>(</w:t>
      </w:r>
      <w:r>
        <w:rPr>
          <w:noProof/>
          <w:vertAlign w:val="superscript"/>
        </w:rPr>
        <w:footnoteReference w:id="8"/>
      </w:r>
      <w:r>
        <w:rPr>
          <w:noProof/>
          <w:vertAlign w:val="superscript"/>
        </w:rPr>
        <w:t>)</w:t>
      </w:r>
    </w:p>
    <w:p w14:paraId="1B39E2C0" w14:textId="23246597" w:rsidR="001418CF" w:rsidRPr="00B42AEB" w:rsidRDefault="0043426B" w:rsidP="00B42AEB">
      <w:pPr>
        <w:rPr>
          <w:noProof/>
        </w:rPr>
      </w:pPr>
      <w:r>
        <w:rPr>
          <w:noProof/>
        </w:rPr>
        <w:t>Aktar reċentement, ir-Riżoluzzjoni tal-Parlament Ewropew tat-13 ta’ Diċembru 2022 dwar id-drittijiet ugwali għall-persuni b’diżabilità</w:t>
      </w:r>
      <w:r>
        <w:rPr>
          <w:rStyle w:val="FootnoteReference"/>
          <w:noProof/>
        </w:rPr>
        <w:t>(</w:t>
      </w:r>
      <w:r>
        <w:rPr>
          <w:rStyle w:val="FootnoteReference"/>
          <w:noProof/>
        </w:rPr>
        <w:footnoteReference w:id="9"/>
      </w:r>
      <w:r w:rsidR="00B50F49">
        <w:rPr>
          <w:rStyle w:val="FootnoteReference"/>
          <w:noProof/>
        </w:rPr>
        <w:t>)</w:t>
      </w:r>
      <w:r>
        <w:rPr>
          <w:noProof/>
        </w:rPr>
        <w:t xml:space="preserve"> talbet emendi fil-Liġi Elettorali Ewropea u f’kull liġi nazzjonali rilevanti biex jiġi żgurat li l-persuni b’diżabilità kollha jkunu jistgħu jivvotaw u joħorġu bħala kandidati fl-elezzjonijiet fuq bażi ugwali ma’ ħaddieħor. Il-Parlament saħaq li d-deċiżjonijiet biex persuni jiċċaħħdu mill-kapaċità ġuridika tagħhom minħabba diżabilità meħuda mill-Istat Membru ta’ oriġini ma għandhomx jagħmlu liċ-ċittadini tal-UE ineliġibbli fl-Istat Membru ta’ residenza tagħhom jekk il-liġi ta’ dak l-Istat Membru tiddefendi dak id-dritt għall-persuni kollha b’diżabilità mingħajr restrizzjonijiet.</w:t>
      </w:r>
      <w:r>
        <w:rPr>
          <w:rStyle w:val="FootnoteReference"/>
          <w:noProof/>
        </w:rPr>
        <w:t>(</w:t>
      </w:r>
      <w:r>
        <w:rPr>
          <w:rStyle w:val="FootnoteReference"/>
          <w:noProof/>
        </w:rPr>
        <w:footnoteReference w:id="10"/>
      </w:r>
      <w:r w:rsidR="00B50F49">
        <w:rPr>
          <w:rStyle w:val="FootnoteReference"/>
          <w:noProof/>
        </w:rPr>
        <w:t>)</w:t>
      </w:r>
      <w:r>
        <w:rPr>
          <w:noProof/>
        </w:rPr>
        <w:t xml:space="preserve"> </w:t>
      </w:r>
    </w:p>
    <w:p w14:paraId="6295BB90" w14:textId="0B202ACA" w:rsidR="001418CF" w:rsidRPr="00B42AEB" w:rsidRDefault="00A14C18" w:rsidP="00B42AEB">
      <w:pPr>
        <w:rPr>
          <w:noProof/>
        </w:rPr>
      </w:pPr>
      <w:r>
        <w:rPr>
          <w:noProof/>
        </w:rPr>
        <w:t>Il-kwistjoni tad-drittijiet tal-vot għall-persuni b’diżabilità tqajmet ukoll fil-kuntest tal-opinjoni tal-Parlament Ewropew dwar id-direttivi elettorali li jirregolaw id-drittijiet tal-vot għal ċittadini mobbli tal-UE. Din kienet tinkludi li l-informazzjoni elettorali ssir aċċessibbli għall-persuni b’diżabilità billi jiġu applikati r-rekwiżiti ta’ aċċessibbiltà kif stabbiliti fl-Anness I tad-Direttiva (UE) 2019/882 tal-Parlament Ewropew u tal-Kunsill u bl-użu ta’ mezzi, modi u formati ta’ komunikazzjoni li jistgħu jgħinu lill-persuni b’diżabilità, bħal-lingwa tas-sinjali, il-Braille jew format faċli biex jinqara.</w:t>
      </w:r>
      <w:r>
        <w:rPr>
          <w:rStyle w:val="FootnoteReference"/>
          <w:noProof/>
        </w:rPr>
        <w:t>(</w:t>
      </w:r>
      <w:r>
        <w:rPr>
          <w:rStyle w:val="FootnoteReference"/>
          <w:noProof/>
        </w:rPr>
        <w:footnoteReference w:id="11"/>
      </w:r>
      <w:r w:rsidR="00B50F49">
        <w:rPr>
          <w:rStyle w:val="FootnoteReference"/>
          <w:noProof/>
        </w:rPr>
        <w:t>)</w:t>
      </w:r>
      <w:r>
        <w:rPr>
          <w:noProof/>
        </w:rPr>
        <w:t xml:space="preserve"> </w:t>
      </w:r>
    </w:p>
    <w:p w14:paraId="518DCA0D" w14:textId="32F79C0C" w:rsidR="00B25AC6" w:rsidRPr="00B42AEB" w:rsidRDefault="00DF59AA" w:rsidP="00B42AEB">
      <w:pPr>
        <w:rPr>
          <w:noProof/>
        </w:rPr>
      </w:pPr>
      <w:r>
        <w:rPr>
          <w:noProof/>
        </w:rPr>
        <w:t>F’din l-opinjoni, il-Parlament Ewropew stieden lill-Istati Membri jagħmlu arranġamenti mfassla apposta għall-proċeduri ta’ votazzjoni nazzjonali tagħhom biex jgħinu liċ-ċittadini b’diżabilità jivvotaw, bħal li jippermettulhom jagħżlu l-postijiet tal-votazzjoni, jistabbilixxu postijiet tal-votazzjoni magħluqa f’postijiet ewlenin u jużaw teknoloġiji, formati u tekniki ta’ assistenza bħall-Braille, tipa kbira, informazzjoni bbażata fuq l-awdjo, stensils tattili, informazzjoni faċli biex tinqara u komunikazzjoni bil-lingwa tas-sinjali. Il-Parlament stieden ukoll lill-Istati Membri jqisu li jużaw għodod komplementari biex jiffaċilitaw il-votazzjoni, bħall-votazzjoni fiżika minn qabel u l-votazzjoni bi prokura, il-votazzjoni elettronika u online.</w:t>
      </w:r>
    </w:p>
    <w:p w14:paraId="0AD2DD61" w14:textId="325DF286" w:rsidR="002428CE" w:rsidRPr="00B42AEB" w:rsidRDefault="00177336" w:rsidP="00B42AEB">
      <w:pPr>
        <w:rPr>
          <w:noProof/>
        </w:rPr>
      </w:pPr>
      <w:r>
        <w:rPr>
          <w:noProof/>
        </w:rPr>
        <w:t>Fl-20 ta’ Marzu 2019, il-Kumitat Ekonomiku u Soċjali Ewropew adotta rapport</w:t>
      </w:r>
      <w:r>
        <w:rPr>
          <w:rStyle w:val="FootnoteReference"/>
          <w:noProof/>
        </w:rPr>
        <w:t>(</w:t>
      </w:r>
      <w:r>
        <w:rPr>
          <w:rStyle w:val="FootnoteReference"/>
          <w:noProof/>
        </w:rPr>
        <w:footnoteReference w:id="12"/>
      </w:r>
      <w:r w:rsidR="00B50F49">
        <w:rPr>
          <w:rStyle w:val="FootnoteReference"/>
          <w:noProof/>
        </w:rPr>
        <w:t>)</w:t>
      </w:r>
      <w:r>
        <w:rPr>
          <w:noProof/>
        </w:rPr>
        <w:t xml:space="preserve"> li jistabbilixxi s-sitwazzjoni attwali dwar l-implimentazzjoni tad-dritt taċ-ċittadini tal-UE b’diżabilità li jivvotaw fl-elezzjonijiet tal-Parlament Ewropew. Ir-rapport jinnota diversi ostakli li jiffaċċjaw il-persuni b’diżabilità fl-eżerċitar tad-drittijiet elettorali tagħhom. Dan jistabbilixxi prattiki tajbin</w:t>
      </w:r>
      <w:r>
        <w:rPr>
          <w:rStyle w:val="FootnoteReference"/>
          <w:noProof/>
        </w:rPr>
        <w:t>(</w:t>
      </w:r>
      <w:r>
        <w:rPr>
          <w:rStyle w:val="FootnoteReference"/>
          <w:noProof/>
        </w:rPr>
        <w:footnoteReference w:id="13"/>
      </w:r>
      <w:r w:rsidR="00B50F49">
        <w:rPr>
          <w:rStyle w:val="FootnoteReference"/>
          <w:noProof/>
        </w:rPr>
        <w:t>)</w:t>
      </w:r>
      <w:r>
        <w:rPr>
          <w:noProof/>
        </w:rPr>
        <w:t xml:space="preserve"> dwar it-titjib tal-aċċess għall-informazzjoni matul il-perjodu ta’ qabel l-elezzjoni, l-organizzazzjoni tal-votazzjoni fi stazzjonijiet tal-votazzjoni “ġenerali”, poloz tal-votazzjoni u aċċessibbiltà. Dan jiddeskrivi wkoll is-soluzzjonijiet użati fi ftit Stati Membri, bħal votazzjoni bikrija f’postijiet tal-votazzjoni magħżula, votazzjoni bil-posta, votazzjoni bil-kaxxa tal-votazzjoni mobbli, votazzjoni bi prokura u votazzjoni elettronika. Fl-aħħar, dan jiddeskrivi arranġamenti li jippermettu lill-persuni fi sptar u f’istituzzjonijiet tal-kura fit-tul li jivvotaw, id-dritt tal-persuni b’diżabilità li jivvotaw f’pajjiżi fejn il-votazzjoni hija obbligatorja u proċeduri għal meta persuna b’diżabilità tgħix f’pajjiż differenti mill-pajjiż ta’ oriġini tagħha.</w:t>
      </w:r>
    </w:p>
    <w:p w14:paraId="57AC243C" w14:textId="4F737101" w:rsidR="00407A29" w:rsidRPr="00B42AEB" w:rsidRDefault="00BB4CF0" w:rsidP="00B42AEB">
      <w:pPr>
        <w:rPr>
          <w:noProof/>
        </w:rPr>
      </w:pPr>
      <w:r>
        <w:rPr>
          <w:noProof/>
        </w:rPr>
        <w:t>Il-Kumitat tan-NU dwar id-Drittijiet tal-Persuni b’Diżabilità rrakkomanda li l-UE tieħu l-miżuri meħtieġa, f’kooperazzjoni mal-Istati Membri tagħha u mal-organizzazzjonijiet rappreżentattivi tal-persuni b’diżabilità, biex kull persuna b’xi tip ta’ diżabilità tkun tista’ jeżerċita d-dritt tagħha li tivvota u li toħroġ bħala kandidat fl-elezzjonijiet</w:t>
      </w:r>
      <w:r>
        <w:rPr>
          <w:rStyle w:val="FootnoteReference"/>
          <w:noProof/>
        </w:rPr>
        <w:t>(</w:t>
      </w:r>
      <w:r>
        <w:rPr>
          <w:rStyle w:val="FootnoteReference"/>
          <w:noProof/>
        </w:rPr>
        <w:footnoteReference w:id="14"/>
      </w:r>
      <w:r w:rsidR="00B50F49">
        <w:rPr>
          <w:rStyle w:val="FootnoteReference"/>
          <w:noProof/>
        </w:rPr>
        <w:t>)</w:t>
      </w:r>
      <w:r>
        <w:rPr>
          <w:noProof/>
        </w:rPr>
        <w:t>.</w:t>
      </w:r>
    </w:p>
    <w:p w14:paraId="6C2DCB59" w14:textId="4CC73115" w:rsidR="00ED61D7" w:rsidRPr="00B42AEB" w:rsidRDefault="00ED61D7" w:rsidP="00B42AEB">
      <w:pPr>
        <w:rPr>
          <w:noProof/>
        </w:rPr>
      </w:pPr>
      <w:r>
        <w:rPr>
          <w:noProof/>
        </w:rPr>
        <w:t>Fl-istrateġija tagħha għad-drittijiet tal-persuni b’diżabilità għall-2021-2030</w:t>
      </w:r>
      <w:r>
        <w:rPr>
          <w:rStyle w:val="FootnoteReference"/>
          <w:noProof/>
        </w:rPr>
        <w:t>(</w:t>
      </w:r>
      <w:r>
        <w:rPr>
          <w:rStyle w:val="FootnoteReference"/>
          <w:noProof/>
        </w:rPr>
        <w:footnoteReference w:id="15"/>
      </w:r>
      <w:r w:rsidR="00B50F49">
        <w:rPr>
          <w:rStyle w:val="FootnoteReference"/>
          <w:noProof/>
        </w:rPr>
        <w:t>)</w:t>
      </w:r>
      <w:r>
        <w:rPr>
          <w:noProof/>
        </w:rPr>
        <w:t>, il-Kummissjoni ħabbret li se tħejji gwida ta’ prattika elettorali tajba li tindirizza l-parteċipazzjoni taċ-ċittadini b’diżabilità fil-proċess elettorali. Din il-gwida tħejjiet f’kooperazzjoni mill-qrib mal-Istati Membri fil-qafas tan-Network Ewropew ta’ Kooperazzjoni dwar l-Elezzjonijiet. Hija tislet mid-diskussjonijiet li saru matul l-avveniment ta’ livell għoli dwar l-elezzjonijiet organizzat mill-Kummissjoni fit-23 u l-24 ta’ Ottubru 2023</w:t>
      </w:r>
      <w:r>
        <w:rPr>
          <w:rStyle w:val="FootnoteReference"/>
          <w:noProof/>
        </w:rPr>
        <w:t>(</w:t>
      </w:r>
      <w:r>
        <w:rPr>
          <w:rStyle w:val="FootnoteReference"/>
          <w:noProof/>
        </w:rPr>
        <w:footnoteReference w:id="16"/>
      </w:r>
      <w:r w:rsidR="00B50F49">
        <w:rPr>
          <w:rStyle w:val="FootnoteReference"/>
          <w:noProof/>
        </w:rPr>
        <w:t>)</w:t>
      </w:r>
      <w:r>
        <w:rPr>
          <w:noProof/>
        </w:rPr>
        <w:t>.</w:t>
      </w:r>
    </w:p>
    <w:p w14:paraId="1F77BC31" w14:textId="6063F90A" w:rsidR="00475D7E" w:rsidRPr="00B42AEB" w:rsidRDefault="00475D7E" w:rsidP="00B42AEB">
      <w:pPr>
        <w:rPr>
          <w:noProof/>
        </w:rPr>
      </w:pPr>
      <w:r>
        <w:rPr>
          <w:noProof/>
        </w:rPr>
        <w:t>Fl-istrateġija tagħha għad-drittijiet tal-persuni b’diżabilità, il-Kummissjoni ħabbret l-intenzjoni tagħha:</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b/>
          <w:bCs/>
          <w:noProof/>
        </w:rPr>
        <w:t xml:space="preserve">li </w:t>
      </w:r>
      <w:r>
        <w:rPr>
          <w:rFonts w:ascii="Arial" w:hAnsi="Arial"/>
          <w:b/>
          <w:noProof/>
        </w:rPr>
        <w:t>taħdem</w:t>
      </w:r>
      <w:r>
        <w:rPr>
          <w:rFonts w:ascii="Arial" w:hAnsi="Arial"/>
          <w:noProof/>
        </w:rPr>
        <w:t xml:space="preserve"> mal-Istati Membri, inkluż permezz ta’ diskussjonijiet iddedikati fin-Network Ewropew ta’ Kooperazzjoni dwar l-Elezzjonijiet u l-Parlament Ewropew biex tiggarantixxi d-drittijiet politiċi tal-persuni b’diżabilità fuq bażi ugwali ma’ ħaddieħor;</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b/>
          <w:noProof/>
        </w:rPr>
        <w:t>li tiddiskuti</w:t>
      </w:r>
      <w:r>
        <w:rPr>
          <w:rFonts w:ascii="Arial" w:hAnsi="Arial"/>
          <w:noProof/>
        </w:rPr>
        <w:t>, fil-qafas tal-avveniment ta’ livell għoli dwar l-elezzjonijiet imħabbar fil-Pjan ta’ Azzjoni Ewropew għad-Demokrazija (li sar fit-23 u l-24 ta’ Ottubru 2023), prattiki dwar id-demokrazija inklużiva bil-għan li l-listi tal-kandidati jirriflettu d-diversità tas-soċjetajiet tagħna;</w:t>
      </w:r>
    </w:p>
    <w:p w14:paraId="03B1A87B" w14:textId="3552752A" w:rsidR="00475D7E" w:rsidRPr="00860D52" w:rsidRDefault="00475D7E" w:rsidP="00860D52">
      <w:pPr>
        <w:pStyle w:val="ListBullet2"/>
        <w:spacing w:after="120" w:line="288" w:lineRule="auto"/>
        <w:jc w:val="left"/>
        <w:rPr>
          <w:rFonts w:ascii="Arial" w:hAnsi="Arial" w:cs="Arial"/>
          <w:noProof/>
        </w:rPr>
      </w:pPr>
      <w:r>
        <w:rPr>
          <w:rFonts w:ascii="Arial" w:hAnsi="Arial"/>
          <w:b/>
          <w:bCs/>
          <w:noProof/>
        </w:rPr>
        <w:t>li tappoġġa</w:t>
      </w:r>
      <w:r>
        <w:rPr>
          <w:rFonts w:ascii="Arial" w:hAnsi="Arial"/>
          <w:noProof/>
        </w:rPr>
        <w:t xml:space="preserve"> l-parteċipazzjoni demokratika inklużiva, inkluż għall-persuni b’diżabilità, permezz tal-programm il-ġdid dwar iċ-Ċittadini, l-Ugwaljanza, id-Drittijiet u l-Valuri (CERV)</w:t>
      </w:r>
      <w:r>
        <w:rPr>
          <w:rStyle w:val="FootnoteReference"/>
          <w:noProof/>
        </w:rPr>
        <w:t>(</w:t>
      </w:r>
      <w:r>
        <w:rPr>
          <w:rStyle w:val="FootnoteReference"/>
          <w:noProof/>
        </w:rPr>
        <w:footnoteReference w:id="17"/>
      </w:r>
      <w:r w:rsidR="00B50F49">
        <w:rPr>
          <w:rStyle w:val="FootnoteReference"/>
          <w:noProof/>
        </w:rPr>
        <w:t>)</w:t>
      </w:r>
      <w:r>
        <w:rPr>
          <w:rFonts w:ascii="Arial" w:hAnsi="Arial"/>
          <w:noProof/>
        </w:rPr>
        <w:t>.</w:t>
      </w:r>
    </w:p>
    <w:p w14:paraId="4AD0AA7C" w14:textId="50E4274A" w:rsidR="0008772F" w:rsidRPr="00B42AEB" w:rsidRDefault="0088209D" w:rsidP="00B42AEB">
      <w:pPr>
        <w:rPr>
          <w:noProof/>
        </w:rPr>
      </w:pPr>
      <w:r>
        <w:rPr>
          <w:noProof/>
        </w:rPr>
        <w:t>It-tħejjija ta’ din il-gwida tislet mill-ħidma tal-Aġenzija għad-Drittijiet Fundamentali</w:t>
      </w:r>
      <w:r>
        <w:rPr>
          <w:rStyle w:val="FootnoteReference"/>
          <w:noProof/>
        </w:rPr>
        <w:t>(</w:t>
      </w:r>
      <w:r>
        <w:rPr>
          <w:rStyle w:val="FootnoteReference"/>
          <w:noProof/>
        </w:rPr>
        <w:footnoteReference w:id="18"/>
      </w:r>
      <w:r w:rsidR="00B50F49">
        <w:rPr>
          <w:rStyle w:val="FootnoteReference"/>
          <w:noProof/>
        </w:rPr>
        <w:t>)</w:t>
      </w:r>
      <w:r>
        <w:rPr>
          <w:noProof/>
        </w:rPr>
        <w:t xml:space="preserve"> f’kooperazzjoni mill-qrib mal-</w:t>
      </w:r>
      <w:bookmarkStart w:id="11" w:name="_Hlk141276234"/>
      <w:r>
        <w:rPr>
          <w:noProof/>
        </w:rPr>
        <w:t>Kummissjoni Ewropea u n-Network Akkademiku tal-Esperti Ewropej dwar id-Diżabilità.</w:t>
      </w:r>
      <w:bookmarkEnd w:id="11"/>
      <w:r>
        <w:rPr>
          <w:noProof/>
        </w:rPr>
        <w:t xml:space="preserve"> In-Network żviluppa </w:t>
      </w:r>
      <w:hyperlink r:id="rId15" w:history="1">
        <w:r>
          <w:rPr>
            <w:rStyle w:val="Hyperlink"/>
            <w:noProof/>
          </w:rPr>
          <w:t>28 indikatur tad-drittijiet tal-bniedem</w:t>
        </w:r>
      </w:hyperlink>
      <w:r>
        <w:rPr>
          <w:noProof/>
        </w:rPr>
        <w:t xml:space="preserve"> biex jivvaluta l-parteċipazzjoni politika tal-persuni b’diżabilità fl-UE. Id-</w:t>
      </w:r>
      <w:r>
        <w:rPr>
          <w:i/>
          <w:iCs/>
          <w:noProof/>
        </w:rPr>
        <w:t>data</w:t>
      </w:r>
      <w:r>
        <w:rPr>
          <w:noProof/>
        </w:rPr>
        <w:t xml:space="preserve"> hija miġbura f’erba’ temi ewlenin: (1) it-tneħħija tal-ostakli legali u amministrattivi; (2) iż-żieda fl-għarfien dwar id-drittijiet; (3) li l-parteċipazzjoni politika ssir aktar aċċessibbli; (4) l-espansjoni tal-opportunitajiet għall-parteċipazzjoni. </w:t>
      </w:r>
    </w:p>
    <w:p w14:paraId="22C5DBAA" w14:textId="0DDB54B6" w:rsidR="0026573B" w:rsidRPr="00B42AEB" w:rsidRDefault="00736B50" w:rsidP="00B42AEB">
      <w:pPr>
        <w:rPr>
          <w:noProof/>
        </w:rPr>
      </w:pPr>
      <w:r>
        <w:rPr>
          <w:noProof/>
        </w:rPr>
        <w:t>In-Network Ewropew ta’ Kooperazzjoni dwar l-Elezzjonijiet kien involut mill-qrib fit-tħejjija ta’ din il-gwida, inkluż fil-qafas ta’ sottogrupp iddedikat. Il-prattiki elettorali mfassla biex jissodisfaw il-ħtiġijiet ta’ persuni b’diżabilità ripetutament dehru f’diskussjonijiet bejn l-Istati Membri f’dan in-network u kienu parti integrali mill-isforzi tal-Kummissjoni biex tgħin lill-persuni jeżerċitaw id-drittijiet elettorali tagħhom</w:t>
      </w:r>
      <w:r>
        <w:rPr>
          <w:rStyle w:val="FootnoteReference"/>
          <w:noProof/>
        </w:rPr>
        <w:t>(</w:t>
      </w:r>
      <w:r>
        <w:rPr>
          <w:rStyle w:val="FootnoteReference"/>
          <w:noProof/>
        </w:rPr>
        <w:footnoteReference w:id="19"/>
      </w:r>
      <w:r w:rsidR="00B50F49">
        <w:rPr>
          <w:rStyle w:val="FootnoteReference"/>
          <w:noProof/>
        </w:rPr>
        <w:t>)</w:t>
      </w:r>
      <w:r>
        <w:rPr>
          <w:noProof/>
        </w:rPr>
        <w:t>.</w:t>
      </w:r>
    </w:p>
    <w:p w14:paraId="2D946BC5" w14:textId="082245C4" w:rsidR="00090D1B" w:rsidRPr="00B42AEB" w:rsidRDefault="00666F5C" w:rsidP="00B42AEB">
      <w:pPr>
        <w:rPr>
          <w:noProof/>
        </w:rPr>
      </w:pPr>
      <w:r>
        <w:rPr>
          <w:noProof/>
        </w:rPr>
        <w:t>F’dan il-kuntest, 22 Stat Membru bagħtu kontributi dwar oqfsa u prattiki elettorali dwar il-parteċipazzjoni fl-elezzjonijiet ta’ persuni b’diżabilità. L-istħarriġ żvela li hemm ħafna prattiki biex jgħinu biex jiġi żgurat li l-elezzjonijiet ikunu aċċessibbli għal kulħadd.</w:t>
      </w:r>
    </w:p>
    <w:p w14:paraId="1A1EE013" w14:textId="6011D653" w:rsidR="00573F10" w:rsidRPr="00B42AEB" w:rsidRDefault="005D1899" w:rsidP="00B42AEB">
      <w:pPr>
        <w:rPr>
          <w:noProof/>
        </w:rPr>
      </w:pPr>
      <w:r>
        <w:rPr>
          <w:noProof/>
        </w:rPr>
        <w:t>Biex tiġi appoġġata t-tħejjija ta’ din il-gwida, network ta’ akkademiċi dwar iċ-ċittadinanza pproduċa studju dwar il-parteċipazzjoni taċ-ċittadini b’diżabilità fl-elezzjonijiet.</w:t>
      </w:r>
      <w:r>
        <w:rPr>
          <w:rStyle w:val="FootnoteReference"/>
          <w:noProof/>
        </w:rPr>
        <w:footnoteReference w:id="20"/>
      </w:r>
      <w:r>
        <w:rPr>
          <w:rStyle w:val="FootnoteReference"/>
          <w:noProof/>
        </w:rPr>
        <w:t>)( )</w:t>
      </w:r>
      <w:r>
        <w:rPr>
          <w:noProof/>
        </w:rPr>
        <w:t xml:space="preserve"> Din il-gwida hija bbażata wkoll fuq l-istudju dwar il-parteċipazzjoni politika ta’ persuni b’diżabilità</w:t>
      </w:r>
      <w:r>
        <w:rPr>
          <w:noProof/>
          <w:vertAlign w:val="superscript"/>
        </w:rPr>
        <w:t>(</w:t>
      </w:r>
      <w:r>
        <w:rPr>
          <w:noProof/>
          <w:vertAlign w:val="superscript"/>
        </w:rPr>
        <w:footnoteReference w:id="21"/>
      </w:r>
      <w:r>
        <w:rPr>
          <w:noProof/>
          <w:vertAlign w:val="superscript"/>
        </w:rPr>
        <w:t>)</w:t>
      </w:r>
      <w:r>
        <w:rPr>
          <w:noProof/>
        </w:rPr>
        <w:t xml:space="preserve"> imħejji fl-2018 u aġġornat fl-2021</w:t>
      </w:r>
      <w:r>
        <w:rPr>
          <w:rStyle w:val="FootnoteReference"/>
          <w:noProof/>
        </w:rPr>
        <w:t>(</w:t>
      </w:r>
      <w:r>
        <w:rPr>
          <w:rStyle w:val="FootnoteReference"/>
          <w:noProof/>
        </w:rPr>
        <w:footnoteReference w:id="22"/>
      </w:r>
      <w:r w:rsidR="00B50F49">
        <w:rPr>
          <w:rStyle w:val="FootnoteReference"/>
          <w:noProof/>
        </w:rPr>
        <w:t>)</w:t>
      </w:r>
      <w:r>
        <w:rPr>
          <w:noProof/>
        </w:rPr>
        <w:t xml:space="preserve"> minn Network Akkademiku dwar id-Drittijiet taċ-Ċittadinanza Ewropea.</w:t>
      </w:r>
    </w:p>
    <w:p w14:paraId="7C9E0D75" w14:textId="76FDEF87" w:rsidR="006A58FF" w:rsidRPr="00B42AEB" w:rsidRDefault="006A58FF" w:rsidP="006B02A7">
      <w:pPr>
        <w:rPr>
          <w:noProof/>
        </w:rPr>
      </w:pPr>
      <w:r>
        <w:rPr>
          <w:noProof/>
        </w:rPr>
        <w:t xml:space="preserve">Il-Kummissjoni wettqet ukoll konsultazzjonijiet </w:t>
      </w:r>
      <w:r>
        <w:rPr>
          <w:i/>
          <w:iCs/>
          <w:noProof/>
        </w:rPr>
        <w:t>ad hoc</w:t>
      </w:r>
      <w:r>
        <w:rPr>
          <w:noProof/>
        </w:rPr>
        <w:t xml:space="preserve"> ma’ gruppi li jappoġġaw il-parteċipazzjoni taċ-ċittadini b’diżabilità.</w:t>
      </w:r>
      <w:r>
        <w:rPr>
          <w:rStyle w:val="FootnoteReference"/>
          <w:noProof/>
        </w:rPr>
        <w:t>(</w:t>
      </w:r>
      <w:r>
        <w:rPr>
          <w:rStyle w:val="FootnoteReference"/>
          <w:noProof/>
        </w:rPr>
        <w:footnoteReference w:id="23"/>
      </w:r>
      <w:r w:rsidR="00B50F49">
        <w:rPr>
          <w:rStyle w:val="FootnoteReference"/>
          <w:noProof/>
        </w:rPr>
        <w:t>)</w:t>
      </w:r>
    </w:p>
    <w:p w14:paraId="21997086" w14:textId="22A712EB" w:rsidR="00DC4711" w:rsidRPr="00B42AEB" w:rsidRDefault="00DC4711" w:rsidP="00B42AEB">
      <w:pPr>
        <w:rPr>
          <w:noProof/>
        </w:rPr>
      </w:pPr>
      <w:r>
        <w:rPr>
          <w:noProof/>
        </w:rPr>
        <w:t>B’mod parallel ma’ din il-gwida, il-Kummissjoni ħejjiet kompendju tal-prattiki tal-votazzjoni elettronika, kif imħabbar fil-Pjan ta’ Azzjoni għad-Demokrazija Ewropea</w:t>
      </w:r>
      <w:r>
        <w:rPr>
          <w:rStyle w:val="FootnoteReference"/>
          <w:noProof/>
        </w:rPr>
        <w:t>(</w:t>
      </w:r>
      <w:r>
        <w:rPr>
          <w:rStyle w:val="FootnoteReference"/>
          <w:noProof/>
        </w:rPr>
        <w:footnoteReference w:id="24"/>
      </w:r>
      <w:r w:rsidR="00B50F49">
        <w:rPr>
          <w:rStyle w:val="FootnoteReference"/>
          <w:noProof/>
        </w:rPr>
        <w:t>)</w:t>
      </w:r>
      <w:r>
        <w:rPr>
          <w:noProof/>
        </w:rPr>
        <w:t xml:space="preserve"> u fl-istrateġija għad-drittijiet ta’ persuni b’diżabilità. B’mod aktar speċifiku, il-kompendju</w:t>
      </w:r>
      <w:r>
        <w:rPr>
          <w:rStyle w:val="FootnoteReference"/>
          <w:noProof/>
        </w:rPr>
        <w:t>(</w:t>
      </w:r>
      <w:r>
        <w:rPr>
          <w:rStyle w:val="FootnoteReference"/>
          <w:noProof/>
        </w:rPr>
        <w:footnoteReference w:id="25"/>
      </w:r>
      <w:r w:rsidR="00B50F49">
        <w:rPr>
          <w:rStyle w:val="FootnoteReference"/>
          <w:noProof/>
        </w:rPr>
        <w:t>)</w:t>
      </w:r>
      <w:r>
        <w:rPr>
          <w:noProof/>
        </w:rPr>
        <w:t xml:space="preserve"> jħares lejn kwistjonijiet ta’ aċċessibbiltà fl-elementi tal-magni tal-vot li jħarsu lejn il-votant użati fil-postijiet tal-votazzjoni u l-interfaċċja tal-votazzjoni online, li huwa wkoll metodu utli ta’ votazzjoni għall-persuni b’diżabilità.</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728545"/>
      <w:r>
        <w:rPr>
          <w:noProof/>
        </w:rPr>
        <w:t>Kwistjonijiet ewlenin li jiffaċċjaw iċ-ċittadini b’diżabilità</w:t>
      </w:r>
      <w:bookmarkEnd w:id="12"/>
      <w:bookmarkEnd w:id="13"/>
    </w:p>
    <w:p w14:paraId="1994D7F6" w14:textId="150A6C06" w:rsidR="00573F10" w:rsidRPr="00B42AEB" w:rsidRDefault="00FF640F" w:rsidP="00B42AEB">
      <w:pPr>
        <w:rPr>
          <w:noProof/>
        </w:rPr>
      </w:pPr>
      <w:r>
        <w:rPr>
          <w:noProof/>
        </w:rPr>
        <w:t>Hija r-responsabbiltà tal-Istati Membri li jistabbilixxu l-kriterji ta’ eliġibbiltà u l-proċeduri ta’ valutazzjoni biex jirrikonoxxu l-istatus ta’ diżabilità. Huma responsabbli wkoll għad-definizzjoni ta’ min huwa eliġibbli biex jivvota u joħroġ għall-elezzjonijiet, f’konformità mad-dritt tal-UE u mal-istandards internazzjonali rilevanti. Iċ-ċittadini b’diżabilità jiffaċċjaw diversi ostakli legali, amministrattivi u istituzzjonali biex jinvolvu ruħhom b’mod attiv fil-ħajja demokratika. Iċ-ċittadini b’diżabilitajiet intellettwali jiffaċċjaw ostakli partikolarment sinifikanti fl-eżerċitar tad-drittijiet politiċi tagħhom, minħabba firxa ta’ ostakli legali u amministrattivi. Karatteristiċi oħrajn, bħall-età u l-ġeneru, u fatturi bħall-istatus soċjoekonomiku u mezzi ekonomiċi baxxi jaffettwaw ukoll il-livelli ta’ parteċipazzjoni politika taċ-ċittadini b’diżabilità. Minkejja l-isforzi sinifikanti li saru f’livelli differenti biex jiġu indirizzati dawn il-kwistjonijiet, bħal rieżami tal-qafas regolatorju, żieda fl-aċċessibbiltà tal-materjali u l-faċilitajiet tal-elezzjoni, għad fadal ħafna xogħol xi jsir biex jiġi appoġġat l-eżerċizzju tad-drittijiet demokratiċi u elettorali taċ-ċittadini b’diżabilità</w:t>
      </w:r>
      <w:r>
        <w:rPr>
          <w:rStyle w:val="FootnoteReference"/>
          <w:noProof/>
        </w:rPr>
        <w:t>(</w:t>
      </w:r>
      <w:r>
        <w:rPr>
          <w:rStyle w:val="FootnoteReference"/>
          <w:noProof/>
        </w:rPr>
        <w:footnoteReference w:id="26"/>
      </w:r>
      <w:r w:rsidR="00B50F49">
        <w:rPr>
          <w:rStyle w:val="FootnoteReference"/>
          <w:noProof/>
        </w:rPr>
        <w:t>)</w:t>
      </w:r>
      <w:r>
        <w:rPr>
          <w:noProof/>
        </w:rPr>
        <w:t>.</w:t>
      </w:r>
    </w:p>
    <w:p w14:paraId="398F79D2" w14:textId="3472DC09" w:rsidR="003E706D" w:rsidRPr="00B42AEB" w:rsidRDefault="002C5F2D" w:rsidP="00B42AEB">
      <w:pPr>
        <w:rPr>
          <w:noProof/>
        </w:rPr>
      </w:pPr>
      <w:r>
        <w:rPr>
          <w:noProof/>
        </w:rPr>
        <w:t xml:space="preserve">It-tħassib ewlieni rifless fil-letteratura eżistenti </w:t>
      </w:r>
      <w:bookmarkStart w:id="14" w:name="_Hlk151654247"/>
      <w:r>
        <w:rPr>
          <w:noProof/>
        </w:rPr>
        <w:t>u mill-partijiet ikkonċernati</w:t>
      </w:r>
      <w:bookmarkEnd w:id="14"/>
      <w:r>
        <w:rPr>
          <w:noProof/>
        </w:rPr>
        <w:t xml:space="preserve"> huwa relatat mal-ostakli li ġejjin:</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Ostakli fiżiċi</w:t>
      </w:r>
      <w:r>
        <w:rPr>
          <w:noProof/>
        </w:rPr>
        <w:t xml:space="preserve"> (inklużi postijiet tal-votazzjoni inaċċessibbli, arranġamenti insuffiċjenti għall-votazzjoni għal persuni li jgħixu f’istituzzjonijiet tal-kura residenzjali jew fit-tul, sptarijiet jew persuni li ma jistgħux jitilqu minn djarhom, ostakli għall-mobbiltà u materjali inaċċessibbli użati fl-elezzjonijiet, bħal poloz tal-votazzjoni, kabini tal-votazzjoni jew magni tal-votazzjoni, għażliet limitati għall-votazzjoni).</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Ostakli għall-informazzjoni</w:t>
      </w:r>
      <w:r>
        <w:rPr>
          <w:noProof/>
        </w:rPr>
        <w:t xml:space="preserve"> (inkluż in-nuqqas ta’ aċċess għall-kandidati politiċi u għall-informazzjoni tal-partiti, in-nuqqas ta’ għarfien tal-proċess elettorali – fejn, meta u kif wieħed għandu jivvota).</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 xml:space="preserve">Ostakli għall-assistenza </w:t>
      </w:r>
      <w:r>
        <w:rPr>
          <w:noProof/>
        </w:rPr>
        <w:t>(inkluża assistenza limitata għall-votazzjoni, nuqqas ta’ taħriġ għall-persunal tal-votazzjoni dwar kif jiġu pprovduti assistenza u limitazzjonijiet għal min jingħata assistenza).</w:t>
      </w:r>
    </w:p>
    <w:p w14:paraId="424D0409" w14:textId="3E7DE24A" w:rsidR="003E706D" w:rsidRPr="00B42AEB" w:rsidRDefault="003E706D" w:rsidP="002D36F0">
      <w:pPr>
        <w:pStyle w:val="ListParagraph"/>
        <w:numPr>
          <w:ilvl w:val="0"/>
          <w:numId w:val="5"/>
        </w:numPr>
        <w:spacing w:after="120" w:line="288" w:lineRule="auto"/>
        <w:rPr>
          <w:noProof/>
        </w:rPr>
      </w:pPr>
      <w:r>
        <w:rPr>
          <w:b/>
          <w:noProof/>
        </w:rPr>
        <w:t xml:space="preserve">Ostakli tas-soċjetà </w:t>
      </w:r>
      <w:r>
        <w:rPr>
          <w:noProof/>
        </w:rPr>
        <w:t>(inklużi sterjotipi dwar iċ-ċittadini b’diżabilità, attitudnijiet u opinjonijiet ta’ persuni li jindukraw/assistenti u d-disponibbiltà ta’ networks ta’ appoġġ u l-aċċess għalihom).</w:t>
      </w:r>
      <w:r>
        <w:rPr>
          <w:rStyle w:val="FootnoteReference"/>
          <w:noProof/>
        </w:rPr>
        <w:t>(</w:t>
      </w:r>
      <w:r>
        <w:rPr>
          <w:rStyle w:val="FootnoteReference"/>
          <w:noProof/>
        </w:rPr>
        <w:footnoteReference w:id="27"/>
      </w:r>
      <w:r w:rsidR="00B50F49">
        <w:rPr>
          <w:rStyle w:val="FootnoteReference"/>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728546"/>
      <w:r>
        <w:rPr>
          <w:noProof/>
        </w:rPr>
        <w:t>Qafas tal-UE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728547"/>
      <w:r>
        <w:rPr>
          <w:noProof/>
        </w:rPr>
        <w:t>Trattati</w:t>
      </w:r>
      <w:bookmarkEnd w:id="17"/>
      <w:bookmarkEnd w:id="18"/>
    </w:p>
    <w:p w14:paraId="22F239CA" w14:textId="4C6CF697" w:rsidR="0024514D" w:rsidRPr="00B42AEB" w:rsidRDefault="0069065F" w:rsidP="00B42AEB">
      <w:pPr>
        <w:rPr>
          <w:noProof/>
        </w:rPr>
      </w:pPr>
      <w:r>
        <w:rPr>
          <w:noProof/>
        </w:rPr>
        <w:t>L-Artikolu 10 tat-Trattat dwar il-Funzjonament tal-Unjoni Ewropea (TFUE) jipprevedi li fid-“definizzjoni u fl-implimentazzjoni tal-politika u l-azzjonijiet tagħha, l-Unjoni għandha tfittex li tiġġieled kull diskriminazzjoni bbażata fuq […] diżabilità”.</w:t>
      </w:r>
    </w:p>
    <w:p w14:paraId="5095E76E" w14:textId="2E8565CD" w:rsidR="00271CAD" w:rsidRPr="00B42AEB" w:rsidRDefault="00271CAD" w:rsidP="00B42AEB">
      <w:pPr>
        <w:rPr>
          <w:noProof/>
        </w:rPr>
      </w:pPr>
      <w:r>
        <w:rPr>
          <w:noProof/>
        </w:rPr>
        <w:t xml:space="preserve">Fl-Artikolu 19(1) tat-TFUE, “mingħajr preġudizzju għad-dispożizzjonijiet l-oħra tat-Trattati u fil-limiti tal-poteri mogħtija minnu lill-Unjoni, il-Kunsill, li jaġixxi unanimament skont il-proċedura leġiżlattiva speċjali u bl-approvazzjoni tal-Parlament Ewropew, jista’ jieħu l-azzjoni xierqa sabiex jiġġieled id-diskriminazzjoni li tkun ibbażata fuq […] id-diżabilità”. </w:t>
      </w:r>
    </w:p>
    <w:p w14:paraId="32738849" w14:textId="4E9F4303" w:rsidR="0069065F" w:rsidRPr="00B42AEB" w:rsidRDefault="0069065F" w:rsidP="00B42AEB">
      <w:pPr>
        <w:rPr>
          <w:noProof/>
        </w:rPr>
      </w:pPr>
      <w:r>
        <w:rPr>
          <w:noProof/>
        </w:rPr>
        <w:t>Fl-Artikolu 19(2) tat-TFUE “[…] il-Parlament Ewropew u l-Kunsill, li jaġixxu skont il-proċedura leġiżlattiva ordinarja, jistgħu jadottaw il-prinċipji bażiċi għal miżuri ta’ inċentiva tal-Unjoni, b’esklużjoni ta’ kull armonizzazzjoni […], bl-għan li jappoġġa azzjoni tal-Istati Membri meħuda sabiex jikkontribwixxu sabiex jinkisbu l-għanijiet imsemmija fil-paragrafu 1”.</w:t>
      </w:r>
    </w:p>
    <w:p w14:paraId="61A67F60" w14:textId="13F383A9" w:rsidR="00F5599C" w:rsidRPr="00B42AEB" w:rsidRDefault="00850940" w:rsidP="006B02A7">
      <w:pPr>
        <w:pStyle w:val="Heading2"/>
        <w:numPr>
          <w:ilvl w:val="1"/>
          <w:numId w:val="1"/>
        </w:numPr>
        <w:spacing w:before="240" w:after="240"/>
        <w:rPr>
          <w:noProof/>
        </w:rPr>
      </w:pPr>
      <w:bookmarkStart w:id="19" w:name="_Toc158728548"/>
      <w:r>
        <w:rPr>
          <w:noProof/>
        </w:rPr>
        <w:t>Il-Konvenzjoni tan-Nazzjonijiet Uniti dwar id-Drittijiet ta’ Persuni b’Diżabilità</w:t>
      </w:r>
      <w:bookmarkEnd w:id="19"/>
    </w:p>
    <w:p w14:paraId="7C3E267C" w14:textId="4A9A9364" w:rsidR="00850940" w:rsidRPr="00B42AEB" w:rsidRDefault="00F5599C" w:rsidP="00B42AEB">
      <w:pPr>
        <w:rPr>
          <w:noProof/>
        </w:rPr>
      </w:pPr>
      <w:r>
        <w:rPr>
          <w:noProof/>
        </w:rPr>
        <w:t>L-UE hija parti mill-Konvenzjoni tan-Nazzjonijiet Uniti dwar id-Drittijiet ta’ Persuni b’Diżabilità (UNCRPD). Konsegwentement, fl-ambitu tal-kompetenzi tal-Unjoni, id-dispożizzjonijiet ta’ dik il-konvenzjoni jifformaw parti integrali mill-ordinament ġuridiku tal-UE.</w:t>
      </w:r>
    </w:p>
    <w:p w14:paraId="750F94E7" w14:textId="77777777" w:rsidR="001D613C" w:rsidRPr="00B42AEB" w:rsidRDefault="00850940" w:rsidP="00B42AEB">
      <w:pPr>
        <w:rPr>
          <w:noProof/>
        </w:rPr>
      </w:pPr>
      <w:r>
        <w:rPr>
          <w:noProof/>
        </w:rPr>
        <w:t xml:space="preserve">Skont l-Artikolu 29 tal-UNCRPD, l-Istati Parti jeħtiġilhom jiżguraw, fost l-oħrajn, li l-proċeduri, il-faċilitajiet u l-materjali tal-votazzjoni jkunu xierqa, aċċessibbli, faċli biex jinftiehmu u jintużaw. </w:t>
      </w:r>
    </w:p>
    <w:p w14:paraId="5D6B24E2" w14:textId="2970F945" w:rsidR="00850940" w:rsidRPr="00B42AEB" w:rsidRDefault="00850940" w:rsidP="00B42AEB">
      <w:pPr>
        <w:rPr>
          <w:noProof/>
        </w:rPr>
      </w:pPr>
      <w:r>
        <w:rPr>
          <w:noProof/>
        </w:rPr>
        <w:t xml:space="preserve">Il-UNCRPD fiha obbligi għall-Istati Parti biex jipproteġu d-dritt tal-persuni b’diżabilità li jivvotaw b’vot sigriet fl-elezzjonijiet u fir-referenda pubbliċi mingħajr intimidazzjoni, li joħorġu għall-elezzjonijiet, li jkollhom kariga effettiva u jwettqu l-funzjonijiet pubbliċi kollha fil-livelli kollha tal-gvern, u biex jiġi ffaċilitat l-użu ta’ teknoloġiji ta’ assistenza u ġodda fejn xieraq. </w:t>
      </w:r>
    </w:p>
    <w:p w14:paraId="7272E26B" w14:textId="6E1792F2" w:rsidR="00850940" w:rsidRPr="00B42AEB" w:rsidRDefault="00850940" w:rsidP="00B42AEB">
      <w:pPr>
        <w:rPr>
          <w:noProof/>
        </w:rPr>
      </w:pPr>
      <w:r>
        <w:rPr>
          <w:noProof/>
        </w:rPr>
        <w:t xml:space="preserve">L-Istati Membri huma mitluba wkoll jiżguraw li l-persuni b’diżabilità jkunu jistgħu jesprimu liberament ir-rieda tagħhom bħala votanti. Għal dan il-għan, u fejn meħtieġ, l-Istati Membri jeħtiġilhom jippermettu lil persuna tal-għażla tagħhom stess tipprovdi assistenza għall-votazzjoni, u fuq talba tagħhom. </w:t>
      </w:r>
    </w:p>
    <w:p w14:paraId="53D95EA0" w14:textId="1FF463D4" w:rsidR="00F5599C" w:rsidRPr="00B42AEB" w:rsidRDefault="00850940" w:rsidP="00B42AEB">
      <w:pPr>
        <w:rPr>
          <w:noProof/>
        </w:rPr>
      </w:pPr>
      <w:r>
        <w:rPr>
          <w:rStyle w:val="sbb9ee52a"/>
          <w:noProof/>
        </w:rPr>
        <w:t>Kumment Ġenerali Nru 2</w:t>
      </w:r>
      <w:r>
        <w:rPr>
          <w:rStyle w:val="sbb9ee52a"/>
          <w:b/>
          <w:noProof/>
        </w:rPr>
        <w:t xml:space="preserve"> </w:t>
      </w:r>
      <w:r>
        <w:rPr>
          <w:rStyle w:val="sbb9ee52a"/>
          <w:noProof/>
        </w:rPr>
        <w:t>dwar l-Artikolu 9 tal-</w:t>
      </w:r>
      <w:r>
        <w:rPr>
          <w:noProof/>
        </w:rPr>
        <w:t xml:space="preserve">Konvenzjoni tan-Nazzjonijiet Uniti dwar id-Drittijiet ta’ Persuni b’Diżabilità, </w:t>
      </w:r>
      <w:r>
        <w:rPr>
          <w:rStyle w:val="sbb9ee52a"/>
          <w:noProof/>
        </w:rPr>
        <w:t>adottata mill-Kumitat dwar id-Drittijiet ta’ Persuni b’Diżabilità</w:t>
      </w:r>
      <w:r>
        <w:rPr>
          <w:rStyle w:val="FootnoteReference"/>
          <w:noProof/>
        </w:rPr>
        <w:t>(</w:t>
      </w:r>
      <w:r>
        <w:rPr>
          <w:rStyle w:val="FootnoteReference"/>
          <w:noProof/>
        </w:rPr>
        <w:footnoteReference w:id="28"/>
      </w:r>
      <w:r w:rsidR="00B50F49">
        <w:rPr>
          <w:rStyle w:val="FootnoteReference"/>
          <w:noProof/>
        </w:rPr>
        <w:t>)</w:t>
      </w:r>
      <w:r>
        <w:rPr>
          <w:rStyle w:val="sbb9ee52a"/>
          <w:noProof/>
        </w:rPr>
        <w:t xml:space="preserve"> fil-11 ta’ April 2014,</w:t>
      </w:r>
      <w:r>
        <w:rPr>
          <w:noProof/>
        </w:rPr>
        <w:t xml:space="preserve"> jiddikjara li </w:t>
      </w:r>
      <w:r>
        <w:rPr>
          <w:rStyle w:val="sbb9ee52a"/>
          <w:noProof/>
        </w:rPr>
        <w:t>huwa importanti wkoll li l-laqgħat u l-materjali politiċi użati u prodotti mill-partiti politiċi jew minn kandidati individwali li jipparteċipaw fl-elezzjonijiet pubbliċi jkunu aċċessibbli.</w:t>
      </w:r>
    </w:p>
    <w:p w14:paraId="546C41CA" w14:textId="0273F616" w:rsidR="00846458" w:rsidRPr="00B50F49" w:rsidRDefault="004801BB" w:rsidP="006B02A7">
      <w:pPr>
        <w:pStyle w:val="Heading2"/>
        <w:numPr>
          <w:ilvl w:val="1"/>
          <w:numId w:val="1"/>
        </w:numPr>
        <w:spacing w:before="240" w:after="240"/>
        <w:rPr>
          <w:noProof/>
          <w:lang w:val="es-ES"/>
        </w:rPr>
      </w:pPr>
      <w:bookmarkStart w:id="20" w:name="_Toc148718578"/>
      <w:bookmarkStart w:id="21" w:name="_Toc158728549"/>
      <w:r w:rsidRPr="00B50F49">
        <w:rPr>
          <w:noProof/>
          <w:lang w:val="es-ES"/>
        </w:rPr>
        <w:t>Il-Karta tad-Drittijiet Fundamentali tal-UE</w:t>
      </w:r>
      <w:bookmarkEnd w:id="20"/>
      <w:bookmarkEnd w:id="21"/>
    </w:p>
    <w:p w14:paraId="2A5B1C10" w14:textId="6E496CCB" w:rsidR="00271CAD" w:rsidRPr="00B50F49" w:rsidRDefault="008E6A92" w:rsidP="00B42AEB">
      <w:pPr>
        <w:rPr>
          <w:noProof/>
          <w:lang w:val="es-ES"/>
        </w:rPr>
      </w:pPr>
      <w:r w:rsidRPr="00B50F49">
        <w:rPr>
          <w:noProof/>
          <w:lang w:val="es-ES"/>
        </w:rPr>
        <w:t xml:space="preserve">L-Artikolu 21 tal-Karta tad-Drittijiet Fundamentali tal-UE (“il-Karta”) jipprojbixxi d-diskriminazzjoni fuq kwalunkwe bażi, inkluża d-diżabilità. </w:t>
      </w:r>
    </w:p>
    <w:p w14:paraId="5824D6D2" w14:textId="7F1D748B" w:rsidR="00846458" w:rsidRPr="00B50F49" w:rsidRDefault="00846458" w:rsidP="00B42AEB">
      <w:pPr>
        <w:rPr>
          <w:noProof/>
          <w:lang w:val="es-ES"/>
        </w:rPr>
      </w:pPr>
      <w:r w:rsidRPr="00B50F49">
        <w:rPr>
          <w:noProof/>
          <w:lang w:val="es-ES"/>
        </w:rPr>
        <w:t>L-Artikolu 26 tal-Karta, dwar l-integrazzjoni ta’ persuni b’diżabilità, jiddikjara li l-UE tirrikonoxxi u tirrispetta d-dritt tal-persuni b’diżabilità li jgawdu minn miżuri mfassla biex ikunu żgurati l-indipendenza, l-integrazzjoni soċjali u okkupazzjonali, u l-parteċipazzjoni fil-ħajja tal-komunità tagħhom. Kif enfasizzat mill-Qorti tal-Ġustizzja tal-UE f’</w:t>
      </w:r>
      <w:r w:rsidRPr="00B50F49">
        <w:rPr>
          <w:i/>
          <w:noProof/>
          <w:lang w:val="es-ES"/>
        </w:rPr>
        <w:t>Glatzel</w:t>
      </w:r>
      <w:r w:rsidRPr="00B50F49">
        <w:rPr>
          <w:rStyle w:val="FootnoteReference"/>
          <w:i/>
          <w:noProof/>
          <w:lang w:val="es-ES"/>
        </w:rPr>
        <w:t>(</w:t>
      </w:r>
      <w:r>
        <w:rPr>
          <w:rStyle w:val="FootnoteReference"/>
          <w:noProof/>
        </w:rPr>
        <w:footnoteReference w:id="29"/>
      </w:r>
      <w:r w:rsidRPr="00B50F49">
        <w:rPr>
          <w:rStyle w:val="FootnoteReference"/>
          <w:noProof/>
          <w:lang w:val="es-ES"/>
        </w:rPr>
        <w:t xml:space="preserve">) </w:t>
      </w:r>
      <w:r w:rsidRPr="00B50F49">
        <w:rPr>
          <w:rStyle w:val="FootnoteReference"/>
          <w:i/>
          <w:noProof/>
          <w:lang w:val="es-ES"/>
        </w:rPr>
        <w:t xml:space="preserve">) </w:t>
      </w:r>
      <w:r w:rsidRPr="00B50F49">
        <w:rPr>
          <w:i/>
          <w:noProof/>
          <w:lang w:val="es-ES"/>
        </w:rPr>
        <w:t xml:space="preserve">, </w:t>
      </w:r>
      <w:r w:rsidRPr="00B50F49">
        <w:rPr>
          <w:noProof/>
          <w:lang w:val="es-ES"/>
        </w:rPr>
        <w:t>jistgħu jitressqu kawżi quddiem il-Qorti abbażi tal-Artikolu 26 għall-interpretazzjoni u r-rieżami tal-legalità tal-atti leġiżlattivi tal-UE li jimplimentaw il-prinċipju stabbilit f’dak l-artikolu, jiġifieri l-integrazzjoni ta’ persuni b’diżabilità.</w:t>
      </w:r>
    </w:p>
    <w:p w14:paraId="360C3401" w14:textId="737E3B47" w:rsidR="00C34E12" w:rsidRPr="00B50F49" w:rsidRDefault="00C34E12" w:rsidP="00B42AEB">
      <w:pPr>
        <w:rPr>
          <w:noProof/>
          <w:lang w:val="es-ES"/>
        </w:rPr>
      </w:pPr>
      <w:r w:rsidRPr="00B50F49">
        <w:rPr>
          <w:noProof/>
          <w:lang w:val="es-ES"/>
        </w:rPr>
        <w:t>L-Artikolu 39 u l-Artikolu 40 tal-Karta jikkonċernaw id-dritt tal-vot u li wieħed joħroġ bħala kandidat fl-elezzjonijiet tal-Parlament Ewropew u fl-elezzjonijiet muniċipali.</w:t>
      </w:r>
    </w:p>
    <w:p w14:paraId="75C93C24" w14:textId="1585B005" w:rsidR="00BE5CB3" w:rsidRPr="00B50F49" w:rsidRDefault="00FF3AD9" w:rsidP="00B42AEB">
      <w:pPr>
        <w:rPr>
          <w:noProof/>
          <w:lang w:val="es-ES"/>
        </w:rPr>
      </w:pPr>
      <w:r w:rsidRPr="00B50F49">
        <w:rPr>
          <w:noProof/>
          <w:lang w:val="es-ES"/>
        </w:rPr>
        <w:t xml:space="preserve">L-Artikolu 53 tal-Karta jistabbilixxi li d-drittijiet stabbiliti fih għandhom jiġu interpretati f’konformità mad-dritt internazzjonali u minn ftehimiet internazzjonali li għalihom l-Unjoni jew l-Istati Membri kollha huma parti. Dan jinkludi l-Konvenzjoni Ewropea tad-Drittijiet tal-Bniedem (KEDB) u l-UNCRPD. B’mod partikolari, id-dritt għan-nondiskriminazzjoni stabbilit fl-Artikolu 21 tal-Karta għandu jiġi interpretat filwaqt li titqies il-ġurisprudenza tal-Qorti Ewropea tad-Drittijiet tal-Bniedem.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728550"/>
      <w:r>
        <w:rPr>
          <w:noProof/>
        </w:rPr>
        <w:t>Il-liġi elettorali tal-UE</w:t>
      </w:r>
      <w:bookmarkEnd w:id="22"/>
      <w:bookmarkEnd w:id="23"/>
    </w:p>
    <w:p w14:paraId="5C2746D7" w14:textId="58C5B0F7" w:rsidR="004B299C" w:rsidRPr="00B42AEB" w:rsidRDefault="002E02A2" w:rsidP="00B42AEB">
      <w:pPr>
        <w:rPr>
          <w:noProof/>
        </w:rPr>
      </w:pPr>
      <w:r>
        <w:rPr>
          <w:noProof/>
        </w:rPr>
        <w:t>F’termini tal-proċedura għall-elezzjoni tal-Membri tal-Parlament Ewropew,, l-Artikolu 223(1) tat-TFUE qabel kollox jipprevedi li huwa f’idejn il-Parlament Ewropew li jfassal proposta biex jistabbilixxi d-dispożizzjonijiet meħtieġa għall-elezzjoni tal-Membri tiegħu b’vot universali dirett f’konformità ma’ proċedura uniformi fl-Istati Membri kollha jew f’konformità mal-prinċipji komuni għall-Istati Membri kollha. It-tieni, jispeċifika li huwa f’idejn il-Kunsill tal-UE li jistabbilixxi dawn id-dispożizzjonijiet.</w:t>
      </w:r>
    </w:p>
    <w:p w14:paraId="002A177F" w14:textId="77C1E767" w:rsidR="00F37BF3" w:rsidRPr="00B42AEB" w:rsidRDefault="00F37BF3" w:rsidP="00B42AEB">
      <w:pPr>
        <w:rPr>
          <w:noProof/>
        </w:rPr>
      </w:pPr>
      <w:r>
        <w:rPr>
          <w:noProof/>
        </w:rPr>
        <w:t>L-Att Elettorali tal-1976</w:t>
      </w:r>
      <w:r>
        <w:rPr>
          <w:rStyle w:val="FootnoteReference"/>
          <w:noProof/>
        </w:rPr>
        <w:t>(</w:t>
      </w:r>
      <w:r>
        <w:rPr>
          <w:rStyle w:val="FootnoteReference"/>
          <w:noProof/>
        </w:rPr>
        <w:footnoteReference w:id="30"/>
      </w:r>
      <w:r w:rsidR="00B50F49">
        <w:rPr>
          <w:rStyle w:val="FootnoteReference"/>
          <w:noProof/>
        </w:rPr>
        <w:t>)</w:t>
      </w:r>
      <w:r>
        <w:rPr>
          <w:noProof/>
        </w:rPr>
        <w:t xml:space="preserve"> jistabbilixxi l-prinċipji komuni applikabbli għall-elezzjoni tal-Membri tal-Parlament Ewropew b’vot universali dirett.</w:t>
      </w:r>
    </w:p>
    <w:p w14:paraId="1544DEA1" w14:textId="07970F8B" w:rsidR="00A40202" w:rsidRPr="00B42AEB" w:rsidRDefault="00A40202" w:rsidP="00B42AEB">
      <w:pPr>
        <w:rPr>
          <w:noProof/>
        </w:rPr>
      </w:pPr>
      <w:r>
        <w:rPr>
          <w:noProof/>
        </w:rPr>
        <w:t>L-Artikolu 8(1) ta’ dan l-att jipprevedi li, soġġett għad-dispożizzjonijiet l-oħrajn, “il-proċedura elettorali għandha tkun regolata f’kull Stat Membru bid-dispożizzjonijiet nazzjonali tiegħu”.</w:t>
      </w:r>
    </w:p>
    <w:p w14:paraId="4AE87950" w14:textId="35F2C98B" w:rsidR="0026422C" w:rsidRPr="00B42AEB" w:rsidRDefault="0026422C" w:rsidP="00B42AEB">
      <w:pPr>
        <w:rPr>
          <w:noProof/>
          <w:bdr w:val="none" w:sz="0" w:space="0" w:color="auto" w:frame="1"/>
        </w:rPr>
      </w:pPr>
      <w:r>
        <w:rPr>
          <w:noProof/>
          <w:bdr w:val="none" w:sz="0" w:space="0" w:color="auto" w:frame="1"/>
        </w:rPr>
        <w:t>Fit-3 ta’ Mejju 2022, il-Parlament Ewropew adotta abbozz ta’ att leġiżlattiv li jħassar l-Att Elettorali u jissostitwixxih b’regolament ġdid tal-Kunsill dwar l-elezzjoni ta’ membri tal-Parlament Ewropew b’vot universali dirett</w:t>
      </w:r>
      <w:r>
        <w:rPr>
          <w:noProof/>
          <w:bdr w:val="none" w:sz="0" w:space="0" w:color="auto" w:frame="1"/>
          <w:vertAlign w:val="superscript"/>
        </w:rPr>
        <w:t>(</w:t>
      </w:r>
      <w:r>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Dan jinkludi miżuri li jippermettu lill-persuni b’diżabilità jipparteċipaw fil-proċess elettorali fuq bażi ugwali ma’ ħaddieħor, inklużi persuni mċaħħda mill-kapaċità ġuridika tagħhom</w:t>
      </w:r>
      <w:r>
        <w:rPr>
          <w:rStyle w:val="FootnoteReference"/>
          <w:noProof/>
          <w:bdr w:val="none" w:sz="0" w:space="0" w:color="auto" w:frame="1"/>
        </w:rPr>
        <w:t>(</w:t>
      </w:r>
      <w:r>
        <w:rPr>
          <w:rStyle w:val="FootnoteReference"/>
          <w:noProof/>
          <w:bdr w:val="none" w:sz="0" w:space="0" w:color="auto" w:frame="1"/>
        </w:rPr>
        <w:footnoteReference w:id="32"/>
      </w:r>
      <w:r w:rsidR="00B50F49">
        <w:rPr>
          <w:rStyle w:val="FootnoteReference"/>
          <w:noProof/>
          <w:bdr w:val="none" w:sz="0" w:space="0" w:color="auto" w:frame="1"/>
        </w:rPr>
        <w:t>)</w:t>
      </w:r>
      <w:r>
        <w:rPr>
          <w:noProof/>
          <w:bdr w:val="none" w:sz="0" w:space="0" w:color="auto" w:frame="1"/>
        </w:rPr>
        <w:t xml:space="preserve">. </w:t>
      </w:r>
      <w:r>
        <w:rPr>
          <w:noProof/>
        </w:rPr>
        <w:t>Ippropona wkoll li jiġu stabbiliti obbligi għall-Istati Membri biex jagħmlu arranġamenti xierqa biex jgħinu lill-persuni b’diżabilità jeżerċitaw id-dritt tagħhom li jivvotaw, jew b’mod indipendenti u sigriet, jew b’assistenza minn persuna tal-għażla tagħhom.</w:t>
      </w:r>
    </w:p>
    <w:p w14:paraId="113D0B73" w14:textId="077C3ED0" w:rsidR="00EE13BB" w:rsidRPr="00B42AEB" w:rsidRDefault="00E47BA1" w:rsidP="00B42AEB">
      <w:pPr>
        <w:rPr>
          <w:noProof/>
          <w:bdr w:val="none" w:sz="0" w:space="0" w:color="auto" w:frame="1"/>
        </w:rPr>
      </w:pPr>
      <w:r>
        <w:rPr>
          <w:noProof/>
          <w:bdr w:val="none" w:sz="0" w:space="0" w:color="auto" w:frame="1"/>
        </w:rPr>
        <w:t>Id-diskussjonijiet interistituzzjonali dwar dan it-test għadhom għaddejjin.</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728551"/>
      <w:r>
        <w:rPr>
          <w:noProof/>
        </w:rPr>
        <w:t>Drittijiet tal-vot taċ-ċittadini mobbli tal-UE</w:t>
      </w:r>
      <w:bookmarkEnd w:id="24"/>
      <w:bookmarkEnd w:id="25"/>
    </w:p>
    <w:p w14:paraId="2CE8187B" w14:textId="4A8AF298" w:rsidR="00E7243F" w:rsidRPr="00B42AEB" w:rsidRDefault="00E7243F" w:rsidP="00B42AEB">
      <w:pPr>
        <w:rPr>
          <w:noProof/>
        </w:rPr>
      </w:pPr>
      <w:r>
        <w:rPr>
          <w:noProof/>
        </w:rPr>
        <w:t>Skont l-Artikoli 20(2)(b) u 22 tat-TFUE, iċ-ċittadini tal-Istati Membri tal-UE għandhom: (a) id-dritt li jivvotaw u joħorġu bħala kandidati fl-elezzjonijiet tal-Parlament Ewropew u (b) id-dritt li jivvotaw u joħorġu bħala kandidati fl-elezzjonijiet muniċipali fl-Istat Membru ta’ residenza tagħhom. Dawn iż-żewġ drittijiet jingħataw ukoll skont il-Karta.</w:t>
      </w:r>
      <w:r>
        <w:rPr>
          <w:noProof/>
          <w:vertAlign w:val="superscript"/>
        </w:rPr>
        <w:t>(</w:t>
      </w:r>
      <w:r>
        <w:rPr>
          <w:noProof/>
          <w:vertAlign w:val="superscript"/>
        </w:rPr>
        <w:footnoteReference w:id="33"/>
      </w:r>
      <w:r>
        <w:rPr>
          <w:noProof/>
          <w:vertAlign w:val="superscript"/>
        </w:rPr>
        <w:t>)</w:t>
      </w:r>
    </w:p>
    <w:p w14:paraId="5EFFFEB9" w14:textId="601EA5A8" w:rsidR="00E7243F" w:rsidRPr="00B42AEB" w:rsidRDefault="00E7243F" w:rsidP="00B42AEB">
      <w:pPr>
        <w:rPr>
          <w:noProof/>
        </w:rPr>
      </w:pPr>
      <w:r>
        <w:rPr>
          <w:noProof/>
        </w:rPr>
        <w:t>L-Artikoli 20 u 22 tat-TFUE jipprevedu li ċ-ċittadini tal-UE li jirrisjedu fi Stat Membru li tiegħu ma humiex ċittadini nazzjonali (ċittadini “mobbli” tal-UE) jistgħu jeżerċitaw dawn id-drittijiet taħt l-istess kundizzjonijiet bħaċ-ċittadini ta’ dak l-Istat. B’riżultat ta’ dan, il-liġijiet nazzjonali li jiddeskrivu l-kundizzjonijiet għall-eżerċitar tad-dritt tal-vot taħt dimensjoni purament nazzjonali għandhom japplikaw ukoll għaċ-ċittadini mobbli tal-UE b’referenza għal elezzjonijiet muniċipali u għall-Parlament Ewropew.</w:t>
      </w:r>
    </w:p>
    <w:p w14:paraId="1DDBE975" w14:textId="681EAF77" w:rsidR="00E7243F" w:rsidRPr="00B42AEB" w:rsidRDefault="00E7243F" w:rsidP="00B42AEB">
      <w:pPr>
        <w:rPr>
          <w:noProof/>
        </w:rPr>
      </w:pPr>
      <w:r>
        <w:rPr>
          <w:noProof/>
        </w:rPr>
        <w:t>Id-Direttiva 93/109/KE</w:t>
      </w:r>
      <w:r>
        <w:rPr>
          <w:rStyle w:val="FootnoteReference"/>
          <w:noProof/>
        </w:rPr>
        <w:t>(</w:t>
      </w:r>
      <w:r>
        <w:rPr>
          <w:rStyle w:val="FootnoteReference"/>
          <w:noProof/>
        </w:rPr>
        <w:footnoteReference w:id="34"/>
      </w:r>
      <w:r w:rsidR="00B50F49">
        <w:rPr>
          <w:rStyle w:val="FootnoteReference"/>
          <w:noProof/>
        </w:rPr>
        <w:t>)</w:t>
      </w:r>
      <w:r>
        <w:rPr>
          <w:noProof/>
        </w:rPr>
        <w:t xml:space="preserve"> u d-Direttiva 94/80/KE</w:t>
      </w:r>
      <w:r>
        <w:rPr>
          <w:rStyle w:val="FootnoteReference"/>
          <w:noProof/>
        </w:rPr>
        <w:t>(</w:t>
      </w:r>
      <w:r>
        <w:rPr>
          <w:rStyle w:val="FootnoteReference"/>
          <w:noProof/>
        </w:rPr>
        <w:footnoteReference w:id="35"/>
      </w:r>
      <w:r w:rsidR="00B50F49">
        <w:rPr>
          <w:rStyle w:val="FootnoteReference"/>
          <w:noProof/>
        </w:rPr>
        <w:t>)</w:t>
      </w:r>
      <w:r>
        <w:rPr>
          <w:noProof/>
        </w:rPr>
        <w:t xml:space="preserve"> jistabbilixxu l-arranġamenti għall-eżerċitar tad-dritt tal-vot u tal-kandidatura fl-elezzjonijiet tal-Parlament Ewropew u fl-elezzjonijiet muniċipali għaċ-ċittadini mobbli tal-UE.</w:t>
      </w:r>
    </w:p>
    <w:p w14:paraId="0CBDF673" w14:textId="00C6412C" w:rsidR="00181B90" w:rsidRPr="00B42AEB" w:rsidRDefault="00E7243F" w:rsidP="00B42AEB">
      <w:pPr>
        <w:rPr>
          <w:noProof/>
        </w:rPr>
      </w:pPr>
      <w:r>
        <w:rPr>
          <w:noProof/>
        </w:rPr>
        <w:t>Fil-25 ta’ Novembru 2021, il-Kummissjoni adottat pakett ta’ miżuri biex issaħħaħ id-demokrazija u tipproteġi l-integrità tal-elezzjonijiet. Dan kien jinkludi żewġ proposti leġiżlattivi riformulati li jistabbilixxu arranġamenti ddettaljati rigward id-drittijiet elettorali taċ-ċittadini mobbli tal-UE.</w:t>
      </w:r>
      <w:r>
        <w:rPr>
          <w:rStyle w:val="FootnoteReference"/>
          <w:noProof/>
        </w:rPr>
        <w:t>(</w:t>
      </w:r>
      <w:r>
        <w:rPr>
          <w:rStyle w:val="FootnoteReference"/>
          <w:noProof/>
        </w:rPr>
        <w:footnoteReference w:id="36"/>
      </w:r>
      <w:r w:rsidR="00B50F49">
        <w:rPr>
          <w:rStyle w:val="FootnoteReference"/>
          <w:noProof/>
        </w:rPr>
        <w:t>)</w:t>
      </w:r>
    </w:p>
    <w:p w14:paraId="18E0695B" w14:textId="32B224C5" w:rsidR="00E7243F" w:rsidRPr="00B42AEB" w:rsidRDefault="00E7243F" w:rsidP="00B42AEB">
      <w:pPr>
        <w:rPr>
          <w:noProof/>
        </w:rPr>
      </w:pPr>
      <w:r>
        <w:rPr>
          <w:noProof/>
        </w:rPr>
        <w:t>Dawn l-inizjattivi jaġġornaw, jiċċaraw u jsaħħu r-regoli biex jiġu indirizzati d-diffikultajiet li jħabbtu wiċċhom magħhom iċ-ċittadini mobbli tal-UE, inklużi ċ-ċittadini b’diżabilità. L-għan huwa li tiġi żgurata parteċipazzjoni wiesgħa u inklużiva fl-elezzjonijiet, li dawn il-gruppi ta’ persuni jiġu appoġġati fl-eżerċizzju tad-drittijiet tagħhom u li tiġi protetta l-integrità tal-elezzjonijiet. Dawn l-inizjattivi jitolbu wkoll lill-Istati Membri biex jagħmlu l-informazzjoni elettorali aċċessibbli għaċ-ċittadini mobbli tal-UE b’diżabilità billi jużaw mezzi, modi u formati xierqa ta’ komunikazzjoni. Dawn jipprevedu li ċ-ċittadini mobbli tal-UE jkollhom aċċess ugwali għal possibilitajiet ta’ votazzjoni remoti u elettroniċi, bl-istess kundizzjonijiet bħaċ-ċittadini ta’ dak l-Istat Membru. Id-diskussjonijiet interistituzzjonali dwar dawn it-testi għadhom għaddejjin.</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728552"/>
      <w:r>
        <w:rPr>
          <w:noProof/>
        </w:rPr>
        <w:t>Trasparenza tar-reklamar politiku</w:t>
      </w:r>
      <w:bookmarkEnd w:id="26"/>
      <w:bookmarkEnd w:id="27"/>
    </w:p>
    <w:p w14:paraId="683C934D" w14:textId="48923566" w:rsidR="00E7243F" w:rsidRPr="00B42AEB" w:rsidRDefault="00E7243F" w:rsidP="00B42AEB">
      <w:pPr>
        <w:rPr>
          <w:noProof/>
        </w:rPr>
      </w:pPr>
      <w:r>
        <w:rPr>
          <w:noProof/>
        </w:rPr>
        <w:t>Fil-proposta tagħha dwar it-trasparenza u l-immirar tar-reklamar politiku</w:t>
      </w:r>
      <w:r>
        <w:rPr>
          <w:rStyle w:val="FootnoteReference"/>
          <w:noProof/>
        </w:rPr>
        <w:t>(</w:t>
      </w:r>
      <w:r>
        <w:rPr>
          <w:rStyle w:val="FootnoteReference"/>
          <w:noProof/>
        </w:rPr>
        <w:footnoteReference w:id="37"/>
      </w:r>
      <w:r w:rsidR="00B50F49">
        <w:rPr>
          <w:rStyle w:val="FootnoteReference"/>
          <w:noProof/>
        </w:rPr>
        <w:t>)</w:t>
      </w:r>
      <w:r>
        <w:rPr>
          <w:noProof/>
        </w:rPr>
        <w:t>, parti mill-istess pakkett leġiżlattiv, il-Kummissjoni kienet konxja wkoll tal-ħtieġa li jsiru avviżi ta’ trasparenza li se jakkumpanjaw ir-reklamar politiku aċċessibbli għall-persuni b’diżabilità.</w:t>
      </w:r>
    </w:p>
    <w:p w14:paraId="315B1338" w14:textId="22858B3F" w:rsidR="00157E17" w:rsidRPr="00B42AEB" w:rsidRDefault="00A1581C" w:rsidP="00B42AEB">
      <w:pPr>
        <w:rPr>
          <w:noProof/>
          <w:u w:val="single"/>
        </w:rPr>
      </w:pPr>
      <w:r>
        <w:rPr>
          <w:noProof/>
        </w:rPr>
        <w:t>Id-diskussjonijiet interistituzzjonali dwar dan it-test għadhom għaddejjin.</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728553"/>
      <w:r>
        <w:rPr>
          <w:noProof/>
        </w:rPr>
        <w:t>Testi oħrajn tad-dritt tal-UE</w:t>
      </w:r>
      <w:bookmarkEnd w:id="28"/>
      <w:bookmarkEnd w:id="29"/>
      <w:r>
        <w:rPr>
          <w:noProof/>
        </w:rPr>
        <w:t xml:space="preserve"> </w:t>
      </w:r>
    </w:p>
    <w:p w14:paraId="3B65A866" w14:textId="45FA2247" w:rsidR="003316F0" w:rsidRPr="00B42AEB" w:rsidRDefault="00EB4917" w:rsidP="00B42AEB">
      <w:pPr>
        <w:rPr>
          <w:noProof/>
        </w:rPr>
      </w:pPr>
      <w:r>
        <w:rPr>
          <w:noProof/>
        </w:rPr>
        <w:t>Testi rilevanti oħrajn tad-dritt tal-UE jinkludu d-Direttiva (UE) 2019/882</w:t>
      </w:r>
      <w:r>
        <w:rPr>
          <w:noProof/>
          <w:vertAlign w:val="superscript"/>
        </w:rPr>
        <w:t>(</w:t>
      </w:r>
      <w:r>
        <w:rPr>
          <w:noProof/>
          <w:vertAlign w:val="superscript"/>
        </w:rPr>
        <w:footnoteReference w:id="38"/>
      </w:r>
      <w:r>
        <w:rPr>
          <w:noProof/>
          <w:vertAlign w:val="superscript"/>
        </w:rPr>
        <w:t>)</w:t>
      </w:r>
      <w:r>
        <w:rPr>
          <w:noProof/>
        </w:rPr>
        <w:t xml:space="preserve"> (l-Att Ewropew dwar l-Aċċessibbiltà) dwar ir-rekwiżiti ta’ aċċessibbiltà għall-prodotti u s-servizzi, id-Direttivi 2014/24/UE</w:t>
      </w:r>
      <w:r>
        <w:rPr>
          <w:noProof/>
          <w:vertAlign w:val="superscript"/>
        </w:rPr>
        <w:t>(</w:t>
      </w:r>
      <w:r>
        <w:rPr>
          <w:noProof/>
          <w:vertAlign w:val="superscript"/>
        </w:rPr>
        <w:footnoteReference w:id="39"/>
      </w:r>
      <w:r>
        <w:rPr>
          <w:noProof/>
          <w:vertAlign w:val="superscript"/>
        </w:rPr>
        <w:t>)</w:t>
      </w:r>
      <w:r>
        <w:rPr>
          <w:noProof/>
        </w:rPr>
        <w:t xml:space="preserve"> u 2014/25/UE</w:t>
      </w:r>
      <w:r>
        <w:rPr>
          <w:noProof/>
          <w:vertAlign w:val="superscript"/>
        </w:rPr>
        <w:t>(</w:t>
      </w:r>
      <w:r>
        <w:rPr>
          <w:noProof/>
          <w:vertAlign w:val="superscript"/>
        </w:rPr>
        <w:footnoteReference w:id="40"/>
      </w:r>
      <w:r>
        <w:rPr>
          <w:noProof/>
          <w:vertAlign w:val="superscript"/>
        </w:rPr>
        <w:t>)</w:t>
      </w:r>
      <w:r>
        <w:rPr>
          <w:noProof/>
        </w:rPr>
        <w:t xml:space="preserve"> tal-Parlament Ewropew u tal-Kunsill dwar l-akkwist pubbliku, id-Direttiva (UE) 2016/2102</w:t>
      </w:r>
      <w:r>
        <w:rPr>
          <w:noProof/>
          <w:vertAlign w:val="superscript"/>
        </w:rPr>
        <w:t>(</w:t>
      </w:r>
      <w:r>
        <w:rPr>
          <w:noProof/>
          <w:vertAlign w:val="superscript"/>
        </w:rPr>
        <w:footnoteReference w:id="41"/>
      </w:r>
      <w:r>
        <w:rPr>
          <w:noProof/>
          <w:vertAlign w:val="superscript"/>
        </w:rPr>
        <w:t>)</w:t>
      </w:r>
      <w:r>
        <w:rPr>
          <w:noProof/>
        </w:rPr>
        <w:t xml:space="preserve"> (id-Direttiva dwar l-Aċċessibbiltà għall-Web) u d-Direttiva 2010/13/UE</w:t>
      </w:r>
      <w:r>
        <w:rPr>
          <w:noProof/>
          <w:vertAlign w:val="superscript"/>
        </w:rPr>
        <w:t>(</w:t>
      </w:r>
      <w:r>
        <w:rPr>
          <w:noProof/>
          <w:vertAlign w:val="superscript"/>
        </w:rPr>
        <w:footnoteReference w:id="42"/>
      </w:r>
      <w:r>
        <w:rPr>
          <w:noProof/>
          <w:vertAlign w:val="superscript"/>
        </w:rPr>
        <w:t>)</w:t>
      </w:r>
      <w:r>
        <w:rPr>
          <w:noProof/>
        </w:rPr>
        <w:t xml:space="preserve"> (id-Direttiva dwar is-Servizzi tal-Media Awdjoviżiva).</w:t>
      </w:r>
    </w:p>
    <w:p w14:paraId="6AE2A251" w14:textId="1A2FAABF" w:rsidR="00912818" w:rsidRPr="006B02A7" w:rsidRDefault="00912818" w:rsidP="00B42AEB">
      <w:pPr>
        <w:rPr>
          <w:noProof/>
          <w:shd w:val="clear" w:color="auto" w:fill="FFFFFF"/>
        </w:rPr>
      </w:pPr>
      <w:r>
        <w:rPr>
          <w:noProof/>
          <w:shd w:val="clear" w:color="auto" w:fill="FFFFFF"/>
        </w:rPr>
        <w:t>L-Artikolu 3(1) tal-Att Ewropew dwar l-Aċċessibbiltà jiddefinixxi l-persuni b’diżabilità bħala persuni li għandhom indeboliment fiżiku, mentali, intellettwali jew sensjorju fit-tul li, meta jinteraġixxi ma’ diversi ostakli, jista’ jxekkel il-parteċipazzjoni sħiħa u effettiva tagħhom fis-soċjetà fuq bażi ugwali ma’ ħaddieħor. Il-Kummissjoni pproponiet li tuża l-istess definizzjoni fil-proposta tagħha dwar il-Kard Ewropea tad-Diżabilità u l-Kard Ewropea għall-Parkeġġ għall-persuni b’diżabilità</w:t>
      </w:r>
      <w:r>
        <w:rPr>
          <w:noProof/>
          <w:shd w:val="clear" w:color="auto" w:fill="FFFFFF"/>
          <w:vertAlign w:val="superscript"/>
        </w:rPr>
        <w:t>(</w:t>
      </w:r>
      <w:r>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28554"/>
      <w:bookmarkEnd w:id="30"/>
      <w:bookmarkEnd w:id="31"/>
      <w:bookmarkEnd w:id="32"/>
      <w:bookmarkEnd w:id="33"/>
      <w:bookmarkEnd w:id="34"/>
      <w:bookmarkEnd w:id="35"/>
      <w:bookmarkEnd w:id="36"/>
      <w:bookmarkEnd w:id="37"/>
      <w:bookmarkEnd w:id="38"/>
      <w:r>
        <w:rPr>
          <w:noProof/>
        </w:rPr>
        <w:t>4. Standards internazzjonali</w:t>
      </w:r>
      <w:bookmarkEnd w:id="39"/>
      <w:r>
        <w:rPr>
          <w:noProof/>
        </w:rPr>
        <w:t xml:space="preserve"> applikabbli għall-Istati Membri tal-UE</w:t>
      </w:r>
      <w:bookmarkEnd w:id="40"/>
    </w:p>
    <w:p w14:paraId="027134CE" w14:textId="554A217C" w:rsidR="007144EF" w:rsidRPr="00B42AEB" w:rsidRDefault="004801BB" w:rsidP="00B42AEB">
      <w:pPr>
        <w:rPr>
          <w:rStyle w:val="sbb9ee52a"/>
          <w:noProof/>
        </w:rPr>
      </w:pPr>
      <w:r>
        <w:rPr>
          <w:noProof/>
        </w:rPr>
        <w:t xml:space="preserve">Minbarra l-UNCRPD, li għaliha kemm l-UE kif ukoll l-Istati Membri tagħha huma Partijiet, l-Istati Membri tal-UE impenjaw ruħhom li jżommu diversi standards internazzjonali relatati mad-drittijiet elettorali tal-persuni b’diżabilità. </w:t>
      </w:r>
    </w:p>
    <w:p w14:paraId="0A4F2E0E" w14:textId="1A9C2021" w:rsidR="00F91223" w:rsidRPr="00B42AEB" w:rsidRDefault="008B438A" w:rsidP="00B42AEB">
      <w:pPr>
        <w:rPr>
          <w:noProof/>
        </w:rPr>
      </w:pPr>
      <w:r>
        <w:rPr>
          <w:noProof/>
        </w:rPr>
        <w:t>Il-Konvenzjoni Ewropea għall-Protezzjoni tad-Drittijiet tal-Bniedem u tal-Libertajiet Fundamentali (“Konvenzjoni”)</w:t>
      </w:r>
      <w:r>
        <w:rPr>
          <w:rStyle w:val="FootnoteReference"/>
          <w:noProof/>
        </w:rPr>
        <w:t>(</w:t>
      </w:r>
      <w:r>
        <w:rPr>
          <w:rStyle w:val="FootnoteReference"/>
          <w:noProof/>
        </w:rPr>
        <w:footnoteReference w:id="44"/>
      </w:r>
      <w:r w:rsidR="00B50F49">
        <w:rPr>
          <w:rStyle w:val="FootnoteReference"/>
          <w:noProof/>
        </w:rPr>
        <w:t>)</w:t>
      </w:r>
      <w:r>
        <w:rPr>
          <w:noProof/>
        </w:rPr>
        <w:t>, li tistabbilixxi d-dritt għal elezzjonijiet liberi, hija rilevanti wkoll fil-kuntest tad-drittijiet elettorali tal-persuni b’diżabilità.</w:t>
      </w:r>
    </w:p>
    <w:p w14:paraId="6BAF844C" w14:textId="1ABE6F6D" w:rsidR="00F15CB6" w:rsidRPr="00B42AEB" w:rsidRDefault="00E418CB" w:rsidP="00B42AEB">
      <w:pPr>
        <w:rPr>
          <w:noProof/>
        </w:rPr>
      </w:pPr>
      <w:r>
        <w:rPr>
          <w:noProof/>
        </w:rPr>
        <w:t>Ir-Riżoluzzjoni 2155(2017) tal-Assemblea Parlamentari tal-Kunsill tal-Ewropa dwar id-drittijiet politiċi tal-persuni b’diżabilità tistieden lill-Istati Membri jieħdu miżuri konkreti u speċifiċi biex jiffaċilitaw l-aċċess għall-votazzjoni u għall-parteċipazzjoni fl-elezzjonijiet għall-persuni b’diżabilità.</w:t>
      </w:r>
      <w:r>
        <w:rPr>
          <w:rStyle w:val="FootnoteReference"/>
          <w:noProof/>
        </w:rPr>
        <w:t>(</w:t>
      </w:r>
      <w:r>
        <w:rPr>
          <w:rStyle w:val="FootnoteReference"/>
          <w:noProof/>
        </w:rPr>
        <w:footnoteReference w:id="45"/>
      </w:r>
      <w:r w:rsidR="00B50F49">
        <w:rPr>
          <w:rStyle w:val="FootnoteReference"/>
          <w:noProof/>
        </w:rPr>
        <w:t>)</w:t>
      </w:r>
      <w:r>
        <w:rPr>
          <w:noProof/>
        </w:rPr>
        <w:t xml:space="preserve"> </w:t>
      </w:r>
    </w:p>
    <w:p w14:paraId="1E7EDD37" w14:textId="7CE92538" w:rsidR="00BA7E91" w:rsidRPr="00B42AEB" w:rsidRDefault="00F15CB6" w:rsidP="00B42AEB">
      <w:pPr>
        <w:rPr>
          <w:b/>
          <w:noProof/>
        </w:rPr>
      </w:pPr>
      <w:r>
        <w:rPr>
          <w:noProof/>
        </w:rPr>
        <w:t>Il-Qorti Ewropea tad-Drittijiet tal-Bniedem (QEDB) qieset il-kompatibbiltà tad-dispożizzjonijiet dwar l-elezzjonijiet tal-Konvenzjoni Ewropea tad-Drittijiet tal-Bniedem mat-tneħħija tad-drittijiet tal-vot tal-persuni mqiegħda taħt it-tutela f’diversi każijiet. Fil-kawża Alajos Kiss vs L-Ungerija</w:t>
      </w:r>
      <w:r>
        <w:rPr>
          <w:rStyle w:val="FootnoteReference"/>
          <w:noProof/>
        </w:rPr>
        <w:t>(</w:t>
      </w:r>
      <w:r>
        <w:rPr>
          <w:rStyle w:val="FootnoteReference"/>
          <w:noProof/>
        </w:rPr>
        <w:footnoteReference w:id="46"/>
      </w:r>
      <w:r w:rsidR="00B50F49">
        <w:rPr>
          <w:rStyle w:val="FootnoteReference"/>
          <w:noProof/>
        </w:rPr>
        <w:t>)</w:t>
      </w:r>
      <w:r>
        <w:rPr>
          <w:noProof/>
        </w:rPr>
        <w:t xml:space="preserve"> u aktar reċentement fil-kawża Anatoliy Marinov vs Il-Bulgarija</w:t>
      </w:r>
      <w:r>
        <w:rPr>
          <w:rStyle w:val="FootnoteReference"/>
          <w:noProof/>
        </w:rPr>
        <w:t>(</w:t>
      </w:r>
      <w:r>
        <w:rPr>
          <w:rStyle w:val="FootnoteReference"/>
          <w:noProof/>
        </w:rPr>
        <w:footnoteReference w:id="47"/>
      </w:r>
      <w:r w:rsidR="00B50F49">
        <w:rPr>
          <w:rStyle w:val="FootnoteReference"/>
          <w:noProof/>
        </w:rPr>
        <w:t>)</w:t>
      </w:r>
      <w:r>
        <w:rPr>
          <w:noProof/>
        </w:rPr>
        <w:t>, il-QEDB ikkonkludiet li tneħħija indiskriminata tad-drittijiet tal-vot, mingħajr evalwazzjoni ġudizzjarja individwalizzata u bbażata biss fuq diżabilità mentali li teħtieġ tutela parzjali, ma tistax titqies kompatibbli mar-raġunijiet leġittimi għar-restrizzjoni tad-dritt tal-vot. Il-Qorti ma sabet l-ebda ksur tal-Konvenzjoni fil-kawżi Strøbye u Rosenlind vs Id-Danimarka</w:t>
      </w:r>
      <w:r>
        <w:rPr>
          <w:rStyle w:val="FootnoteReference"/>
          <w:noProof/>
        </w:rPr>
        <w:t>(</w:t>
      </w:r>
      <w:r>
        <w:rPr>
          <w:rStyle w:val="FootnoteReference"/>
          <w:noProof/>
        </w:rPr>
        <w:footnoteReference w:id="48"/>
      </w:r>
      <w:r w:rsidR="00B50F49">
        <w:rPr>
          <w:rStyle w:val="FootnoteReference"/>
          <w:noProof/>
        </w:rPr>
        <w:t>)</w:t>
      </w:r>
      <w:r>
        <w:rPr>
          <w:noProof/>
        </w:rPr>
        <w:t xml:space="preserve"> u Caamaño Valle vs Spanja</w:t>
      </w:r>
      <w:r>
        <w:rPr>
          <w:rStyle w:val="FootnoteReference"/>
          <w:noProof/>
        </w:rPr>
        <w:t>(</w:t>
      </w:r>
      <w:r>
        <w:rPr>
          <w:rStyle w:val="FootnoteReference"/>
          <w:noProof/>
        </w:rPr>
        <w:footnoteReference w:id="49"/>
      </w:r>
      <w:r w:rsidR="00B50F49">
        <w:rPr>
          <w:rStyle w:val="FootnoteReference"/>
          <w:noProof/>
        </w:rPr>
        <w:t>)</w:t>
      </w:r>
      <w:r>
        <w:rPr>
          <w:noProof/>
        </w:rPr>
        <w:t xml:space="preserve"> fejn it-tneħħija tad-drittijiet tal-vot tal-persuni taħt tutela kienet ibbażata fuq evalwazzjonijiet ġudizzjarji bir-reqqa u individwalizzati. Il-QEDB sabet ukoll li ma setax jiġi eskluż li n-nuqqas tal-awtoritajiet li jipprovdu lill-utenti tas-siġġijiet bir-roti b’aċċess xieraq għall-postijiet tal-votazzjoni jista’ jaffettwa d-dritt tagħhom għar-rispett tal-ħajja privata u tal-familja kif stabbilit fl-Artikolu 8 tal-Konvenzjoni.</w:t>
      </w:r>
      <w:r>
        <w:rPr>
          <w:rStyle w:val="FootnoteReference"/>
          <w:noProof/>
        </w:rPr>
        <w:t>(</w:t>
      </w:r>
      <w:r>
        <w:rPr>
          <w:rStyle w:val="FootnoteReference"/>
          <w:noProof/>
        </w:rPr>
        <w:footnoteReference w:id="50"/>
      </w:r>
      <w:r w:rsidR="00B50F49">
        <w:rPr>
          <w:rStyle w:val="FootnoteReference"/>
          <w:noProof/>
        </w:rPr>
        <w:t>)</w:t>
      </w:r>
    </w:p>
    <w:p w14:paraId="083BEEB1" w14:textId="6479FFA5" w:rsidR="007144EF" w:rsidRPr="00B42AEB" w:rsidRDefault="00065DBE" w:rsidP="00B42AEB">
      <w:pPr>
        <w:rPr>
          <w:noProof/>
        </w:rPr>
      </w:pPr>
      <w:r>
        <w:rPr>
          <w:noProof/>
        </w:rPr>
        <w:t>Il-Kummissjoni ta’ Venezja ħarġet Dikjarazzjoni Interpretattiva Riveduta għall-Kodiċi ta’ Prattika Tajba fi Kwistjonijiet Elettorali dwar il-Parteċipazzjoni ta’ Persuni b’Diżabilità fl-Elezzjonijiet</w:t>
      </w:r>
      <w:r>
        <w:rPr>
          <w:noProof/>
          <w:vertAlign w:val="superscript"/>
        </w:rPr>
        <w:t>(</w:t>
      </w:r>
      <w:r>
        <w:rPr>
          <w:noProof/>
          <w:vertAlign w:val="superscript"/>
        </w:rPr>
        <w:footnoteReference w:id="51"/>
      </w:r>
      <w:r>
        <w:rPr>
          <w:noProof/>
          <w:vertAlign w:val="superscript"/>
        </w:rPr>
        <w:t>)</w:t>
      </w:r>
      <w:r>
        <w:rPr>
          <w:noProof/>
        </w:rPr>
        <w:t>. Din id-dikjarazzjoni tlesti l-ħames prinċipji li fuqhom huwa bbażat il-wirt elettorali tal-Ewropa: vot universali, ugwali, liberu, sigriet u dirett biex jiġi żgurat li l-persuni b’diżabilità jkunu jistgħu jeżerċitaw id-dritt tagħhom li jivvotaw fuq bażi ugwali bħal ħaddieħor.</w:t>
      </w:r>
    </w:p>
    <w:p w14:paraId="6407A629" w14:textId="6AA5CA0E" w:rsidR="00453A34" w:rsidRPr="00B42AEB" w:rsidRDefault="00453A34" w:rsidP="00B42AEB">
      <w:pPr>
        <w:rPr>
          <w:noProof/>
        </w:rPr>
      </w:pPr>
      <w:r>
        <w:rPr>
          <w:noProof/>
        </w:rPr>
        <w:t>Waħda mill-attivitajiet tal-Uffiċċju għad-Demokratizzazzjoni u d-Drittijiet tal-Bniedem (ODHIR) tal-Organizzazzjoni għas-Sigurtà u l-Kooperazzjoni fl-Ewropa (OSKE) hija li josserva l-elezzjonijiet. Il-missjonijiet ta’ osservazzjoni elettorali tal-ODHIR jivvalutaw l-aċċessibbiltà tal-materjali ta’ tagħrif, tal-listi tal-kandidati, tal-poloz tal-votazzjoni u tal-postijiet tal-votazzjoni. L-ODHIR irrefera dejjem aktar għall-UNCRPD fir-rapporti ta’ osservazzjoni elettorali tiegħu, minbarra d-Dokument ta’ Copenhagen tal-OSKE u l-istandards tal-Kunsill tal-Ewropa bħall-Kodiċi ta’ Prattika Tajba fi Kwistjonijiet Elettorali maħruġ mill-Kummissjoni ta’ Venezja u d-dikjarazzjoni interpretattiva riveduta dwar il-parteċipazzjoni ta’ persuni b’diżabilità fl-elezzjonijiet u l-implikazzjonijiet tal-ġurisprudenza tal-QEDB.</w:t>
      </w:r>
      <w:r>
        <w:rPr>
          <w:rStyle w:val="FootnoteReference"/>
          <w:noProof/>
        </w:rPr>
        <w:t>(</w:t>
      </w:r>
      <w:r>
        <w:rPr>
          <w:rStyle w:val="FootnoteReference"/>
          <w:noProof/>
        </w:rPr>
        <w:footnoteReference w:id="52"/>
      </w:r>
      <w:r w:rsidR="00B50F49">
        <w:rPr>
          <w:rStyle w:val="FootnoteReference"/>
          <w:noProof/>
        </w:rPr>
        <w:t>)</w:t>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728555"/>
      <w:r>
        <w:rPr>
          <w:noProof/>
        </w:rPr>
        <w:t>5. Ambjenti li jappoġġaw il-parteċipazzjoni fl-elezzjonijiet</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Sabiex tiġi appoġġata l-parteċipazzjoni elettorali tal-persuni b’diżabilità, huwa meħtieġ approċċ b’diversi aspetti sabiex tiżdied l-aċċessibbiltà ġenerali tal-ambjent, tas-servizzi u tal-informazzjoni li l-persuni b’diżabilità jinteraġixxu magħhom.</w:t>
      </w:r>
      <w:bookmarkEnd w:id="43"/>
      <w:r>
        <w:rPr>
          <w:noProof/>
        </w:rPr>
        <w:t xml:space="preserve"> </w:t>
      </w:r>
    </w:p>
    <w:p w14:paraId="6114B8EC" w14:textId="3322E40D" w:rsidR="009D30C1" w:rsidRPr="00166D0F" w:rsidRDefault="00500632" w:rsidP="00B42AEB">
      <w:pPr>
        <w:rPr>
          <w:noProof/>
          <w:lang w:val="fr-BE"/>
        </w:rPr>
      </w:pPr>
      <w:bookmarkStart w:id="44" w:name="_Toc148715278"/>
      <w:r w:rsidRPr="00166D0F">
        <w:rPr>
          <w:noProof/>
          <w:lang w:val="fr-BE"/>
        </w:rPr>
        <w:t>Il-punti li ġejjin jippreżentaw prattiki elettorali tajbin tal-Istati Membri. L-Anness I, li ġie żviluppat abbażi ta’ dawn il-prattiki tajbin jipprovdi lista ta’ kontroll prattika tal-punti differenti li għandhom jiġu indirizzati.</w:t>
      </w:r>
      <w:bookmarkEnd w:id="44"/>
      <w:r w:rsidRPr="00166D0F">
        <w:rPr>
          <w:noProof/>
          <w:lang w:val="fr-BE"/>
        </w:rPr>
        <w:t xml:space="preserve"> </w:t>
      </w:r>
    </w:p>
    <w:p w14:paraId="5C39848D" w14:textId="091F2DEC" w:rsidR="000421AB" w:rsidRPr="00166D0F" w:rsidRDefault="0099175B" w:rsidP="006B02A7">
      <w:pPr>
        <w:pStyle w:val="Heading2"/>
        <w:spacing w:before="240" w:after="240"/>
        <w:rPr>
          <w:noProof/>
          <w:lang w:val="fr-BE"/>
        </w:rPr>
      </w:pPr>
      <w:bookmarkStart w:id="45" w:name="_Toc148718585"/>
      <w:bookmarkStart w:id="46" w:name="_Toc158728556"/>
      <w:r w:rsidRPr="00166D0F">
        <w:rPr>
          <w:noProof/>
          <w:lang w:val="fr-BE"/>
        </w:rPr>
        <w:t>5</w:t>
      </w:r>
      <w:r w:rsidR="00B50F49">
        <w:rPr>
          <w:noProof/>
          <w:lang w:val="fr-BE"/>
        </w:rPr>
        <w:t>.</w:t>
      </w:r>
      <w:r w:rsidRPr="00166D0F">
        <w:rPr>
          <w:noProof/>
          <w:lang w:val="fr-BE"/>
        </w:rPr>
        <w:t>1. L-iżvilupp ta’ politiki speċifiċi</w:t>
      </w:r>
      <w:bookmarkEnd w:id="45"/>
      <w:bookmarkEnd w:id="46"/>
    </w:p>
    <w:p w14:paraId="4026B982" w14:textId="5C9384E9" w:rsidR="00671367" w:rsidRPr="00166D0F" w:rsidRDefault="004E4D77" w:rsidP="00B42AEB">
      <w:pPr>
        <w:rPr>
          <w:noProof/>
          <w:lang w:val="fr-BE"/>
        </w:rPr>
      </w:pPr>
      <w:r w:rsidRPr="00166D0F">
        <w:rPr>
          <w:noProof/>
          <w:lang w:val="fr-BE"/>
        </w:rPr>
        <w:t xml:space="preserve">Jeħtieġ li jiġu żviluppati politiki speċifiċi mad-diversi entitajiet involuti, inklużi l-awtoritajiet kompetenti fil-livell nazzjonali, reġjonali u lokali, il-korpi tal-ugwaljanza u l-awtoritajiet tal-elezzjonijiet. </w:t>
      </w:r>
    </w:p>
    <w:p w14:paraId="760931A2" w14:textId="67F50F36" w:rsidR="00A67DD6" w:rsidRPr="00166D0F" w:rsidRDefault="007471B2" w:rsidP="00B42AEB">
      <w:pPr>
        <w:rPr>
          <w:noProof/>
          <w:lang w:val="fr-BE"/>
        </w:rPr>
      </w:pPr>
      <w:r w:rsidRPr="00166D0F">
        <w:rPr>
          <w:noProof/>
          <w:lang w:val="fr-BE"/>
        </w:rPr>
        <w:t>Diversi Stati Membri żviluppaw politiki bħal dawn. Pereżempju, fin-Netherlands, fl-2021 u fl-2022, il-Ministeru tal-Intern u r-Relazzjonijiet tar-Renju ħolqu pjan ta’ azzjoni ta’ votazzjoni aċċessibbli, f’kollaborazzjoni ma’ organizzazzjonijiet tad-diżabilità u ma’ gruppi ta’ interess oħrajn, l-Assoċjazzjoni tal-muniċipalitajiet Netherlandiżi, l-Assoċjazzjoni Netherlandiża għall-Interessi taċ-Ċittadini, il-Kunsill Elettorali u l-Ministeru tas-Saħħa, il-Benessri u l-Isport. L-għan tal-pjan kien li tittejjeb l-aċċessibbiltà tal-postijiet tal-votazzjoni, li tiġi pprovduta informazzjoni dwar il-votazzjoni li hija aktar faċli biex tinftiehem għal kulħadd, biex il-membri tal-post tal-votazzjoni jiġu informati aħjar dwar l-aċċessibbiltà, u biex il-partiti politiċi jiġu mħeġġa jitkellmu u jiktbu b’lingwaġġ sempliċi fil-kampanja elettorali tagħhom.</w:t>
      </w:r>
    </w:p>
    <w:p w14:paraId="0A99A2D0" w14:textId="31898362" w:rsidR="00182075" w:rsidRPr="00166D0F" w:rsidRDefault="00182075" w:rsidP="00B42AEB">
      <w:pPr>
        <w:rPr>
          <w:noProof/>
          <w:lang w:val="fr-BE"/>
        </w:rPr>
      </w:pPr>
      <w:r w:rsidRPr="00166D0F">
        <w:rPr>
          <w:noProof/>
          <w:lang w:val="fr-BE"/>
        </w:rPr>
        <w:t>Malta spjegat l-azzjonijiet biex tappoġġa lill-kandidati b’diżabilità fl-elezzjonijiet lokali, nazzjonali u tal-UE fl-Istrateġija Nazzjonali tagħha dwar id-Drittijiet ta’ Persuni b’Diżabilità għall-2021-2030. Ir-rappreżentanti mill-Kummissjoni Elettorali, partiti politiċi u kandidati b’diżabilità qed jaħdmu mill-qrib mal-Kumitat dwar id-Drittijiet tal-Persuni b’Diżabilità biex ifasslu u jimplimentaw miżuri leġiżlattivi u ta’ politika ta’ appoġġ sal-2026.</w:t>
      </w:r>
    </w:p>
    <w:p w14:paraId="5C014B9F" w14:textId="2DABCFCB" w:rsidR="00AB4623" w:rsidRPr="00B50F49" w:rsidRDefault="00AB4623" w:rsidP="00B42AEB">
      <w:pPr>
        <w:rPr>
          <w:noProof/>
          <w:lang w:val="fr-BE"/>
        </w:rPr>
      </w:pPr>
      <w:r w:rsidRPr="00B50F49">
        <w:rPr>
          <w:noProof/>
          <w:lang w:val="fr-BE"/>
        </w:rPr>
        <w:t xml:space="preserve">Ħafna mill-ħidma li saret mill-awtoritajiet elettorali ddur madwar l-istadju tal-ippjanar tal-elezzjonijiet. Permezz ta’ ppjanar komprensiv u politiki u miżuri speċifiċi, dawn l-awtoritajiet jistgħu jgħinu biex jiżguraw li l-elezzjonijiet ikunu inklużivi u jgħinu biex tiżdied il-parteċipazzjoni tal-persuni b’diżabilità, speċjalment fejn dan ikun għan trażversali, integrat fil-pjanijiet operazzjonali għall-elezzjonijiet. </w:t>
      </w:r>
    </w:p>
    <w:p w14:paraId="5B8B9119" w14:textId="201230EB" w:rsidR="008B7FC0" w:rsidRPr="00B50F49" w:rsidRDefault="0099175B" w:rsidP="006B02A7">
      <w:pPr>
        <w:pStyle w:val="Heading2"/>
        <w:spacing w:before="240" w:after="240"/>
        <w:rPr>
          <w:noProof/>
          <w:lang w:val="fr-BE"/>
        </w:rPr>
      </w:pPr>
      <w:bookmarkStart w:id="47" w:name="_Toc148718586"/>
      <w:bookmarkStart w:id="48" w:name="_Toc158728557"/>
      <w:r w:rsidRPr="00B50F49">
        <w:rPr>
          <w:noProof/>
          <w:lang w:val="fr-BE"/>
        </w:rPr>
        <w:t>5</w:t>
      </w:r>
      <w:r w:rsidR="00B50F49">
        <w:rPr>
          <w:noProof/>
          <w:lang w:val="fr-BE"/>
        </w:rPr>
        <w:t>.</w:t>
      </w:r>
      <w:r w:rsidRPr="00B50F49">
        <w:rPr>
          <w:noProof/>
          <w:lang w:val="fr-BE"/>
        </w:rPr>
        <w:t>2. Sensibilizzazzjoni u tibdil fl-attitudnijiet</w:t>
      </w:r>
      <w:bookmarkEnd w:id="47"/>
      <w:bookmarkEnd w:id="48"/>
    </w:p>
    <w:p w14:paraId="3C165A4D" w14:textId="10F98B4F" w:rsidR="002D0F67" w:rsidRPr="00B50F49" w:rsidRDefault="00AD2E4E" w:rsidP="00B42AEB">
      <w:pPr>
        <w:rPr>
          <w:noProof/>
          <w:lang w:val="fr-BE"/>
        </w:rPr>
      </w:pPr>
      <w:r w:rsidRPr="00B50F49">
        <w:rPr>
          <w:noProof/>
          <w:lang w:val="fr-BE"/>
        </w:rPr>
        <w:t>L-Istati Membri ħadu approċċi differenti biex jappoġġaw id-drittijiet elettorali tal-persuni b’diżabilità li jipparteċipaw fil-proċess elettorali. F’diversi Stati Membri, diversi awtoritajiet f’livelli differenti, inklużi l-korpi tal-ugwaljanza u l-awtoritajiet elettorali, jaħdmu biex iżidu l-parteċipazzjoni fl-elezzjonijiet u s-sensibilizzazzjoni tal-proċessi politiċi fost il-persuni b’diżabilità. Dan jinvolvi l-organizzazzjoni ta’ laqgħat, it-tmexxija ta’ kampanji speċifiċi ta’ informazzjoni, il-produzzjoni ta’ settijiet ta’ komunikazzjoni, folji edukattivi ta’ tħejjija għall-votazzjoni u fuljetti b’lingwa li tkun faċli biex tinqara, stampi u dijagrammi.</w:t>
      </w:r>
    </w:p>
    <w:p w14:paraId="471F5993" w14:textId="31BFAF70" w:rsidR="00A132D3" w:rsidRPr="00B50F49" w:rsidRDefault="00A132D3" w:rsidP="00B42AEB">
      <w:pPr>
        <w:rPr>
          <w:noProof/>
          <w:lang w:val="fr-BE"/>
        </w:rPr>
      </w:pPr>
      <w:r w:rsidRPr="00B50F49">
        <w:rPr>
          <w:noProof/>
          <w:lang w:val="fr-BE"/>
        </w:rPr>
        <w:t xml:space="preserve">Fl-Istrateġija Nazzjonali tagħha dwar id-drittijiet tal-persuni b’diżabilità, </w:t>
      </w:r>
      <w:r w:rsidRPr="00B50F49">
        <w:rPr>
          <w:i/>
          <w:noProof/>
          <w:lang w:val="fr-BE"/>
        </w:rPr>
        <w:t>An equitable Romania, 2022-2027</w:t>
      </w:r>
      <w:r w:rsidRPr="00B50F49">
        <w:rPr>
          <w:rStyle w:val="FootnoteReference"/>
          <w:noProof/>
          <w:lang w:val="fr-BE"/>
        </w:rPr>
        <w:t>(</w:t>
      </w:r>
      <w:r>
        <w:rPr>
          <w:rStyle w:val="FootnoteReference"/>
          <w:noProof/>
        </w:rPr>
        <w:footnoteReference w:id="53"/>
      </w:r>
      <w:r w:rsidR="00B50F49">
        <w:rPr>
          <w:rStyle w:val="FootnoteReference"/>
          <w:noProof/>
          <w:lang w:val="fr-BE"/>
        </w:rPr>
        <w:t>)</w:t>
      </w:r>
      <w:r w:rsidRPr="00B50F49">
        <w:rPr>
          <w:noProof/>
          <w:lang w:val="fr-BE"/>
        </w:rPr>
        <w:t>, ir-Rumanija impenjat ruħha li tmexxi kampanja ta’ informazzjoni għall-persuni b’diżabilità rigward il-parteċipazzjoni fl-elezzjonijiet u fir-referenda, f’kollaborazzjoni ma’ organizzazzjonijiet rappreżentattivi tad-diżabilità. Jista’ jkun utli li tinħoloq sensibilizzazzjoni bl-użu ta’ materjali tal-vidjo mfassla għall-persuni b’diżabilità, kif huwa l-każ fil-Finlandja.</w:t>
      </w:r>
      <w:r w:rsidRPr="00B50F49">
        <w:rPr>
          <w:rStyle w:val="FootnoteReference"/>
          <w:noProof/>
          <w:lang w:val="fr-BE"/>
        </w:rPr>
        <w:t>(</w:t>
      </w:r>
      <w:r>
        <w:rPr>
          <w:rStyle w:val="FootnoteReference"/>
          <w:noProof/>
        </w:rPr>
        <w:footnoteReference w:id="54"/>
      </w:r>
      <w:r w:rsidR="00B50F49">
        <w:rPr>
          <w:rStyle w:val="FootnoteReference"/>
          <w:noProof/>
          <w:lang w:val="fr-BE"/>
        </w:rPr>
        <w:t>)</w:t>
      </w:r>
    </w:p>
    <w:p w14:paraId="1D89DF84" w14:textId="7E795B29" w:rsidR="009D07B8" w:rsidRPr="00B50F49" w:rsidRDefault="009D07B8" w:rsidP="006B02A7">
      <w:pPr>
        <w:rPr>
          <w:noProof/>
          <w:lang w:val="fr-BE"/>
        </w:rPr>
      </w:pPr>
      <w:r w:rsidRPr="00B50F49">
        <w:rPr>
          <w:noProof/>
          <w:lang w:val="fr-BE"/>
        </w:rPr>
        <w:t>Il-Kummissjoni Elettorali tal-Irlanda li għadha kif ġiet stabbilita, intitolata An Coimisiún Toghcháin, għandha funzjoni ġdida ta’ edukazzjoni u sensibilizzazzjoni tal-votanti – li taħdem biex iżżid il-parteċipazzjoni fil-proċessi demokratiċi Irlandiżi u tippromwovi s-sensibilizzazzjoni dwarhom. Bħala parti mill-mandat ta’ impenn pubbliku tagħha, se tħeġġeġ il-parteċipazzjoni elettorali ta’ gruppi li ma jintlaħqux biżżejjed bħall-persuni b’diżabilità.</w:t>
      </w:r>
      <w:r w:rsidRPr="00B50F49">
        <w:rPr>
          <w:rStyle w:val="FootnoteReference"/>
          <w:noProof/>
          <w:lang w:val="fr-BE"/>
        </w:rPr>
        <w:t>(</w:t>
      </w:r>
      <w:r>
        <w:rPr>
          <w:rStyle w:val="FootnoteReference"/>
          <w:noProof/>
        </w:rPr>
        <w:footnoteReference w:id="55"/>
      </w:r>
      <w:r w:rsidR="00B50F49">
        <w:rPr>
          <w:rStyle w:val="FootnoteReference"/>
          <w:noProof/>
          <w:lang w:val="fr-BE"/>
        </w:rPr>
        <w:t>)</w:t>
      </w:r>
      <w:r w:rsidRPr="00B50F49">
        <w:rPr>
          <w:noProof/>
          <w:lang w:val="fr-BE"/>
        </w:rPr>
        <w:t xml:space="preserve"> </w:t>
      </w:r>
    </w:p>
    <w:p w14:paraId="202DCA59" w14:textId="13E62A3A" w:rsidR="00892F1F" w:rsidRPr="00166D0F" w:rsidRDefault="00934A8A" w:rsidP="006B02A7">
      <w:pPr>
        <w:rPr>
          <w:noProof/>
          <w:lang w:val="fr-BE"/>
        </w:rPr>
      </w:pPr>
      <w:r w:rsidRPr="00166D0F">
        <w:rPr>
          <w:noProof/>
          <w:lang w:val="fr-BE"/>
        </w:rPr>
        <w:t>Entitajiet oħrajn iwettqu attivitajiet ta’ sensibilizzazzjoni. Pereżempju, il-Forum Ewropew dwar id-Diżabilità jikkoordina proġett iffinanzjat mill-UE, id-Drittijiet tad-Diżabilità fl-Elezzjonijiet Ewropej (DREE), li għandu l-għan li jżid il-parteċipazzjoni politika ta’ persuni b’diżabilità fl-elezzjonijiet Ewropej tal-2024. Flimkien ma’ seba’ assoċjazzjonijiet nazzjonali ta’ membri, il-proġett DREE jagħti s-setgħa u jimmobilizza lill-persuni b’diżabilità biex isiru votanti, kandidati u promoturi.</w:t>
      </w:r>
      <w:r w:rsidRPr="00166D0F">
        <w:rPr>
          <w:rStyle w:val="FootnoteReference"/>
          <w:noProof/>
          <w:lang w:val="fr-BE"/>
        </w:rPr>
        <w:t>(</w:t>
      </w:r>
      <w:r>
        <w:rPr>
          <w:rStyle w:val="FootnoteReference"/>
          <w:noProof/>
        </w:rPr>
        <w:footnoteReference w:id="56"/>
      </w:r>
      <w:r w:rsidR="00B50F49">
        <w:rPr>
          <w:rStyle w:val="FootnoteReference"/>
          <w:noProof/>
          <w:lang w:val="fr-BE"/>
        </w:rPr>
        <w:t>)</w:t>
      </w:r>
    </w:p>
    <w:p w14:paraId="6A38201D" w14:textId="23F59E96" w:rsidR="00B81268" w:rsidRPr="00166D0F" w:rsidRDefault="00CB50DA" w:rsidP="006B02A7">
      <w:pPr>
        <w:rPr>
          <w:noProof/>
          <w:lang w:val="fr-BE"/>
        </w:rPr>
      </w:pPr>
      <w:r w:rsidRPr="00166D0F">
        <w:rPr>
          <w:noProof/>
          <w:lang w:val="fr-BE"/>
        </w:rPr>
        <w:t xml:space="preserve">Fl-2011, Inclusion Europe wettqet il-proġett </w:t>
      </w:r>
      <w:r w:rsidRPr="00166D0F">
        <w:rPr>
          <w:i/>
          <w:noProof/>
          <w:lang w:val="fr-BE"/>
        </w:rPr>
        <w:t>Accommodating Diversity for Active Participation in European Elections</w:t>
      </w:r>
      <w:r w:rsidRPr="00166D0F">
        <w:rPr>
          <w:noProof/>
          <w:lang w:val="fr-BE"/>
        </w:rPr>
        <w:t>, iffinanzjat taħt il-programm tad-Drittijiet Fundamentali u ċ-Ċittadinanza, li ħoloq sensibilizzazzjoni dwar l-ostakli għall-</w:t>
      </w:r>
      <w:r w:rsidRPr="00166D0F">
        <w:rPr>
          <w:rStyle w:val="Strong"/>
          <w:b w:val="0"/>
          <w:noProof/>
          <w:lang w:val="fr-BE"/>
        </w:rPr>
        <w:t>aċċessibbiltà tal-elezzjonijiet għall-persuni b’diżabilità fl-Ewropa</w:t>
      </w:r>
      <w:r w:rsidRPr="00166D0F">
        <w:rPr>
          <w:noProof/>
          <w:lang w:val="fr-BE"/>
        </w:rPr>
        <w:t>. Żviluppat ukoll gwida nazzjonali</w:t>
      </w:r>
      <w:r w:rsidRPr="00166D0F">
        <w:rPr>
          <w:rStyle w:val="FootnoteReference"/>
          <w:noProof/>
          <w:lang w:val="fr-BE"/>
        </w:rPr>
        <w:t>(</w:t>
      </w:r>
      <w:r>
        <w:rPr>
          <w:rStyle w:val="FootnoteReference"/>
          <w:noProof/>
        </w:rPr>
        <w:footnoteReference w:id="57"/>
      </w:r>
      <w:r w:rsidR="00B50F49">
        <w:rPr>
          <w:rStyle w:val="FootnoteReference"/>
          <w:noProof/>
          <w:lang w:val="fr-BE"/>
        </w:rPr>
        <w:t>)</w:t>
      </w:r>
      <w:r w:rsidRPr="00166D0F">
        <w:rPr>
          <w:noProof/>
          <w:lang w:val="fr-BE"/>
        </w:rPr>
        <w:t xml:space="preserve"> intitolata</w:t>
      </w:r>
      <w:r w:rsidRPr="00166D0F">
        <w:rPr>
          <w:i/>
          <w:noProof/>
          <w:lang w:val="fr-BE"/>
        </w:rPr>
        <w:t>Voting for All!,</w:t>
      </w:r>
      <w:r w:rsidRPr="00166D0F">
        <w:rPr>
          <w:rStyle w:val="Hyperlink"/>
          <w:noProof/>
          <w:u w:val="none"/>
          <w:lang w:val="fr-BE"/>
        </w:rPr>
        <w:t xml:space="preserve"> Recommendations for Accessible Elections in Europe</w:t>
      </w:r>
      <w:r w:rsidRPr="00166D0F">
        <w:rPr>
          <w:rStyle w:val="FootnoteReference"/>
          <w:noProof/>
          <w:lang w:val="fr-BE"/>
        </w:rPr>
        <w:t>(</w:t>
      </w:r>
      <w:r>
        <w:rPr>
          <w:rStyle w:val="FootnoteReference"/>
          <w:noProof/>
        </w:rPr>
        <w:footnoteReference w:id="58"/>
      </w:r>
      <w:r w:rsidR="00B50F49">
        <w:rPr>
          <w:rStyle w:val="FootnoteReference"/>
          <w:noProof/>
          <w:lang w:val="fr-BE"/>
        </w:rPr>
        <w:t>)</w:t>
      </w:r>
      <w:r w:rsidRPr="00166D0F">
        <w:rPr>
          <w:rStyle w:val="Hyperlink"/>
          <w:noProof/>
          <w:u w:val="none"/>
          <w:lang w:val="fr-BE"/>
        </w:rPr>
        <w:t xml:space="preserve">, </w:t>
      </w:r>
      <w:r w:rsidRPr="00166D0F">
        <w:rPr>
          <w:noProof/>
          <w:lang w:val="fr-BE"/>
        </w:rPr>
        <w:t>u ġabra ta’ prattiki tajbin għal elezzjonijiet aċċessibbli fl-Ewropa</w:t>
      </w:r>
      <w:hyperlink r:id="rId16" w:history="1">
        <w:r w:rsidRPr="00166D0F">
          <w:rPr>
            <w:rStyle w:val="FootnoteReference"/>
            <w:noProof/>
            <w:lang w:val="fr-BE"/>
          </w:rPr>
          <w:t>(</w:t>
        </w:r>
        <w:r>
          <w:rPr>
            <w:rStyle w:val="FootnoteReference"/>
            <w:noProof/>
          </w:rPr>
          <w:footnoteReference w:id="59"/>
        </w:r>
        <w:r w:rsidR="00B50F49">
          <w:rPr>
            <w:rStyle w:val="FootnoteReference"/>
            <w:noProof/>
            <w:lang w:val="fr-BE"/>
          </w:rPr>
          <w:t>)</w:t>
        </w:r>
        <w:r w:rsidRPr="00166D0F">
          <w:rPr>
            <w:rStyle w:val="Hyperlink"/>
            <w:noProof/>
            <w:u w:val="none"/>
            <w:lang w:val="fr-BE"/>
          </w:rPr>
          <w:t xml:space="preserve"> </w:t>
        </w:r>
      </w:hyperlink>
      <w:r w:rsidRPr="00166D0F">
        <w:rPr>
          <w:noProof/>
          <w:lang w:val="fr-BE"/>
        </w:rPr>
        <w:t>ippubblikati bl-Ingliż, bil-Franċiż u biċ-Ċek. Għall-elezzjonijiet li jmiss għall-Parlament Ewropew, Inclusion Europe se twettaq kampanja ta’ sensibilizzazzjoni li tiffoka fuq in-nisa b’diżabilità intellettwali u l-parteċipazzjoni politika. Il-kampanja se tinkludi serje ta’ intervisti ma’ awtopromoturi, nisa b’diżabilità fil-politika, biex tisma’ l-feedback tagħhom dwar l-importanza tal-votazzjoni u li jiġu eletti għan-nisa b’diżabilità. Se tippromwovi vidjos dwar il-votazzjoni, dwar il-kwistjoni tat-tutela u se toħloq sensibilizzazzjoni dwar l-elezzjonijiet fost il-persuni b’diżabilità billi tmexxi kampanja ta’ komunikazzjoni.</w:t>
      </w:r>
    </w:p>
    <w:p w14:paraId="72D47D9D" w14:textId="60A75590" w:rsidR="000C2E6C" w:rsidRPr="00166D0F" w:rsidRDefault="0099175B" w:rsidP="006B02A7">
      <w:pPr>
        <w:pStyle w:val="Heading2"/>
        <w:spacing w:before="240" w:after="240"/>
        <w:rPr>
          <w:noProof/>
          <w:lang w:val="fr-BE"/>
        </w:rPr>
      </w:pPr>
      <w:bookmarkStart w:id="49" w:name="_Toc148718587"/>
      <w:bookmarkStart w:id="50" w:name="_Toc158728558"/>
      <w:r w:rsidRPr="00166D0F">
        <w:rPr>
          <w:noProof/>
          <w:lang w:val="fr-BE"/>
        </w:rPr>
        <w:t>5</w:t>
      </w:r>
      <w:r w:rsidR="00B50F49">
        <w:rPr>
          <w:noProof/>
          <w:lang w:val="fr-BE"/>
        </w:rPr>
        <w:t>.</w:t>
      </w:r>
      <w:r w:rsidRPr="00166D0F">
        <w:rPr>
          <w:noProof/>
          <w:lang w:val="fr-BE"/>
        </w:rPr>
        <w:t>3. Il-kooperazzjoni mal-organizzazzjonijiet li jappoġġaw id-drittijiet tal-persuni b’diżabilità</w:t>
      </w:r>
      <w:bookmarkEnd w:id="49"/>
      <w:bookmarkEnd w:id="50"/>
    </w:p>
    <w:p w14:paraId="63D80D6C" w14:textId="3E1E80DE" w:rsidR="002B1D7A" w:rsidRPr="00166D0F" w:rsidRDefault="00ED062E" w:rsidP="00B42AEB">
      <w:pPr>
        <w:rPr>
          <w:noProof/>
          <w:lang w:val="fr-BE"/>
        </w:rPr>
      </w:pPr>
      <w:r w:rsidRPr="00166D0F">
        <w:rPr>
          <w:noProof/>
          <w:lang w:val="fr-BE"/>
        </w:rPr>
        <w:t xml:space="preserve">Fil-biċċa l-kbira tal-Istati Membri, l-organizzazzjonijiet li jappoġġaw id-drittijiet tal-persuni b’diżabilità huma involuti fil-fażijiet kollha taċ-ċiklu elettorali, permezz ta’ djalogu u kooperazzjoni mill-qrib mal-awtoritajiet rilevanti. Pereżempju, dawn l-organizzazzjonijiet huma inklużi fil-proċess ta’ diskussjoni u tfassil ta’ regoli ġodda dwar il-votazzjoni assistita jew fl-evalwazzjoni tar-regoli dwar l-assistenza fir-rigward ta’ elezzjonijiet speċifiċi. </w:t>
      </w:r>
    </w:p>
    <w:p w14:paraId="277A3225" w14:textId="552ABE6C" w:rsidR="00DA420F" w:rsidRPr="00166D0F" w:rsidRDefault="00E438AF" w:rsidP="00B42AEB">
      <w:pPr>
        <w:rPr>
          <w:noProof/>
          <w:lang w:val="fr-BE"/>
        </w:rPr>
      </w:pPr>
      <w:r w:rsidRPr="00166D0F">
        <w:rPr>
          <w:noProof/>
          <w:lang w:val="fr-BE"/>
        </w:rPr>
        <w:t>Fil-Kroazja u fi Spanja, l-organizzazzjonijiet tad-diżabilità huma involuti fi proġetti konġunti biex jappoġġaw lill-votanti b’vista batuta billi jipproduċu reġistrazzjonijiet bil-ħoss tal-lista ta’ kandidati jew jappoġġaw lill-votanti b’indebolimenti awdjoviżivi. Huma jipprovdu dan l-appoġġ permezz ta’ tradutturi li jakkumpanjawhom mid-dar sal-post tal-votazzjoni u lura, billi jipprovdu interpretazzjoni tal-lingwa tas-sinjali jew interpretazzjoni speċifika oħra u billi jgħinuhom jimlew il-poloz tal-votazzjoni.</w:t>
      </w:r>
    </w:p>
    <w:p w14:paraId="35B98893" w14:textId="24E9AE77" w:rsidR="00063E3F" w:rsidRPr="00166D0F" w:rsidRDefault="00D81741" w:rsidP="00B42AEB">
      <w:pPr>
        <w:rPr>
          <w:noProof/>
          <w:lang w:val="fr-BE"/>
        </w:rPr>
      </w:pPr>
      <w:r w:rsidRPr="00166D0F">
        <w:rPr>
          <w:noProof/>
          <w:lang w:val="fr-BE"/>
        </w:rPr>
        <w:t>L-organizzazzjonijiet tad-diżabilità jistgħu jgħinu wkoll fit-tħejjija ta’ materjali u taħriġ elettorali uffiċjali, inkluża informazzjoni speċifika għall-elezzjonijiet b’lingwaġġ sempliċi, kif sar fil-Litwanja, fil-Lussemburgu u fil-Portugall, u karti elettorali faċli biex jinftiehmu, bħal fl-Ungerija. Huma jwettqu wkoll l-inizjattivi tagħhom stess biex jippromwovu l-aċċessibbiltà fl-elezzjonijiet. Pereżempju, huma jqassmu informazzjoni dwar l-aċċessibbiltà tal-postijiet tal-votazzjoni u jipprovdu taħriġ lill-uffiċjali elettorali dwar l-aċċessibbiltà. Il-Ministeru tal-Ġustizzja tal-Finlandja jappoġġa l-għoti ta’ informazzjoni elettorali għal dawk b’vista batuta flimkien mal-Federazzjoni Finlandiża tal-Persuni b’Vista Batuta. Fi Spanja, il-proċedura ta’ votazzjoni aċċessibbli għall-persuni b’diżabilità viżwali bl-użu tas-sistema ta’ qari u kitba bil-Braille hija implimentata f’kooperazzjoni ma’ ONCE (l-organizzazzjoni nazzjonali tal-persuni għomja Spanjoli</w:t>
      </w:r>
      <w:r w:rsidRPr="00166D0F">
        <w:rPr>
          <w:rStyle w:val="FootnoteReference"/>
          <w:noProof/>
          <w:lang w:val="fr-BE"/>
        </w:rPr>
        <w:t>(</w:t>
      </w:r>
      <w:r>
        <w:rPr>
          <w:rStyle w:val="FootnoteReference"/>
          <w:noProof/>
        </w:rPr>
        <w:footnoteReference w:id="60"/>
      </w:r>
      <w:r w:rsidR="00B50F49">
        <w:rPr>
          <w:rStyle w:val="FootnoteReference"/>
          <w:noProof/>
          <w:lang w:val="fr-BE"/>
        </w:rPr>
        <w:t>)</w:t>
      </w:r>
      <w:r w:rsidRPr="00166D0F">
        <w:rPr>
          <w:noProof/>
          <w:lang w:val="fr-BE"/>
        </w:rPr>
        <w:t>). Il-kooperazzjoni bejn l-awtoritajiet Spanjoli u l-organizzazzjonijiet tad-diżabilità biex jitneħħew l-ostakli ffaċċjati matul il-proċessi elettorali wasslet ukoll għall-użu ta’ sinjalar aċċessibbli fil-postijiet tal-votazzjoni u manwal faċli biex jinqara għall-membri tal-postijiet tal-votazzjoni.</w:t>
      </w:r>
    </w:p>
    <w:p w14:paraId="315ADAA3" w14:textId="7528BDA4" w:rsidR="00C70372" w:rsidRPr="00166D0F" w:rsidRDefault="00050F3E" w:rsidP="00B42AEB">
      <w:pPr>
        <w:rPr>
          <w:noProof/>
          <w:lang w:val="fr-BE"/>
        </w:rPr>
      </w:pPr>
      <w:r w:rsidRPr="00166D0F">
        <w:rPr>
          <w:noProof/>
          <w:lang w:val="fr-BE"/>
        </w:rPr>
        <w:t>F’diversi Stati Membri, l-aċċessibbiltà tal-postijiet tal-votazzjoni tiġi vvalutata kontra listi ta’ kontroll maħluqa b’mod konġunt mill-awtoritajiet kompetenti u mill-organizzazzjonijiet tad-diżabilità jew żviluppati minn organizzazzjonijiet bħal dawn infushom. Organizzazzjonijiet bħal dawn jistgħu jappoġġaw ukoll lill-awtoritajiet billi jippreparaw kwestjonarji, kif isir fil-Latvja, linji gwida, kif isir fil-Belġju u fir-Rumanija, u billi jinħarġu rakkomandazzjonijiet, u jinġabar u jiġi ppreżentat feedback dwar l-aċċessibbiltà tal-postijiet tal-votazzjoni u tal-materjali elettorali. L-organizzazzjonijiet jistgħu jkunu involuti wkoll fl-ispezzjoni tal-postijiet tal-votazzjoni biex jiġi aċċertat li dawn ikunu aċċessibbli, kif isir fil-Litwanja.</w:t>
      </w:r>
    </w:p>
    <w:p w14:paraId="5595ACB4" w14:textId="18F59403" w:rsidR="00256917" w:rsidRPr="00166D0F" w:rsidRDefault="00EA544A" w:rsidP="00B42AEB">
      <w:pPr>
        <w:rPr>
          <w:noProof/>
          <w:lang w:val="fr-BE"/>
        </w:rPr>
      </w:pPr>
      <w:r w:rsidRPr="00166D0F">
        <w:rPr>
          <w:noProof/>
          <w:lang w:val="fr-BE"/>
        </w:rPr>
        <w:t>Stati Membri oħrajn bħall-Kroazja, l-Irlanda, ir-Rumanija u Spanja fformalizzaw il-kooperazzjoni tagħhom ma’ organizzazzjonijiet tad-diżabilità, jew billi kkonkludew ftehimiet speċifiċi jew billi stabbilew gruppi ta’ ħidma.</w:t>
      </w:r>
    </w:p>
    <w:p w14:paraId="31DD48CB" w14:textId="76B0ED88" w:rsidR="009A02EB" w:rsidRPr="00B42AEB" w:rsidRDefault="009A02EB" w:rsidP="00B42AEB">
      <w:pPr>
        <w:rPr>
          <w:noProof/>
        </w:rPr>
      </w:pPr>
      <w:r w:rsidRPr="00166D0F">
        <w:rPr>
          <w:noProof/>
          <w:lang w:val="fr-BE"/>
        </w:rPr>
        <w:t xml:space="preserve">B’riżultat tal-ftehim iffirmat fl-2021 bejn il-Ministeru Spanjol tal-Intern u l-assoċjazzjoni </w:t>
      </w:r>
      <w:r w:rsidRPr="00166D0F">
        <w:rPr>
          <w:i/>
          <w:noProof/>
          <w:lang w:val="fr-BE"/>
        </w:rPr>
        <w:t>Plena Inclusión España</w:t>
      </w:r>
      <w:r w:rsidRPr="00166D0F">
        <w:rPr>
          <w:noProof/>
          <w:lang w:val="fr-BE"/>
        </w:rPr>
        <w:t xml:space="preserve"> (Inklużjoni Sħiħa Spanja), tnieda proġett pilota</w:t>
      </w:r>
      <w:r w:rsidRPr="00166D0F">
        <w:rPr>
          <w:noProof/>
          <w:vertAlign w:val="superscript"/>
          <w:lang w:val="fr-BE"/>
        </w:rPr>
        <w:t>(</w:t>
      </w:r>
      <w:r>
        <w:rPr>
          <w:noProof/>
          <w:vertAlign w:val="superscript"/>
        </w:rPr>
        <w:footnoteReference w:id="61"/>
      </w:r>
      <w:r w:rsidRPr="00166D0F">
        <w:rPr>
          <w:noProof/>
          <w:vertAlign w:val="superscript"/>
          <w:lang w:val="fr-BE"/>
        </w:rPr>
        <w:t>)</w:t>
      </w:r>
      <w:r w:rsidRPr="00166D0F">
        <w:rPr>
          <w:noProof/>
          <w:lang w:val="fr-BE"/>
        </w:rPr>
        <w:t xml:space="preserve"> għal sinjalar aċċessibbli matul l-aħħar elezzjonijiet lokali fl-2023.</w:t>
      </w:r>
      <w:r w:rsidRPr="00166D0F">
        <w:rPr>
          <w:noProof/>
          <w:vertAlign w:val="superscript"/>
          <w:lang w:val="fr-BE"/>
        </w:rPr>
        <w:t>(</w:t>
      </w:r>
      <w:r>
        <w:rPr>
          <w:noProof/>
          <w:vertAlign w:val="superscript"/>
        </w:rPr>
        <w:footnoteReference w:id="62"/>
      </w:r>
      <w:r>
        <w:rPr>
          <w:noProof/>
          <w:vertAlign w:val="superscript"/>
        </w:rPr>
        <w:t>)</w:t>
      </w:r>
      <w:r>
        <w:rPr>
          <w:noProof/>
        </w:rPr>
        <w:t xml:space="preserve"> Dan kien jinvolvi d-distribuzzjoni ta’ posters biex tiġi promossa l-aċċessibbiltà konjittiva (għall-persuni b’diżabilità intellettwali u persuni akbar fl-età) fil-postijiet tal-votazzjoni fil-belt ta’ Madrid, proġett li kien jinkludi wkoll il-kollaborazzjoni tad-Delegazzjoni tal-Gvern f’Madrid. Il-proġett, implimentat ukoll fl-aħħar elezzjonijiet parlamentari, kien jikkonsisti f’total ta’ seba’ pittogrammi mfassla minn </w:t>
      </w:r>
      <w:r>
        <w:rPr>
          <w:i/>
          <w:noProof/>
        </w:rPr>
        <w:t>Plena Inclusión</w:t>
      </w:r>
      <w:r>
        <w:rPr>
          <w:noProof/>
        </w:rPr>
        <w:t xml:space="preserve"> biex jiffaċilitaw l-aċċess għall-post tal-votazzjoni, u gwida</w:t>
      </w:r>
      <w:r>
        <w:rPr>
          <w:noProof/>
          <w:vertAlign w:val="superscript"/>
        </w:rPr>
        <w:t>(</w:t>
      </w:r>
      <w:r>
        <w:rPr>
          <w:noProof/>
          <w:vertAlign w:val="superscript"/>
        </w:rPr>
        <w:footnoteReference w:id="63"/>
      </w:r>
      <w:r>
        <w:rPr>
          <w:noProof/>
          <w:vertAlign w:val="superscript"/>
        </w:rPr>
        <w:t>)</w:t>
      </w:r>
      <w:r>
        <w:rPr>
          <w:noProof/>
        </w:rPr>
        <w:t>. Huwa previst li dan il-proġett jiġi estiż għal bliet oħrajn f’sejħiet għal proposti futuri.</w:t>
      </w:r>
    </w:p>
    <w:p w14:paraId="7DBC5EDA" w14:textId="6AB520B8" w:rsidR="008B7FC0" w:rsidRPr="00B42AEB" w:rsidRDefault="0099175B" w:rsidP="006B02A7">
      <w:pPr>
        <w:pStyle w:val="Heading2"/>
        <w:spacing w:before="240" w:after="240"/>
        <w:rPr>
          <w:noProof/>
        </w:rPr>
      </w:pPr>
      <w:bookmarkStart w:id="51" w:name="_Toc148718588"/>
      <w:bookmarkStart w:id="52" w:name="_Toc158728559"/>
      <w:r>
        <w:rPr>
          <w:noProof/>
        </w:rPr>
        <w:t>5</w:t>
      </w:r>
      <w:r w:rsidR="00B50F49">
        <w:rPr>
          <w:noProof/>
          <w:lang w:val="mt-MT"/>
        </w:rPr>
        <w:t>.</w:t>
      </w:r>
      <w:r>
        <w:rPr>
          <w:noProof/>
        </w:rPr>
        <w:t>4. Iż-żieda fl-aċċessibbiltà u fl-utilizzabbiltà tal-binjiet</w:t>
      </w:r>
      <w:bookmarkEnd w:id="51"/>
      <w:bookmarkEnd w:id="52"/>
    </w:p>
    <w:p w14:paraId="674CA5D0" w14:textId="65F2DCA3" w:rsidR="00907E91" w:rsidRPr="00B42AEB" w:rsidRDefault="00AB6108" w:rsidP="00B42AEB">
      <w:pPr>
        <w:rPr>
          <w:noProof/>
        </w:rPr>
      </w:pPr>
      <w:r>
        <w:rPr>
          <w:noProof/>
        </w:rPr>
        <w:t>Il-biċċa l-kbira tal-Istati Membri adottaw rekwiżiti speċifiċi biex jiżguraw li l-persuni b’diżabilità jkunu jistgħu jaċċessaw il-binjiet. Jeħtieġ li l-binjiet jintużaw b’mod sikur u mingħajr aċċess ostakolat minn persuni b’indebolimenti fiżiċi. Binja aċċessibbli tfisser li tkun konvenjenti, sikura u li tista’ tintuża b’mod indipendenti minn kulħadd, inklużi persuni b’diżabilità jew gruppi li jeħtieġu tagħmir speċjali jew arranġamenti tekniċi. Il-binjiet u l-infrastruttura jrid ikollhom mill-anqas mogħdija waħda aċċessibbli, li tipprovdi aċċess sikur u komdu għall-persuni b’mobbiltà mnaqqsa.</w:t>
      </w:r>
    </w:p>
    <w:p w14:paraId="33512755" w14:textId="07633403" w:rsidR="009612AC" w:rsidRPr="00B42AEB" w:rsidRDefault="0099175B" w:rsidP="006B02A7">
      <w:pPr>
        <w:pStyle w:val="Heading2"/>
        <w:spacing w:before="240" w:after="240"/>
        <w:rPr>
          <w:noProof/>
        </w:rPr>
      </w:pPr>
      <w:bookmarkStart w:id="53" w:name="_Toc148718589"/>
      <w:bookmarkStart w:id="54" w:name="_Toc158728560"/>
      <w:r>
        <w:rPr>
          <w:noProof/>
        </w:rPr>
        <w:t>5.5 Taħriġ u appoġġ speċifiku għall-uffiċjali elettorali</w:t>
      </w:r>
      <w:bookmarkEnd w:id="53"/>
      <w:bookmarkEnd w:id="54"/>
    </w:p>
    <w:p w14:paraId="7E4E2AC9" w14:textId="195319EA" w:rsidR="00C66196" w:rsidRPr="00B42AEB" w:rsidRDefault="00DF759A" w:rsidP="00B42AEB">
      <w:pPr>
        <w:rPr>
          <w:noProof/>
        </w:rPr>
      </w:pPr>
      <w:r>
        <w:rPr>
          <w:noProof/>
        </w:rPr>
        <w:t>F’diversi Stati Membri, il-linji gwida u l-manwali għall-uffiċjali tal-postijiet tal-votazzjoni, normalment ippreparati f’kollaborazzjoni mal-organizzazzjonijiet tad-diżabilitajiet, jipprovdu informazzjoni dwar kif jagħmluha aktar faċli għall-persuni b’diżabilità li jivvotaw, inklużi l-akkoljenza u l-assistenza lill-votanti b’diżabilità, imfassla għat-tip ta’ diżabilità tagħhom. L-uffiċjali tal-postijiet tal-votazzjoni huma mħarrġa wkoll dwar kif għandhom jagħmlu konnessjoni ma’ persuni b’diżabilità u jgħinuhom jeżerċitaw id-drittijiet tal-vot tagħhom, indipendentement jew bl-għajnuna.</w:t>
      </w:r>
      <w:r>
        <w:rPr>
          <w:rStyle w:val="FootnoteReference"/>
          <w:noProof/>
        </w:rPr>
        <w:t>(</w:t>
      </w:r>
      <w:r>
        <w:rPr>
          <w:rStyle w:val="FootnoteReference"/>
          <w:noProof/>
        </w:rPr>
        <w:footnoteReference w:id="64"/>
      </w:r>
      <w:r w:rsidR="00B50F49">
        <w:rPr>
          <w:rStyle w:val="FootnoteReference"/>
          <w:noProof/>
        </w:rPr>
        <w:t>)</w:t>
      </w:r>
      <w:r>
        <w:rPr>
          <w:noProof/>
        </w:rPr>
        <w:t xml:space="preserve"> Id-Danimarka tħejji wkoll kwiżżijiet għall-uffiċjali elettorali biex tittestja l-għarfien tagħhom dwar kif għandhom jgħinu lill-votanti. Fin-Netherlands, il-persuni b’diżabilità jistgħu jivvolontarjaw u jiġġestixxu postijiet tal-votazzjoni.</w:t>
      </w:r>
      <w:r>
        <w:rPr>
          <w:rStyle w:val="FootnoteReference"/>
          <w:noProof/>
        </w:rPr>
        <w:t>(</w:t>
      </w:r>
      <w:r>
        <w:rPr>
          <w:rStyle w:val="FootnoteReference"/>
          <w:noProof/>
        </w:rPr>
        <w:footnoteReference w:id="65"/>
      </w:r>
      <w:r w:rsidR="00B50F49">
        <w:rPr>
          <w:rStyle w:val="FootnoteReference"/>
          <w:noProof/>
        </w:rPr>
        <w:t>)</w:t>
      </w:r>
      <w:r>
        <w:rPr>
          <w:noProof/>
        </w:rPr>
        <w:t xml:space="preserve"> Il-Kroazja tipprovdi taħriġ għall-uffiċjali elettorali dwar kif jgħinu lill-votanti b’diżabilità u tippubblika informazzjoni speċifika dwar il-proċeduri ta’ votazzjoni għall-persuni b’diżabilità biex jitqassmu lill-kumitati elettorali.</w:t>
      </w:r>
    </w:p>
    <w:p w14:paraId="1E9282EE" w14:textId="7467E5AD" w:rsidR="00927A12" w:rsidRPr="00B42AEB" w:rsidRDefault="00DF0F46" w:rsidP="00B42AEB">
      <w:pPr>
        <w:rPr>
          <w:noProof/>
        </w:rPr>
      </w:pPr>
      <w:r>
        <w:rPr>
          <w:noProof/>
        </w:rPr>
        <w:t>Spanja tipprovdi appoġġ speċifiku għal persuni b’vista batuta, insuffiċjenza fis-smigħ jew diżabilità intellettwali, li huwa ffinanzjat pubblikament. Dan jinkludi manwali faċli biex jinqraw u servizz ta’ ċirkwit ta’ induzzjoni manjetika mingħajr ħlas fil-post tal-votazzjoni għal persuni b’insuffiċjenza fis-smigħ (utenti ta’ apparat ta’ għajnuna għas-smigħ) li jkunu nħatru membri tal-post tal-votazzjoni (kemm membri sħaħ kif ukoll supplenti). Torganizza wkoll servizz ta’ interpretazzjoni tal-lingwa bis-sinjali mingħajr ħlas għal persuni b’insuffiċjenza fis-smigħ li jkunu ġew maħtura bħala uffiċjali tal-postijiet tal-votazzjoni u għal persuni b’vista batuta u indebolimenti konjittivi, fuq talba tagħhom.</w:t>
      </w:r>
      <w:r>
        <w:rPr>
          <w:rStyle w:val="FootnoteReference"/>
          <w:noProof/>
        </w:rPr>
        <w:t>(</w:t>
      </w:r>
      <w:r>
        <w:rPr>
          <w:rStyle w:val="FootnoteReference"/>
          <w:noProof/>
        </w:rPr>
        <w:footnoteReference w:id="66"/>
      </w:r>
      <w:r w:rsidR="00B50F49">
        <w:rPr>
          <w:rStyle w:val="FootnoteReference"/>
          <w:noProof/>
        </w:rPr>
        <w:t>)</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728561"/>
      <w:r>
        <w:rPr>
          <w:noProof/>
        </w:rPr>
        <w:t>6. Ħidma biex jintlaħqu l-persuni b’diżabilità matul iċ-ċiklu elettorali</w:t>
      </w:r>
      <w:bookmarkEnd w:id="55"/>
      <w:bookmarkEnd w:id="56"/>
    </w:p>
    <w:p w14:paraId="08003BA8" w14:textId="5AEAD947" w:rsidR="008B7FC0" w:rsidRPr="00B42AEB" w:rsidRDefault="0099175B" w:rsidP="006B02A7">
      <w:pPr>
        <w:pStyle w:val="Heading2"/>
        <w:spacing w:before="0" w:after="240"/>
        <w:rPr>
          <w:noProof/>
        </w:rPr>
      </w:pPr>
      <w:bookmarkStart w:id="57" w:name="_Toc148718591"/>
      <w:bookmarkStart w:id="58" w:name="_Toc158728562"/>
      <w:r>
        <w:rPr>
          <w:noProof/>
        </w:rPr>
        <w:t>6</w:t>
      </w:r>
      <w:r w:rsidR="00B50F49">
        <w:rPr>
          <w:noProof/>
          <w:lang w:val="mt-MT"/>
        </w:rPr>
        <w:t>.</w:t>
      </w:r>
      <w:r>
        <w:rPr>
          <w:noProof/>
        </w:rPr>
        <w:t>1. L-aċċessibbiltà tal-komunikazzjonijiet uffiċjali</w:t>
      </w:r>
      <w:bookmarkEnd w:id="57"/>
      <w:bookmarkEnd w:id="58"/>
    </w:p>
    <w:p w14:paraId="33BA5F03" w14:textId="55D84704" w:rsidR="00875B38" w:rsidRPr="00B42AEB" w:rsidRDefault="00622E27" w:rsidP="00B42AEB">
      <w:pPr>
        <w:rPr>
          <w:noProof/>
        </w:rPr>
      </w:pPr>
      <w:r>
        <w:rPr>
          <w:noProof/>
        </w:rPr>
        <w:t>Il-biċċa l-kbira tal-Istati Membri (inklużi l-Awstrija, il-Belġju, il-Bulgarija, iċ-Ċekja, Franza, il-Ġermanja, l-Ungerija, l-Irlanda, l-Italja, il-Latvja, il-Litwanja, il-Lussemburgu, in-Netherlands, il-Portugall, ir-Rumanija, Spanja, l-Iżvezja) iħejju u jqassmu materjal edukattiv għall-votanti u jipprovdu informazzjoni elettorali, inkluż għal gruppi speċifiċi ta’ votanti, bħall-persuni b’diżabilità. Dawn jipprovdu informazzjoni dwar l-elezzjonijiet f’diversi formati bħal vidjo, awdjo, b’tipa kbira, fuljetti, karti u manwali b’lingwaġġ faċli biex jinqara, Braille u “kotba tal-awdjo daisy”.</w:t>
      </w:r>
    </w:p>
    <w:p w14:paraId="774EC49E" w14:textId="2FC33B69" w:rsidR="00571599" w:rsidRPr="00B42AEB" w:rsidRDefault="00786ACA" w:rsidP="00B42AEB">
      <w:pPr>
        <w:rPr>
          <w:noProof/>
        </w:rPr>
      </w:pPr>
      <w:r>
        <w:rPr>
          <w:noProof/>
        </w:rPr>
        <w:t>Is-siti web li jipprovdu informazzjoni dwar l-elezzjonijiet iridu jikkonformaw mar-rekwiżiti internazzjonali ta’ aċċessibbiltà, bħal-Linji Gwida dwar l-Aċċessibbiltà tal-Kontenut tal-Web</w:t>
      </w:r>
      <w:r>
        <w:rPr>
          <w:rStyle w:val="FootnoteReference"/>
          <w:noProof/>
        </w:rPr>
        <w:t>(</w:t>
      </w:r>
      <w:r>
        <w:rPr>
          <w:rStyle w:val="FootnoteReference"/>
          <w:noProof/>
        </w:rPr>
        <w:footnoteReference w:id="67"/>
      </w:r>
      <w:r w:rsidR="00B50F49">
        <w:rPr>
          <w:rStyle w:val="FootnoteReference"/>
          <w:noProof/>
        </w:rPr>
        <w:t>)</w:t>
      </w:r>
      <w:r>
        <w:rPr>
          <w:noProof/>
        </w:rPr>
        <w:t>. Is-siti web gradwalment qed isiru aktar aċċessibbli fl-Istati Membri kollha. F’xi każijiet, il-votanti jistgħu jirrapportaw nuqqasijiet fl-aċċessibbiltà ta’ dan il-kontenut permezz ta’ formola ta’ kuntatt, bħal fil-Ġermanja.</w:t>
      </w:r>
    </w:p>
    <w:p w14:paraId="088F70CC" w14:textId="449ADD5C" w:rsidR="00DB46C5" w:rsidRPr="00B42AEB" w:rsidRDefault="002D7A8A" w:rsidP="00B42AEB">
      <w:pPr>
        <w:rPr>
          <w:noProof/>
        </w:rPr>
      </w:pPr>
      <w:r>
        <w:rPr>
          <w:noProof/>
        </w:rPr>
        <w:t>Xi Stati Membri qed jaħdmu wkoll fuq formati diġitali speċifiċi, bħal vidjos u apps biex jgħinu fl-inklużjoni tal-persuni b’diżabilità u jneħħu l-ostakli. F’pajjiżi oħrajn, bħaċ-Ċekja, il-fuljetti jinkludu kodiċijiet QR li jirreferu għal kampjuni tal-poloz u l-vidjos bil-lingwa tas-sinjali għal dawk b’insuffiċjenza fis-smigħ. Il-Finlandja tiftaħ helpline tat-telefown għall-elezzjonijiet u servizz tal-WhatsApp qabel kull elezzjoni. Il-Greċja tipprovdi servizz online ta’ “</w:t>
      </w:r>
      <w:r>
        <w:rPr>
          <w:i/>
          <w:noProof/>
        </w:rPr>
        <w:t>Kun af fejn wieħed għandu jivvota</w:t>
      </w:r>
      <w:r>
        <w:rPr>
          <w:noProof/>
        </w:rPr>
        <w:t>” fejn il-votanti jistgħu jimlew formola b’informazzjoni personali bażika u jirċievu awtomatikament informazzjoni dwar il-post tal-votazzjoni li se jivvotaw fih, inkluż l-indirizz u mappa ta’ aċċess għall-post tal-votazzjoni. Fil-Litwanja, vidjos relatati mal-elezzjoni mħejjija jew ordnati mill-Kummissjoni Elettorali Ċentrali huma mxandra fuq stazzjonijiet tat-televiżjoni nazzjonali u portali tal-aħbarijiet u tradotti f’lingwa tas-sinjali.</w:t>
      </w:r>
    </w:p>
    <w:p w14:paraId="3C85D29C" w14:textId="722943BF" w:rsidR="00E2390C" w:rsidRPr="00B50F49" w:rsidRDefault="004D2A71" w:rsidP="00B42AEB">
      <w:pPr>
        <w:rPr>
          <w:noProof/>
          <w:lang w:val="es-ES"/>
        </w:rPr>
      </w:pPr>
      <w:r>
        <w:rPr>
          <w:noProof/>
        </w:rPr>
        <w:t>F’diversi Stati Membri, bħal Franza u l-Greċja, ix-xandara tal-media huma mħeġġa jagħmlu l-programmi kollha tagħhom dwar l-elezzjonijiet aċċessibbli: aħbarijiet fuq it-televiżjoni, dibattiti bejn kandidati, programmi u dokumentarji dwar kampanji elettorali u kandidati. Dawn jistgħu jiksbu aċċessibbiltà billi jżidu sottotitolar (simultanju għal trażmissjonijiet ħajjin) u interpretazzjoni tas-sinjali. Ir-regolatur tal-media Franċiż ippubblika gwida b’eżempji konkreti li għandhom l-għan li jtejbu l-kwalità viżwali tal-interpretazzjoni tal-lingwa tas-sinjali.</w:t>
      </w:r>
      <w:r>
        <w:rPr>
          <w:rStyle w:val="FootnoteReference"/>
          <w:noProof/>
        </w:rPr>
        <w:t>(</w:t>
      </w:r>
      <w:r>
        <w:rPr>
          <w:rStyle w:val="FootnoteReference"/>
          <w:noProof/>
        </w:rPr>
        <w:footnoteReference w:id="68"/>
      </w:r>
      <w:r w:rsidR="00B50F49">
        <w:rPr>
          <w:rStyle w:val="FootnoteReference"/>
          <w:noProof/>
        </w:rPr>
        <w:t>)</w:t>
      </w:r>
      <w:r>
        <w:rPr>
          <w:noProof/>
        </w:rPr>
        <w:t xml:space="preserve"> Il-fornituri Franċiżi tas-servizz tat-televiżjoni b’udjenza annwali medja ta’ aktar minn 2,5 % tal-udjenza totali huma meħtieġa jagħtu aċċess għall-programmi kollha tal-aħbarijiet elettorali lil persuni b’insuffiċjenza fis-smigħ billi jipprovdu sottotitolar jew lingwa tas-sinjali. Għall-elezzjoni presidenzjali Franċiża, il-kandidati kollha jeħtiġilhom jipprovdu reklami televiżivi aċċessibbli, tal-anqas b’sottotitoli anke jekk xi kandidati jipprovdu wkoll lingwa tas-sinjali.</w:t>
      </w:r>
      <w:r>
        <w:rPr>
          <w:rStyle w:val="FootnoteReference"/>
          <w:noProof/>
        </w:rPr>
        <w:t>(</w:t>
      </w:r>
      <w:r>
        <w:rPr>
          <w:rStyle w:val="FootnoteReference"/>
          <w:noProof/>
        </w:rPr>
        <w:footnoteReference w:id="69"/>
      </w:r>
      <w:r w:rsidR="00B50F49">
        <w:rPr>
          <w:rStyle w:val="FootnoteReference"/>
          <w:noProof/>
        </w:rPr>
        <w:t>)</w:t>
      </w:r>
      <w:r>
        <w:rPr>
          <w:noProof/>
        </w:rPr>
        <w:t xml:space="preserve"> </w:t>
      </w:r>
      <w:r w:rsidRPr="00B50F49">
        <w:rPr>
          <w:noProof/>
          <w:lang w:val="es-ES"/>
        </w:rPr>
        <w:t>Awtorità indipendenti inkarigata mill-istabbiliment tar-regoli tal-kampanja fil-media tivverifika dan l-obbligu.</w:t>
      </w:r>
      <w:r w:rsidRPr="00B50F49">
        <w:rPr>
          <w:rStyle w:val="FootnoteReference"/>
          <w:noProof/>
          <w:lang w:val="es-ES"/>
        </w:rPr>
        <w:t>(</w:t>
      </w:r>
      <w:r>
        <w:rPr>
          <w:rStyle w:val="FootnoteReference"/>
          <w:noProof/>
        </w:rPr>
        <w:footnoteReference w:id="70"/>
      </w:r>
      <w:r w:rsidR="00B50F49">
        <w:rPr>
          <w:rStyle w:val="FootnoteReference"/>
          <w:noProof/>
          <w:lang w:val="es-ES"/>
        </w:rPr>
        <w:t>)</w:t>
      </w:r>
      <w:r w:rsidRPr="00B50F49">
        <w:rPr>
          <w:noProof/>
          <w:lang w:val="es-ES"/>
        </w:rPr>
        <w:t xml:space="preserve"> Fornituri oħrajn Franċiżi tas-servizz tat-televiżjoni huma meħtieġa jiffaċilitaw l-aċċess (bis-sottotitolar jew bil-lingwa tas-sinjali) għall-persuni b’insuffiċjenza fis-smigħ għall-programmi ewlenin tal-aħbarijiet elettorali fil-ħinijiet meta jkun hemm l-aktar telespettaturi u jeħtiġilhom jagħmlu d-dibattiti bejn il-kandidati aċċessibbli. Il-kandidati mistiedna biex jitkellmu fuq pjattaformi tat-televiżjoni jistgħu jivverifikaw ukoll mal-istazzjonijiet li fil-fatt jipprovdu dawn il-karatteristiċi ta’ aċċessibbiltà.</w:t>
      </w:r>
      <w:r w:rsidRPr="00B50F49">
        <w:rPr>
          <w:rStyle w:val="FootnoteReference"/>
          <w:noProof/>
          <w:lang w:val="es-ES"/>
        </w:rPr>
        <w:t>(</w:t>
      </w:r>
      <w:r>
        <w:rPr>
          <w:rStyle w:val="FootnoteReference"/>
          <w:noProof/>
        </w:rPr>
        <w:footnoteReference w:id="71"/>
      </w:r>
      <w:r w:rsidR="00B50F49">
        <w:rPr>
          <w:rStyle w:val="FootnoteReference"/>
          <w:noProof/>
          <w:lang w:val="es-ES"/>
        </w:rPr>
        <w:t>)</w:t>
      </w:r>
    </w:p>
    <w:p w14:paraId="79703C3C" w14:textId="0055DD1D" w:rsidR="00B139EA" w:rsidRPr="00B50F49" w:rsidRDefault="00B139EA" w:rsidP="00B42AEB">
      <w:pPr>
        <w:rPr>
          <w:noProof/>
          <w:lang w:val="es-ES"/>
        </w:rPr>
      </w:pPr>
      <w:r w:rsidRPr="00B50F49">
        <w:rPr>
          <w:noProof/>
          <w:lang w:val="es-ES"/>
        </w:rPr>
        <w:t>Diversi Stati Membri (bħall-Estonja, il-Ġermanja, l-Ungerija u l-Litwanja) jikkondividu informazzjoni dwar l-aċċessibbiltà tal-postijiet tal-votazzjoni permezz ta’ applikazzjonijiet ta’ mapep diġitali, fuq is-siti web tal-awtoritajiet elettorali, jew dwar in-notifika tal-elezzjoni mibgħuta lill-votanti.</w:t>
      </w:r>
    </w:p>
    <w:p w14:paraId="61C3C521" w14:textId="77777777" w:rsidR="00B139EA" w:rsidRPr="00B50F49" w:rsidRDefault="00B139EA" w:rsidP="00B42AEB">
      <w:pPr>
        <w:rPr>
          <w:noProof/>
          <w:lang w:val="es-ES"/>
        </w:rPr>
      </w:pPr>
      <w:r w:rsidRPr="00B50F49">
        <w:rPr>
          <w:noProof/>
          <w:lang w:val="es-ES"/>
        </w:rPr>
        <w:t>Fil-Ġermanja, l-informazzjoni pprovduta lill-votanti dwar fejn jinsabu l-postijiet tal-votazzjoni fiha diversi pittogrammi li jiddeskrivu kif inhu mqassam l-post tal-votazzjoni u tinkludi numri tat-telefown.</w:t>
      </w:r>
    </w:p>
    <w:p w14:paraId="2E6E5C3B" w14:textId="3BBBDBFC" w:rsidR="00B139EA" w:rsidRPr="00B50F49" w:rsidRDefault="004801BB" w:rsidP="00B42AEB">
      <w:pPr>
        <w:rPr>
          <w:noProof/>
          <w:lang w:val="es-ES"/>
        </w:rPr>
      </w:pPr>
      <w:r w:rsidRPr="00B50F49">
        <w:rPr>
          <w:noProof/>
          <w:lang w:val="es-ES"/>
        </w:rPr>
        <w:t>In-Netherlands jipprovdu għodda online</w:t>
      </w:r>
      <w:r w:rsidRPr="00B50F49">
        <w:rPr>
          <w:rStyle w:val="FootnoteReference"/>
          <w:noProof/>
          <w:lang w:val="es-ES"/>
        </w:rPr>
        <w:t>(</w:t>
      </w:r>
      <w:r>
        <w:rPr>
          <w:rStyle w:val="FootnoteReference"/>
          <w:noProof/>
        </w:rPr>
        <w:footnoteReference w:id="72"/>
      </w:r>
      <w:r w:rsidR="00B50F49">
        <w:rPr>
          <w:rStyle w:val="FootnoteReference"/>
          <w:noProof/>
          <w:lang w:val="es-ES"/>
        </w:rPr>
        <w:t>)</w:t>
      </w:r>
      <w:r w:rsidRPr="00B50F49">
        <w:rPr>
          <w:noProof/>
          <w:lang w:val="es-ES"/>
        </w:rPr>
        <w:t xml:space="preserve"> li tillokalizza l-postijiet tal-votazzjoni li jkunu aċċessibbli għall-persuni b’diżabilità. L-għodda għandha kriterji ta’ tiftix differenti inklużi għajnuniet viżwali, għajnuniet tas-smigħ, akustika adatta għall-persuni neqsin mis-smigħ u faċilitajiet aċċessibbli oħrajn.</w:t>
      </w:r>
    </w:p>
    <w:p w14:paraId="1F40A8D4" w14:textId="7E4CF357" w:rsidR="00B139EA" w:rsidRPr="00B50F49" w:rsidRDefault="00B139EA" w:rsidP="00B42AEB">
      <w:pPr>
        <w:rPr>
          <w:noProof/>
          <w:lang w:val="es-ES"/>
        </w:rPr>
      </w:pPr>
      <w:r w:rsidRPr="00B50F49">
        <w:rPr>
          <w:noProof/>
          <w:lang w:val="es-ES"/>
        </w:rPr>
        <w:t>Franza tuża wkoll pannelli ta’ informazzjoni fuq barra biex tindika l-post u l-ħinijiet tal-ftuħ tal-postijiet tal-votazzjoni, li jridu jikkonformaw ma’ rekwiżiti speċifiċi biex jiżguraw il-leġġibbiltà u l-viżibbiltà tal-informazzjoni.</w:t>
      </w:r>
    </w:p>
    <w:p w14:paraId="0E997E06" w14:textId="3F9BD0DD" w:rsidR="00B139EA" w:rsidRPr="00B50F49" w:rsidRDefault="00B139EA" w:rsidP="00B42AEB">
      <w:pPr>
        <w:rPr>
          <w:noProof/>
          <w:lang w:val="es-ES"/>
        </w:rPr>
      </w:pPr>
      <w:r w:rsidRPr="00B50F49">
        <w:rPr>
          <w:noProof/>
          <w:lang w:val="es-ES"/>
        </w:rPr>
        <w:t>Fi Spanja, il-postijiet tal-votazzjoni jridu jkunu mmarkati kif xieraq, inkluża referenza għall-faċilitajiet aċċessibbli disponibbli u l-ħinijiet tal-ftuħ.</w:t>
      </w:r>
    </w:p>
    <w:p w14:paraId="0D38607A" w14:textId="595E6DAA" w:rsidR="00256917" w:rsidRPr="00B50F49" w:rsidRDefault="00825735" w:rsidP="00B42AEB">
      <w:pPr>
        <w:rPr>
          <w:noProof/>
          <w:lang w:val="es-ES"/>
        </w:rPr>
      </w:pPr>
      <w:r w:rsidRPr="00B50F49">
        <w:rPr>
          <w:noProof/>
          <w:lang w:val="es-ES"/>
        </w:rPr>
        <w:t>Fl-Ungerija, il-kampanji ta’ informazzjoni għall-votanti jinkludu notifiki individwali lill-votanti u messaġġi mfassla apposta għall-persuni b’diżabilità. Dawn jipprovdu karti elettorali b’lingwa faċli biex tinftiehem u materjal ta’ akkumpanjament faċli biex jinqara, fuq talba tal-votant.</w:t>
      </w:r>
    </w:p>
    <w:p w14:paraId="01341A63" w14:textId="618AB543" w:rsidR="00742678" w:rsidRPr="00B50F49" w:rsidRDefault="00B15B45" w:rsidP="00B42AEB">
      <w:pPr>
        <w:rPr>
          <w:noProof/>
          <w:lang w:val="es-ES"/>
        </w:rPr>
      </w:pPr>
      <w:r w:rsidRPr="00B50F49">
        <w:rPr>
          <w:noProof/>
          <w:lang w:val="es-ES"/>
        </w:rPr>
        <w:t>In-Netherlands jipprovdu lill-muniċipalitajiet u lil sħab oħrajn b’sett ta’ għodod diġitali li jkun fih diversi għodod ta’ komunikazzjoni għall-votanti b’diżabilità. Dan jipprovdi informazzjoni dwar liema faċilitajiet ikunu disponibbli fil-post tal-votazzjoni, sabiex il-votanti jkunu jistgħu jitfgħu l-vot tagħhom b’mod indipendenti. Jipprovdi wkoll informazzjoni dwar l-elezzjonijiet b’lingwa aċċessibbli u b’lingwa tas-sinjali permezz ta’ sit web apposta. Is-sett ta’ għodod fih ukoll verżjoni diġitali aċċessibbli tal-polza tal-votazzjoni, pereżempju. Għall-materjali kollha ta’ komunikazzjoni dwar l-elezzjonijiet, dan jenfasizza l-komunikazzjoni viżwali kemm jista’ jkun u l-użu ta’ lingwaġġ ċar. F’kollaborazzjoni ma’ gruppi ta’ interess, ġew żviluppati materjali ta’ komunikazzjoni li tpoġġew għad-dispożizzjoni tal-persuni b’diżabilità. Dan jinkludi struzzjonijiet dwar kif wieħed għandu jivvota bl-użu ta’ mudell tal-votazzjoni, ta’ fuljett u ta’ gazzetta elettorali għall-votanti b’diżabilità konjittiva (ħafifa), ta’ infografika dwar l-għajnuniet fil-post tal-votazzjoni, ta’ vidjos informattivi bil-lingwa tas-sinjali, ta’ verżjoni diġitali aċċessibbli tal-polza tal-votazzjoni u ta’ prova ta’ prokura disponibbli online, ta’ informazzjoni dwar il-faċilitajiet ta’ aċċessibbiltà fil-postijiet tal-votazzjoni fuq sit web apposta. Barra minn hekk, xi muniċipalitajiet jorganizzaw vot ta’ prova bħala tħejjija għall-elezzjoni biex jagħtu lill-votanti l-opportunità li “jipprattikaw” kif jitfgħu l-vot tagħhom, u biex ikunu jistgħu jivvotaw b’mod indipendenti fil-jum tal-elezzjoni.</w:t>
      </w:r>
    </w:p>
    <w:p w14:paraId="548ECC0D" w14:textId="2158B2E5" w:rsidR="00C40F26" w:rsidRPr="00B50F49" w:rsidRDefault="007E53A1" w:rsidP="00B42AEB">
      <w:pPr>
        <w:rPr>
          <w:noProof/>
          <w:lang w:val="es-ES"/>
        </w:rPr>
      </w:pPr>
      <w:r w:rsidRPr="00B50F49">
        <w:rPr>
          <w:noProof/>
          <w:lang w:val="es-ES"/>
        </w:rPr>
        <w:t>Spanja tipprovdi numru tat-telefown bla ħlas għas-servizz tal-klijenti għal persuni li jippjanaw li jużaw il-proċedura ta’ votazzjoni aċċessibbli - sistema tal-kitba u qari bil-Braille. Dan is-servizz tat-telefown jipprovdi wkoll informazzjoni dwar il-kandidati elettorali u aspetti oħrajn tal-proċedura tal-votazzjoni.</w:t>
      </w:r>
    </w:p>
    <w:p w14:paraId="280F39DD" w14:textId="0A1B5C58" w:rsidR="00825735" w:rsidRPr="00B50F49" w:rsidRDefault="007E53A1" w:rsidP="00B42AEB">
      <w:pPr>
        <w:rPr>
          <w:noProof/>
          <w:lang w:val="es-ES"/>
        </w:rPr>
      </w:pPr>
      <w:r w:rsidRPr="00B50F49">
        <w:rPr>
          <w:noProof/>
          <w:lang w:val="es-ES"/>
        </w:rPr>
        <w:t>L-Iżvezja tipprovdi sit web “li jitkellem” għal persuni b’vista batuta u persuni b’diffikultajiet fil-qari ta’ test (pereżempju, persuni b’dislessija) sabiex ikunu jistgħu jisimgħu l-informazzjoni tinqara.</w:t>
      </w:r>
    </w:p>
    <w:p w14:paraId="3239ABD7" w14:textId="1D0E08EB" w:rsidR="00AC3895" w:rsidRPr="00B50F49" w:rsidRDefault="0099175B" w:rsidP="006B02A7">
      <w:pPr>
        <w:pStyle w:val="Heading2"/>
        <w:spacing w:before="240" w:after="240"/>
        <w:rPr>
          <w:noProof/>
          <w:lang w:val="es-ES"/>
        </w:rPr>
      </w:pPr>
      <w:bookmarkStart w:id="59" w:name="_Toc148718592"/>
      <w:bookmarkStart w:id="60" w:name="_Toc158728563"/>
      <w:r w:rsidRPr="00B50F49">
        <w:rPr>
          <w:noProof/>
          <w:lang w:val="es-ES"/>
        </w:rPr>
        <w:t>6</w:t>
      </w:r>
      <w:r w:rsidR="00B50F49">
        <w:rPr>
          <w:noProof/>
          <w:lang w:val="es-ES"/>
        </w:rPr>
        <w:t>.</w:t>
      </w:r>
      <w:r w:rsidRPr="00B50F49">
        <w:rPr>
          <w:noProof/>
          <w:lang w:val="es-ES"/>
        </w:rPr>
        <w:t>2. L-aċċessibbiltà tar-reklamar politiku</w:t>
      </w:r>
      <w:bookmarkEnd w:id="59"/>
      <w:bookmarkEnd w:id="60"/>
    </w:p>
    <w:p w14:paraId="0FE306DC" w14:textId="02AAFA67" w:rsidR="00C476EE" w:rsidRPr="00166D0F" w:rsidRDefault="00C476EE" w:rsidP="00B42AEB">
      <w:pPr>
        <w:rPr>
          <w:noProof/>
          <w:lang w:val="fr-BE"/>
        </w:rPr>
      </w:pPr>
      <w:r w:rsidRPr="00B50F49">
        <w:rPr>
          <w:noProof/>
          <w:lang w:val="es-ES"/>
        </w:rPr>
        <w:t>Fi Franza, il-kandidati huma mistiedna jagħmlu disponibbli d-dokumenti kollha tal-kampanja elettorali (eżempju fuljetti) simultanjament f’forma stampata fuq karta, fuq sit web (li jissodisfa r-rekwiżiti ta’ aċċessibbiltà legali</w:t>
      </w:r>
      <w:r w:rsidRPr="00B50F49">
        <w:rPr>
          <w:rStyle w:val="FootnoteReference"/>
          <w:noProof/>
          <w:lang w:val="es-ES"/>
        </w:rPr>
        <w:t>(</w:t>
      </w:r>
      <w:r>
        <w:rPr>
          <w:rStyle w:val="FootnoteReference"/>
          <w:noProof/>
        </w:rPr>
        <w:footnoteReference w:id="73"/>
      </w:r>
      <w:r w:rsidR="00B50F49">
        <w:rPr>
          <w:rStyle w:val="FootnoteReference"/>
          <w:noProof/>
          <w:lang w:val="es-ES"/>
        </w:rPr>
        <w:t>)</w:t>
      </w:r>
      <w:r w:rsidRPr="00B50F49">
        <w:rPr>
          <w:noProof/>
          <w:lang w:val="es-ES"/>
        </w:rPr>
        <w:t xml:space="preserve">) u f’format aċċessibbli b’valur probatorju, f’konformità mal-kriterji ta’ aċċessibbiltà tal-Att dwar id-Drittijiet u l-Opportunitajiet Indaqs tal-2005. Dan irid ikun disponibbli wkoll f’verżjoni faċli biex tinqara u li tinftiehem. </w:t>
      </w:r>
      <w:r w:rsidRPr="00166D0F">
        <w:rPr>
          <w:noProof/>
          <w:lang w:val="fr-BE"/>
        </w:rPr>
        <w:t>Dan il-materjal irid ikun disponibbli mill-bidu tal-kampanja elettorali sal-għeluq tal-votazzjoni.</w:t>
      </w:r>
      <w:r w:rsidRPr="00166D0F">
        <w:rPr>
          <w:rStyle w:val="FootnoteReference"/>
          <w:noProof/>
          <w:lang w:val="fr-BE"/>
        </w:rPr>
        <w:t>(</w:t>
      </w:r>
      <w:r>
        <w:rPr>
          <w:rStyle w:val="FootnoteReference"/>
          <w:noProof/>
        </w:rPr>
        <w:footnoteReference w:id="74"/>
      </w:r>
      <w:r w:rsidR="00B50F49">
        <w:rPr>
          <w:rStyle w:val="FootnoteReference"/>
          <w:noProof/>
          <w:lang w:val="fr-BE"/>
        </w:rPr>
        <w:t>)</w:t>
      </w:r>
    </w:p>
    <w:p w14:paraId="5D5B2CA1" w14:textId="1AE79A32" w:rsidR="00C40F26" w:rsidRPr="00166D0F" w:rsidRDefault="00742678" w:rsidP="00B42AEB">
      <w:pPr>
        <w:rPr>
          <w:noProof/>
          <w:lang w:val="fr-BE"/>
        </w:rPr>
      </w:pPr>
      <w:r w:rsidRPr="00166D0F">
        <w:rPr>
          <w:noProof/>
          <w:lang w:val="fr-BE"/>
        </w:rPr>
        <w:t xml:space="preserve">F’diversi Stati Membri, bħall-Ungerija u Spanja, l-isponsers jeħtiġilhom jiżguraw li r-reklamar politiku jkun aċċessibbli. Fil-Litwanja, mill-2019, għal kull elezzjoni, il-Kummissjoni Elettorali Ċentrali tinforma lill-kandidati li għandhom iqisu l-ħtiġijiet tal-votanti b’diżabilità fit-tħejjija tal-materjali elettorali tagħhom. </w:t>
      </w:r>
    </w:p>
    <w:p w14:paraId="09D8B868" w14:textId="3F0BC82E" w:rsidR="00990F3C" w:rsidRPr="00166D0F" w:rsidRDefault="00C40F26" w:rsidP="00B42AEB">
      <w:pPr>
        <w:rPr>
          <w:noProof/>
          <w:lang w:val="fr-BE"/>
        </w:rPr>
      </w:pPr>
      <w:r w:rsidRPr="00166D0F">
        <w:rPr>
          <w:noProof/>
          <w:lang w:val="fr-BE"/>
        </w:rPr>
        <w:t>Fi Spanja, l-organizzazzjonijiet politiċi huma meħtieġa jiżguraw li l-attivitajiet pubbliċi tagħhom ikunu aċċessibbli għall-persuni b’diżabilità u jipprovdu informazzjoni aċċessibbli, kull meta jkun possibbli. Dan jinkludi paġni web, materjali stampati f’formati aċċessibbli għall-persuni b’diżabilità, servizzi ta’ assistenza bit-telefown u formati awdjoviżivi. L-istazzjonijiet nazzjonali tat-televiżjoni u tar-radju li huma proprjetà pubblika huma meħtieġa li jagħmlu disponibbli spazji ħielsa għar-reklamar politiku ta’ kandidati, ta’ partiti politiċi, ta’ federazzjonijiet, ta’ koalizzjonijiet u ta’ gruppi ta’ votanti, li jissodisfaw il-ħtiġijiet speċifiċi ta’ aċċessibbiltà ta’ persuni b’diżabilità.</w:t>
      </w:r>
    </w:p>
    <w:p w14:paraId="7F648CD6" w14:textId="7C464FB7" w:rsidR="0073307C" w:rsidRPr="00166D0F" w:rsidRDefault="00990F3C" w:rsidP="00B42AEB">
      <w:pPr>
        <w:rPr>
          <w:noProof/>
          <w:lang w:val="fr-BE"/>
        </w:rPr>
      </w:pPr>
      <w:r w:rsidRPr="00166D0F">
        <w:rPr>
          <w:noProof/>
          <w:lang w:val="fr-BE"/>
        </w:rPr>
        <w:t>Għall-elezzjonijiet tal-2019 għall-Parlament Ewropew, l-Assoċjazzjoni Ġermaniża għall-Persuni Għomja u b’Vista Batuta ttestjat l-użu u l-leġġibbiltà tal-materjali użati fil-kampanja elettorali għall-utenti ta’ qarrej tal-iskrin. Huma kklassifikaw il-materjali skont kriterji stabbiliti u bagħtu r-riżultati ta’ din il-valutazzjoni lill-partiti politiċi li kienu qed jikkandidaw għall-elezzjoni.</w:t>
      </w:r>
      <w:r w:rsidRPr="00166D0F">
        <w:rPr>
          <w:rStyle w:val="FootnoteReference"/>
          <w:noProof/>
          <w:lang w:val="fr-BE"/>
        </w:rPr>
        <w:t>(</w:t>
      </w:r>
      <w:r>
        <w:rPr>
          <w:rStyle w:val="FootnoteReference"/>
          <w:noProof/>
        </w:rPr>
        <w:footnoteReference w:id="75"/>
      </w:r>
      <w:r w:rsidR="00B50F49">
        <w:rPr>
          <w:rStyle w:val="FootnoteReference"/>
          <w:noProof/>
          <w:lang w:val="fr-BE"/>
        </w:rPr>
        <w:t>)</w:t>
      </w:r>
    </w:p>
    <w:p w14:paraId="29BAD056" w14:textId="3CB6C5C6" w:rsidR="008D65A6" w:rsidRPr="00166D0F" w:rsidRDefault="00DE389B" w:rsidP="006B02A7">
      <w:pPr>
        <w:pStyle w:val="Heading1"/>
        <w:spacing w:before="360" w:after="240" w:line="288" w:lineRule="auto"/>
        <w:rPr>
          <w:noProof/>
          <w:lang w:val="fr-BE"/>
        </w:rPr>
      </w:pPr>
      <w:bookmarkStart w:id="61" w:name="_Toc148718593"/>
      <w:bookmarkStart w:id="62" w:name="_Toc158728564"/>
      <w:r w:rsidRPr="00166D0F">
        <w:rPr>
          <w:noProof/>
          <w:lang w:val="fr-BE"/>
        </w:rPr>
        <w:t>7. Disinn universali u akkomodazzjoni raġonevoli fiċ-ċiklu elettorali - proċeduri, faċilitajiet u materjali</w:t>
      </w:r>
      <w:bookmarkEnd w:id="61"/>
      <w:bookmarkEnd w:id="62"/>
    </w:p>
    <w:p w14:paraId="6CBB9A35" w14:textId="63F399AD" w:rsidR="00E77382" w:rsidRPr="00166D0F" w:rsidRDefault="0099175B" w:rsidP="006B02A7">
      <w:pPr>
        <w:pStyle w:val="Heading2"/>
        <w:spacing w:before="0" w:after="240"/>
        <w:rPr>
          <w:noProof/>
          <w:lang w:val="fr-BE"/>
        </w:rPr>
      </w:pPr>
      <w:bookmarkStart w:id="63" w:name="_Toc148718594"/>
      <w:bookmarkStart w:id="64" w:name="_Toc158728565"/>
      <w:r w:rsidRPr="00166D0F">
        <w:rPr>
          <w:noProof/>
          <w:lang w:val="fr-BE"/>
        </w:rPr>
        <w:t>7</w:t>
      </w:r>
      <w:r w:rsidR="00042F9F">
        <w:rPr>
          <w:noProof/>
          <w:lang w:val="fr-BE"/>
        </w:rPr>
        <w:t>.</w:t>
      </w:r>
      <w:r w:rsidRPr="00166D0F">
        <w:rPr>
          <w:noProof/>
          <w:lang w:val="fr-BE"/>
        </w:rPr>
        <w:t xml:space="preserve">1. </w:t>
      </w:r>
      <w:bookmarkEnd w:id="63"/>
      <w:r w:rsidRPr="00166D0F">
        <w:rPr>
          <w:noProof/>
          <w:lang w:val="fr-BE"/>
        </w:rPr>
        <w:t>Proċeduri ta’ reġistrazzjoni</w:t>
      </w:r>
      <w:bookmarkEnd w:id="64"/>
    </w:p>
    <w:p w14:paraId="4EC47BED" w14:textId="15E12600" w:rsidR="001726FB" w:rsidRPr="00166D0F" w:rsidRDefault="009E6BD5" w:rsidP="00B42AEB">
      <w:pPr>
        <w:rPr>
          <w:noProof/>
          <w:lang w:val="fr-BE"/>
        </w:rPr>
      </w:pPr>
      <w:r w:rsidRPr="00166D0F">
        <w:rPr>
          <w:noProof/>
          <w:lang w:val="fr-BE"/>
        </w:rPr>
        <w:t>L-użu ta’ proċeduri ta’ reġistrazzjoni fil-proċess elettorali, irrispettivament mill-iskop tagħhom, jipprovdi opportunitajiet kritiċi għall-iffaċilitar tal-interazzjonijiet bejn il-persuni b’diżabilità u l-awtoritajiet kompetenti, inkluż permezz ta’ għodod u mezzi aċċessibbli differenti, bħal karti aċċessibbli u forom diġitali. Meta r-reġistrazzjoni ssir personalment, l-aċċessibbiltà tal-postijiet u l-informazzjoni hija ta’ importanza kbira.</w:t>
      </w:r>
    </w:p>
    <w:p w14:paraId="79621768" w14:textId="3FFBBD8B" w:rsidR="00C64C88" w:rsidRPr="00166D0F" w:rsidRDefault="00EF4A32" w:rsidP="00B42AEB">
      <w:pPr>
        <w:rPr>
          <w:noProof/>
          <w:lang w:val="fr-BE"/>
        </w:rPr>
      </w:pPr>
      <w:r w:rsidRPr="00166D0F">
        <w:rPr>
          <w:noProof/>
          <w:lang w:val="fr-BE"/>
        </w:rPr>
        <w:t>Fil-biċċa l-kbira tal-Istati Membri, ir-reġistrazzjoni tal-votanti fl-elezzjonijiet nazzjonali hija awtomatika. Żewġ Stati Membri, Ċipru u l-Irlanda, jużaw reġistrazzjoni attiva tal-votant, filwaqt li oħrajn jużaw għodod online biex jirreġistraw il-preferenza jew id-dritt għal proċedura speċifika ta’ votazzjoni, bħall-votazzjoni bil-posta jew il-votazzjoni mobbli. Sabiex jiġi ffaċilitat l-użu ta’ dawn l-għodod, l-Istati Membri implimentaw ir-rekwiżiti ta’ aċċessibbiltà u żguraw li l-kontenut online huwa aċċessibbli minn firxa ta’ apparati. Dawn żviluppaw ukoll formoli ssimplifikati b’lingwaġġ ċar u ffokat fuq l-utent. F’Ċipru, l-uffiċċji tal-Amministrazzjonijiet Distrettwali li jittrattaw l-applikazzjonijiet ta’ reġistrazzjoni fir-reġistri elettorali huma aċċessibbli għall-persuni b’diżabilità. L-għoti ta’ informazzjoni aċċessibbli dwar ir-reġistrazzjoni tal-votanti, kif isir minn diversi Stati Membri bħal-Lussemburgu, huwa kruċjali wkoll biex jiġi ffaċilitat dan il-proċess.</w:t>
      </w:r>
    </w:p>
    <w:p w14:paraId="719DA231" w14:textId="61B678BD" w:rsidR="008F291D" w:rsidRPr="00166D0F" w:rsidRDefault="00F3686B" w:rsidP="00B42AEB">
      <w:pPr>
        <w:rPr>
          <w:noProof/>
          <w:lang w:val="fr-BE"/>
        </w:rPr>
      </w:pPr>
      <w:r w:rsidRPr="00166D0F">
        <w:rPr>
          <w:noProof/>
          <w:lang w:val="fr-BE"/>
        </w:rPr>
        <w:t>F’xi Stati Membri, il-kandidati jistgħu jibbenefikaw minn appoġġ speċifiku, bħal għotjiet żgħar għall-interpretazzjoni u t-trasport tas-sinjali, li jistgħu jiffaċilitaw is-sottomissjoni ta’ dokumenti fejn dan isir personalment biss. Fi Stati Membri oħrajn, bħar-Rumanija</w:t>
      </w:r>
      <w:r w:rsidRPr="00166D0F">
        <w:rPr>
          <w:rStyle w:val="FootnoteReference"/>
          <w:noProof/>
          <w:lang w:val="fr-BE"/>
        </w:rPr>
        <w:t>(</w:t>
      </w:r>
      <w:r>
        <w:rPr>
          <w:rStyle w:val="FootnoteReference"/>
          <w:noProof/>
        </w:rPr>
        <w:footnoteReference w:id="76"/>
      </w:r>
      <w:r w:rsidR="00B50F49">
        <w:rPr>
          <w:rStyle w:val="FootnoteReference"/>
          <w:noProof/>
          <w:lang w:val="fr-BE"/>
        </w:rPr>
        <w:t>)</w:t>
      </w:r>
      <w:r w:rsidRPr="00166D0F">
        <w:rPr>
          <w:noProof/>
          <w:lang w:val="fr-BE"/>
        </w:rPr>
        <w:t>, il-kandidati jistgħu wkoll jiġbru firem ta’ appoġġ permezz ta’ mezzi elettroniċi.</w:t>
      </w:r>
    </w:p>
    <w:p w14:paraId="1A615D0A" w14:textId="3770EBB7" w:rsidR="00F42B95" w:rsidRPr="00166D0F" w:rsidRDefault="0099175B" w:rsidP="006B02A7">
      <w:pPr>
        <w:pStyle w:val="Heading2"/>
        <w:spacing w:before="240" w:after="240"/>
        <w:rPr>
          <w:noProof/>
          <w:lang w:val="fr-BE"/>
        </w:rPr>
      </w:pPr>
      <w:bookmarkStart w:id="65" w:name="_Toc148715289"/>
      <w:bookmarkStart w:id="66" w:name="_Toc148718595"/>
      <w:bookmarkStart w:id="67" w:name="_Toc158728566"/>
      <w:r w:rsidRPr="00166D0F">
        <w:rPr>
          <w:noProof/>
          <w:lang w:val="fr-BE"/>
        </w:rPr>
        <w:t>7</w:t>
      </w:r>
      <w:r w:rsidR="00042F9F">
        <w:rPr>
          <w:noProof/>
          <w:lang w:val="fr-BE"/>
        </w:rPr>
        <w:t>.</w:t>
      </w:r>
      <w:r w:rsidRPr="00166D0F">
        <w:rPr>
          <w:noProof/>
          <w:lang w:val="fr-BE"/>
        </w:rPr>
        <w:t>2. Iż-żieda fl-aċċessibbiltà tal-postijiet tal-votazzjoni, tal-kabini tal-votazzjoni u tal-kaxxi tal-voti</w:t>
      </w:r>
      <w:bookmarkEnd w:id="65"/>
      <w:bookmarkEnd w:id="66"/>
      <w:bookmarkEnd w:id="67"/>
    </w:p>
    <w:p w14:paraId="71544D5C" w14:textId="0ECC3968" w:rsidR="00626892" w:rsidRPr="00166D0F" w:rsidRDefault="002B2D35" w:rsidP="00B42AEB">
      <w:pPr>
        <w:rPr>
          <w:noProof/>
          <w:lang w:val="fr-BE"/>
        </w:rPr>
      </w:pPr>
      <w:r w:rsidRPr="00166D0F">
        <w:rPr>
          <w:noProof/>
          <w:lang w:val="fr-BE"/>
        </w:rPr>
        <w:t>Il-biċċa l-kbira tal-Istati Membri adottaw diversi rekwiżiti biex jiżguraw li l-persuni b’diżabilità jkunu jistgħu jivvotaw fil-post tal-votazzjoni. Ir-rekwiżiti jkopru aspetti differenti tal-proċess tal-votazzjoni u l-interazzjonijiet mal-votanti b’diżabilità fil-bini tal-votazzjoni, il-materjali elettorali u l-persunal elettorali</w:t>
      </w:r>
      <w:r w:rsidRPr="00166D0F">
        <w:rPr>
          <w:rStyle w:val="FootnoteReference"/>
          <w:noProof/>
          <w:lang w:val="fr-BE"/>
        </w:rPr>
        <w:t>(</w:t>
      </w:r>
      <w:r>
        <w:rPr>
          <w:rStyle w:val="FootnoteReference"/>
          <w:noProof/>
        </w:rPr>
        <w:footnoteReference w:id="77"/>
      </w:r>
      <w:r w:rsidR="00B50F49">
        <w:rPr>
          <w:rStyle w:val="FootnoteReference"/>
          <w:noProof/>
          <w:lang w:val="fr-BE"/>
        </w:rPr>
        <w:t>)</w:t>
      </w:r>
      <w:r w:rsidRPr="00166D0F">
        <w:rPr>
          <w:noProof/>
          <w:lang w:val="fr-BE"/>
        </w:rPr>
        <w:t>. Dan jinkludi l-wasla u d-dħul fil-post tal-votazzjoni, l-identifikazzjoni tal-votant, l-iffirmar fuq reġistru elettorali, jew bl-idejn jew b’mod elettroniku, id-dħul f’kabina tal-votazzjoni, il-votazzjoni fuq poloz ibbażati fuq karta jew fuq magni tal-vot, id-dħul tal-polza bbażata fuq karta f’kaxxa tal-voti u l-ħruġ mill-post tal-votazzjoni. Diversi Stati Membri pprovdew linji gwida u listi ta’ kontroll iddettaljati, li ta’ spiss ġew żviluppati flimkien ma’ organizzazzjonijiet tad-diżabilità, li jkopru kriterji li jvarjaw mill-aċċessibbiltà bit-trasport pubbliku sa jekk hemmx rampi u politiki ta’ qbiż tal-kju. Pereżempju, Malta tiffaċilita l-votazzjoni minn persuni b’diżabilità billi tippermettilhom prijorità fil-kju (f’ħinijiet speċifiċi) fil-post tal-votazzjoni rispettiv tagħhom.</w:t>
      </w:r>
    </w:p>
    <w:p w14:paraId="25A72D5C" w14:textId="1133EC13" w:rsidR="002B44F6" w:rsidRPr="00166D0F" w:rsidRDefault="002B44F6" w:rsidP="00B42AEB">
      <w:pPr>
        <w:rPr>
          <w:b/>
          <w:noProof/>
          <w:lang w:val="fr-BE"/>
        </w:rPr>
      </w:pPr>
      <w:r w:rsidRPr="00166D0F">
        <w:rPr>
          <w:noProof/>
          <w:lang w:val="fr-BE"/>
        </w:rPr>
        <w:t>F’xi Stati Membri, bħall-Awstrija</w:t>
      </w:r>
      <w:r w:rsidRPr="00166D0F">
        <w:rPr>
          <w:rStyle w:val="FootnoteReference"/>
          <w:noProof/>
          <w:lang w:val="fr-BE"/>
        </w:rPr>
        <w:t>(</w:t>
      </w:r>
      <w:r>
        <w:rPr>
          <w:rStyle w:val="FootnoteReference"/>
          <w:noProof/>
        </w:rPr>
        <w:footnoteReference w:id="78"/>
      </w:r>
      <w:r w:rsidR="00B50F49">
        <w:rPr>
          <w:rStyle w:val="FootnoteReference"/>
          <w:noProof/>
          <w:lang w:val="fr-BE"/>
        </w:rPr>
        <w:t>)</w:t>
      </w:r>
      <w:r w:rsidRPr="00166D0F">
        <w:rPr>
          <w:noProof/>
          <w:lang w:val="fr-BE"/>
        </w:rPr>
        <w:t xml:space="preserve"> u l-Ungerija, kull muniċipalità trid tipprovdi mill-anqas post tal-votazzjoni wieħed mingħajr ostakli. Fi Stati Membri oħrajn, huwa obbligatorju li l-postijiet tal-votazzjoni kollha jkunu magħmula aċċessibbli, bħal fi Franza, fin-Netherlands, fi Spanja u fis-Slovenja. Stati Membri oħrajn, bħall-Greċja, qed ifittxu, skont il-Pjan ta’ Azzjoni Nazzjonali għall-persuni b’diżabilità, li joħolqu reġistru ta’ bini aċċessibbli fil-livell tal-muniċipalità (l-ewwel grad ta’ gvern lokali), li se jintuża wkoll bħala postijiet tal-votazzjoni. Fi Stati Membri oħrajn, bħall-Irlanda, l-uffiċjali elettorali huma meħtieġa jagħmlu l-arranġamenti meħtieġa biex jiżguraw li l-postijiet tal-votazzjoni jkunu aċċessibbli, li jinkludi li jkunu pprovduti f’kull post tal-votazzjoni mejda u siġġu xierqa, li huma ppożizzjonati sabiex tiġi żgurata s-segretezza tal-votazzjoni u tiġi pprovduta pożizzjoni aktar konvenjenti għall-votanti li jużaw is-siġġijiet tar-roti, li għandhom diżabilità fiżika, vista batuta jew votanti aktar imdaħħla fl-età.</w:t>
      </w:r>
    </w:p>
    <w:p w14:paraId="3A607801" w14:textId="717FE1BA" w:rsidR="005C7F85" w:rsidRPr="00166D0F" w:rsidRDefault="00EA3DF5" w:rsidP="00B42AEB">
      <w:pPr>
        <w:rPr>
          <w:noProof/>
          <w:lang w:val="fr-BE"/>
        </w:rPr>
      </w:pPr>
      <w:r w:rsidRPr="00166D0F">
        <w:rPr>
          <w:noProof/>
          <w:lang w:val="fr-BE"/>
        </w:rPr>
        <w:t xml:space="preserve">F’diversi Stati Membri, l-ispazji tal-parkeġġ ħdejn il-postijiet tal-votazzjoni jridu jikkonformaw ma’ rekwiżiti stretti f’termini tas-sinjalar u l-wiċċ tagħhom, bħall-Belġju, il-Lussemburgu u n-Netherlands. Il-postijiet tal-votazzjoni jridu jkunu aċċessibbli bit-trasport pubbliku. Il-persuni b’diżabilità, inklużi l-utenti tas-siġġijiet tar-roti, jeħtiġilhom ikunu jistgħu jidħlu, jiċċaqilqu u joħorġu mill-postijiet tal-votazzjoni f’kundizzjonijiet normali ta’ tħaddim, jekk ikun meħtieġ, billi jagħmlu arranġamenti temporanji jew permanenti (bħal fil-Belġju, fil-Ġermanja, fid-Danimarka, fl-Estonja, fi Franza, fil-Finlandja, fl-Irlanda, fil-Litwanja, fil-Lussemburgu, fin-Netherlands, fir-Rumanija, fl-Iżvezja u fis-Slovenja). Dan jinkludi l-użu ta’ prijorità ta’ bini b’sular wieħed, fetħiet kbar tal-bibien li jitħaddmu awtomatikament jew faċilment, rampi b’inklinazzjoni baxxa, poġġamani kontinwi, żoni ta’ mmanuvrar ċatti quddiem il-bibien, kurituri wiesgħa biżżejjed, rotot mingħajr ostakli, dawl adegwat, siġġijiet fiż-żona ta’ stennija, sinjalar adattat, mogħdijiet ta’ gwida, sinjali ta’ kodifikazzjoni tal-kuluri u mezzi xierqa oħrajn biex jiggwidaw lill-votanti b’vista batuta. Stati Membri oħrajn, bħal Franza, id-Danimarka, il-Lussemburgu, in-Netherlands u Spanja jippermettu wkoll lill-persuni b’diżabilità jidħlu bil-klieb ta’ gwida u bil-klieb ta’ assistenza tagħhom. </w:t>
      </w:r>
    </w:p>
    <w:p w14:paraId="2169E13B" w14:textId="2D29F924" w:rsidR="005A2789" w:rsidRPr="00166D0F" w:rsidRDefault="00722578" w:rsidP="00B42AEB">
      <w:pPr>
        <w:rPr>
          <w:noProof/>
          <w:lang w:val="fr-BE"/>
        </w:rPr>
      </w:pPr>
      <w:r w:rsidRPr="00166D0F">
        <w:rPr>
          <w:noProof/>
          <w:lang w:val="fr-BE"/>
        </w:rPr>
        <w:t>Xi Stati Membri, bħall-Belġju, Spanja</w:t>
      </w:r>
      <w:r w:rsidRPr="00166D0F">
        <w:rPr>
          <w:noProof/>
          <w:vertAlign w:val="superscript"/>
          <w:lang w:val="fr-BE"/>
        </w:rPr>
        <w:t>(</w:t>
      </w:r>
      <w:r>
        <w:rPr>
          <w:rStyle w:val="FootnoteReference"/>
          <w:noProof/>
        </w:rPr>
        <w:footnoteReference w:id="79"/>
      </w:r>
      <w:r w:rsidRPr="00166D0F">
        <w:rPr>
          <w:noProof/>
          <w:vertAlign w:val="superscript"/>
          <w:lang w:val="fr-BE"/>
        </w:rPr>
        <w:t xml:space="preserve">) </w:t>
      </w:r>
      <w:r w:rsidRPr="00166D0F">
        <w:rPr>
          <w:noProof/>
          <w:lang w:val="fr-BE"/>
        </w:rPr>
        <w:t>u r-Rumanija</w:t>
      </w:r>
      <w:r w:rsidRPr="00166D0F">
        <w:rPr>
          <w:rStyle w:val="FootnoteReference"/>
          <w:noProof/>
          <w:lang w:val="fr-BE"/>
        </w:rPr>
        <w:t>(</w:t>
      </w:r>
      <w:r>
        <w:rPr>
          <w:rStyle w:val="FootnoteReference"/>
          <w:noProof/>
        </w:rPr>
        <w:footnoteReference w:id="80"/>
      </w:r>
      <w:r w:rsidR="00B50F49">
        <w:rPr>
          <w:rStyle w:val="FootnoteReference"/>
          <w:noProof/>
          <w:lang w:val="fr-BE"/>
        </w:rPr>
        <w:t>)</w:t>
      </w:r>
      <w:r w:rsidRPr="00166D0F">
        <w:rPr>
          <w:noProof/>
          <w:lang w:val="fr-BE"/>
        </w:rPr>
        <w:t>, stabbilew l-ispeċifikazzjonijiet tekniċi tal-kabini tal-votazzjoni skont il-liġi. Il-kabini tal-votazzjoni jridu jkunu mfassla biex jissodisfaw il-ħtiġijiet tal-persuni b’diżabilità, b’mod partikolari l-utenti tas-siġġijiet tar-roti. Fil-Lussemburgu, fi Franza u fl-Italja, pereżempju, waħda mill-kabini li għandhom jiġu stabbiliti f’kull post tal-votazzjoni trid titfassal għal aċċess minn persuni b’diżabilità. Dan ifisser li jrid ikollhom daqs minimu, jitqiegħdu f’żona li tippermetti biżżejjed spazju ta’ rotazzjoni u jiġu pprovduti b’karatteristiċi speċifiċi, bħal vireg ta’ appoġġ orizzontali, imwejjed jew xkafef f’ċertu għoli jew aġġustabbli bi spazju suffiċjenti għas-saqajn, u dawl suffiċjenti. Xi Stati Membri, bħan-Netherlands, jagħmlu disponibbli wkoll lentijiet li jkabbru għall-qari bid-dawl. Għodod oħrajn użati għall-votazzjoni, bħal pinen jew lapsijiet, iridu jkunu faċilment aċċessibbli għall-persuni b’diżabilità.</w:t>
      </w:r>
    </w:p>
    <w:p w14:paraId="0AD2DFFB" w14:textId="7AD8ECED" w:rsidR="00F8466F" w:rsidRPr="00166D0F" w:rsidRDefault="00E0730B" w:rsidP="00B42AEB">
      <w:pPr>
        <w:rPr>
          <w:noProof/>
          <w:lang w:val="fr-BE"/>
        </w:rPr>
      </w:pPr>
      <w:r w:rsidRPr="00166D0F">
        <w:rPr>
          <w:noProof/>
          <w:lang w:val="fr-BE"/>
        </w:rPr>
        <w:t>L-aċċessibbiltà tal-kaxxi tal-voti hija importanti wkoll meta l-votanti jkollhom bżonn idaħħlu l-poloz tagħhom fil-kaxxa tal-voti huma stess. Il-kaxxa tal-vot trid tkun tista’ tintgħaraf faċilment u titqiegħed f’żona li tippermetti aċċess mhux ostakolat u spazju suffiċjenti ta’ mmanuvrar. Il-fetħa tal-kaxxa tal-voti u l-kontrolli tal-magni tal-votazzjoni elettroniċi jridu jitqiegħdu f’ċertu għoli. Irid ikun hemm disponibbli tarġa għal persuni li ma jkunux jistgħu jilħqu x-xaqq tal-kaxxa tal-voti filwaqt li din tkun tikkonforma wkoll mar-rekwiżiti tas-sikurezza. Fi Franza, pereżempju, il-liġi tirrikjedi li l-kaxxa tal-voti f’kull post tal-votazzjoni trid tkun aċċessibbli wkoll għall-utenti tas-siġġijiet tar-roti.</w:t>
      </w:r>
    </w:p>
    <w:p w14:paraId="45D3DB32" w14:textId="71B1D0FB" w:rsidR="00005528" w:rsidRPr="00166D0F" w:rsidRDefault="00005528" w:rsidP="00B42AEB">
      <w:pPr>
        <w:rPr>
          <w:noProof/>
          <w:lang w:val="fr-BE"/>
        </w:rPr>
      </w:pPr>
      <w:r w:rsidRPr="00166D0F">
        <w:rPr>
          <w:noProof/>
          <w:lang w:val="fr-BE"/>
        </w:rPr>
        <w:t>F’xi Stati Membri (bħall-Estonja), il-postijiet tal-votazzjoni huma mgħammra bi mwejjed u bi skrins li jippermettu lill-votanti jimlew il-polza tal-votazzjoni waqt li jkunu bilqiegħda jew f’siġġu tar-roti. Jiġu pprovduti lentijiet li jkabbru biex jgħinu lill-votanti jimlew il-polza tal-votazzjoni u jaqraw il-lista tal-kandidati. Huma disponibbli servizzi ta’ traduzzjoni bil-lingwa tas-sinjali mill-bogħod, li jippermettu lill-votanti jitkellmu bil-lingwa tas-sinjali jikkomunikaw aktar faċilment mal-membri tal-kumitat distrettwali tal-votazzjoni. Fi Franza, sabiex il-persuni għomja jew b’vista batuta jitħallew jiffirmaw fil-post it-tajjeb fuq ir-reġistri elettorali jew fuq il-folji tal-attendenza, huwa rrakkomandat l-użu ta’ għajnuna għall-firma b’kulur kontrastanti (tieqa fuq riga żgħira tal-plastik).</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L-istampa tippreżenta mudell tal-polza tal-votazzjoni użata fl-Awstr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B50F49" w:rsidRDefault="00B42AEB" w:rsidP="007F0EBB">
      <w:pPr>
        <w:pStyle w:val="Caption"/>
        <w:rPr>
          <w:noProof/>
          <w:lang w:val="es-ES"/>
        </w:rPr>
      </w:pPr>
      <w:r w:rsidRPr="00B50F49">
        <w:rPr>
          <w:noProof/>
          <w:lang w:val="es-ES"/>
        </w:rPr>
        <w:t>Mudell tal-Polza tal-Votazzjoni użata fl-Awstrija.</w:t>
      </w:r>
    </w:p>
    <w:p w14:paraId="5F247431" w14:textId="6BB7D2A7" w:rsidR="00F53BDC" w:rsidRPr="00166D0F" w:rsidRDefault="002052F5" w:rsidP="006B02A7">
      <w:pPr>
        <w:pStyle w:val="Heading2"/>
        <w:spacing w:before="240" w:after="240"/>
        <w:rPr>
          <w:noProof/>
          <w:lang w:val="fr-BE"/>
        </w:rPr>
      </w:pPr>
      <w:bookmarkStart w:id="70" w:name="_Toc158728567"/>
      <w:r w:rsidRPr="00166D0F">
        <w:rPr>
          <w:noProof/>
          <w:lang w:val="fr-BE"/>
        </w:rPr>
        <w:t>7.3 Żieda fl-aċċessibbiltà tal-poloz tal-votazzjoni</w:t>
      </w:r>
      <w:bookmarkEnd w:id="68"/>
      <w:bookmarkEnd w:id="69"/>
      <w:bookmarkEnd w:id="70"/>
    </w:p>
    <w:p w14:paraId="1A770A21" w14:textId="339E9D96" w:rsidR="00B42AEB" w:rsidRPr="00166D0F" w:rsidRDefault="00386D1A" w:rsidP="00B42AEB">
      <w:pPr>
        <w:rPr>
          <w:noProof/>
          <w:lang w:val="fr-BE"/>
        </w:rPr>
      </w:pPr>
      <w:r w:rsidRPr="00166D0F">
        <w:rPr>
          <w:noProof/>
          <w:lang w:val="fr-BE"/>
        </w:rPr>
        <w:t>Fl-Awstrija, fid-Danimarka</w:t>
      </w:r>
      <w:r w:rsidRPr="00166D0F">
        <w:rPr>
          <w:rStyle w:val="FootnoteReference"/>
          <w:noProof/>
          <w:lang w:val="fr-BE"/>
        </w:rPr>
        <w:t>(</w:t>
      </w:r>
      <w:r>
        <w:rPr>
          <w:rStyle w:val="FootnoteReference"/>
          <w:noProof/>
        </w:rPr>
        <w:footnoteReference w:id="81"/>
      </w:r>
      <w:r w:rsidR="00B50F49">
        <w:rPr>
          <w:rStyle w:val="FootnoteReference"/>
          <w:noProof/>
          <w:lang w:val="fr-BE"/>
        </w:rPr>
        <w:t>)</w:t>
      </w:r>
      <w:r w:rsidRPr="00166D0F">
        <w:rPr>
          <w:noProof/>
          <w:lang w:val="fr-BE"/>
        </w:rPr>
        <w:t>, fl-Ungerija, fil-Lussemburgu</w:t>
      </w:r>
      <w:r w:rsidRPr="00166D0F">
        <w:rPr>
          <w:rStyle w:val="FootnoteReference"/>
          <w:noProof/>
          <w:lang w:val="fr-BE"/>
        </w:rPr>
        <w:t>(</w:t>
      </w:r>
      <w:r>
        <w:rPr>
          <w:rStyle w:val="FootnoteReference"/>
          <w:noProof/>
        </w:rPr>
        <w:footnoteReference w:id="82"/>
      </w:r>
      <w:r w:rsidR="00B50F49">
        <w:rPr>
          <w:rStyle w:val="FootnoteReference"/>
          <w:noProof/>
          <w:lang w:val="fr-BE"/>
        </w:rPr>
        <w:t>)</w:t>
      </w:r>
      <w:r w:rsidRPr="00166D0F">
        <w:rPr>
          <w:noProof/>
          <w:lang w:val="fr-BE"/>
        </w:rPr>
        <w:t>, fil-Ġermanja, fis-Slovenja, fl-Irlanda, fil-Portugall u fi Spanja, il-postijiet tal-votazzjoni jridu jiġu pprovduti b’mudelli speċjali għal poloz ibbażati fuq il-karta, inkluż bil-Braille. Fin-Netherlands u f’Malta, dawn il-mudelli huma akkumpanjati wkoll minn appoġġ awdjo jew minn materjal ta’ spjegazzjoni fuq karta, bħal fil-Portugall u fi Spanja, li jispjega kif jintuża l-istensil, kif hija strutturata l-polza tal-votazzjoni, liema kandidati u partiti jkunu ħierġa għall-elezzjoni u liema toqba fl-istensil għandha tintuża għal kull kandidat.</w:t>
      </w:r>
    </w:p>
    <w:p w14:paraId="3AD5F5C0" w14:textId="2396D488" w:rsidR="005B294B" w:rsidRPr="00166D0F" w:rsidRDefault="00905FF2" w:rsidP="00B42AEB">
      <w:pPr>
        <w:rPr>
          <w:noProof/>
          <w:lang w:val="fr-BE"/>
        </w:rPr>
      </w:pPr>
      <w:r w:rsidRPr="00166D0F">
        <w:rPr>
          <w:noProof/>
          <w:lang w:val="fr-BE"/>
        </w:rPr>
        <w:t>Fl-Irlanda, l-użu tal-mudell bil-Braille huwa appoġġat minn linja tat-telefown li l-votanti jistgħu jċemplu biex jisimgħu kif inhi mqassma l-polza tal-votazzjoni u l-ordni tal-kandidati. Fl-Awstrija, wara bidliet leġiżlattivi reċenti, il-polza tal-votazzjoni tjiebet billi żdiedet parti li tinħass differenti fuq naħa waħda għal persuni b’vista batuta u l-pajjiż qed jippjana wkoll li jdaħħal mudell tal-karta tal-vot. Iċ-Ċekja tipprovdi kodiċijiet QR fuq l-istruzzjonijiet tal-votazzjoni mehmuża mal-poloz li jintbagħtu bil-posta, bil-kodiċijiet QR li jwasslu għal vidjo bil-lingwa tas-sinjali. Għodod ta’ assistenza, bħal lentijiet għall-qari li jkabbru, huma disponibbli għall-votanti b’diżabilità f’diversi Stati Membri, bħall-Belġju u n-Netherlands.</w:t>
      </w:r>
    </w:p>
    <w:p w14:paraId="1A117F92" w14:textId="61635AD3" w:rsidR="00B77091" w:rsidRPr="00166D0F" w:rsidRDefault="00B77091" w:rsidP="00B42AEB">
      <w:pPr>
        <w:rPr>
          <w:noProof/>
          <w:lang w:val="fr-BE"/>
        </w:rPr>
      </w:pPr>
      <w:r w:rsidRPr="00166D0F">
        <w:rPr>
          <w:noProof/>
          <w:lang w:val="fr-BE"/>
        </w:rPr>
        <w:t>Fid-Danimarka, il-votanti li jeħtieġu assistenza biex jitfgħu l-vot tagħhom waħedhom jistgħu jużaw għajnuniet tekniċi bħal pinna sewda aktar ħoxna li tgħin lill-votant jara fejn għandu jimmarka l-polza tal-votazzjoni, lenti li tkabbar biex tkabbar il-polza tal-votazzjoni u tagħmilha aktar faċli li tinqara, u lampa LED għal dawl aħjar, li hija ta’ għajnuna għal kwalunkwe persuna b’vista mnaqqsa. Il-votant jista’ jikkontrolla l-luminożità, il-kulur u l-output tad-dawl tal-lampa. Dawn l-għodod huma kkomplementati minn CCTV (televiżjoni b’ċirkwit magħluq), li huwa tip speċjali ta’ lenti li tkabbar, li jkabbar il-polza tal-votazzjoni fuq skrin u fejn il-votant jista’ jaġġusta t-tkabbir u l-kuntrast. Barra minn hekk, irid ikun hemm mejda aġġustabbli, li tippermetti lill-votanti f’siġġu tar-roti jimlew il-polza tal-votazzjoni.</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L-istampa tippreżenta fowlders tal-polza tal-votazzjoni użati fil-Litwan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B50F49" w:rsidRDefault="00B42AEB" w:rsidP="007F0EBB">
      <w:pPr>
        <w:pStyle w:val="Caption"/>
        <w:rPr>
          <w:noProof/>
          <w:lang w:val="es-ES"/>
        </w:rPr>
      </w:pPr>
      <w:r w:rsidRPr="00B50F49">
        <w:rPr>
          <w:noProof/>
          <w:lang w:val="es-ES"/>
        </w:rPr>
        <w:t>Fowlders tal-polza tal-votazzjoni użati fil-Litwanja.</w:t>
      </w:r>
    </w:p>
    <w:p w14:paraId="3F2088A4" w14:textId="0A322D57" w:rsidR="00202542" w:rsidRPr="00166D0F" w:rsidRDefault="0064747E" w:rsidP="00B42AEB">
      <w:pPr>
        <w:rPr>
          <w:noProof/>
          <w:lang w:val="fr-BE"/>
        </w:rPr>
      </w:pPr>
      <w:r w:rsidRPr="00B50F49">
        <w:rPr>
          <w:noProof/>
          <w:lang w:val="es-ES"/>
        </w:rPr>
        <w:t xml:space="preserve">Il-Litwanja tagħmel disponibbli fowlders tal-poloz immarkati bil-Braille, li fihom il-votanti jistgħu jqiegħdu l-poloz standard ibbażati fuq il-karta. F’Malta, kull post tal-votazzjoni huwa mgħammar b’apparat awdjo li jaqra l-kontenut tal-polza. Fin-Netherlands, iċ-ċittadini li jivvotaw minn barra jużaw polza tal-votazzjoni mnaqqsa. Huma jistgħu jagħżlu jekk iridux jirċievu l-polza tal-votazzjoni bil-posta jew bil-posta elettronika. </w:t>
      </w:r>
      <w:r w:rsidRPr="00166D0F">
        <w:rPr>
          <w:noProof/>
          <w:lang w:val="fr-BE"/>
        </w:rPr>
        <w:t>Jintbagħat dokument mal-partijiet u mal-kandidati flimkien mal-polza tal-votazzjoni. Listi ta’ kandidati b’format kbir jiġu ppubblikati fil-postijiet tal-votazzjoni kollha.</w:t>
      </w:r>
    </w:p>
    <w:p w14:paraId="3994C551" w14:textId="79973A86" w:rsidR="00E972D7" w:rsidRPr="00166D0F" w:rsidRDefault="00A4693C" w:rsidP="00B42AEB">
      <w:pPr>
        <w:rPr>
          <w:noProof/>
          <w:lang w:val="fr-BE"/>
        </w:rPr>
      </w:pPr>
      <w:r w:rsidRPr="00166D0F">
        <w:rPr>
          <w:noProof/>
          <w:lang w:val="fr-BE"/>
        </w:rPr>
        <w:t>Fin-Netherlands, il-votanti b’diżabilità konjittiva jistgħu jirċievu (barra mill-kabina tal-vot) spjegazzjoni ta’ kif taħdem il-polza tal-votazzjoni. Ħafna muniċipalitajiet u organizzazzjonijiet tas-soċjetà ċivili jorganizzaw korsijiet ta’ taħriġ fil-votazzjoni qabel l-elezzjonijiet. Barra minn hekk, il-votanti b’diżabilità konjittiva jistgħu jaraw spjegazzjonijiet fuq sit web.</w:t>
      </w:r>
      <w:r w:rsidRPr="00166D0F">
        <w:rPr>
          <w:rStyle w:val="FootnoteReference"/>
          <w:noProof/>
          <w:lang w:val="fr-BE"/>
        </w:rPr>
        <w:t>(</w:t>
      </w:r>
      <w:r>
        <w:rPr>
          <w:rStyle w:val="FootnoteReference"/>
          <w:noProof/>
        </w:rPr>
        <w:footnoteReference w:id="83"/>
      </w:r>
      <w:r w:rsidR="00B50F49">
        <w:rPr>
          <w:rStyle w:val="FootnoteReference"/>
          <w:noProof/>
          <w:lang w:val="fr-BE"/>
        </w:rPr>
        <w:t>)</w:t>
      </w:r>
    </w:p>
    <w:p w14:paraId="218EB0B2" w14:textId="3F9D41BF" w:rsidR="005F3847" w:rsidRPr="00166D0F" w:rsidRDefault="005F3847" w:rsidP="00B42AEB">
      <w:pPr>
        <w:rPr>
          <w:noProof/>
          <w:lang w:val="fr-BE"/>
        </w:rPr>
      </w:pPr>
      <w:r w:rsidRPr="00166D0F">
        <w:rPr>
          <w:noProof/>
          <w:lang w:val="fr-BE"/>
        </w:rPr>
        <w:t>Fin-Netherlands, qed titfassal polza tal-votazzjoni ġdida. Din il-polza tal-votazzjoni se tissodisfa aħjar il-ħtiġijiet tal-persuni b’diżabilità. It-tipa hija akbar u aktar faċli biex tinqara. Qed jiġu miżjuda logos ta’ partiti politiċi, biex il-partiti jsiru aktar viżibbli u aktar faċli li jinstabu. Għall-polza tal-votazzjoni l-ġdida, qed jiġi żviluppat ukoll mudell universali għall-persuni b’vista batuta. L-għan huwa li l-muniċipalità jkollha mill-anqas mudell wieħed, appoġġat b’kaxxa tal-ħoss. Ir-Rumanija qieset ukoll is-simplifikazzjoni tal-poloz ibbażati fuq il-karta billi tnaqqashom għal folja ta’ karta waħda, li tista’ ttejjeb l-aċċessibbiltà ġenerali, inkluż għall-votanti b’vista batuta.</w:t>
      </w:r>
      <w:r w:rsidRPr="00166D0F">
        <w:rPr>
          <w:rStyle w:val="FootnoteReference"/>
          <w:noProof/>
          <w:lang w:val="fr-BE"/>
        </w:rPr>
        <w:t>(</w:t>
      </w:r>
      <w:r>
        <w:rPr>
          <w:rStyle w:val="FootnoteReference"/>
          <w:noProof/>
        </w:rPr>
        <w:footnoteReference w:id="84"/>
      </w:r>
      <w:r w:rsidR="00B50F49">
        <w:rPr>
          <w:rStyle w:val="FootnoteReference"/>
          <w:noProof/>
          <w:lang w:val="fr-BE"/>
        </w:rPr>
        <w:t>)</w:t>
      </w:r>
    </w:p>
    <w:p w14:paraId="18E8F280" w14:textId="2D93A8F8" w:rsidR="00F53BDC" w:rsidRPr="00166D0F" w:rsidRDefault="0099175B" w:rsidP="006B02A7">
      <w:pPr>
        <w:pStyle w:val="Heading2"/>
        <w:spacing w:before="240" w:after="240"/>
        <w:rPr>
          <w:noProof/>
          <w:lang w:val="fr-BE"/>
        </w:rPr>
      </w:pPr>
      <w:bookmarkStart w:id="71" w:name="_Toc148718597"/>
      <w:bookmarkStart w:id="72" w:name="_Toc158728568"/>
      <w:r w:rsidRPr="00166D0F">
        <w:rPr>
          <w:noProof/>
          <w:lang w:val="fr-BE"/>
        </w:rPr>
        <w:t>7</w:t>
      </w:r>
      <w:r w:rsidR="00042F9F">
        <w:rPr>
          <w:noProof/>
          <w:lang w:val="fr-BE"/>
        </w:rPr>
        <w:t>.</w:t>
      </w:r>
      <w:r w:rsidRPr="00166D0F">
        <w:rPr>
          <w:noProof/>
          <w:lang w:val="fr-BE"/>
        </w:rPr>
        <w:t>4. Iż-żieda fl-aċċessibbiltà tal-magni tal-votazzjoni</w:t>
      </w:r>
      <w:bookmarkEnd w:id="71"/>
      <w:bookmarkEnd w:id="72"/>
    </w:p>
    <w:p w14:paraId="389A1358" w14:textId="4B30CDAF" w:rsidR="00353EE9" w:rsidRPr="00166D0F" w:rsidRDefault="00353EE9" w:rsidP="00B42AEB">
      <w:pPr>
        <w:rPr>
          <w:noProof/>
          <w:bdr w:val="none" w:sz="0" w:space="0" w:color="auto" w:frame="1"/>
          <w:lang w:val="fr-BE"/>
        </w:rPr>
      </w:pPr>
      <w:r w:rsidRPr="00166D0F">
        <w:rPr>
          <w:noProof/>
          <w:bdr w:val="none" w:sz="0" w:space="0" w:color="auto" w:frame="1"/>
          <w:lang w:val="fr-BE"/>
        </w:rPr>
        <w:t>Għall-elezzjonijiet lokali fl-2018 u għall-elezzjonijiet federali fl-2019, il-Belġju żviluppa proġett pilota biex jikkomplementa l-kompjuters tal-votazzjoni elettronika b’modulu awdjo biex jippermetti lill-persuni b’vista batuta jivvotaw b’mod indipendenti. Dan il-proġett pilota ġie żviluppat f’kooperazzjoni mill-qrib ma’ organizzazzjonijiet u ma’ assoċjazzjonijiet tad-diżabilità li jirrappreżentaw lill-persuni b’vista batuta. Għal raġunijiet loġistiċi, dan il-proġett ma setax jiġi varat fuq skala kbira.</w:t>
      </w:r>
    </w:p>
    <w:p w14:paraId="1CF6307E" w14:textId="38F06BD7" w:rsidR="00DA1AB1" w:rsidRPr="00166D0F" w:rsidRDefault="00DA1AB1" w:rsidP="00B42AEB">
      <w:pPr>
        <w:rPr>
          <w:noProof/>
          <w:bdr w:val="none" w:sz="0" w:space="0" w:color="auto" w:frame="1"/>
          <w:lang w:val="fr-BE"/>
        </w:rPr>
      </w:pPr>
      <w:r w:rsidRPr="00166D0F">
        <w:rPr>
          <w:noProof/>
          <w:bdr w:val="none" w:sz="0" w:space="0" w:color="auto" w:frame="1"/>
          <w:lang w:val="fr-BE"/>
        </w:rPr>
        <w:t>Fil-Bulgarija,</w:t>
      </w:r>
      <w:r w:rsidRPr="00166D0F">
        <w:rPr>
          <w:noProof/>
          <w:lang w:val="fr-BE"/>
        </w:rPr>
        <w:t xml:space="preserve"> il-magni tal-votazzjoni saru obbligatorji fil-postijiet tal-votazzjoni fil-pajjiż u barra mill-pajjiż fejn hemm mill-anqas 300 votant. L-interfaċċa tikkonsisti minn skrin tal-kuntatt. Wara li votant jitfa’ l-vot, l-apparat jipprintja biċċa karta bħala prova biex jiġi vverifikat il-votant. Dan jippermetti wkoll li jsir għadd ta’ voti manwali f’każ li jintilfu voti maħżuna elettronikament. Il-kodiċi tal-elezzjoni Bulgara jirrikjedi li l-magni tal-votazzjoni jkunu ddisinjati, implimentati u miżmuma b’mod li jiżgura, fost l-oħrajn, aċċess faċli u li jinftiehem għall-mekkaniżmi u l-metodi tal-votazzjoni bil-magna, inkluż aċċess issimplifikat għall-votanti b’vista batuta jew indebolimenti motorji.</w:t>
      </w:r>
    </w:p>
    <w:p w14:paraId="2B6B6BE4" w14:textId="716E35E2" w:rsidR="00357AEF" w:rsidRPr="00166D0F" w:rsidRDefault="00357AEF" w:rsidP="00B42AEB">
      <w:pPr>
        <w:rPr>
          <w:noProof/>
          <w:lang w:val="fr-BE"/>
        </w:rPr>
      </w:pPr>
      <w:r w:rsidRPr="00166D0F">
        <w:rPr>
          <w:noProof/>
          <w:lang w:val="fr-BE"/>
        </w:rPr>
        <w:t>Mid-dħul fis-seħħ tal-Att emendatorju ZVDZ-C fl-20 ta’ Mejju 2017, il-magni tal-votazzjoni għall-votanti b’diżabilità ma għadhomx jintużaw fl-elezzjonijiet u fir-referenda fis-Slovenja.</w:t>
      </w:r>
      <w:r w:rsidRPr="00166D0F">
        <w:rPr>
          <w:rStyle w:val="FootnoteReference"/>
          <w:noProof/>
          <w:lang w:val="fr-BE"/>
        </w:rPr>
        <w:t>(</w:t>
      </w:r>
      <w:r>
        <w:rPr>
          <w:rStyle w:val="FootnoteReference"/>
          <w:noProof/>
        </w:rPr>
        <w:footnoteReference w:id="85"/>
      </w:r>
      <w:r w:rsidR="00B50F49">
        <w:rPr>
          <w:rStyle w:val="FootnoteReference"/>
          <w:noProof/>
          <w:lang w:val="fr-BE"/>
        </w:rPr>
        <w:t>)</w:t>
      </w:r>
      <w:r w:rsidRPr="00166D0F">
        <w:rPr>
          <w:noProof/>
          <w:lang w:val="fr-BE"/>
        </w:rPr>
        <w:t xml:space="preserve"> Il-leġiżlazzjoni ġiet emendata biex tiżgura li l-postijiet tal-votazzjoni kollha jkunu aċċessibbli bis-sħiħ għall-persuni b’diżabilità. Barra minn hekk, il-leġiżlatura segwiet eżempji minn pajjiżi oħrajn</w:t>
      </w:r>
      <w:r w:rsidRPr="00166D0F">
        <w:rPr>
          <w:rStyle w:val="FootnoteReference"/>
          <w:noProof/>
          <w:lang w:val="fr-BE"/>
        </w:rPr>
        <w:t>(</w:t>
      </w:r>
      <w:r>
        <w:rPr>
          <w:rStyle w:val="FootnoteReference"/>
          <w:noProof/>
        </w:rPr>
        <w:footnoteReference w:id="86"/>
      </w:r>
      <w:r w:rsidR="00B50F49">
        <w:rPr>
          <w:rStyle w:val="FootnoteReference"/>
          <w:noProof/>
          <w:lang w:val="fr-BE"/>
        </w:rPr>
        <w:t>)</w:t>
      </w:r>
      <w:r w:rsidRPr="00166D0F">
        <w:rPr>
          <w:noProof/>
          <w:lang w:val="fr-BE"/>
        </w:rPr>
        <w:t xml:space="preserve"> u ppermettiet lill-persuni b’diżabilità li jivvotaw bil-posta flimkien mal-votazzjoni fil-postijiet tal-votazzjoni.</w:t>
      </w:r>
    </w:p>
    <w:p w14:paraId="68D7323C" w14:textId="0D4612AF" w:rsidR="00F1598C" w:rsidRPr="00166D0F" w:rsidRDefault="0099175B" w:rsidP="006B02A7">
      <w:pPr>
        <w:pStyle w:val="Heading2"/>
        <w:spacing w:before="240" w:after="240"/>
        <w:rPr>
          <w:noProof/>
          <w:lang w:val="fr-BE"/>
        </w:rPr>
      </w:pPr>
      <w:bookmarkStart w:id="73" w:name="_Toc148718598"/>
      <w:bookmarkStart w:id="74" w:name="_Toc158728569"/>
      <w:r w:rsidRPr="00166D0F">
        <w:rPr>
          <w:noProof/>
          <w:lang w:val="fr-BE"/>
        </w:rPr>
        <w:t>7</w:t>
      </w:r>
      <w:r w:rsidR="00042F9F">
        <w:rPr>
          <w:noProof/>
          <w:lang w:val="fr-BE"/>
        </w:rPr>
        <w:t>.</w:t>
      </w:r>
      <w:r w:rsidRPr="00166D0F">
        <w:rPr>
          <w:noProof/>
          <w:lang w:val="fr-BE"/>
        </w:rPr>
        <w:t>5. Metodi ta’ votazzjoni komplementari</w:t>
      </w:r>
      <w:bookmarkEnd w:id="73"/>
      <w:bookmarkEnd w:id="74"/>
    </w:p>
    <w:p w14:paraId="124E64A4" w14:textId="282862A9" w:rsidR="00F1598C" w:rsidRPr="00166D0F" w:rsidRDefault="00FF48B0" w:rsidP="00B42AEB">
      <w:pPr>
        <w:rPr>
          <w:noProof/>
          <w:lang w:val="fr-BE"/>
        </w:rPr>
      </w:pPr>
      <w:r w:rsidRPr="00166D0F">
        <w:rPr>
          <w:noProof/>
          <w:lang w:val="fr-BE"/>
        </w:rPr>
        <w:t>Diversi Stati Membri jippermettu lill-votanti li ma jkunux jistgħu jmorru f’post tal-votazzjoni fil-jum tal-elezzjoni biex jivvotaw minn qabel, jew mid-dar tagħhom, minn sptar (bħal fid-Danimarka, f’Malta u fil-Portugall) jew minn post tal-votazzjoni miftuħ qabel il-jum tal-elezzjoni (bħal fl-Awstrija, fid-Danimarka, fil-Ġermanja, fl-Estonja, fil-Finlandja, fil-Latvja, fil-Litwanja, f’Malta, fil-Portugall, fis-Slovenja u fl-Iżvezja).</w:t>
      </w:r>
    </w:p>
    <w:p w14:paraId="63FE761A" w14:textId="655780B4" w:rsidR="00FE4F70" w:rsidRPr="00166D0F" w:rsidRDefault="004E4D77" w:rsidP="00B42AEB">
      <w:pPr>
        <w:rPr>
          <w:noProof/>
          <w:lang w:val="fr-BE"/>
        </w:rPr>
      </w:pPr>
      <w:r w:rsidRPr="00166D0F">
        <w:rPr>
          <w:noProof/>
          <w:lang w:val="fr-BE"/>
        </w:rPr>
        <w:t>Il-persuni b’diżabilità għandhom l-għażla li jivvotaw f’post tal-votazzjoni aċċessibbli f’diversi Stati Membri, bħall-Awstrija, il-Belġju, id-Danimarka, il-Ġermanja, l-Ungerija, l-Irlanda, l-Italja, il-Latvja, il-Litwanja, u r-Rumanija</w:t>
      </w:r>
      <w:r w:rsidRPr="00166D0F">
        <w:rPr>
          <w:rStyle w:val="FootnoteReference"/>
          <w:noProof/>
          <w:lang w:val="fr-BE"/>
        </w:rPr>
        <w:t>(</w:t>
      </w:r>
      <w:r>
        <w:rPr>
          <w:rStyle w:val="FootnoteReference"/>
          <w:noProof/>
        </w:rPr>
        <w:footnoteReference w:id="87"/>
      </w:r>
      <w:r w:rsidR="00B50F49">
        <w:rPr>
          <w:rStyle w:val="FootnoteReference"/>
          <w:noProof/>
          <w:lang w:val="fr-BE"/>
        </w:rPr>
        <w:t>)</w:t>
      </w:r>
      <w:r w:rsidRPr="00166D0F">
        <w:rPr>
          <w:noProof/>
          <w:lang w:val="fr-BE"/>
        </w:rPr>
        <w:t xml:space="preserve">. Fin-Netherlands, il-votanti ma humiex assenjati għal post tal-votazzjoni. Bil-permess tal-vot tagħhom, huma jistgħu jivvotaw fi kwalunkwe post tal-votazzjoni fil-muniċipalità tagħhom. Postijiet speċjali tal-votazzjoni huma organizzati fi sptarijiet u/jew istituzzjonijiet tal-kura oħrajn fl-Istati Membri, bħall-Kroazja, l-Estonja, l-Irlanda, Malta, u n-Netherlands. </w:t>
      </w:r>
    </w:p>
    <w:p w14:paraId="662BA159" w14:textId="38B438C1" w:rsidR="001D73C2" w:rsidRPr="00166D0F" w:rsidRDefault="00475B8D" w:rsidP="00B42AEB">
      <w:pPr>
        <w:rPr>
          <w:noProof/>
          <w:lang w:val="fr-BE"/>
        </w:rPr>
      </w:pPr>
      <w:r w:rsidRPr="00166D0F">
        <w:rPr>
          <w:noProof/>
          <w:lang w:val="fr-BE"/>
        </w:rPr>
        <w:t xml:space="preserve">Il-votazzjoni barra mill-post tal-votazzjoni, li hija votazzjoni minn barra l-post tal-votazzjoni, jew fis-sular t’isfel jew mid-daħla għall-post tal-votazzjoni, hija disponibbli f’xi Stati Membri (bħall-Kroazja, id-Danimarka, iċ-Ċekja, is-Slovenja u l-Iżvezja). </w:t>
      </w:r>
    </w:p>
    <w:p w14:paraId="579CDE2D" w14:textId="0E68E0B8" w:rsidR="00637F9E" w:rsidRPr="00166D0F" w:rsidRDefault="00637F9E" w:rsidP="00B42AEB">
      <w:pPr>
        <w:rPr>
          <w:noProof/>
          <w:lang w:val="fr-BE"/>
        </w:rPr>
      </w:pPr>
      <w:r w:rsidRPr="00166D0F">
        <w:rPr>
          <w:noProof/>
          <w:lang w:val="fr-BE"/>
        </w:rPr>
        <w:t>Il-votazzjoni mobbli, li tfisser li l-kaxxi tal-vot jiddaħħlu fil-post tal-votant (id-dar, l-isptar jew kwalunkwe post ieħor) minn uffiċjal tal-amministrazzjoni responsabbli mill-organizzazzjoni tal-elezzjoni, hija metodu użat f’diversi Stati Membri (bħall-Awstrija, il-Bulgarija, iċ-Ċekja, id-Danimarka, l-Estonja, il-Kroazja, l-Ungerija, l-Italja, l-Irlanda, il-Latvja, il-Litwanja, il-Portugall, ir-Rumanija, is-Slovenja u l-Iżvezja). Xi Stati Membri, inklużi l-Finlandja, il-Lussemburgu</w:t>
      </w:r>
      <w:r w:rsidRPr="00166D0F">
        <w:rPr>
          <w:rStyle w:val="FootnoteReference"/>
          <w:noProof/>
          <w:lang w:val="fr-BE"/>
        </w:rPr>
        <w:t>(</w:t>
      </w:r>
      <w:r>
        <w:rPr>
          <w:rStyle w:val="FootnoteReference"/>
          <w:noProof/>
        </w:rPr>
        <w:footnoteReference w:id="88"/>
      </w:r>
      <w:r w:rsidR="00B50F49">
        <w:rPr>
          <w:rStyle w:val="FootnoteReference"/>
          <w:noProof/>
          <w:lang w:val="fr-BE"/>
        </w:rPr>
        <w:t>)</w:t>
      </w:r>
      <w:r w:rsidRPr="00166D0F">
        <w:rPr>
          <w:noProof/>
          <w:lang w:val="fr-BE"/>
        </w:rPr>
        <w:t>, l-Italja (xi muniċipalitajiet), il-Portugall u l-Polonja, saħansitra jipprovdu lill-votanti, inklużi persuni b’diżabilità, bi trasport bla ħlas lejn il-postijiet tal-votazzjoni taħt kundizzjonijiet speċifiċi. Il-Belġju jipprovdi wkoll appoġġ għat-trasport lejn postijiet tal-votazzjoni.</w:t>
      </w:r>
    </w:p>
    <w:p w14:paraId="667B739F" w14:textId="1EEB0EF0" w:rsidR="00E53CB9" w:rsidRPr="00166D0F" w:rsidRDefault="004E4D77" w:rsidP="00B42AEB">
      <w:pPr>
        <w:rPr>
          <w:noProof/>
          <w:lang w:val="fr-BE"/>
        </w:rPr>
      </w:pPr>
      <w:r w:rsidRPr="00166D0F">
        <w:rPr>
          <w:noProof/>
          <w:lang w:val="fr-BE"/>
        </w:rPr>
        <w:t xml:space="preserve">Il-persuni b’diżabilità jistgħu jirċievu assistenza matul il-proċess tal-votazzjoni f’kull Stat Membru. Hemm xi differenzi f’min jista’ jgħin lill-votant u l-kundizzjonijiet li jrid jissodisfa l-votant. Fil-biċċa l-kbira tal-Istati Membri, bħall-Awstrija, il-Belġju, id-Danimarka, il-Ġermanja, l-Ungerija, Spanja, is-Slovenja u l-Iżvezja, il-votanti b’diżabilità jistgħu jiġu megħjuna minn kwalunkwe persuna li jafdaw, mingħajr restrizzjonijiet. </w:t>
      </w:r>
    </w:p>
    <w:p w14:paraId="197C46A5" w14:textId="2259223A" w:rsidR="00F1598C" w:rsidRPr="00166D0F" w:rsidRDefault="00953CBA" w:rsidP="00B42AEB">
      <w:pPr>
        <w:rPr>
          <w:noProof/>
          <w:lang w:val="fr-BE"/>
        </w:rPr>
      </w:pPr>
      <w:r w:rsidRPr="00166D0F">
        <w:rPr>
          <w:noProof/>
          <w:lang w:val="fr-BE"/>
        </w:rPr>
        <w:t>Il-votazzjoni bil-posta, jew fil-pajjiż jew minn barra l-pajjiż, hija disponibbli f’20 Stat Membru. Il-prattiki tal-votazzjoni bil-posta fil-pajjiż ivarjaw fl-UE kollha. Xi Stati Membri biss, bħall-Ġermanja u Spanja jippermettu lill-votanti kollha jivvotaw bil-posta. Fi Stati Membri, bħall-Awstrija, l-Irlanda, il-Litwanja, in-Netherlands u s-Slovenja dan il-metodu huwa limitat għal gruppi speċifiċi, bħall-votanti b’diżabilità jew votanti barra mill-pajjiż.</w:t>
      </w:r>
    </w:p>
    <w:p w14:paraId="3FA774EC" w14:textId="4472BFE9" w:rsidR="004F42CB" w:rsidRPr="00166D0F" w:rsidRDefault="00786ACA" w:rsidP="00B42AEB">
      <w:pPr>
        <w:rPr>
          <w:noProof/>
          <w:lang w:val="fr-BE"/>
        </w:rPr>
      </w:pPr>
      <w:r w:rsidRPr="00166D0F">
        <w:rPr>
          <w:noProof/>
          <w:lang w:val="fr-BE"/>
        </w:rPr>
        <w:t>Il-votazzjoni online hija disponibbli fl-Estonja, fejn il-votanti jistgħu jagħżlu jekk jmorrux f’post tal-votazzjoni fil-jum tal-elezzjoni jew jekk jitfgħux il-vot tagħhom fuq sit web matul il-perjodu tal-elezzjoni. L-Att dwar l-Elezzjonijiet Estonjan jirrikjedi li l-applikazzjoni għall-votazzjoni trid tipprovdi appoġġ lil persuni b’vista batuta. Dan ir-rekwiżit huwa ssodisfat fil-prattika billi dan il-grupp ikun jista’ jeżerċita d-dritt tiegħu li jivvota mingħajr assistenza.</w:t>
      </w:r>
    </w:p>
    <w:p w14:paraId="48204868" w14:textId="52043BE2" w:rsidR="004F42CB" w:rsidRPr="00166D0F" w:rsidRDefault="004F42CB" w:rsidP="00B42AEB">
      <w:pPr>
        <w:rPr>
          <w:noProof/>
          <w:lang w:val="fr-BE"/>
        </w:rPr>
      </w:pPr>
      <w:r w:rsidRPr="00166D0F">
        <w:rPr>
          <w:noProof/>
          <w:lang w:val="fr-BE"/>
        </w:rPr>
        <w:t>Fi Franza, il-votazzjoni online tintuża biex jiġu eletti rappreżentanti taċ-ċittadini Franċiżi li jgħixu barra mill-pajjiż matul l-elezzjonijiet leġiżlattivi u l-elezzjonijiet konsulari. Biex jivvotaw online, il-votanti Franċiżi jeħtiġilhom ikunu residenti uffiċjalment barra mill-pajjiż u rreġistrati f’lista elettorali konsulari. Dawn jeħtiġilhom ikunu wkoll fuq il-lista b’indirizz tal-posta elettronika validu u b’numru tat-telefown biex jirċievu l-isem tal-utent tagħhom (permezz ta’ posta elettronika) u l-password tagħhom (permezz ta’ SMS). Ma hija meħtieġa l-ebda formalità oħra.</w:t>
      </w:r>
      <w:r w:rsidRPr="00166D0F">
        <w:rPr>
          <w:rStyle w:val="FootnoteReference"/>
          <w:noProof/>
          <w:lang w:val="fr-BE"/>
        </w:rPr>
        <w:t>(</w:t>
      </w:r>
      <w:r>
        <w:rPr>
          <w:rStyle w:val="FootnoteReference"/>
          <w:noProof/>
        </w:rPr>
        <w:footnoteReference w:id="89"/>
      </w:r>
      <w:r w:rsidR="00B50F49">
        <w:rPr>
          <w:rStyle w:val="FootnoteReference"/>
          <w:noProof/>
          <w:lang w:val="fr-BE"/>
        </w:rPr>
        <w:t>)</w:t>
      </w:r>
      <w:r w:rsidRPr="00166D0F">
        <w:rPr>
          <w:noProof/>
          <w:lang w:val="fr-BE"/>
        </w:rPr>
        <w:t xml:space="preserve"> Għall-elezzjonijiet presidenzjali tal-2022, il-votanti Franċiżi barra mill-pajjiż setgħu jivvotaw online għal 5 ijiem konsekuttivi. Is-sit web tal-Ministeru tal-Ewropa u tal-Affarijiet Barranin ippubblika serje ta’ mistoqsijiet u tweġibiet speċifikament relatati mal-votazzjoni online.</w:t>
      </w:r>
    </w:p>
    <w:p w14:paraId="198691A1" w14:textId="7288707D" w:rsidR="004F42CB" w:rsidRPr="00166D0F" w:rsidRDefault="004F42CB" w:rsidP="00B42AEB">
      <w:pPr>
        <w:rPr>
          <w:noProof/>
          <w:lang w:val="fr-BE"/>
        </w:rPr>
      </w:pPr>
      <w:r w:rsidRPr="00166D0F">
        <w:rPr>
          <w:noProof/>
          <w:lang w:val="fr-BE"/>
        </w:rPr>
        <w:t>Fl-2023, il-Ġermanja użat votazzjoni online għall-elezzjonijiet tal-politika soċjali tagħha, vot biex tagħżel il-kunsill li jissorvelja l-fondi nazzjonali tal-assigurazzjoni tas-saħħa u tal-pensjoni. Madwar 22,3 miljun kellhom l-għażla li jivvotaw jew online jew b’poloz postali tradizzjonali fuq perjodu ta’ votazzjoni ta’ 51 jum.</w:t>
      </w:r>
      <w:r w:rsidRPr="00166D0F">
        <w:rPr>
          <w:rStyle w:val="FootnoteReference"/>
          <w:noProof/>
          <w:lang w:val="fr-BE"/>
        </w:rPr>
        <w:t>(</w:t>
      </w:r>
      <w:r>
        <w:rPr>
          <w:rStyle w:val="FootnoteReference"/>
          <w:noProof/>
        </w:rPr>
        <w:footnoteReference w:id="90"/>
      </w:r>
      <w:r w:rsidR="00B50F49">
        <w:rPr>
          <w:rStyle w:val="FootnoteReference"/>
          <w:noProof/>
          <w:lang w:val="fr-BE"/>
        </w:rPr>
        <w:t>)</w:t>
      </w:r>
    </w:p>
    <w:p w14:paraId="295D8D84" w14:textId="44C84434" w:rsidR="007E642B" w:rsidRPr="00166D0F" w:rsidRDefault="007E642B" w:rsidP="00B42AEB">
      <w:pPr>
        <w:rPr>
          <w:noProof/>
          <w:lang w:val="fr-BE"/>
        </w:rPr>
      </w:pPr>
      <w:r w:rsidRPr="00166D0F">
        <w:rPr>
          <w:noProof/>
          <w:lang w:val="fr-BE"/>
        </w:rPr>
        <w:t xml:space="preserve">Il-votazzjoni bi prokura tintuża fil-Belġju, fi Franza, fin-Netherlands u fil-Polonja. Fil-Belġju u fil-Polonja, il-votazzjoni bi prokura hija disponibbli għall-votanti li ma jkunux jistgħu jmorru f’post tal-votazzjoni minħabba ċertu mard jew dgħufija, saħħa batuta jew età avvanzata, li tista’ tinkludi persuni b’diżabilità. Il-votanti kollha jistgħu jivvotaw bi prokura fi Franza u fin-Netherlands. Il-votanti Żvediżi jistgħu jivvotaw permezz ta’ kurrier, fejn persuna oħra tittrasporta l-vot imħejji mill-votant lejn il-post tal-votazzjoni. </w:t>
      </w:r>
    </w:p>
    <w:p w14:paraId="37B80A00" w14:textId="543644D3" w:rsidR="00E77382" w:rsidRPr="00166D0F" w:rsidRDefault="0099175B" w:rsidP="006B02A7">
      <w:pPr>
        <w:pStyle w:val="Heading2"/>
        <w:spacing w:before="240" w:after="240"/>
        <w:rPr>
          <w:noProof/>
          <w:lang w:val="fr-BE"/>
        </w:rPr>
      </w:pPr>
      <w:bookmarkStart w:id="75" w:name="_Toc148718599"/>
      <w:bookmarkStart w:id="76" w:name="_Toc158728570"/>
      <w:r w:rsidRPr="00166D0F">
        <w:rPr>
          <w:noProof/>
          <w:lang w:val="fr-BE"/>
        </w:rPr>
        <w:t>7</w:t>
      </w:r>
      <w:r w:rsidR="00042F9F">
        <w:rPr>
          <w:noProof/>
          <w:lang w:val="fr-BE"/>
        </w:rPr>
        <w:t>.</w:t>
      </w:r>
      <w:r w:rsidRPr="00166D0F">
        <w:rPr>
          <w:noProof/>
          <w:lang w:val="fr-BE"/>
        </w:rPr>
        <w:t>6. L-aċċess għas-soluzzjoni tat-tilwim elettorali</w:t>
      </w:r>
      <w:bookmarkEnd w:id="75"/>
      <w:bookmarkEnd w:id="76"/>
    </w:p>
    <w:p w14:paraId="5D48DAF1" w14:textId="63349818" w:rsidR="00F25CDA" w:rsidRPr="00166D0F" w:rsidRDefault="009F7081" w:rsidP="00B42AEB">
      <w:pPr>
        <w:rPr>
          <w:noProof/>
          <w:lang w:val="fr-BE"/>
        </w:rPr>
      </w:pPr>
      <w:r w:rsidRPr="00166D0F">
        <w:rPr>
          <w:noProof/>
          <w:lang w:val="fr-BE"/>
        </w:rPr>
        <w:t>Diversi Stati Membri għamlu arranġamenti speċifiċi għall-persuni b’diżabilità biex jaċċessaw is-sistema tal-ġustizzja, bħall-għoti ta’ informazzjoni f’formati aċċessibbli, jew it-tqegħid għad-dispożizzjoni ta’ formati speċifiċi, inklużi metodi diġitali biex jissottomettu l-ilmenti.</w:t>
      </w:r>
      <w:r w:rsidRPr="00166D0F">
        <w:rPr>
          <w:rStyle w:val="FootnoteReference"/>
          <w:noProof/>
          <w:lang w:val="fr-BE"/>
        </w:rPr>
        <w:t>(</w:t>
      </w:r>
      <w:r>
        <w:rPr>
          <w:rStyle w:val="FootnoteReference"/>
          <w:noProof/>
        </w:rPr>
        <w:footnoteReference w:id="91"/>
      </w:r>
      <w:r w:rsidR="00B50F49">
        <w:rPr>
          <w:rStyle w:val="FootnoteReference"/>
          <w:noProof/>
          <w:lang w:val="fr-BE"/>
        </w:rPr>
        <w:t>)</w:t>
      </w:r>
      <w:r w:rsidRPr="00166D0F">
        <w:rPr>
          <w:noProof/>
          <w:lang w:val="fr-BE"/>
        </w:rPr>
        <w:t xml:space="preserve"> L-aċċessibbiltà tas-soluzzjoni tat-tilwim elettorali tinvolvi wkoll l-iżgurar li l-mekkaniżmi għas-sottomissjoni tal-ilmenti jkunu aċċessibbli u li l-postijiet għas-seduti jew għar-riżoluzzjonijiet ikunu aċċessibbli wkoll.</w:t>
      </w:r>
    </w:p>
    <w:p w14:paraId="5CE2F746" w14:textId="25A0AF32" w:rsidR="001559C0" w:rsidRPr="00166D0F" w:rsidRDefault="00D54ADA" w:rsidP="00B42AEB">
      <w:pPr>
        <w:rPr>
          <w:noProof/>
          <w:lang w:val="fr-BE"/>
        </w:rPr>
      </w:pPr>
      <w:r w:rsidRPr="00166D0F">
        <w:rPr>
          <w:noProof/>
          <w:lang w:val="fr-BE"/>
        </w:rPr>
        <w:t xml:space="preserve">Bħala parti mill-istrateġija nazzjonali tagħha dwar id-drittijiet tal-persuni b’diżabilità, ir-Rumanija impenjat ruħha li tippubblika mudelli f’formati aċċessibbli għal talbiet u lmenti relatati mad-drittijiet elettorali. Il-Litwanja implimentat sistema ta’ informazzjoni aċċessibbli għall-ġestjoni tat-tilwim elettorali, li tista’ tintuża mill-votanti biex jissottomettu l-ilmenti. Fi Spanja, il-votanti jistgħu jissottomettu lmenti rigward postijiet tal-votazzjoni li jonqsu milli jikkonformaw mar-rekwiżiti ta’ aċċessibbiltà legali. Fl-Irlanda, l-uffiċjali tar-ritorn jittrattaw kwalunkwe kwistjoni li tirriżulta fir-rigward tal-aċċessibbiltà tal-post, u għandhom ir-responsabbiltà li jwettqu avvenimenti elettorali f’kull kostitwenza. </w:t>
      </w:r>
    </w:p>
    <w:p w14:paraId="76C6667F" w14:textId="01C68E58" w:rsidR="00172C0C" w:rsidRPr="00166D0F" w:rsidRDefault="0099175B" w:rsidP="006B02A7">
      <w:pPr>
        <w:pStyle w:val="Heading2"/>
        <w:spacing w:before="240" w:after="240"/>
        <w:rPr>
          <w:noProof/>
          <w:lang w:val="fr-BE"/>
        </w:rPr>
      </w:pPr>
      <w:bookmarkStart w:id="77" w:name="_Toc148718600"/>
      <w:bookmarkStart w:id="78" w:name="_Toc158728571"/>
      <w:r w:rsidRPr="00166D0F">
        <w:rPr>
          <w:noProof/>
          <w:lang w:val="fr-BE"/>
        </w:rPr>
        <w:t>7</w:t>
      </w:r>
      <w:r w:rsidR="00042F9F">
        <w:rPr>
          <w:noProof/>
          <w:lang w:val="fr-BE"/>
        </w:rPr>
        <w:t>.</w:t>
      </w:r>
      <w:r w:rsidRPr="00166D0F">
        <w:rPr>
          <w:noProof/>
          <w:lang w:val="fr-BE"/>
        </w:rPr>
        <w:t xml:space="preserve">7. Il-ġbir ta’ </w:t>
      </w:r>
      <w:r w:rsidRPr="00166D0F">
        <w:rPr>
          <w:i/>
          <w:iCs/>
          <w:noProof/>
          <w:lang w:val="fr-BE"/>
        </w:rPr>
        <w:t>data</w:t>
      </w:r>
      <w:r w:rsidRPr="00166D0F">
        <w:rPr>
          <w:noProof/>
          <w:lang w:val="fr-BE"/>
        </w:rPr>
        <w:t xml:space="preserve"> dwar il-parteċipazzjoni ta’ persuni b’diżabilità fl-elezzjonijiet</w:t>
      </w:r>
      <w:bookmarkEnd w:id="77"/>
      <w:bookmarkEnd w:id="78"/>
    </w:p>
    <w:p w14:paraId="34570675" w14:textId="7DE48870" w:rsidR="00172C0C" w:rsidRPr="00166D0F" w:rsidRDefault="00B56C06" w:rsidP="00B42AEB">
      <w:pPr>
        <w:rPr>
          <w:noProof/>
          <w:lang w:val="fr-BE"/>
        </w:rPr>
      </w:pPr>
      <w:r w:rsidRPr="00166D0F">
        <w:rPr>
          <w:noProof/>
          <w:lang w:val="fr-BE"/>
        </w:rPr>
        <w:t>Huwa importanti li tinġabar statistika dwar il-parteċipazzjoni taċ-ċittadini b’diżabilità fl-elezzjonijiet biex jiġi vverifikat kemm jistgħu jeżerċitaw b’mod effettiv id-drittijiet elettorali tagħhom. Dan jista’ jgħin fl-evalwazzjoni tal-miżuri stabbiliti għall-persuni b’diżabilità u jista’ jirriżulta f’soluzzjonijiet aktar effiċjenti. Bl-istess mod, id-</w:t>
      </w:r>
      <w:r w:rsidRPr="00166D0F">
        <w:rPr>
          <w:i/>
          <w:iCs/>
          <w:noProof/>
          <w:lang w:val="fr-BE"/>
        </w:rPr>
        <w:t>data</w:t>
      </w:r>
      <w:r w:rsidRPr="00166D0F">
        <w:rPr>
          <w:noProof/>
          <w:lang w:val="fr-BE"/>
        </w:rPr>
        <w:t xml:space="preserve"> diżaggregata dwar id-diżabilità hija utli biex tikkontribwixxi għal kampanji ta’ sensibilizzazzjoni tal-UE u dawk nazzjonali dwar l-elezzjonijiet, filwaqt li żżid il-firxa u l-effikaċja tagħhom.</w:t>
      </w:r>
    </w:p>
    <w:p w14:paraId="099F74C6" w14:textId="0B002927" w:rsidR="00172C0C" w:rsidRPr="00166D0F" w:rsidRDefault="008A5EA0" w:rsidP="00B42AEB">
      <w:pPr>
        <w:rPr>
          <w:noProof/>
          <w:lang w:val="fr-BE"/>
        </w:rPr>
      </w:pPr>
      <w:r w:rsidRPr="00166D0F">
        <w:rPr>
          <w:noProof/>
          <w:lang w:val="fr-BE"/>
        </w:rPr>
        <w:t>Il-proċessi ta’ reġistrazzjoni użati fl-elezzjonijiet, inklużi r-reġistrazzjoni tal-votanti, ir-reġistrazzjoni tal-kandidati, l-għoti ta’ aċċess għal proċeduri speċjali ta’ votazzjoni jew ir-reġistrazzjoni tal-preżenza tal-votant fil-post tal-votazzjoni jistgħu jipprovdu l-opportunità lill-awtoritajiet biex jiġbru informazzjoni dwar f’liema kostitwenzi jgħixu l-votanti b’diżabilità, kemm-il votant b’diżabilità hemm f’kostitwenzi differenti u x’tip ta’ akkomodazzjoni jeħtieġu sabiex jipparteċipaw fuq l-istess livell ma’ votanti oħrajn.</w:t>
      </w:r>
    </w:p>
    <w:p w14:paraId="454F813C" w14:textId="1B32B5AE" w:rsidR="00172C0C" w:rsidRPr="00166D0F" w:rsidRDefault="00172C0C" w:rsidP="00B42AEB">
      <w:pPr>
        <w:rPr>
          <w:rStyle w:val="normaltextrun"/>
          <w:noProof/>
          <w:lang w:val="fr-BE"/>
        </w:rPr>
      </w:pPr>
      <w:r w:rsidRPr="00166D0F">
        <w:rPr>
          <w:noProof/>
          <w:lang w:val="fr-BE"/>
        </w:rPr>
        <w:t xml:space="preserve">Il-ġbir ta’ </w:t>
      </w:r>
      <w:r w:rsidRPr="00166D0F">
        <w:rPr>
          <w:i/>
          <w:iCs/>
          <w:noProof/>
          <w:lang w:val="fr-BE"/>
        </w:rPr>
        <w:t>data</w:t>
      </w:r>
      <w:r w:rsidRPr="00166D0F">
        <w:rPr>
          <w:noProof/>
          <w:lang w:val="fr-BE"/>
        </w:rPr>
        <w:t xml:space="preserve"> statistika </w:t>
      </w:r>
      <w:r w:rsidRPr="00166D0F">
        <w:rPr>
          <w:rStyle w:val="normaltextrun"/>
          <w:noProof/>
          <w:lang w:val="fr-BE"/>
        </w:rPr>
        <w:t xml:space="preserve">diżaggregata skont it-tip ta’ diżabilità jew it-twettiq ta’ stħarriġ </w:t>
      </w:r>
      <w:r w:rsidRPr="00166D0F">
        <w:rPr>
          <w:noProof/>
          <w:lang w:val="fr-BE"/>
        </w:rPr>
        <w:t>dwar diversi fatturi relatati ma’ persuni b’diżabilità u l-aċċessibbiltà fil-votazzjoni</w:t>
      </w:r>
      <w:r w:rsidRPr="00166D0F">
        <w:rPr>
          <w:rStyle w:val="normaltextrun"/>
          <w:noProof/>
          <w:lang w:val="fr-BE"/>
        </w:rPr>
        <w:t xml:space="preserve"> jista’ jgħin lill-awtoritajiet tal-elezzjoni jqassmu r-riżorsi tagħhom b’mod aktar effiċjenti. Il-ġbir flimkien tar-riżorsi u tad-</w:t>
      </w:r>
      <w:r w:rsidRPr="00166D0F">
        <w:rPr>
          <w:rStyle w:val="normaltextrun"/>
          <w:i/>
          <w:iCs/>
          <w:noProof/>
          <w:lang w:val="fr-BE"/>
        </w:rPr>
        <w:t>data</w:t>
      </w:r>
      <w:r w:rsidRPr="00166D0F">
        <w:rPr>
          <w:rStyle w:val="normaltextrun"/>
          <w:noProof/>
          <w:lang w:val="fr-BE"/>
        </w:rPr>
        <w:t xml:space="preserve"> mill-awtoritajiet rilevanti kollha, inkluż billi tiġi kkombinata l-informazzjoni statistika mad-</w:t>
      </w:r>
      <w:r w:rsidRPr="00166D0F">
        <w:rPr>
          <w:rStyle w:val="normaltextrun"/>
          <w:i/>
          <w:iCs/>
          <w:noProof/>
          <w:lang w:val="fr-BE"/>
        </w:rPr>
        <w:t>data</w:t>
      </w:r>
      <w:r w:rsidRPr="00166D0F">
        <w:rPr>
          <w:rStyle w:val="normaltextrun"/>
          <w:noProof/>
          <w:lang w:val="fr-BE"/>
        </w:rPr>
        <w:t xml:space="preserve"> amministrattiva dwar id-diżabilità u l-inklużjoni, jagħti stampa aktar preċiża tal-appoġġ li l-persuni b’diżabilità jeħtieġu biex jeżerċitaw id-drittijiet elettorali tagħhom b’mod effettiv.</w:t>
      </w:r>
    </w:p>
    <w:p w14:paraId="141DB299" w14:textId="0C6FFE85" w:rsidR="001D31EC" w:rsidRPr="00166D0F" w:rsidRDefault="006C4C6A" w:rsidP="00B42AEB">
      <w:pPr>
        <w:rPr>
          <w:rStyle w:val="normaltextrun"/>
          <w:noProof/>
          <w:lang w:val="fr-BE"/>
        </w:rPr>
      </w:pPr>
      <w:r w:rsidRPr="00166D0F">
        <w:rPr>
          <w:rStyle w:val="normaltextrun"/>
          <w:noProof/>
          <w:lang w:val="fr-BE"/>
        </w:rPr>
        <w:t xml:space="preserve">Kwalunkwe pproċessar ta’ </w:t>
      </w:r>
      <w:r w:rsidRPr="00166D0F">
        <w:rPr>
          <w:rStyle w:val="normaltextrun"/>
          <w:i/>
          <w:iCs/>
          <w:noProof/>
          <w:lang w:val="fr-BE"/>
        </w:rPr>
        <w:t>data</w:t>
      </w:r>
      <w:r w:rsidRPr="00166D0F">
        <w:rPr>
          <w:rStyle w:val="normaltextrun"/>
          <w:noProof/>
          <w:lang w:val="fr-BE"/>
        </w:rPr>
        <w:t xml:space="preserve"> personali jrid isir f’konformità sħiħa mar-Regolament Ġenerali dwar il-Protezzjoni tad-</w:t>
      </w:r>
      <w:r w:rsidRPr="00166D0F">
        <w:rPr>
          <w:rStyle w:val="normaltextrun"/>
          <w:i/>
          <w:iCs/>
          <w:noProof/>
          <w:lang w:val="fr-BE"/>
        </w:rPr>
        <w:t>Data</w:t>
      </w:r>
      <w:r w:rsidRPr="00166D0F">
        <w:rPr>
          <w:rStyle w:val="normaltextrun"/>
          <w:noProof/>
          <w:lang w:val="fr-BE"/>
        </w:rPr>
        <w:t xml:space="preserve"> (GDPR). Id-</w:t>
      </w:r>
      <w:r w:rsidRPr="00166D0F">
        <w:rPr>
          <w:rStyle w:val="normaltextrun"/>
          <w:i/>
          <w:iCs/>
          <w:noProof/>
          <w:lang w:val="fr-BE"/>
        </w:rPr>
        <w:t>data</w:t>
      </w:r>
      <w:r w:rsidRPr="00166D0F">
        <w:rPr>
          <w:rStyle w:val="normaltextrun"/>
          <w:noProof/>
          <w:lang w:val="fr-BE"/>
        </w:rPr>
        <w:t xml:space="preserve"> dwar is-saħħa, bħad-</w:t>
      </w:r>
      <w:r w:rsidRPr="00166D0F">
        <w:rPr>
          <w:rStyle w:val="normaltextrun"/>
          <w:i/>
          <w:iCs/>
          <w:noProof/>
          <w:lang w:val="fr-BE"/>
        </w:rPr>
        <w:t>data</w:t>
      </w:r>
      <w:r w:rsidRPr="00166D0F">
        <w:rPr>
          <w:rStyle w:val="normaltextrun"/>
          <w:noProof/>
          <w:lang w:val="fr-BE"/>
        </w:rPr>
        <w:t xml:space="preserve"> personali dwar id-diżabilità tal-persuna, hija kategorija speċjali ta’ </w:t>
      </w:r>
      <w:r w:rsidRPr="00166D0F">
        <w:rPr>
          <w:rStyle w:val="normaltextrun"/>
          <w:i/>
          <w:iCs/>
          <w:noProof/>
          <w:lang w:val="fr-BE"/>
        </w:rPr>
        <w:t>data</w:t>
      </w:r>
      <w:r w:rsidRPr="00166D0F">
        <w:rPr>
          <w:rStyle w:val="normaltextrun"/>
          <w:noProof/>
          <w:lang w:val="fr-BE"/>
        </w:rPr>
        <w:t xml:space="preserve"> personali li tgawdi minn protezzjoni speċjali skont dak ir-Regolament. </w:t>
      </w:r>
    </w:p>
    <w:p w14:paraId="1737BA7A" w14:textId="33ECCE9C" w:rsidR="005F5DD5" w:rsidRPr="00166D0F" w:rsidRDefault="00172C0C" w:rsidP="00B42AEB">
      <w:pPr>
        <w:rPr>
          <w:noProof/>
          <w:lang w:val="fr-BE"/>
        </w:rPr>
      </w:pPr>
      <w:r w:rsidRPr="00166D0F">
        <w:rPr>
          <w:rStyle w:val="normaltextrun"/>
          <w:noProof/>
          <w:lang w:val="fr-BE"/>
        </w:rPr>
        <w:t>Pereżempju, ir-Rumanija taggrega d-</w:t>
      </w:r>
      <w:r w:rsidRPr="00166D0F">
        <w:rPr>
          <w:rStyle w:val="normaltextrun"/>
          <w:i/>
          <w:iCs/>
          <w:noProof/>
          <w:lang w:val="fr-BE"/>
        </w:rPr>
        <w:t>data</w:t>
      </w:r>
      <w:r w:rsidRPr="00166D0F">
        <w:rPr>
          <w:rStyle w:val="normaltextrun"/>
          <w:noProof/>
          <w:lang w:val="fr-BE"/>
        </w:rPr>
        <w:t xml:space="preserve"> dwar il-parteċipazzjoni ta’ persuni b’diżabilità fl-elezzjonijiet billi tqabbel l-għadd ta’ persuni li għandhom ċertifikat tad-diżabilità u l-għadd ta’ votanti. Dan huwa bbażat fuq ftehim formalizzat bejn l-Awtorità Elettorali Permanenti u l-Awtorità Nazzjonali għad-Drittijiet ta’ Persuni b’Diżabilità, u jiżgura l-konformità mar-rekwiżiti tal-protezzjoni tad-</w:t>
      </w:r>
      <w:r w:rsidRPr="00166D0F">
        <w:rPr>
          <w:rStyle w:val="normaltextrun"/>
          <w:i/>
          <w:iCs/>
          <w:noProof/>
          <w:lang w:val="fr-BE"/>
        </w:rPr>
        <w:t>data</w:t>
      </w:r>
      <w:r w:rsidRPr="00166D0F">
        <w:rPr>
          <w:rStyle w:val="normaltextrun"/>
          <w:noProof/>
          <w:lang w:val="fr-BE"/>
        </w:rPr>
        <w:t>.</w:t>
      </w:r>
    </w:p>
    <w:p w14:paraId="161DA235" w14:textId="0B4CEFB1" w:rsidR="00172C0C" w:rsidRPr="00166D0F" w:rsidRDefault="00172C0C" w:rsidP="00B42AEB">
      <w:pPr>
        <w:rPr>
          <w:noProof/>
          <w:lang w:val="fr-BE"/>
        </w:rPr>
      </w:pPr>
      <w:r w:rsidRPr="00166D0F">
        <w:rPr>
          <w:noProof/>
          <w:lang w:val="fr-BE"/>
        </w:rPr>
        <w:t xml:space="preserve">L-Iżvezja tiġbor </w:t>
      </w:r>
      <w:r w:rsidRPr="00166D0F">
        <w:rPr>
          <w:i/>
          <w:iCs/>
          <w:noProof/>
          <w:lang w:val="fr-BE"/>
        </w:rPr>
        <w:t>data</w:t>
      </w:r>
      <w:r w:rsidRPr="00166D0F">
        <w:rPr>
          <w:noProof/>
          <w:lang w:val="fr-BE"/>
        </w:rPr>
        <w:t xml:space="preserve"> statistika dwar il-parteċipazzjoni ta’ persuni b’diżabilità fl-elezzjonijiet (kif muri fl-Illustrazzjoni ta’ hawn taħt).</w:t>
      </w:r>
    </w:p>
    <w:p w14:paraId="09E482B4" w14:textId="2B3872F5" w:rsidR="00172C0C" w:rsidRPr="00B42AEB" w:rsidRDefault="007013F9" w:rsidP="00B7011F">
      <w:pPr>
        <w:jc w:val="center"/>
        <w:rPr>
          <w:noProof/>
        </w:rPr>
      </w:pPr>
      <w:r>
        <w:rPr>
          <w:noProof/>
          <w:lang w:val="en-GB" w:eastAsia="en-GB"/>
        </w:rPr>
        <w:drawing>
          <wp:inline distT="0" distB="0" distL="0" distR="0" wp14:anchorId="333A3ED5" wp14:editId="6EBA862A">
            <wp:extent cx="2041312" cy="4551822"/>
            <wp:effectExtent l="0" t="0" r="0" b="127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8421" cy="4567675"/>
                    </a:xfrm>
                    <a:prstGeom prst="rect">
                      <a:avLst/>
                    </a:prstGeom>
                    <a:noFill/>
                  </pic:spPr>
                </pic:pic>
              </a:graphicData>
            </a:graphic>
          </wp:inline>
        </w:drawing>
      </w:r>
      <w:r>
        <w:rPr>
          <w:noProof/>
          <w:lang w:val="en-GB" w:eastAsia="en-GB"/>
        </w:rPr>
        <w:drawing>
          <wp:inline distT="0" distB="0" distL="0" distR="0" wp14:anchorId="208E20B2" wp14:editId="2AF4AA0E">
            <wp:extent cx="2748485" cy="4628449"/>
            <wp:effectExtent l="0" t="0" r="0" b="1270"/>
            <wp:docPr id="90" name="Picture 90" descr="Graff bit-test fuqha. Din tippreżenta l-parteċipazzjoni fl-elezzjonijiet parlamentari tal-2018 fl-Iżvezja għal gruppi differenti (insuffiċjenza fis-smigħ, vista batuta, persuni b’diżabilità, ażma, allerġija, dislessija, kapaċità ta’ twettiq ta’ attivitajiet, mard psikoloġiku, eċ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B42AEB" w:rsidRDefault="00172C0C" w:rsidP="00B42AEB">
      <w:pPr>
        <w:rPr>
          <w:noProof/>
        </w:rPr>
      </w:pPr>
      <w:r>
        <w:rPr>
          <w:noProof/>
        </w:rPr>
        <w:t xml:space="preserve">Diversi Stati Membri, bħall-Ungerija u Spanja, jiġbru </w:t>
      </w:r>
      <w:r>
        <w:rPr>
          <w:i/>
          <w:iCs/>
          <w:noProof/>
        </w:rPr>
        <w:t>data</w:t>
      </w:r>
      <w:r>
        <w:rPr>
          <w:noProof/>
        </w:rPr>
        <w:t xml:space="preserve"> dwar il-votanti li jitolbu aċċess għal arranġamenti speċjali ta’ votazzjoni. Mill-2016. Il-Litwanja ilha topera reġistru elettroniku ta’ persuni intitolati li jivvotaw id-dar, inklużi l-votanti b’diżabilità u li għandhom aktar minn 70 sena. Fil-Lussemburgu, il-ġbir ta’ din id-</w:t>
      </w:r>
      <w:r>
        <w:rPr>
          <w:i/>
          <w:iCs/>
          <w:noProof/>
        </w:rPr>
        <w:t>data</w:t>
      </w:r>
      <w:r>
        <w:rPr>
          <w:noProof/>
        </w:rPr>
        <w:t xml:space="preserve"> huwa partikolarment rilevanti peress li l-parteċipazzjoni fl-elezzjonijiet hija obbligatorja għall-votanti rreġistrati kollha sal-età ta’ 75 sena. Il-Lussemburgu jwettaq ukoll stħarriġ biex jiġbor </w:t>
      </w:r>
      <w:r>
        <w:rPr>
          <w:i/>
          <w:iCs/>
          <w:noProof/>
        </w:rPr>
        <w:t>data</w:t>
      </w:r>
      <w:r>
        <w:rPr>
          <w:noProof/>
        </w:rPr>
        <w:t xml:space="preserve"> dwar diversi fatturi relatati ma’ persuni b’diżabilità u l-aċċessibbiltà tal-elezzjonijiet.</w:t>
      </w:r>
    </w:p>
    <w:p w14:paraId="06035948" w14:textId="3601BDF9" w:rsidR="00DC6D28" w:rsidRPr="00166D0F" w:rsidRDefault="0099175B" w:rsidP="006B02A7">
      <w:pPr>
        <w:pStyle w:val="Heading2"/>
        <w:spacing w:before="240" w:after="240"/>
        <w:rPr>
          <w:noProof/>
          <w:lang w:val="fr-BE"/>
        </w:rPr>
      </w:pPr>
      <w:bookmarkStart w:id="79" w:name="_Toc148718601"/>
      <w:bookmarkStart w:id="80" w:name="_Toc158728572"/>
      <w:r w:rsidRPr="00166D0F">
        <w:rPr>
          <w:noProof/>
          <w:lang w:val="fr-BE"/>
        </w:rPr>
        <w:t>7</w:t>
      </w:r>
      <w:r w:rsidR="00042F9F">
        <w:rPr>
          <w:noProof/>
          <w:lang w:val="fr-BE"/>
        </w:rPr>
        <w:t>.</w:t>
      </w:r>
      <w:r w:rsidRPr="00166D0F">
        <w:rPr>
          <w:noProof/>
          <w:lang w:val="fr-BE"/>
        </w:rPr>
        <w:t>8. Il-monitoraġġ u l-valutazzjoni tal-aċċessibbiltà tal-elezzjonijiet</w:t>
      </w:r>
      <w:bookmarkEnd w:id="79"/>
      <w:bookmarkEnd w:id="80"/>
    </w:p>
    <w:p w14:paraId="7481BD36" w14:textId="085B858E" w:rsidR="005F78F7" w:rsidRPr="00166D0F" w:rsidRDefault="005F5DD5" w:rsidP="00B42AEB">
      <w:pPr>
        <w:rPr>
          <w:noProof/>
          <w:lang w:val="fr-BE"/>
        </w:rPr>
      </w:pPr>
      <w:r w:rsidRPr="00166D0F">
        <w:rPr>
          <w:noProof/>
          <w:lang w:val="fr-BE"/>
        </w:rPr>
        <w:t>Il-perjodu ta’ wara elezzjoni normalment jitqatta’ b’ħarsa lejn il-prestazzjoni fit-twettiq ta’ elezzjonijiet mingħajr xkiel u kredibbli u fl-evalwazzjoni ta’ kif ġew implimentati r-regoli u r-riżorsi użati. Diversi Stati Membri (il-Litwanja, ir-Rumanija u l-Iżvezja) jirrikjedu b’mod partikolari li l-awtoritajiet elettorali jivvalutaw kif twettaq il-proċess elettorali. Il-kummissjoni elettorali l-ġdida tal-Irlanda għandha mandat leġiżlattiv biex twettaq rieżamijiet ta’ avvenimenti ta’ wara l-elezzjoni. Dawn ir-rieżamijiet se jeżaminaw l-appoġġ tal-uffiċjali tar-ritorn u tal-uffiċjali li jippresjedu (li jissorveljaw il-postijiet tal-votazzjoni f’votazzjoni) fl-iffaċilitar tal-votazzjoni għal votanti għomja, inabilitati u illitterati fil-postijiet tal-votazzjoni. Spanja tħejji kwestjonarji biex tevalwa l-konformità tal-elezzjonijiet mar-rekwiżiti ta’ aċċessibbiltà u mar-rapporti ta’ aċċessibbiltà wara kull proċess elettorali. Hija taħtar maniġers tal-aċċessibbiltà għall-elezzjonijiet f’kull delegazzjoni (19) u subdelegazzjoni (52) governattiva, li huma responsabbli mill-aċċessibbiltà f’kull proċess elettorali, jaġixxu bħala interlokuturi tal-Ministeru tal-Intern u jwettqu segwitu rapidu tal-inċidenti kollha relatati mal-aċċessibbiltà għall-elezzjonijiet. In-Netherlands iwettqu valutazzjonijiet simili u stħarriġ ta’ wara l-elezzjoni. Fin-Netherlands, il-votanti jistgħu jużaw il-hotline “Votazzjoni bla Limitu” (</w:t>
      </w:r>
      <w:r w:rsidRPr="00166D0F">
        <w:rPr>
          <w:i/>
          <w:noProof/>
          <w:lang w:val="fr-BE"/>
        </w:rPr>
        <w:t>Meldpunt Onbeperkt Stemmen</w:t>
      </w:r>
      <w:r w:rsidRPr="00166D0F">
        <w:rPr>
          <w:noProof/>
          <w:lang w:val="fr-BE"/>
        </w:rPr>
        <w:t>) biex jirrapportaw esperjenzi pożittivi jew negattivi u jagħmlu suġġerimenti biex itejbu l-aċċessibbiltà tal-elezzjonijiet.</w:t>
      </w:r>
    </w:p>
    <w:p w14:paraId="1A63EBAC" w14:textId="0356ECEF" w:rsidR="005F78F7" w:rsidRPr="00166D0F" w:rsidRDefault="005F78F7" w:rsidP="00B42AEB">
      <w:pPr>
        <w:rPr>
          <w:noProof/>
          <w:lang w:val="fr-BE"/>
        </w:rPr>
      </w:pPr>
      <w:r w:rsidRPr="00166D0F">
        <w:rPr>
          <w:noProof/>
          <w:lang w:val="fr-BE"/>
        </w:rPr>
        <w:t>Fi Franza, l-aċċessibbiltà tal-elezzjonijiet hija mmonitorjata matul l-elezzjoni u vvalutata wara l-elezzjoni. Il-monitoraġġ matul l-elezzjoni jitwettaq minn korp indipendenti, mill-Kunsill Konsultattiv Nazzjonali għall-Persuni b’Diżabilità, u mill-organizzazzjonijiet tas-soċjetà ċivili. Il-valutazzjonijiet tagħhom jiġu ppubblikati online</w:t>
      </w:r>
      <w:r w:rsidRPr="00166D0F">
        <w:rPr>
          <w:rStyle w:val="FootnoteReference"/>
          <w:noProof/>
          <w:lang w:val="fr-BE"/>
        </w:rPr>
        <w:t>(</w:t>
      </w:r>
      <w:r>
        <w:rPr>
          <w:rStyle w:val="FootnoteReference"/>
          <w:noProof/>
        </w:rPr>
        <w:footnoteReference w:id="92"/>
      </w:r>
      <w:r w:rsidR="00B50F49">
        <w:rPr>
          <w:rStyle w:val="FootnoteReference"/>
          <w:noProof/>
          <w:lang w:val="fr-BE"/>
        </w:rPr>
        <w:t>)</w:t>
      </w:r>
      <w:r w:rsidRPr="00166D0F">
        <w:rPr>
          <w:noProof/>
          <w:lang w:val="fr-BE"/>
        </w:rPr>
        <w:t>. Wara l-elezzjoni, il-ministeru tal-Intern, inkarigat mill-organizzazzjoni tal-elezzjonijiet, u l-Kumitat nazzjonali għall-Persuni b’Diżabilità jivvalutaw flimkien mal-organizzazzjonijiet tas-soċjetà ċivili u l-partiti politiċi x’ħadem fl-organizzazzjoni tal-elezzjonijiet u x’jista’ jittejjeb qabel l-elezzjoni li jmiss.</w:t>
      </w:r>
    </w:p>
    <w:p w14:paraId="2C472F62" w14:textId="47116067" w:rsidR="005F5DD5" w:rsidRPr="00166D0F" w:rsidRDefault="00E7413F" w:rsidP="00B42AEB">
      <w:pPr>
        <w:rPr>
          <w:noProof/>
          <w:lang w:val="fr-BE"/>
        </w:rPr>
      </w:pPr>
      <w:r w:rsidRPr="00166D0F">
        <w:rPr>
          <w:noProof/>
          <w:lang w:val="fr-BE"/>
        </w:rPr>
        <w:t>Il-Kummissjoni toħroġ ukoll rapport wara kull elezzjoni tal-Parlament Ewropew, li jkopri l-kwistjonijiet li jiffaċċjaw il-persuni b’diżabilità.</w:t>
      </w:r>
    </w:p>
    <w:p w14:paraId="245760E7" w14:textId="61042173" w:rsidR="008D65A6" w:rsidRPr="00166D0F" w:rsidRDefault="00DE389B" w:rsidP="006B02A7">
      <w:pPr>
        <w:pStyle w:val="Heading1"/>
        <w:spacing w:before="360" w:after="240" w:line="288" w:lineRule="auto"/>
        <w:rPr>
          <w:noProof/>
          <w:lang w:val="fr-BE"/>
        </w:rPr>
      </w:pPr>
      <w:bookmarkStart w:id="81" w:name="_Toc148718602"/>
      <w:bookmarkStart w:id="82" w:name="_Toc158728573"/>
      <w:r w:rsidRPr="00166D0F">
        <w:rPr>
          <w:noProof/>
          <w:lang w:val="fr-BE"/>
        </w:rPr>
        <w:t>8. Kunsiderazzjonijiet finali</w:t>
      </w:r>
      <w:bookmarkEnd w:id="81"/>
      <w:bookmarkEnd w:id="82"/>
    </w:p>
    <w:p w14:paraId="0F9EDE65" w14:textId="01F896D2" w:rsidR="005B346B" w:rsidRPr="00166D0F" w:rsidRDefault="00304616" w:rsidP="006B02A7">
      <w:pPr>
        <w:rPr>
          <w:noProof/>
          <w:lang w:val="fr-BE"/>
        </w:rPr>
      </w:pPr>
      <w:r w:rsidRPr="00166D0F">
        <w:rPr>
          <w:noProof/>
          <w:lang w:val="fr-BE"/>
        </w:rPr>
        <w:t>L-ugwaljanza u n-nondiskriminazzjoni u l-integrazzjoni tal-persuni b’diżabilità huma valuri ewlenin tal-UE u jikkostitwixxu drittijiet fundamentali pprovduti skont il-Karta tad-Drittijiet Fundamentali tal-UE. F’Marzu 2021, biex trawwem Unjoni ta’ ugwaljanza, il-Kummissjoni ppreżentat Strateġija ambizzjuża ġdida għad-drittijiet tal-persuni b’diżabilità għall-2021-2030. L-Istrateġija għandha l-għan li ttejjeb il-ħajja tal-persuni b’diżabilità, inkluż li tiżgura li dawn ikunu jistgħu jipparteċipaw fl-elezzjonijiet fuq bażi ugwali bħal ħaddieħor.</w:t>
      </w:r>
    </w:p>
    <w:p w14:paraId="0ABD5CCB" w14:textId="4A89009F" w:rsidR="00972F59" w:rsidRPr="00166D0F" w:rsidRDefault="00972F59" w:rsidP="00B42AEB">
      <w:pPr>
        <w:rPr>
          <w:noProof/>
          <w:lang w:val="fr-BE"/>
        </w:rPr>
      </w:pPr>
      <w:r w:rsidRPr="00166D0F">
        <w:rPr>
          <w:noProof/>
          <w:lang w:val="fr-BE"/>
        </w:rPr>
        <w:t xml:space="preserve">Filwaqt li l-Istati Membri dejjem irrikonoxxew u indirizzaw aktar l-importanza li jiġi żgurat aċċess ugwali għall-elezzjonijiet għaċ-ċittadini b’diżabilità, l-UE adottat ukoll diversi biċċiet ta’ leġiżlazzjoni u standards ta’ aċċessibbiltà li jistgħu jkunu utli bħala referenzi meta jiġu inkorporati karatteristiċi ta’ aċċessibbiltà f’diversi stadji tal-proċessi elettorali. </w:t>
      </w:r>
    </w:p>
    <w:p w14:paraId="77EC65B2" w14:textId="38BE9ADB" w:rsidR="004D28B3" w:rsidRPr="00166D0F" w:rsidRDefault="0044004C" w:rsidP="00B42AEB">
      <w:pPr>
        <w:rPr>
          <w:noProof/>
          <w:lang w:val="fr-BE"/>
        </w:rPr>
      </w:pPr>
      <w:r w:rsidRPr="00166D0F">
        <w:rPr>
          <w:noProof/>
          <w:lang w:val="fr-BE"/>
        </w:rPr>
        <w:t xml:space="preserve">Din il-gwida ta’ prattiki elettorali tajbin tħejjiet biex tappoġġa l-iskambji tal-Istati Membri ta’ prattiki tajbin u ta’ għarfien espert u b’mod aktar ġenerali biex tappoġġa l-isforzi tagħhom biex jiżguraw li ċ-ċittadini b’diżabilità jkunu jistgħu jeżerċitaw id-drittijiet elettorali tagħhom b’mod effettiv. </w:t>
      </w:r>
    </w:p>
    <w:p w14:paraId="63B0EE08" w14:textId="0DAC2895" w:rsidR="00430C8E" w:rsidRPr="00B42AEB" w:rsidRDefault="00CE304F" w:rsidP="00B42AEB">
      <w:pPr>
        <w:rPr>
          <w:noProof/>
        </w:rPr>
      </w:pPr>
      <w:r>
        <w:rPr>
          <w:noProof/>
        </w:rPr>
        <w:t>Il-miżuri ewlenin meħuda mill-Istati Membri jinkludu</w:t>
      </w:r>
      <w:r>
        <w:rPr>
          <w:rStyle w:val="FootnoteReference"/>
          <w:noProof/>
        </w:rPr>
        <w:t>(</w:t>
      </w:r>
      <w:r>
        <w:rPr>
          <w:rStyle w:val="FootnoteReference"/>
          <w:noProof/>
        </w:rPr>
        <w:footnoteReference w:id="93"/>
      </w:r>
      <w:r w:rsidR="00B50F49">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Metodi għal votazzjoni bikrija u proċeduri alternattivi ta’ votazzjoni, inklużi votazzjoni bil-quddiem personalment, votazzjoni bil-posta, votazzjoni online, votazzjoni mobbli, votazzjoni barra mill-post tal-votazzjoni, il-bdil jew l-għażla ta’ postijiet ta’ votazzjoni, il-votazzjoni assistita minn persuna magħżula liberament mill-votant;</w:t>
      </w:r>
    </w:p>
    <w:p w14:paraId="7E059B89" w14:textId="05C8EB8A" w:rsidR="00430C8E" w:rsidRPr="00B42AEB" w:rsidRDefault="00CC0FB4" w:rsidP="002D36F0">
      <w:pPr>
        <w:pStyle w:val="ListParagraph"/>
        <w:numPr>
          <w:ilvl w:val="0"/>
          <w:numId w:val="9"/>
        </w:numPr>
        <w:rPr>
          <w:noProof/>
        </w:rPr>
      </w:pPr>
      <w:r>
        <w:rPr>
          <w:noProof/>
        </w:rPr>
        <w:t>Li jsiru arranġamenti speċifiċi ta’ votazzjoni biex jiżguraw li persuni li jgħixu f’istituzzjonijiet ta’ kura residenzjali jew fit-tul, sptarijiet jew persuni li ma jistgħux jitilqu minn djarhom ma jitilfux id-dritt tagħhom li jivvotaw, b’enfasi partikolari fuq istituzzjonijiet residenzjali magħluqa;</w:t>
      </w:r>
    </w:p>
    <w:p w14:paraId="382CDAB8" w14:textId="1104F32D" w:rsidR="00430C8E" w:rsidRPr="00B42AEB" w:rsidRDefault="00CC0FB4" w:rsidP="002D36F0">
      <w:pPr>
        <w:pStyle w:val="ListParagraph"/>
        <w:numPr>
          <w:ilvl w:val="0"/>
          <w:numId w:val="9"/>
        </w:numPr>
        <w:rPr>
          <w:noProof/>
        </w:rPr>
      </w:pPr>
      <w:r>
        <w:rPr>
          <w:noProof/>
        </w:rPr>
        <w:t>Li ssir disponibbli firxa wiesgħa ta’ għodod ta’ assistenza bħall-Braille, il-kodiċijiet QR, it-tipa kbira, l-awdjo u l-gwidi li jinqraw faċilment, l-envelops bil-Braille, l-istensils li jinħassu, il-lentijiet li jkabbru, id-dawl addizzjonali, l-għodod tal-kitba u t-timbri;</w:t>
      </w:r>
    </w:p>
    <w:p w14:paraId="51486EF5" w14:textId="77777777" w:rsidR="00C347D9" w:rsidRPr="00B42AEB" w:rsidRDefault="00F97CAE" w:rsidP="002D36F0">
      <w:pPr>
        <w:pStyle w:val="ListParagraph"/>
        <w:numPr>
          <w:ilvl w:val="0"/>
          <w:numId w:val="9"/>
        </w:numPr>
        <w:rPr>
          <w:noProof/>
        </w:rPr>
      </w:pPr>
      <w:r>
        <w:rPr>
          <w:noProof/>
        </w:rPr>
        <w:t>Standards għall-għoti ta’ appoġġ mill-bniedem, permezz tat-telefown jew tal-interpretazzjoni tas-sinjali, u l-forniment ta’ trasport aċċessibbli għall-post tal-votazzjoni;</w:t>
      </w:r>
    </w:p>
    <w:p w14:paraId="3659EEF3" w14:textId="0BEF2417" w:rsidR="007320FD" w:rsidRPr="00B42AEB" w:rsidRDefault="00430C8E" w:rsidP="002D36F0">
      <w:pPr>
        <w:pStyle w:val="ListParagraph"/>
        <w:numPr>
          <w:ilvl w:val="0"/>
          <w:numId w:val="9"/>
        </w:numPr>
        <w:rPr>
          <w:noProof/>
        </w:rPr>
      </w:pPr>
      <w:r>
        <w:rPr>
          <w:noProof/>
        </w:rPr>
        <w:t>Proċeduri ssimplifikati biex tintalab akkomodazzjoni.</w:t>
      </w:r>
    </w:p>
    <w:p w14:paraId="6C1F5A83" w14:textId="53ADCCFE" w:rsidR="00CD0249" w:rsidRPr="00B42AEB" w:rsidRDefault="00A01F39" w:rsidP="00B42AEB">
      <w:pPr>
        <w:rPr>
          <w:noProof/>
        </w:rPr>
      </w:pPr>
      <w:r>
        <w:rPr>
          <w:noProof/>
        </w:rPr>
        <w:t xml:space="preserve">Jista’ jingħata aktar appoġġ għal prattiki li jiffokaw fuq l-iżgurar li l-persuni b’diżabilità jkollhom indipendenza u segretezza meta jivvotaw, pereżempju billi jużaw mudell bil-Braille li jista’ jitqiegħed fuq il-polza tal-votazzjoni biex jitfgħu l-vot. Dan </w:t>
      </w:r>
      <w:bookmarkStart w:id="84" w:name="_Hlk151657166"/>
      <w:r>
        <w:rPr>
          <w:noProof/>
        </w:rPr>
        <w:t>jista’</w:t>
      </w:r>
      <w:bookmarkEnd w:id="84"/>
      <w:r>
        <w:rPr>
          <w:noProof/>
        </w:rPr>
        <w:t xml:space="preserve"> jikkomplementa l-prattiki li jippermettu lill-votanti jiġu megħjuna minn persuni oħrajn biex jitfgħu l-vot tagħhom.</w:t>
      </w:r>
    </w:p>
    <w:p w14:paraId="115862F8" w14:textId="560E50D4" w:rsidR="006837E1" w:rsidRPr="00B42AEB" w:rsidRDefault="007F753B" w:rsidP="00B42AEB">
      <w:pPr>
        <w:rPr>
          <w:noProof/>
        </w:rPr>
      </w:pPr>
      <w:r>
        <w:rPr>
          <w:noProof/>
        </w:rPr>
        <w:t>L-awtoritajiet nazzjonali jistgħu jikkunsidraw ukoll li jqisu aktar il-ħtiġijiet speċifiċi taċ-ċittadini li jgħixu b’kundizzjonijiet ta’ saħħa mentali li jistgħu jaffettwaw l-esperjenza tagħhom tal-votazzjoni inklużi d-depressjoni u l-ansjetà, kemm jekk fit-tul kif ukoll jekk temporanji</w:t>
      </w:r>
      <w:r>
        <w:rPr>
          <w:rStyle w:val="FootnoteReference"/>
          <w:noProof/>
        </w:rPr>
        <w:t>(</w:t>
      </w:r>
      <w:r>
        <w:rPr>
          <w:rStyle w:val="FootnoteReference"/>
          <w:noProof/>
        </w:rPr>
        <w:footnoteReference w:id="94"/>
      </w:r>
      <w:r w:rsidR="00B50F49">
        <w:rPr>
          <w:rStyle w:val="FootnoteReference"/>
          <w:noProof/>
        </w:rPr>
        <w:t>)</w:t>
      </w:r>
      <w:r>
        <w:rPr>
          <w:noProof/>
        </w:rPr>
        <w:t xml:space="preserve">. </w:t>
      </w:r>
      <w:bookmarkStart w:id="85" w:name="_Hlk128656389"/>
    </w:p>
    <w:bookmarkEnd w:id="85"/>
    <w:p w14:paraId="356F2B44" w14:textId="6B0FE5A5" w:rsidR="00F95C1A" w:rsidRPr="00B42AEB" w:rsidRDefault="006837E1" w:rsidP="00B42AEB">
      <w:pPr>
        <w:rPr>
          <w:noProof/>
        </w:rPr>
      </w:pPr>
      <w:r>
        <w:rPr>
          <w:noProof/>
        </w:rPr>
        <w:t>L-aċċessibbiltà tmur lil hinn minn miżuri prattiċi. Din tinkludi l-ambjent soċjali fejn il-persuni jinvolvu ruħhom fil-proċess elettorali. Hija meħtieġa aktar riċerka dwar dan il-fenomenu. Jistgħu jitqiesu wkoll aktar miżuri ta’ ħidma u ta’ politika dwar kif il-persunal tal-post tal-votazzjoni jista’ jappoġġa liċ-ċittadini b’diżabilità (lil hinn milli jgħinhom meta jintalab), u kif jista’ joħloq ambjent inklużiv. Eżempji jinkludu gwida lingwistika (kif enfasizzat fil-gwida ta’ Franza għall-media) għall-komunikazzjoni maċ-ċittadini b’diżabilità bħala votanti jew kandidati, azzjonijiet biex jinħoloq ambjent soċjali biex tiġi appoġġata l-parteċipazzjoni politika, speċjalment għall-kandidati politiċi</w:t>
      </w:r>
      <w:r>
        <w:rPr>
          <w:rStyle w:val="FootnoteReference"/>
          <w:noProof/>
        </w:rPr>
        <w:t>(</w:t>
      </w:r>
      <w:r>
        <w:rPr>
          <w:rStyle w:val="FootnoteReference"/>
          <w:noProof/>
        </w:rPr>
        <w:footnoteReference w:id="95"/>
      </w:r>
      <w:r w:rsidR="00B50F49">
        <w:rPr>
          <w:rStyle w:val="FootnoteReference"/>
          <w:noProof/>
        </w:rPr>
        <w:t>)</w:t>
      </w:r>
      <w:r>
        <w:rPr>
          <w:noProof/>
        </w:rPr>
        <w:t>, u l-ħolqien ta’ networks, skemi ta’ mentoraġġ u mezzi li jinformaw liċ-ċittadini b’diżabilità b’dawn l-opportunitajiet u jappoġġaw il-parteċipazzjoni elettorali tagħhom.</w:t>
      </w:r>
    </w:p>
    <w:p w14:paraId="634264B2" w14:textId="7633CC60" w:rsidR="0087128C" w:rsidRPr="00B42AEB" w:rsidRDefault="00F95C1A" w:rsidP="00B42AEB">
      <w:pPr>
        <w:rPr>
          <w:noProof/>
        </w:rPr>
      </w:pPr>
      <w:r>
        <w:rPr>
          <w:noProof/>
        </w:rPr>
        <w:t>Lingwaġġ ċar u materjali ta’ komunikazzjoni aċċessibbli huma importanti wkoll biex jiġu miġġielda l-miżinformazzjoni u d-diżinformazzjoni, billi l-persuni b’diżabilità jistgħu jkunu partikolarment f’riskju. Il-pandemija tal-COVID-19 wasslet għal bidliet fil-proċeduri tal-votazzjoni, bħaż-żieda fl-użu tal-voti bil-posta jew tal-għażliet tal-votazzjoni mill-bogħod, li setgħu wasslu għall-iżvilupp ta’ prattiki li jappoġġaw l-aċċessibbiltà elettorali għall-persuni b’diżabilità.</w:t>
      </w:r>
    </w:p>
    <w:p w14:paraId="43AA3D6D" w14:textId="5E8C51AD" w:rsidR="004B1282" w:rsidRPr="00B42AEB" w:rsidRDefault="00781643" w:rsidP="00B42AEB">
      <w:pPr>
        <w:rPr>
          <w:noProof/>
        </w:rPr>
      </w:pPr>
      <w:r>
        <w:rPr>
          <w:noProof/>
        </w:rPr>
        <w:t xml:space="preserve">Jistgħu jiġu żviluppati aktar il-kampanji ta’ sensibilizzazzjoni u azzjonijiet oħrajn ta’ sensibilizzazzjoni dwar id-drittijiet elettorali tal-persuni b’diżabilità sabiex jappoġġaw is-sensibilizzazzjoni ġenerali qalb l-uffiċjali elettorali, l-osservaturi elettorali, il-partiti politiċi u l-pubbliku b’mod ġenerali. Hemm livell ta’ għarfien fid-dokumenti uffiċjali, peress li diversi eżempji juru gwida dwar l-użu ta’ lingwa u kategoriji speċifiċi, inkluża gwida għall-organizzaturi tal-elezzjonijiet, li tidher preferibbli. Dan jinkludi l-għoti ta’ informazzjoni dwar liema tipi ta’ diżabilità jaqgħu taħt il-kategorija “ċittadini b’diżabilità” u l-iżvilupp ta’ din l-informazzjoni f’kooperazzjoni ma’ organizzazzjonijiet rappreżentattivi ta’ persuni b’diżabilità (kif isir fil-Belġju, fil-Finlandja u fil-Latvja). </w:t>
      </w:r>
    </w:p>
    <w:p w14:paraId="76A5EB90" w14:textId="57A87F3D" w:rsidR="006837E1" w:rsidRPr="00B42AEB" w:rsidRDefault="00AA3E79" w:rsidP="00B42AEB">
      <w:pPr>
        <w:rPr>
          <w:noProof/>
        </w:rPr>
      </w:pPr>
      <w:r>
        <w:rPr>
          <w:noProof/>
        </w:rPr>
        <w:t>Korsijiet ta’ taħriġ effettivi jkopru aspetti bħall-għoti ta’ ħarsa ġenerali lejn id-drittijiet elettorali tal-persuni b’diżabilità, il-prattiki u l-postijiet tal-votazzjoni aċċessibbli, l-akkomodazzjonijiet raġonevoli disponibbli għall-persuni b’diżabilità, kif jiġu appoġġati l-votanti b’diżabilità u l-pjanijiet ta’ kontinġenza jekk jinqalgħu kwistjonijiet. Barra minn hekk, it-taħriġ jista’ jinkludi dijanjożi, ittestjar u ċertifikazzjoni ta’ awtovalutazzjoni, biex jiġu identifikati punti mhux viżibbli jew nuqqas ta’ fehim tal-informazzjoni. Eżempju tajjeb ta’ dan ġej mid-Danimarka, fejn l-uffiċjali elettorali (u oħrajn) jagħmlu kwiżż biex jivverifikaw l-għarfien tagħhom dwar l-informazzjoni.</w:t>
      </w:r>
    </w:p>
    <w:p w14:paraId="58D5BCDF" w14:textId="64EA9478" w:rsidR="00594214" w:rsidRPr="00166D0F" w:rsidRDefault="00594214" w:rsidP="00B42AEB">
      <w:pPr>
        <w:rPr>
          <w:noProof/>
          <w:lang w:val="fr-BE"/>
        </w:rPr>
      </w:pPr>
      <w:r>
        <w:rPr>
          <w:noProof/>
        </w:rPr>
        <w:t xml:space="preserve">Kull meta jkun possibbli, il-miżuri li qed jiġu implimentati jistgħu jiżguraw li ċ-ċittadini li jgħixu b’diżabilità jkollhom esperjenza elettorali li tkun komparabbli kemm jista’ jkun ma’ dik ta’ ċittadini oħrajn. </w:t>
      </w:r>
      <w:r w:rsidRPr="00166D0F">
        <w:rPr>
          <w:noProof/>
          <w:lang w:val="fr-BE"/>
        </w:rPr>
        <w:t>Dan jista’ jmur lil hinn mis-sempliċi possibbiltà ta’ aċċess f’xi forma. Eżempji jinkludu li jkun hemm reġistru elettorali awtomatiku (bħal fil-biċċa l-kbira tal-Istati Membri) sabiex “l-inklużjoni” fil-votazzjoni ma tkunx meħtieġa jew proċeduri ta’ reġistrazzjoni ssimplifikati, bħal fl-Irlanda; l-għoti ta’ aktar miżuri ta’ aċċessibbiltà fil-postijiet tal-votazzjoni aktar milli forom alternattivi ta’ votazzjoni (bħall-votazzjoni bil-posta) li ma jagħtux sens ta’ parteċipazzjoni fil-ħajja pubblika bl-istess mod. Dan jista’ jinkludi wkoll il-ħolqien mill-ġdid ta’ atmosfera ta’ post tal-votazzjoni f’kuntesti oħrajn, bħal li jippermetti liċ-ċittadini b’diżabilità li jgħixu f’kura assistita biex jivvotaw f’jum stabbilit fl-ambjent tagħhom stess (pereżempju l-“postijiet tal-votazzjoni magħluqa” fil-Polonja).</w:t>
      </w:r>
    </w:p>
    <w:p w14:paraId="57B3EB97" w14:textId="640A1ED5" w:rsidR="0093702C" w:rsidRPr="00166D0F" w:rsidRDefault="0093702C" w:rsidP="00B42AEB">
      <w:pPr>
        <w:rPr>
          <w:noProof/>
          <w:lang w:val="fr-BE"/>
        </w:rPr>
      </w:pPr>
      <w:r w:rsidRPr="00166D0F">
        <w:rPr>
          <w:noProof/>
          <w:lang w:val="fr-BE"/>
        </w:rPr>
        <w:t xml:space="preserve">Is-settijiet ta’ </w:t>
      </w:r>
      <w:r w:rsidRPr="00166D0F">
        <w:rPr>
          <w:i/>
          <w:iCs/>
          <w:noProof/>
          <w:lang w:val="fr-BE"/>
        </w:rPr>
        <w:t>data</w:t>
      </w:r>
      <w:r w:rsidRPr="00166D0F">
        <w:rPr>
          <w:noProof/>
          <w:lang w:val="fr-BE"/>
        </w:rPr>
        <w:t xml:space="preserve"> kurrenti ma jkoprux speċifikament il-kwistjonijiet li ċ-ċittadini b’diżabilità jistgħu jiffaċċjaw meta jeżerċitaw id-drittijiet elettorali tagħhom. Il-ġbir ta’ aktar informazzjoni statistika dwar iċ-ċittadini b’diżabilità (bħal fl-Iżvezja u fir-Rumanija) jagħti lill-awtoritajiet fehim aħjar ta’ kif l-esperjenzi elettorali jistgħu jvarjaw abbażi ta’ forom ta’ diżabilità u kif din l-informazzjoni tista’ tintuża biex jiġu mfassla b’mod konġunt proġetti ta’ riċerka li jfasslu l-ġbir tad-</w:t>
      </w:r>
      <w:r w:rsidRPr="00166D0F">
        <w:rPr>
          <w:i/>
          <w:iCs/>
          <w:noProof/>
          <w:lang w:val="fr-BE"/>
        </w:rPr>
        <w:t>data</w:t>
      </w:r>
      <w:r w:rsidRPr="00166D0F">
        <w:rPr>
          <w:noProof/>
          <w:lang w:val="fr-BE"/>
        </w:rPr>
        <w:t xml:space="preserve"> għalihom. Eżempji tajbin jinkludu l-pilotaġġ ta’ għodod/teknoloġiji ta’ votazzjoni ġodda li jużaw iċ-ċittadini bi ħtiġijiet ta’ aċċessibbiltà differenti, biex jiġu esplorati konsegwenzi potenzjali mhux intenzjonati jew ħtiġijiet mhux issodisfati; it-tfassil ta’ strumenti kwantitattivi li jippermettu l-aggregazzjoni u l-analiżi tas-sejbiet abbażi ta’ tipi differenti ta’ diżabilitajiet, bl-użu ta’ sejbiet kwalitattivi tar-riċerka li jagħtu għarfien fil-fond dwar l-esperjenza tal-ħajja tal-persuni biex jifhmu aħjar kif jixtiequ jipparteċipaw fil-ħajja pubblika u politika. Kwalunkwe pproċessar ta’ </w:t>
      </w:r>
      <w:r w:rsidRPr="00166D0F">
        <w:rPr>
          <w:i/>
          <w:iCs/>
          <w:noProof/>
          <w:lang w:val="fr-BE"/>
        </w:rPr>
        <w:t>data</w:t>
      </w:r>
      <w:r w:rsidRPr="00166D0F">
        <w:rPr>
          <w:noProof/>
          <w:lang w:val="fr-BE"/>
        </w:rPr>
        <w:t xml:space="preserve"> personali għal finijiet statistiċi jrid isir f’konformità sħiħa mal-GDPR.</w:t>
      </w:r>
    </w:p>
    <w:p w14:paraId="1ABB8BC2" w14:textId="1D8FFAF9" w:rsidR="00594214" w:rsidRPr="00166D0F" w:rsidRDefault="00594214" w:rsidP="00B42AEB">
      <w:pPr>
        <w:rPr>
          <w:noProof/>
          <w:lang w:val="fr-BE"/>
        </w:rPr>
      </w:pPr>
      <w:r w:rsidRPr="00166D0F">
        <w:rPr>
          <w:noProof/>
          <w:lang w:val="fr-BE"/>
        </w:rPr>
        <w:t>Sabiex jiġu ssodisfati l-ħtiġijiet taċ-ċittadini b’diżabilità f’kuntest elettorali b’mod effiċjenti, jistgħu jintużaw miżuri standard biex jiġi vvalutat kemm il-punt sa fejn hemm inugwaljanzi fl-aċċess għall-vot kif ukoll l-effettività ta’ kwalunkwe soluzzjoni meħuda biex jitnaqqsu dawk l-inugwaljanzi.</w:t>
      </w:r>
    </w:p>
    <w:p w14:paraId="379BF075" w14:textId="79CEBA37" w:rsidR="00A7320F" w:rsidRPr="00166D0F" w:rsidRDefault="000006E3" w:rsidP="00B42AEB">
      <w:pPr>
        <w:rPr>
          <w:noProof/>
          <w:lang w:val="fr-BE"/>
        </w:rPr>
      </w:pPr>
      <w:r w:rsidRPr="00166D0F">
        <w:rPr>
          <w:noProof/>
          <w:lang w:val="fr-BE"/>
        </w:rPr>
        <w:t xml:space="preserve">L-organizzazzjonijiet rappreżentanti tal-persuni b’diżabilità jistgħu jiġu kkonsultati meta jkunu qed jitħejjew miżuri mmirati lejn l-appoġġ tal-parteċipazzjoni fl-elezzjonijiet ta’ persuni b’diżabilità. </w:t>
      </w:r>
    </w:p>
    <w:p w14:paraId="7EF9687E" w14:textId="77777777" w:rsidR="004638ED" w:rsidRPr="00166D0F" w:rsidRDefault="003B4818" w:rsidP="00B42AEB">
      <w:pPr>
        <w:rPr>
          <w:noProof/>
          <w:lang w:val="fr-BE"/>
        </w:rPr>
      </w:pPr>
      <w:r w:rsidRPr="00166D0F">
        <w:rPr>
          <w:noProof/>
          <w:lang w:val="fr-BE"/>
        </w:rPr>
        <w:t>Ir-rakkomandazzjonijiet li jindirizzaw proċessi elettorali inklużivi u reżiljenti fl-Unjoni, inklużi miżuri li jippromwovu l-aċċessibbiltà tal-elezzjonijiet għall-persuni b’diżabilità, se jinħarġu mill-Kummissjoni f’Diċembru 2024</w:t>
      </w:r>
      <w:r w:rsidRPr="00166D0F">
        <w:rPr>
          <w:rStyle w:val="Heading1Char"/>
          <w:noProof/>
          <w:shd w:val="clear" w:color="auto" w:fill="FFFFFF"/>
          <w:lang w:val="fr-BE"/>
        </w:rPr>
        <w:t>.</w:t>
      </w:r>
      <w:r w:rsidRPr="00166D0F">
        <w:rPr>
          <w:noProof/>
          <w:lang w:val="fr-BE"/>
        </w:rPr>
        <w:t xml:space="preserve"> </w:t>
      </w:r>
    </w:p>
    <w:p w14:paraId="31BD6C46" w14:textId="15E6B275" w:rsidR="00BC3993" w:rsidRPr="00166D0F" w:rsidRDefault="007013F9" w:rsidP="00B42AEB">
      <w:pPr>
        <w:rPr>
          <w:noProof/>
          <w:lang w:val="fr-BE"/>
        </w:rPr>
      </w:pPr>
      <w:r w:rsidRPr="00166D0F">
        <w:rPr>
          <w:noProof/>
          <w:lang w:val="fr-BE"/>
        </w:rPr>
        <w:t xml:space="preserve">Aktar diskussjonijiet dwar is-suġġett ta’ elezzjonijiet inklużivi għad-diżabilità se jiġu organizzati fil-qafas tan-Network Ewropew ta’ Kooperazzjoni tal-Elezzjonijiet. </w:t>
      </w:r>
    </w:p>
    <w:p w14:paraId="33EFA13E" w14:textId="1A12ECB5" w:rsidR="00963BCC" w:rsidRPr="00166D0F" w:rsidRDefault="00BC3993" w:rsidP="006B02A7">
      <w:pPr>
        <w:pStyle w:val="Heading1"/>
        <w:spacing w:before="360" w:after="240" w:line="288" w:lineRule="auto"/>
        <w:rPr>
          <w:noProof/>
          <w:lang w:val="fr-BE"/>
        </w:rPr>
      </w:pPr>
      <w:bookmarkStart w:id="86" w:name="_Toc148718603"/>
      <w:bookmarkStart w:id="87" w:name="_Toc158728574"/>
      <w:r w:rsidRPr="00166D0F">
        <w:rPr>
          <w:noProof/>
          <w:lang w:val="fr-BE"/>
        </w:rPr>
        <w:t>Anness 1 - Qafas li jippermetti lill-persuni b’diżabilità jaċċessaw l-elezzjonijiet</w:t>
      </w:r>
      <w:bookmarkEnd w:id="86"/>
      <w:bookmarkEnd w:id="87"/>
      <w:r w:rsidRPr="00166D0F">
        <w:rPr>
          <w:noProof/>
          <w:lang w:val="fr-BE"/>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Meta?</w:t>
            </w:r>
          </w:p>
        </w:tc>
        <w:tc>
          <w:tcPr>
            <w:tcW w:w="4193" w:type="pct"/>
            <w:shd w:val="clear" w:color="auto" w:fill="D9D9D9" w:themeFill="background1" w:themeFillShade="D9"/>
          </w:tcPr>
          <w:p w14:paraId="0D46CAD8" w14:textId="2BDB883F" w:rsidR="00963BCC" w:rsidRPr="006B02A7" w:rsidRDefault="00166D0F" w:rsidP="00B42AEB">
            <w:pPr>
              <w:rPr>
                <w:b/>
                <w:noProof/>
              </w:rPr>
            </w:pPr>
            <w:r>
              <w:rPr>
                <w:b/>
                <w:noProof/>
                <w:lang w:val="mt-MT"/>
              </w:rPr>
              <w:t>Kif</w:t>
            </w:r>
            <w:r w:rsidR="00963BCC">
              <w:rPr>
                <w:b/>
                <w:noProof/>
              </w:rPr>
              <w:t>?</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Qabel l-elezzjonijiet</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Jiġu żviluppati pjanijiet ta’ azzjoni dwar id-diżabilità, inklużi listi ta’ kontroll għal elezzjonijiet aċċessibbli u l-involviment ta’ organizzazzjonijiet rappreżentanti ta’ persuni b’diżabilità fit-tħejjija ta’ dawn il-pjanijiet.</w:t>
            </w:r>
          </w:p>
          <w:p w14:paraId="7EA00262" w14:textId="627C2C48" w:rsidR="00963BCC" w:rsidRPr="00B42AEB" w:rsidRDefault="00963BCC" w:rsidP="002D36F0">
            <w:pPr>
              <w:pStyle w:val="ListParagraph"/>
              <w:numPr>
                <w:ilvl w:val="0"/>
                <w:numId w:val="3"/>
              </w:numPr>
              <w:ind w:left="343" w:hanging="283"/>
              <w:rPr>
                <w:noProof/>
              </w:rPr>
            </w:pPr>
            <w:r>
              <w:rPr>
                <w:noProof/>
              </w:rPr>
              <w:t>Jiġi żgurat li l-persuni b’diżabilità jkollhom aċċess għall-informazzjoni elettorali, f’modi u f’formati multipli u aċċessibbli.</w:t>
            </w:r>
          </w:p>
          <w:p w14:paraId="5B8869F4" w14:textId="77777777" w:rsidR="00963BCC" w:rsidRPr="00B42AEB" w:rsidRDefault="00963BCC" w:rsidP="002D36F0">
            <w:pPr>
              <w:pStyle w:val="ListParagraph"/>
              <w:numPr>
                <w:ilvl w:val="0"/>
                <w:numId w:val="3"/>
              </w:numPr>
              <w:ind w:left="343" w:hanging="283"/>
              <w:rPr>
                <w:noProof/>
              </w:rPr>
            </w:pPr>
            <w:r>
              <w:rPr>
                <w:noProof/>
              </w:rPr>
              <w:t>Jiġi żgurat li s-siti web tal-awtoritajiet elettorali jkunu aċċessibbli.</w:t>
            </w:r>
          </w:p>
          <w:p w14:paraId="75E5F808" w14:textId="50BBAE45" w:rsidR="000006E3" w:rsidRPr="00B42AEB" w:rsidRDefault="00963BCC" w:rsidP="002D36F0">
            <w:pPr>
              <w:pStyle w:val="ListParagraph"/>
              <w:numPr>
                <w:ilvl w:val="0"/>
                <w:numId w:val="3"/>
              </w:numPr>
              <w:ind w:left="343" w:hanging="283"/>
              <w:rPr>
                <w:noProof/>
              </w:rPr>
            </w:pPr>
            <w:r>
              <w:rPr>
                <w:noProof/>
              </w:rPr>
              <w:t>Jitwettqu attivitajiet ta’ sensibilizzazzjoni, attivitajiet ta’ taħriġ u edukazzjoni, inkluż f’kooperazzjoni ma’ organizzazzjonijiet rappreżentanti ta’ persuni b’diżabilità.</w:t>
            </w:r>
          </w:p>
          <w:p w14:paraId="3D4E6945" w14:textId="27E9CB54" w:rsidR="00963BCC" w:rsidRPr="00B42AEB" w:rsidRDefault="00963BCC" w:rsidP="002D36F0">
            <w:pPr>
              <w:pStyle w:val="ListParagraph"/>
              <w:numPr>
                <w:ilvl w:val="0"/>
                <w:numId w:val="3"/>
              </w:numPr>
              <w:ind w:left="343" w:hanging="283"/>
              <w:rPr>
                <w:noProof/>
              </w:rPr>
            </w:pPr>
            <w:r>
              <w:rPr>
                <w:noProof/>
              </w:rPr>
              <w:t>Jingħażlu postijiet tal-votazzjoni li huma aċċessibbli, inkluż bl-użu ta’ listi ta’ kontroll żviluppati flimkien ma’ organizzazzjonijiet rappreżentanti ta’ persuni b’diżabilità.</w:t>
            </w:r>
          </w:p>
          <w:p w14:paraId="042946EC" w14:textId="77777777" w:rsidR="00963BCC" w:rsidRPr="00B42AEB" w:rsidRDefault="00963BCC" w:rsidP="002D36F0">
            <w:pPr>
              <w:pStyle w:val="ListParagraph"/>
              <w:numPr>
                <w:ilvl w:val="0"/>
                <w:numId w:val="3"/>
              </w:numPr>
              <w:ind w:left="343" w:hanging="283"/>
              <w:rPr>
                <w:noProof/>
              </w:rPr>
            </w:pPr>
            <w:r>
              <w:rPr>
                <w:noProof/>
              </w:rPr>
              <w:t>Jiġu ddisinnjati poloz tal-votazzjoni li jkunu faċli biex jinqraw u jintużaw għodod ta’ assistenza.</w:t>
            </w:r>
          </w:p>
          <w:p w14:paraId="3E9290D2" w14:textId="4F2A0D43" w:rsidR="00963BCC" w:rsidRPr="00B42AEB" w:rsidRDefault="00963BCC" w:rsidP="002D36F0">
            <w:pPr>
              <w:pStyle w:val="ListParagraph"/>
              <w:numPr>
                <w:ilvl w:val="0"/>
                <w:numId w:val="3"/>
              </w:numPr>
              <w:ind w:left="343" w:hanging="283"/>
              <w:rPr>
                <w:noProof/>
              </w:rPr>
            </w:pPr>
            <w:r>
              <w:rPr>
                <w:noProof/>
              </w:rPr>
              <w:t>Jiġu ddisinnjati postijiet tal-votazzjoni aċċessibbli, li jmorru lil hinn mill-aċċessibbiltà fiżika.</w:t>
            </w:r>
          </w:p>
          <w:p w14:paraId="17CA8DE6" w14:textId="77777777" w:rsidR="00963BCC" w:rsidRPr="00B42AEB" w:rsidRDefault="00963BCC" w:rsidP="002D36F0">
            <w:pPr>
              <w:pStyle w:val="ListParagraph"/>
              <w:numPr>
                <w:ilvl w:val="0"/>
                <w:numId w:val="3"/>
              </w:numPr>
              <w:ind w:left="343" w:hanging="283"/>
              <w:rPr>
                <w:noProof/>
              </w:rPr>
            </w:pPr>
            <w:r>
              <w:rPr>
                <w:noProof/>
              </w:rPr>
              <w:t>Jiġi żgurat li l-magni tal-votazzjoni jkunu mgħammra b’software li jista’ faċilment jinkorpora karatteristiċi ta’ aċċessibbiltà.</w:t>
            </w:r>
          </w:p>
          <w:p w14:paraId="50B28094" w14:textId="77777777" w:rsidR="00963BCC" w:rsidRPr="00B42AEB" w:rsidRDefault="00963BCC" w:rsidP="002D36F0">
            <w:pPr>
              <w:pStyle w:val="ListParagraph"/>
              <w:numPr>
                <w:ilvl w:val="0"/>
                <w:numId w:val="3"/>
              </w:numPr>
              <w:ind w:left="343" w:hanging="283"/>
              <w:rPr>
                <w:noProof/>
              </w:rPr>
            </w:pPr>
            <w:r>
              <w:rPr>
                <w:noProof/>
              </w:rPr>
              <w:t>Jiġu ddisinnjati kabini tal-votazzjoni u kaxxi tal-voti li huma aċċessibbli għal firxa wiesgħa ta’ votanti.</w:t>
            </w:r>
          </w:p>
          <w:p w14:paraId="6AFB874D" w14:textId="33EF6A3B" w:rsidR="00963BCC" w:rsidRPr="00B42AEB" w:rsidRDefault="00963BCC" w:rsidP="002D36F0">
            <w:pPr>
              <w:pStyle w:val="ListParagraph"/>
              <w:numPr>
                <w:ilvl w:val="0"/>
                <w:numId w:val="3"/>
              </w:numPr>
              <w:ind w:left="343" w:hanging="283"/>
              <w:rPr>
                <w:noProof/>
              </w:rPr>
            </w:pPr>
            <w:r>
              <w:rPr>
                <w:noProof/>
              </w:rPr>
              <w:t xml:space="preserve">Jinxtraw għodod biex tittejjeb l-aċċessibbiltà, bħal lentijiet li jkabbru, lampi, mudelli tal-mess u/jew tal-Braille għal poloz ibbażati fuq il-karta, stikers tattili għall-kaxxi tal-voti, pinen b’qabda kbira, stampar fuq karti stampati kbar, fajls tal-awdjo (jiġifieri DAISY </w:t>
            </w:r>
            <w:r>
              <w:rPr>
                <w:noProof/>
                <w:vertAlign w:val="superscript"/>
              </w:rPr>
              <w:t>(</w:t>
            </w:r>
            <w:r>
              <w:rPr>
                <w:noProof/>
                <w:vertAlign w:val="superscript"/>
              </w:rPr>
              <w:footnoteReference w:id="96"/>
            </w:r>
            <w:r w:rsidR="00B50F49">
              <w:rPr>
                <w:noProof/>
                <w:vertAlign w:val="superscript"/>
              </w:rPr>
              <w:t>)</w:t>
            </w:r>
            <w:r>
              <w:rPr>
                <w:noProof/>
              </w:rPr>
              <w:t>, fajls tal-vidjo bi traskrizzjoni sħiħa, sottotitoli, interpretazzjoni tal-lingwa tas-sinjali.</w:t>
            </w:r>
          </w:p>
          <w:p w14:paraId="4E82977F" w14:textId="77777777" w:rsidR="00963BCC" w:rsidRPr="00B42AEB" w:rsidRDefault="00963BCC" w:rsidP="002D36F0">
            <w:pPr>
              <w:pStyle w:val="ListParagraph"/>
              <w:numPr>
                <w:ilvl w:val="0"/>
                <w:numId w:val="3"/>
              </w:numPr>
              <w:ind w:left="343" w:hanging="283"/>
              <w:rPr>
                <w:noProof/>
              </w:rPr>
            </w:pPr>
            <w:r>
              <w:rPr>
                <w:noProof/>
              </w:rPr>
              <w:t>Jiġu pprovduti metodi ta’ votazzjoni komplementari u arranġamenti speċifiċi oħrajn, inklużi l-votazzjoni bil-posta u online, il-votazzjoni bil-quddiem, il-votazzjoni bil-mobile, il-votazzjoni barra mill-post tal-votazzjoni, il-votazzjoni bi prokura u l-opzjoni li jintgħażel post ieħor tal-votazzjoni.</w:t>
            </w:r>
          </w:p>
          <w:p w14:paraId="02FACD2A" w14:textId="77777777" w:rsidR="00963BCC" w:rsidRPr="00B42AEB" w:rsidRDefault="00963BCC" w:rsidP="002D36F0">
            <w:pPr>
              <w:pStyle w:val="ListParagraph"/>
              <w:numPr>
                <w:ilvl w:val="0"/>
                <w:numId w:val="3"/>
              </w:numPr>
              <w:ind w:left="343" w:hanging="283"/>
              <w:rPr>
                <w:noProof/>
              </w:rPr>
            </w:pPr>
            <w:r>
              <w:rPr>
                <w:noProof/>
              </w:rPr>
              <w:t>Jiġu integrati l-kunsiderazzjonijiet tad-diżabilità fil-manwali għall-uffiċjali elettorali.</w:t>
            </w:r>
          </w:p>
          <w:p w14:paraId="3626D78D" w14:textId="1B4BA294" w:rsidR="00963BCC" w:rsidRPr="00B42AEB" w:rsidRDefault="00A27E30" w:rsidP="002D36F0">
            <w:pPr>
              <w:pStyle w:val="ListParagraph"/>
              <w:numPr>
                <w:ilvl w:val="0"/>
                <w:numId w:val="3"/>
              </w:numPr>
              <w:ind w:left="343" w:hanging="283"/>
              <w:rPr>
                <w:noProof/>
              </w:rPr>
            </w:pPr>
            <w:r>
              <w:rPr>
                <w:noProof/>
              </w:rPr>
              <w:t>Jiġu kkonsultati l-organizzazzjonijiet rappreżentattivi tal-persuni b’diżabilità meta jitħejjew ir-regoli elettorali u jiġu involuti fl-iżvilupp ta’ kodiċijiet ta’ kondotta, inklużi prattiki inklużivi għall-kompilazzjoni tal-listi tal-kandidati.</w:t>
            </w:r>
          </w:p>
        </w:tc>
      </w:tr>
      <w:tr w:rsidR="00963BCC" w:rsidRPr="00B50F49" w14:paraId="7FCDA1EC" w14:textId="77777777">
        <w:trPr>
          <w:trHeight w:val="448"/>
        </w:trPr>
        <w:tc>
          <w:tcPr>
            <w:tcW w:w="807" w:type="pct"/>
          </w:tcPr>
          <w:p w14:paraId="18795CCD" w14:textId="77777777" w:rsidR="00963BCC" w:rsidRPr="00B42AEB" w:rsidRDefault="00963BCC" w:rsidP="00B42AEB">
            <w:pPr>
              <w:rPr>
                <w:noProof/>
              </w:rPr>
            </w:pPr>
            <w:r>
              <w:rPr>
                <w:noProof/>
              </w:rPr>
              <w:t>Matul l-elezzjonijiet</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Jingħata taħriġ lill-uffiċjali tal-elezzjoni dwar kif għandha tingħata għajnuna lill-persuni b’diżabilità fil-proċess tal-votazzjoni.</w:t>
            </w:r>
          </w:p>
          <w:p w14:paraId="63C2EC45" w14:textId="64D02444" w:rsidR="00963BCC" w:rsidRPr="00B42AEB" w:rsidRDefault="00963BCC" w:rsidP="002D36F0">
            <w:pPr>
              <w:pStyle w:val="ListParagraph"/>
              <w:numPr>
                <w:ilvl w:val="0"/>
                <w:numId w:val="3"/>
              </w:numPr>
              <w:ind w:left="343" w:hanging="283"/>
              <w:rPr>
                <w:noProof/>
              </w:rPr>
            </w:pPr>
            <w:r>
              <w:rPr>
                <w:noProof/>
              </w:rPr>
              <w:t>Tinħoloq sensibilizzazzjoni fost l-awtoritajiet elettorali u awtoritajiet rilevanti oħrajn.</w:t>
            </w:r>
          </w:p>
          <w:p w14:paraId="47EF0196" w14:textId="77777777" w:rsidR="00963BCC" w:rsidRPr="00B50F49" w:rsidRDefault="00963BCC" w:rsidP="002D36F0">
            <w:pPr>
              <w:pStyle w:val="ListParagraph"/>
              <w:numPr>
                <w:ilvl w:val="0"/>
                <w:numId w:val="3"/>
              </w:numPr>
              <w:ind w:left="343" w:hanging="283"/>
              <w:rPr>
                <w:noProof/>
                <w:lang w:val="es-ES"/>
              </w:rPr>
            </w:pPr>
            <w:r w:rsidRPr="00B50F49">
              <w:rPr>
                <w:noProof/>
                <w:lang w:val="es-ES"/>
              </w:rPr>
              <w:t>Tinxtered informazzjoni elettorali f’modi u f’formati multipli u aċċessibbli.</w:t>
            </w:r>
          </w:p>
          <w:p w14:paraId="371CC543" w14:textId="77777777" w:rsidR="00963BCC" w:rsidRPr="00166D0F" w:rsidRDefault="00963BCC" w:rsidP="002D36F0">
            <w:pPr>
              <w:pStyle w:val="ListParagraph"/>
              <w:numPr>
                <w:ilvl w:val="0"/>
                <w:numId w:val="3"/>
              </w:numPr>
              <w:ind w:left="343" w:hanging="283"/>
              <w:rPr>
                <w:noProof/>
                <w:lang w:val="fr-BE"/>
              </w:rPr>
            </w:pPr>
            <w:r w:rsidRPr="00166D0F">
              <w:rPr>
                <w:noProof/>
                <w:lang w:val="fr-BE"/>
              </w:rPr>
              <w:t>Isiru aċċessibbli d-dibattiti u l-avvenimenti elettorali.</w:t>
            </w:r>
          </w:p>
          <w:p w14:paraId="65C87926" w14:textId="465DB41E" w:rsidR="00963BCC" w:rsidRPr="00166D0F" w:rsidRDefault="00963BCC" w:rsidP="002D36F0">
            <w:pPr>
              <w:pStyle w:val="ListParagraph"/>
              <w:numPr>
                <w:ilvl w:val="0"/>
                <w:numId w:val="3"/>
              </w:numPr>
              <w:ind w:left="343" w:hanging="283"/>
              <w:rPr>
                <w:noProof/>
                <w:lang w:val="fr-BE"/>
              </w:rPr>
            </w:pPr>
            <w:r w:rsidRPr="00166D0F">
              <w:rPr>
                <w:noProof/>
                <w:lang w:val="fr-BE"/>
              </w:rPr>
              <w:t>Jingħata appoġġ għall-aċċessibbiltà tar-reklamar politiku, inkluż f’kooperazzjoni mal-organizzazzjonijiet rappreżentanti tal-persuni b’diżabilità u jingħata taħriġ lill-fornituri tal-media.</w:t>
            </w:r>
          </w:p>
          <w:p w14:paraId="56DC9087" w14:textId="77777777" w:rsidR="00963BCC" w:rsidRPr="00166D0F" w:rsidRDefault="00963BCC" w:rsidP="002D36F0">
            <w:pPr>
              <w:pStyle w:val="ListParagraph"/>
              <w:numPr>
                <w:ilvl w:val="0"/>
                <w:numId w:val="3"/>
              </w:numPr>
              <w:ind w:left="343" w:hanging="283"/>
              <w:rPr>
                <w:noProof/>
                <w:lang w:val="fr-BE"/>
              </w:rPr>
            </w:pPr>
            <w:r w:rsidRPr="00166D0F">
              <w:rPr>
                <w:noProof/>
                <w:lang w:val="fr-BE"/>
              </w:rPr>
              <w:t>Jingħata appoġġ lill-kandidati b’diżabilità, inkluż billi jiġu pprovduti interpreti tal-lingwa tas-sinjali, u jsiru dibattiti f’formati aċċessibbli.</w:t>
            </w:r>
          </w:p>
          <w:p w14:paraId="66A17032" w14:textId="13D3CC1A" w:rsidR="00963BCC" w:rsidRPr="00166D0F" w:rsidRDefault="00963BCC" w:rsidP="002D36F0">
            <w:pPr>
              <w:pStyle w:val="ListParagraph"/>
              <w:numPr>
                <w:ilvl w:val="0"/>
                <w:numId w:val="3"/>
              </w:numPr>
              <w:ind w:left="343" w:hanging="283"/>
              <w:rPr>
                <w:noProof/>
                <w:lang w:val="fr-BE"/>
              </w:rPr>
            </w:pPr>
            <w:r w:rsidRPr="00166D0F">
              <w:rPr>
                <w:noProof/>
                <w:lang w:val="fr-BE"/>
              </w:rPr>
              <w:t>Tingħata għajnuna lill-persuni b’diżabilità biex jipparteċipaw bħala uffiċjali tal-elezzjoni, inkluż billi jiġi pprovdut aċċess għall-interpretazzjoni tal-lingwa tas-sinjali.</w:t>
            </w:r>
          </w:p>
          <w:p w14:paraId="65D7B626" w14:textId="3F49B5D2" w:rsidR="006A6D6D" w:rsidRPr="00166D0F" w:rsidRDefault="006A6D6D" w:rsidP="002D36F0">
            <w:pPr>
              <w:pStyle w:val="ListParagraph"/>
              <w:numPr>
                <w:ilvl w:val="0"/>
                <w:numId w:val="3"/>
              </w:numPr>
              <w:ind w:left="343" w:hanging="283"/>
              <w:rPr>
                <w:noProof/>
                <w:lang w:val="fr-BE"/>
              </w:rPr>
            </w:pPr>
            <w:r w:rsidRPr="00166D0F">
              <w:rPr>
                <w:noProof/>
                <w:lang w:val="fr-BE"/>
              </w:rPr>
              <w:t>Jingħata appoġġ għall-parteċipazzjoni tal-votanti, inkluż billi tiġi pprovduta assistenza għall-votazzjoni minn persuna tal-għażla tagħhom u jiġu implimentati politiki ta’ qbiż tal-kju.</w:t>
            </w:r>
          </w:p>
          <w:p w14:paraId="5A5A103E" w14:textId="77777777" w:rsidR="00963BCC" w:rsidRPr="00166D0F" w:rsidRDefault="00963BCC" w:rsidP="002D36F0">
            <w:pPr>
              <w:pStyle w:val="ListParagraph"/>
              <w:numPr>
                <w:ilvl w:val="0"/>
                <w:numId w:val="3"/>
              </w:numPr>
              <w:ind w:left="343" w:hanging="283"/>
              <w:rPr>
                <w:noProof/>
                <w:lang w:val="fr-BE"/>
              </w:rPr>
            </w:pPr>
            <w:r w:rsidRPr="00166D0F">
              <w:rPr>
                <w:noProof/>
                <w:lang w:val="fr-BE"/>
              </w:rPr>
              <w:t>Jitħabbru r-riżultati tal-elezzjoni f’forom aċċessibbli.</w:t>
            </w:r>
          </w:p>
          <w:p w14:paraId="4C2E11CF" w14:textId="09D111DC" w:rsidR="00963BCC" w:rsidRPr="00166D0F" w:rsidRDefault="00963BCC" w:rsidP="002D36F0">
            <w:pPr>
              <w:pStyle w:val="ListParagraph"/>
              <w:numPr>
                <w:ilvl w:val="0"/>
                <w:numId w:val="3"/>
              </w:numPr>
              <w:ind w:left="343" w:hanging="283"/>
              <w:rPr>
                <w:noProof/>
                <w:lang w:val="fr-BE"/>
              </w:rPr>
            </w:pPr>
            <w:r w:rsidRPr="00166D0F">
              <w:rPr>
                <w:noProof/>
                <w:lang w:val="fr-BE"/>
              </w:rPr>
              <w:t>Jiġi żgurat li l-proċeduri għas-soluzzjoni tat-tilwim elettorali jkunu aċċessibbli għall-persuni b’diżabilità.</w:t>
            </w:r>
          </w:p>
          <w:p w14:paraId="1E6E12A2" w14:textId="34A6CCDC" w:rsidR="00963BCC" w:rsidRPr="00166D0F" w:rsidRDefault="00963BCC" w:rsidP="002D36F0">
            <w:pPr>
              <w:pStyle w:val="ListParagraph"/>
              <w:numPr>
                <w:ilvl w:val="0"/>
                <w:numId w:val="3"/>
              </w:numPr>
              <w:ind w:left="343" w:hanging="283"/>
              <w:rPr>
                <w:noProof/>
                <w:lang w:val="fr-BE"/>
              </w:rPr>
            </w:pPr>
            <w:r w:rsidRPr="00166D0F">
              <w:rPr>
                <w:noProof/>
                <w:lang w:val="fr-BE"/>
              </w:rPr>
              <w:t>Jingħata appoġġ għall-osservazzjoni tal-elezzjonijiet minn persuni b’diżabilità u tiġi osservata l-aċċessibbiltà tal-elezzjonijiet.</w:t>
            </w:r>
          </w:p>
        </w:tc>
      </w:tr>
      <w:tr w:rsidR="00963BCC" w:rsidRPr="00B50F49" w14:paraId="647AD5C5" w14:textId="77777777">
        <w:trPr>
          <w:trHeight w:val="699"/>
        </w:trPr>
        <w:tc>
          <w:tcPr>
            <w:tcW w:w="807" w:type="pct"/>
          </w:tcPr>
          <w:p w14:paraId="0EC9C91B" w14:textId="77777777" w:rsidR="00963BCC" w:rsidRPr="00B42AEB" w:rsidRDefault="00963BCC" w:rsidP="00B42AEB">
            <w:pPr>
              <w:rPr>
                <w:noProof/>
              </w:rPr>
            </w:pPr>
            <w:r>
              <w:rPr>
                <w:noProof/>
              </w:rPr>
              <w:t>Wara l-elezzjonijiet</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 xml:space="preserve">Tinġabar </w:t>
            </w:r>
            <w:r>
              <w:rPr>
                <w:i/>
                <w:iCs/>
                <w:noProof/>
              </w:rPr>
              <w:t>data</w:t>
            </w:r>
            <w:r>
              <w:rPr>
                <w:noProof/>
              </w:rPr>
              <w:t xml:space="preserve"> dwar il-parteċipazzjoni ta’ persuni b’diżabilità fl-elezzjonijiet.</w:t>
            </w:r>
          </w:p>
          <w:p w14:paraId="7C911133" w14:textId="76560FCB" w:rsidR="00963BCC" w:rsidRPr="00B42AEB" w:rsidRDefault="00963BCC" w:rsidP="002D36F0">
            <w:pPr>
              <w:pStyle w:val="ListParagraph"/>
              <w:numPr>
                <w:ilvl w:val="0"/>
                <w:numId w:val="3"/>
              </w:numPr>
              <w:ind w:left="343" w:hanging="283"/>
              <w:rPr>
                <w:noProof/>
              </w:rPr>
            </w:pPr>
            <w:r>
              <w:rPr>
                <w:noProof/>
              </w:rPr>
              <w:t>Tiġi evalwata l-aċċessibbiltà tal-elezzjonijiet u l-involoviment ta’ organizzazzjonijiet rappreżentanti ta’ persuni b’diżabilità f’din l-evalwazzjoni.</w:t>
            </w:r>
          </w:p>
          <w:p w14:paraId="19FAB318" w14:textId="77777777" w:rsidR="00963BCC" w:rsidRPr="00166D0F" w:rsidRDefault="00963BCC" w:rsidP="002D36F0">
            <w:pPr>
              <w:pStyle w:val="ListParagraph"/>
              <w:numPr>
                <w:ilvl w:val="0"/>
                <w:numId w:val="3"/>
              </w:numPr>
              <w:ind w:left="343" w:hanging="283"/>
              <w:rPr>
                <w:noProof/>
                <w:lang w:val="fr-BE"/>
              </w:rPr>
            </w:pPr>
            <w:r w:rsidRPr="00166D0F">
              <w:rPr>
                <w:noProof/>
                <w:lang w:val="fr-BE"/>
              </w:rPr>
              <w:t>Jiġu rieżaminati l-ostakli legali, istituzzjonali u amministrattivi.</w:t>
            </w:r>
          </w:p>
          <w:p w14:paraId="41B568B3" w14:textId="5EA8E671" w:rsidR="00963BCC" w:rsidRPr="00166D0F" w:rsidRDefault="00963BCC" w:rsidP="002D36F0">
            <w:pPr>
              <w:pStyle w:val="ListParagraph"/>
              <w:numPr>
                <w:ilvl w:val="0"/>
                <w:numId w:val="3"/>
              </w:numPr>
              <w:ind w:left="343" w:hanging="283"/>
              <w:rPr>
                <w:noProof/>
                <w:lang w:val="fr-BE"/>
              </w:rPr>
            </w:pPr>
            <w:r w:rsidRPr="00166D0F">
              <w:rPr>
                <w:noProof/>
                <w:lang w:val="fr-BE"/>
              </w:rPr>
              <w:t>Tiġi rieżaminata l-aċċessibbiltà tas-siti web elettorali, inkluż f’kooperazzjoni mal-organizzazzjonijiet rappreżentanti tal-persuni b’diżabilità.</w:t>
            </w:r>
          </w:p>
          <w:p w14:paraId="677E71B8" w14:textId="77777777" w:rsidR="00963BCC" w:rsidRPr="00166D0F" w:rsidRDefault="00963BCC" w:rsidP="002D36F0">
            <w:pPr>
              <w:pStyle w:val="ListParagraph"/>
              <w:numPr>
                <w:ilvl w:val="0"/>
                <w:numId w:val="3"/>
              </w:numPr>
              <w:ind w:left="343" w:hanging="283"/>
              <w:rPr>
                <w:noProof/>
                <w:lang w:val="fr-BE"/>
              </w:rPr>
            </w:pPr>
            <w:r w:rsidRPr="00166D0F">
              <w:rPr>
                <w:noProof/>
                <w:lang w:val="fr-BE"/>
              </w:rPr>
              <w:t>Jiġu ppubblikati r-riżultati tal-evalwazzjoni f’formati aċċessibbli.</w:t>
            </w:r>
          </w:p>
          <w:p w14:paraId="7D079524" w14:textId="109D5518" w:rsidR="00963BCC" w:rsidRPr="00166D0F" w:rsidRDefault="00963BCC" w:rsidP="002D36F0">
            <w:pPr>
              <w:pStyle w:val="ListParagraph"/>
              <w:numPr>
                <w:ilvl w:val="0"/>
                <w:numId w:val="3"/>
              </w:numPr>
              <w:ind w:left="343" w:hanging="283"/>
              <w:rPr>
                <w:noProof/>
                <w:lang w:val="fr-BE"/>
              </w:rPr>
            </w:pPr>
            <w:r w:rsidRPr="00166D0F">
              <w:rPr>
                <w:noProof/>
                <w:lang w:val="fr-BE"/>
              </w:rPr>
              <w:t>Jiġu ssimplifikati u awtomatizzati d-diversi proċessi ta’ qabel ir-reġistrazzjoni, u jingħata aċċess għalihom, inklużi r-reġistrazzjoni tal-votanti, kif tintalab l-akkomodazzjoni, u l-għoti ta’ aċċess lill-persuni b’diżabilità għad-dokumenti li jeħtieġu.</w:t>
            </w:r>
          </w:p>
          <w:p w14:paraId="78DD7FC0" w14:textId="7C062C83" w:rsidR="00963BCC" w:rsidRPr="00166D0F" w:rsidRDefault="007239C5" w:rsidP="002D36F0">
            <w:pPr>
              <w:pStyle w:val="ListParagraph"/>
              <w:numPr>
                <w:ilvl w:val="0"/>
                <w:numId w:val="3"/>
              </w:numPr>
              <w:ind w:left="343" w:hanging="283"/>
              <w:rPr>
                <w:noProof/>
                <w:lang w:val="fr-BE"/>
              </w:rPr>
            </w:pPr>
            <w:r w:rsidRPr="00166D0F">
              <w:rPr>
                <w:noProof/>
                <w:lang w:val="fr-BE"/>
              </w:rPr>
              <w:t>Jissaħħu s-sħubijiet bejn l-awtoritajiet elettorali, l-organizzazzjonijiet rappreżentanti tal-persuni b’diżabilità u partijiet ikkonċernati oħrajn, biex jiġu indirizzati l-lakuni identifikati relatati mal-aċċessibbiltà ġenerali tal-ambjent elettorali.</w:t>
            </w:r>
          </w:p>
        </w:tc>
      </w:tr>
    </w:tbl>
    <w:p w14:paraId="039FA354" w14:textId="39DD1499" w:rsidR="00C05211" w:rsidRPr="00166D0F" w:rsidRDefault="00164A0E" w:rsidP="006B02A7">
      <w:pPr>
        <w:pStyle w:val="Heading1"/>
        <w:spacing w:before="360" w:after="240" w:line="288" w:lineRule="auto"/>
        <w:rPr>
          <w:noProof/>
          <w:lang w:val="fr-BE"/>
        </w:rPr>
      </w:pPr>
      <w:bookmarkStart w:id="88" w:name="_Toc148718604"/>
      <w:bookmarkStart w:id="89" w:name="_Toc158728575"/>
      <w:r w:rsidRPr="00166D0F">
        <w:rPr>
          <w:noProof/>
          <w:lang w:val="fr-BE"/>
        </w:rPr>
        <w:t>Anness 2 – Eżempji ta’ listi ta’ kontroll biex tiġi vvalutata l-aċċessibbiltà tal-postijiet tal-votazzjoni</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L-Estonja</w:t>
      </w:r>
    </w:p>
    <w:tbl>
      <w:tblPr>
        <w:tblStyle w:val="TableGrid"/>
        <w:tblW w:w="5000" w:type="pct"/>
        <w:tblLook w:val="04A0" w:firstRow="1" w:lastRow="0" w:firstColumn="1" w:lastColumn="0" w:noHBand="0" w:noVBand="1"/>
      </w:tblPr>
      <w:tblGrid>
        <w:gridCol w:w="7840"/>
        <w:gridCol w:w="678"/>
        <w:gridCol w:w="542"/>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Kriterji vvalutati</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Iva</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Le</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It-trasport pubbliku u l-parkeġġ</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166D0F" w14:paraId="01818840" w14:textId="77777777" w:rsidTr="00B87F34">
        <w:tc>
          <w:tcPr>
            <w:tcW w:w="4327" w:type="pct"/>
            <w:hideMark/>
          </w:tcPr>
          <w:p w14:paraId="4FCDB1A3" w14:textId="2DCAA582" w:rsidR="00BC55E4" w:rsidRPr="00166D0F" w:rsidRDefault="00BC55E4" w:rsidP="00B42AEB">
            <w:pPr>
              <w:rPr>
                <w:noProof/>
                <w:lang w:val="fr-BE"/>
              </w:rPr>
            </w:pPr>
            <w:r w:rsidRPr="00166D0F">
              <w:rPr>
                <w:noProof/>
                <w:lang w:val="fr-BE"/>
              </w:rPr>
              <w:t>Il-binja fejn jinsab il-post tal-votazzjoni tista’ tiġi aċċessata mit-trasport pubbliku</w:t>
            </w:r>
          </w:p>
        </w:tc>
        <w:tc>
          <w:tcPr>
            <w:tcW w:w="374" w:type="pct"/>
          </w:tcPr>
          <w:p w14:paraId="21249AA6" w14:textId="77777777" w:rsidR="00BC55E4" w:rsidRPr="00166D0F" w:rsidRDefault="00BC55E4" w:rsidP="00B42AEB">
            <w:pPr>
              <w:rPr>
                <w:noProof/>
                <w:lang w:val="fr-BE"/>
              </w:rPr>
            </w:pPr>
          </w:p>
        </w:tc>
        <w:tc>
          <w:tcPr>
            <w:tcW w:w="299" w:type="pct"/>
          </w:tcPr>
          <w:p w14:paraId="144DA361" w14:textId="77777777" w:rsidR="00BC55E4" w:rsidRPr="00166D0F" w:rsidRDefault="00BC55E4" w:rsidP="00B42AEB">
            <w:pPr>
              <w:rPr>
                <w:noProof/>
                <w:lang w:val="fr-BE"/>
              </w:rPr>
            </w:pPr>
          </w:p>
        </w:tc>
      </w:tr>
      <w:tr w:rsidR="002A5832" w:rsidRPr="00166D0F" w14:paraId="04D0B76C" w14:textId="77777777" w:rsidTr="00B87F34">
        <w:tc>
          <w:tcPr>
            <w:tcW w:w="4327" w:type="pct"/>
            <w:hideMark/>
          </w:tcPr>
          <w:p w14:paraId="6154A1B7" w14:textId="13E68944" w:rsidR="00BC55E4" w:rsidRPr="00166D0F" w:rsidRDefault="00BC55E4" w:rsidP="00B42AEB">
            <w:pPr>
              <w:rPr>
                <w:noProof/>
                <w:lang w:val="fr-BE"/>
              </w:rPr>
            </w:pPr>
            <w:r w:rsidRPr="00166D0F">
              <w:rPr>
                <w:noProof/>
                <w:lang w:val="fr-BE"/>
              </w:rPr>
              <w:t>Il-binja għandha spazji ta’ parkeġġ għall-vetturi ta’ persuni b’diżabilità</w:t>
            </w:r>
          </w:p>
        </w:tc>
        <w:tc>
          <w:tcPr>
            <w:tcW w:w="374" w:type="pct"/>
          </w:tcPr>
          <w:p w14:paraId="06CCD89B" w14:textId="77777777" w:rsidR="00BC55E4" w:rsidRPr="00166D0F" w:rsidRDefault="00BC55E4" w:rsidP="00B42AEB">
            <w:pPr>
              <w:rPr>
                <w:noProof/>
                <w:lang w:val="fr-BE"/>
              </w:rPr>
            </w:pPr>
          </w:p>
        </w:tc>
        <w:tc>
          <w:tcPr>
            <w:tcW w:w="299" w:type="pct"/>
          </w:tcPr>
          <w:p w14:paraId="7B9E5931" w14:textId="77777777" w:rsidR="00BC55E4" w:rsidRPr="00166D0F" w:rsidRDefault="00BC55E4" w:rsidP="00B42AEB">
            <w:pPr>
              <w:rPr>
                <w:noProof/>
                <w:lang w:val="fr-BE"/>
              </w:rPr>
            </w:pPr>
          </w:p>
        </w:tc>
      </w:tr>
      <w:tr w:rsidR="002A5832" w:rsidRPr="00166D0F" w14:paraId="5CDA8435" w14:textId="77777777" w:rsidTr="00B87F34">
        <w:tc>
          <w:tcPr>
            <w:tcW w:w="4327" w:type="pct"/>
            <w:hideMark/>
          </w:tcPr>
          <w:p w14:paraId="56195F35" w14:textId="7D39C859" w:rsidR="00BC55E4" w:rsidRPr="00166D0F" w:rsidRDefault="00BC55E4" w:rsidP="00B42AEB">
            <w:pPr>
              <w:rPr>
                <w:noProof/>
                <w:lang w:val="fr-BE"/>
              </w:rPr>
            </w:pPr>
            <w:r w:rsidRPr="00166D0F">
              <w:rPr>
                <w:noProof/>
                <w:lang w:val="fr-BE"/>
              </w:rPr>
              <w:t>Aċċess mingħajr ostakli miż-żona tal-parkeġġ għad-dħul ewlieni tal-binja</w:t>
            </w:r>
          </w:p>
        </w:tc>
        <w:tc>
          <w:tcPr>
            <w:tcW w:w="374" w:type="pct"/>
          </w:tcPr>
          <w:p w14:paraId="26665E34" w14:textId="77777777" w:rsidR="00BC55E4" w:rsidRPr="00166D0F" w:rsidRDefault="00BC55E4" w:rsidP="00B42AEB">
            <w:pPr>
              <w:rPr>
                <w:noProof/>
                <w:lang w:val="fr-BE"/>
              </w:rPr>
            </w:pPr>
          </w:p>
        </w:tc>
        <w:tc>
          <w:tcPr>
            <w:tcW w:w="299" w:type="pct"/>
          </w:tcPr>
          <w:p w14:paraId="4038C496" w14:textId="77777777" w:rsidR="00BC55E4" w:rsidRPr="00166D0F" w:rsidRDefault="00BC55E4" w:rsidP="00B42AEB">
            <w:pPr>
              <w:rPr>
                <w:noProof/>
                <w:lang w:val="fr-BE"/>
              </w:rPr>
            </w:pPr>
          </w:p>
        </w:tc>
      </w:tr>
      <w:tr w:rsidR="002A5832" w:rsidRPr="00B50F49" w14:paraId="2B19E677" w14:textId="77777777" w:rsidTr="00B87F34">
        <w:tc>
          <w:tcPr>
            <w:tcW w:w="4327" w:type="pct"/>
            <w:hideMark/>
          </w:tcPr>
          <w:p w14:paraId="009837D9" w14:textId="2CC7F47F" w:rsidR="00BC55E4" w:rsidRPr="00B50F49" w:rsidRDefault="00D001CE" w:rsidP="00B42AEB">
            <w:pPr>
              <w:rPr>
                <w:noProof/>
                <w:lang w:val="es-ES"/>
              </w:rPr>
            </w:pPr>
            <w:r w:rsidRPr="00B50F49">
              <w:rPr>
                <w:noProof/>
                <w:lang w:val="es-ES"/>
              </w:rPr>
              <w:t>Ir-rotta ta’ aċċess u d-dħul għall-binja</w:t>
            </w:r>
          </w:p>
        </w:tc>
        <w:tc>
          <w:tcPr>
            <w:tcW w:w="374" w:type="pct"/>
          </w:tcPr>
          <w:p w14:paraId="6AA3200D" w14:textId="77777777" w:rsidR="00BC55E4" w:rsidRPr="00B50F49" w:rsidRDefault="00BC55E4" w:rsidP="00B42AEB">
            <w:pPr>
              <w:rPr>
                <w:noProof/>
                <w:lang w:val="es-ES"/>
              </w:rPr>
            </w:pPr>
          </w:p>
        </w:tc>
        <w:tc>
          <w:tcPr>
            <w:tcW w:w="299" w:type="pct"/>
          </w:tcPr>
          <w:p w14:paraId="0F11709D" w14:textId="77777777" w:rsidR="00BC55E4" w:rsidRPr="00B50F49" w:rsidRDefault="00BC55E4" w:rsidP="00B42AEB">
            <w:pPr>
              <w:rPr>
                <w:noProof/>
                <w:lang w:val="es-ES"/>
              </w:rPr>
            </w:pPr>
          </w:p>
        </w:tc>
      </w:tr>
      <w:tr w:rsidR="002A5832" w:rsidRPr="00B50F49" w14:paraId="31CA0AB9" w14:textId="77777777" w:rsidTr="00B87F34">
        <w:tc>
          <w:tcPr>
            <w:tcW w:w="4327" w:type="pct"/>
            <w:hideMark/>
          </w:tcPr>
          <w:p w14:paraId="1BAB3C3F" w14:textId="0224FDF7" w:rsidR="00BC55E4" w:rsidRPr="00B50F49" w:rsidRDefault="00BC55E4" w:rsidP="00B42AEB">
            <w:pPr>
              <w:rPr>
                <w:noProof/>
                <w:lang w:val="es-ES"/>
              </w:rPr>
            </w:pPr>
            <w:r w:rsidRPr="00B50F49">
              <w:rPr>
                <w:noProof/>
                <w:lang w:val="es-ES"/>
              </w:rPr>
              <w:t>Ir-rotot lejn il-binja u d-daħla ewlenija huma mmarkati b’sinjali</w:t>
            </w:r>
          </w:p>
        </w:tc>
        <w:tc>
          <w:tcPr>
            <w:tcW w:w="374" w:type="pct"/>
          </w:tcPr>
          <w:p w14:paraId="13330EA3" w14:textId="77777777" w:rsidR="00BC55E4" w:rsidRPr="00B50F49" w:rsidRDefault="00BC55E4" w:rsidP="00B42AEB">
            <w:pPr>
              <w:rPr>
                <w:noProof/>
                <w:lang w:val="es-ES"/>
              </w:rPr>
            </w:pPr>
          </w:p>
        </w:tc>
        <w:tc>
          <w:tcPr>
            <w:tcW w:w="299" w:type="pct"/>
          </w:tcPr>
          <w:p w14:paraId="28C53D36" w14:textId="77777777" w:rsidR="00BC55E4" w:rsidRPr="00B50F49" w:rsidRDefault="00BC55E4" w:rsidP="00B42AEB">
            <w:pPr>
              <w:rPr>
                <w:noProof/>
                <w:lang w:val="es-ES"/>
              </w:rPr>
            </w:pPr>
          </w:p>
        </w:tc>
      </w:tr>
      <w:tr w:rsidR="002A5832" w:rsidRPr="00B50F49" w14:paraId="28284FBB" w14:textId="77777777" w:rsidTr="00B87F34">
        <w:tc>
          <w:tcPr>
            <w:tcW w:w="4327" w:type="pct"/>
            <w:hideMark/>
          </w:tcPr>
          <w:p w14:paraId="2F0A2756" w14:textId="77777777" w:rsidR="00BC55E4" w:rsidRPr="00B50F49" w:rsidRDefault="00BC55E4" w:rsidP="00B42AEB">
            <w:pPr>
              <w:rPr>
                <w:noProof/>
                <w:lang w:val="es-ES"/>
              </w:rPr>
            </w:pPr>
            <w:r w:rsidRPr="00B50F49">
              <w:rPr>
                <w:noProof/>
                <w:lang w:val="es-ES"/>
              </w:rPr>
              <w:t>Id-dħul għall-binja huwa aċċessibbli minn rampa</w:t>
            </w:r>
          </w:p>
        </w:tc>
        <w:tc>
          <w:tcPr>
            <w:tcW w:w="374" w:type="pct"/>
          </w:tcPr>
          <w:p w14:paraId="3393D6B3" w14:textId="77777777" w:rsidR="00BC55E4" w:rsidRPr="00B50F49" w:rsidRDefault="00BC55E4" w:rsidP="00B42AEB">
            <w:pPr>
              <w:rPr>
                <w:noProof/>
                <w:lang w:val="es-ES"/>
              </w:rPr>
            </w:pPr>
          </w:p>
        </w:tc>
        <w:tc>
          <w:tcPr>
            <w:tcW w:w="299" w:type="pct"/>
          </w:tcPr>
          <w:p w14:paraId="49A05D4E" w14:textId="77777777" w:rsidR="00BC55E4" w:rsidRPr="00B50F49" w:rsidRDefault="00BC55E4" w:rsidP="00B42AEB">
            <w:pPr>
              <w:rPr>
                <w:noProof/>
                <w:lang w:val="es-ES"/>
              </w:rPr>
            </w:pPr>
          </w:p>
        </w:tc>
      </w:tr>
      <w:tr w:rsidR="002A5832" w:rsidRPr="00B50F49" w14:paraId="25F09E77" w14:textId="77777777" w:rsidTr="00B87F34">
        <w:tc>
          <w:tcPr>
            <w:tcW w:w="4327" w:type="pct"/>
            <w:hideMark/>
          </w:tcPr>
          <w:p w14:paraId="2D877CF8" w14:textId="77777777" w:rsidR="00BC55E4" w:rsidRPr="00166D0F" w:rsidRDefault="00BC55E4" w:rsidP="00B42AEB">
            <w:pPr>
              <w:rPr>
                <w:noProof/>
                <w:lang w:val="fr-BE"/>
              </w:rPr>
            </w:pPr>
            <w:r w:rsidRPr="00166D0F">
              <w:rPr>
                <w:noProof/>
                <w:lang w:val="fr-BE"/>
              </w:rPr>
              <w:t>Ir-rampa għandha poġġamani u wiċċ livellat li ma jiżloqx</w:t>
            </w:r>
          </w:p>
        </w:tc>
        <w:tc>
          <w:tcPr>
            <w:tcW w:w="374" w:type="pct"/>
          </w:tcPr>
          <w:p w14:paraId="41D20D3C" w14:textId="77777777" w:rsidR="00BC55E4" w:rsidRPr="00166D0F" w:rsidRDefault="00BC55E4" w:rsidP="00B42AEB">
            <w:pPr>
              <w:rPr>
                <w:noProof/>
                <w:lang w:val="fr-BE"/>
              </w:rPr>
            </w:pPr>
          </w:p>
        </w:tc>
        <w:tc>
          <w:tcPr>
            <w:tcW w:w="299" w:type="pct"/>
          </w:tcPr>
          <w:p w14:paraId="32529A27" w14:textId="77777777" w:rsidR="00BC55E4" w:rsidRPr="00166D0F" w:rsidRDefault="00BC55E4" w:rsidP="00B42AEB">
            <w:pPr>
              <w:rPr>
                <w:noProof/>
                <w:lang w:val="fr-BE"/>
              </w:rPr>
            </w:pPr>
          </w:p>
        </w:tc>
      </w:tr>
      <w:tr w:rsidR="002A5832" w:rsidRPr="00B50F49" w14:paraId="3288C107" w14:textId="77777777" w:rsidTr="00B87F34">
        <w:tc>
          <w:tcPr>
            <w:tcW w:w="4327" w:type="pct"/>
            <w:hideMark/>
          </w:tcPr>
          <w:p w14:paraId="1AFBFBF9" w14:textId="602FAAFF" w:rsidR="00BC55E4" w:rsidRPr="00166D0F" w:rsidRDefault="00BC55E4" w:rsidP="00B42AEB">
            <w:pPr>
              <w:rPr>
                <w:noProof/>
                <w:lang w:val="fr-BE"/>
              </w:rPr>
            </w:pPr>
            <w:r w:rsidRPr="00166D0F">
              <w:rPr>
                <w:noProof/>
                <w:lang w:val="fr-BE"/>
              </w:rPr>
              <w:t>Ir-rampa għandha wisa’ suffiċjenti (minimu ta’ 1,1 m)</w:t>
            </w:r>
          </w:p>
        </w:tc>
        <w:tc>
          <w:tcPr>
            <w:tcW w:w="374" w:type="pct"/>
          </w:tcPr>
          <w:p w14:paraId="4FFE3089" w14:textId="77777777" w:rsidR="00BC55E4" w:rsidRPr="00166D0F" w:rsidRDefault="00BC55E4" w:rsidP="00B42AEB">
            <w:pPr>
              <w:rPr>
                <w:noProof/>
                <w:lang w:val="fr-BE"/>
              </w:rPr>
            </w:pPr>
          </w:p>
        </w:tc>
        <w:tc>
          <w:tcPr>
            <w:tcW w:w="299" w:type="pct"/>
          </w:tcPr>
          <w:p w14:paraId="6598D0A2" w14:textId="77777777" w:rsidR="00BC55E4" w:rsidRPr="00166D0F" w:rsidRDefault="00BC55E4" w:rsidP="00B42AEB">
            <w:pPr>
              <w:rPr>
                <w:noProof/>
                <w:lang w:val="fr-BE"/>
              </w:rPr>
            </w:pPr>
          </w:p>
        </w:tc>
      </w:tr>
      <w:tr w:rsidR="002A5832" w:rsidRPr="00B50F49" w14:paraId="0C9B2CA5" w14:textId="77777777" w:rsidTr="00B87F34">
        <w:tc>
          <w:tcPr>
            <w:tcW w:w="4327" w:type="pct"/>
            <w:hideMark/>
          </w:tcPr>
          <w:p w14:paraId="4361EBC8" w14:textId="77777777" w:rsidR="00BC55E4" w:rsidRPr="00166D0F" w:rsidRDefault="00BC55E4" w:rsidP="00B42AEB">
            <w:pPr>
              <w:rPr>
                <w:noProof/>
                <w:lang w:val="fr-BE"/>
              </w:rPr>
            </w:pPr>
            <w:r w:rsidRPr="00166D0F">
              <w:rPr>
                <w:noProof/>
                <w:lang w:val="fr-BE"/>
              </w:rPr>
              <w:t>L-utenti tas-siġġu tar-roti jistgħu jaqsmu l-limitu tal-bieb tal-binja b’mod indipendenti</w:t>
            </w:r>
          </w:p>
        </w:tc>
        <w:tc>
          <w:tcPr>
            <w:tcW w:w="374" w:type="pct"/>
          </w:tcPr>
          <w:p w14:paraId="1E9F2103" w14:textId="77777777" w:rsidR="00BC55E4" w:rsidRPr="00166D0F" w:rsidRDefault="00BC55E4" w:rsidP="00B42AEB">
            <w:pPr>
              <w:rPr>
                <w:noProof/>
                <w:lang w:val="fr-BE"/>
              </w:rPr>
            </w:pPr>
          </w:p>
        </w:tc>
        <w:tc>
          <w:tcPr>
            <w:tcW w:w="299" w:type="pct"/>
          </w:tcPr>
          <w:p w14:paraId="59C24342" w14:textId="77777777" w:rsidR="00BC55E4" w:rsidRPr="00166D0F" w:rsidRDefault="00BC55E4" w:rsidP="00B42AEB">
            <w:pPr>
              <w:rPr>
                <w:noProof/>
                <w:lang w:val="fr-BE"/>
              </w:rPr>
            </w:pPr>
          </w:p>
        </w:tc>
      </w:tr>
      <w:tr w:rsidR="002A5832" w:rsidRPr="00B50F49" w14:paraId="26BBEBAB" w14:textId="77777777" w:rsidTr="00B87F34">
        <w:tc>
          <w:tcPr>
            <w:tcW w:w="4327" w:type="pct"/>
            <w:hideMark/>
          </w:tcPr>
          <w:p w14:paraId="380C7E79" w14:textId="77777777" w:rsidR="00BC55E4" w:rsidRPr="00166D0F" w:rsidRDefault="00BC55E4" w:rsidP="00B42AEB">
            <w:pPr>
              <w:rPr>
                <w:noProof/>
                <w:lang w:val="fr-BE"/>
              </w:rPr>
            </w:pPr>
            <w:r w:rsidRPr="00166D0F">
              <w:rPr>
                <w:noProof/>
                <w:lang w:val="fr-BE"/>
              </w:rPr>
              <w:t>Il-bieb ta’ barra tal-binja jinfetaħ awtomatikament jew jista’ jinfetaħ faċilment</w:t>
            </w:r>
          </w:p>
        </w:tc>
        <w:tc>
          <w:tcPr>
            <w:tcW w:w="374" w:type="pct"/>
          </w:tcPr>
          <w:p w14:paraId="525CBB34" w14:textId="77777777" w:rsidR="00BC55E4" w:rsidRPr="00166D0F" w:rsidRDefault="00BC55E4" w:rsidP="00B42AEB">
            <w:pPr>
              <w:rPr>
                <w:noProof/>
                <w:lang w:val="fr-BE"/>
              </w:rPr>
            </w:pPr>
          </w:p>
        </w:tc>
        <w:tc>
          <w:tcPr>
            <w:tcW w:w="299" w:type="pct"/>
          </w:tcPr>
          <w:p w14:paraId="4A868C29" w14:textId="77777777" w:rsidR="00BC55E4" w:rsidRPr="00166D0F" w:rsidRDefault="00BC55E4" w:rsidP="00B42AEB">
            <w:pPr>
              <w:rPr>
                <w:noProof/>
                <w:lang w:val="fr-BE"/>
              </w:rPr>
            </w:pPr>
          </w:p>
        </w:tc>
      </w:tr>
      <w:tr w:rsidR="002A5832" w:rsidRPr="00B50F49" w14:paraId="0431A794" w14:textId="77777777" w:rsidTr="00B87F34">
        <w:tc>
          <w:tcPr>
            <w:tcW w:w="4327" w:type="pct"/>
            <w:hideMark/>
          </w:tcPr>
          <w:p w14:paraId="124CD2BF" w14:textId="1CA71EC0" w:rsidR="00BC55E4" w:rsidRPr="00166D0F" w:rsidRDefault="001F0980" w:rsidP="00B42AEB">
            <w:pPr>
              <w:rPr>
                <w:noProof/>
                <w:lang w:val="fr-BE"/>
              </w:rPr>
            </w:pPr>
            <w:r w:rsidRPr="00166D0F">
              <w:rPr>
                <w:noProof/>
                <w:lang w:val="fr-BE"/>
              </w:rPr>
              <w:t>Il-bieb ta’ barra jkun miftuħ, jiġifieri l-bieb ma jkunx imsakkar, jew ma jirrikjedix telefown tal-bieb biex jinfetaħ</w:t>
            </w:r>
          </w:p>
        </w:tc>
        <w:tc>
          <w:tcPr>
            <w:tcW w:w="374" w:type="pct"/>
          </w:tcPr>
          <w:p w14:paraId="283D91C6" w14:textId="77777777" w:rsidR="00BC55E4" w:rsidRPr="00166D0F" w:rsidRDefault="00BC55E4" w:rsidP="00B42AEB">
            <w:pPr>
              <w:rPr>
                <w:noProof/>
                <w:lang w:val="fr-BE"/>
              </w:rPr>
            </w:pPr>
          </w:p>
        </w:tc>
        <w:tc>
          <w:tcPr>
            <w:tcW w:w="299" w:type="pct"/>
          </w:tcPr>
          <w:p w14:paraId="5D0E2F19" w14:textId="77777777" w:rsidR="00BC55E4" w:rsidRPr="00166D0F" w:rsidRDefault="00BC55E4" w:rsidP="00B42AEB">
            <w:pPr>
              <w:rPr>
                <w:noProof/>
                <w:lang w:val="fr-BE"/>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Rotta ta’ aċċess għall-post tal-votazzjoni fil-binja</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50F49" w14:paraId="0F038FF5" w14:textId="77777777" w:rsidTr="00B87F34">
        <w:tc>
          <w:tcPr>
            <w:tcW w:w="4327" w:type="pct"/>
            <w:hideMark/>
          </w:tcPr>
          <w:p w14:paraId="73E2B35C" w14:textId="77777777" w:rsidR="00BC55E4" w:rsidRPr="00166D0F" w:rsidRDefault="00BC55E4" w:rsidP="00B42AEB">
            <w:pPr>
              <w:rPr>
                <w:noProof/>
                <w:lang w:val="fr-BE"/>
              </w:rPr>
            </w:pPr>
            <w:r w:rsidRPr="00166D0F">
              <w:rPr>
                <w:noProof/>
                <w:lang w:val="fr-BE"/>
              </w:rPr>
              <w:t>Il-post tal-votazzjoni jkun fuq l-istess sular bħad-daħla ewlenija tal-binja</w:t>
            </w:r>
          </w:p>
        </w:tc>
        <w:tc>
          <w:tcPr>
            <w:tcW w:w="374" w:type="pct"/>
          </w:tcPr>
          <w:p w14:paraId="5B07BF17" w14:textId="77777777" w:rsidR="00BC55E4" w:rsidRPr="00166D0F" w:rsidRDefault="00BC55E4" w:rsidP="00B42AEB">
            <w:pPr>
              <w:rPr>
                <w:noProof/>
                <w:lang w:val="fr-BE"/>
              </w:rPr>
            </w:pPr>
          </w:p>
        </w:tc>
        <w:tc>
          <w:tcPr>
            <w:tcW w:w="299" w:type="pct"/>
          </w:tcPr>
          <w:p w14:paraId="533ABA22" w14:textId="77777777" w:rsidR="00BC55E4" w:rsidRPr="00166D0F" w:rsidRDefault="00BC55E4" w:rsidP="00B42AEB">
            <w:pPr>
              <w:rPr>
                <w:noProof/>
                <w:lang w:val="fr-BE"/>
              </w:rPr>
            </w:pPr>
          </w:p>
        </w:tc>
      </w:tr>
      <w:tr w:rsidR="002A5832" w:rsidRPr="00B50F49" w14:paraId="13A706B6" w14:textId="77777777" w:rsidTr="00B87F34">
        <w:tc>
          <w:tcPr>
            <w:tcW w:w="4327" w:type="pct"/>
            <w:hideMark/>
          </w:tcPr>
          <w:p w14:paraId="16B6692C" w14:textId="62B58E89" w:rsidR="00BC55E4" w:rsidRPr="00166D0F" w:rsidRDefault="00BC55E4" w:rsidP="00B42AEB">
            <w:pPr>
              <w:rPr>
                <w:noProof/>
                <w:lang w:val="fr-BE"/>
              </w:rPr>
            </w:pPr>
            <w:r w:rsidRPr="00166D0F">
              <w:rPr>
                <w:noProof/>
                <w:lang w:val="fr-BE"/>
              </w:rPr>
              <w:t xml:space="preserve">Il-post tal-votazzjoni (jekk ma jkunx fuq l-istess sular bħad-daħla ewlenija) ikun aċċessibbli b’lift jew rampa </w:t>
            </w:r>
          </w:p>
        </w:tc>
        <w:tc>
          <w:tcPr>
            <w:tcW w:w="374" w:type="pct"/>
          </w:tcPr>
          <w:p w14:paraId="6EED752E" w14:textId="77777777" w:rsidR="00BC55E4" w:rsidRPr="00166D0F" w:rsidRDefault="00BC55E4" w:rsidP="00B42AEB">
            <w:pPr>
              <w:rPr>
                <w:noProof/>
                <w:lang w:val="fr-BE"/>
              </w:rPr>
            </w:pPr>
          </w:p>
        </w:tc>
        <w:tc>
          <w:tcPr>
            <w:tcW w:w="299" w:type="pct"/>
          </w:tcPr>
          <w:p w14:paraId="26B54865" w14:textId="77777777" w:rsidR="00BC55E4" w:rsidRPr="00166D0F" w:rsidRDefault="00BC55E4" w:rsidP="00B42AEB">
            <w:pPr>
              <w:rPr>
                <w:noProof/>
                <w:lang w:val="fr-BE"/>
              </w:rPr>
            </w:pPr>
          </w:p>
        </w:tc>
      </w:tr>
      <w:tr w:rsidR="002A5832" w:rsidRPr="00B50F49" w14:paraId="326D04DF" w14:textId="77777777" w:rsidTr="00B87F34">
        <w:tc>
          <w:tcPr>
            <w:tcW w:w="4327" w:type="pct"/>
            <w:hideMark/>
          </w:tcPr>
          <w:p w14:paraId="09B93A8E" w14:textId="6A2A02D8" w:rsidR="00BC55E4" w:rsidRPr="00166D0F" w:rsidRDefault="00BC55E4" w:rsidP="00B42AEB">
            <w:pPr>
              <w:rPr>
                <w:noProof/>
                <w:lang w:val="fr-BE"/>
              </w:rPr>
            </w:pPr>
            <w:r w:rsidRPr="00166D0F">
              <w:rPr>
                <w:noProof/>
                <w:lang w:val="fr-BE"/>
              </w:rPr>
              <w:t>Ir-rotta mid-daħla ewlenija għall-post tal-votazzjoni għandha wisa’ suffiċjenti (minimu ta’ 1,5 m)</w:t>
            </w:r>
          </w:p>
        </w:tc>
        <w:tc>
          <w:tcPr>
            <w:tcW w:w="374" w:type="pct"/>
          </w:tcPr>
          <w:p w14:paraId="2208032C" w14:textId="77777777" w:rsidR="00BC55E4" w:rsidRPr="00166D0F" w:rsidRDefault="00BC55E4" w:rsidP="00B42AEB">
            <w:pPr>
              <w:rPr>
                <w:noProof/>
                <w:lang w:val="fr-BE"/>
              </w:rPr>
            </w:pPr>
          </w:p>
        </w:tc>
        <w:tc>
          <w:tcPr>
            <w:tcW w:w="299" w:type="pct"/>
          </w:tcPr>
          <w:p w14:paraId="286E818F" w14:textId="77777777" w:rsidR="00BC55E4" w:rsidRPr="00166D0F" w:rsidRDefault="00BC55E4" w:rsidP="00B42AEB">
            <w:pPr>
              <w:rPr>
                <w:noProof/>
                <w:lang w:val="fr-BE"/>
              </w:rPr>
            </w:pPr>
          </w:p>
        </w:tc>
      </w:tr>
      <w:tr w:rsidR="002A5832" w:rsidRPr="00B50F49" w14:paraId="1BD63A6C" w14:textId="77777777" w:rsidTr="00B87F34">
        <w:tc>
          <w:tcPr>
            <w:tcW w:w="4327" w:type="pct"/>
            <w:hideMark/>
          </w:tcPr>
          <w:p w14:paraId="1B60A226" w14:textId="133C2DF6" w:rsidR="00BC55E4" w:rsidRPr="00166D0F" w:rsidRDefault="00BC55E4" w:rsidP="00B42AEB">
            <w:pPr>
              <w:rPr>
                <w:noProof/>
                <w:lang w:val="fr-BE"/>
              </w:rPr>
            </w:pPr>
            <w:r w:rsidRPr="00166D0F">
              <w:rPr>
                <w:noProof/>
                <w:lang w:val="fr-BE"/>
              </w:rPr>
              <w:t>Ir-rotta ta’ aċċess għall-post tal-votazzjoni hija ħielsa minn ostakli, inklużi limiti tal-bibien, li jimpedixxu l-aċċess għas-siġġu tar-roti</w:t>
            </w:r>
          </w:p>
        </w:tc>
        <w:tc>
          <w:tcPr>
            <w:tcW w:w="374" w:type="pct"/>
          </w:tcPr>
          <w:p w14:paraId="65395C0D" w14:textId="77777777" w:rsidR="00BC55E4" w:rsidRPr="00166D0F" w:rsidRDefault="00BC55E4" w:rsidP="00B42AEB">
            <w:pPr>
              <w:rPr>
                <w:noProof/>
                <w:lang w:val="fr-BE"/>
              </w:rPr>
            </w:pPr>
          </w:p>
        </w:tc>
        <w:tc>
          <w:tcPr>
            <w:tcW w:w="299" w:type="pct"/>
          </w:tcPr>
          <w:p w14:paraId="648D4D2A" w14:textId="77777777" w:rsidR="00BC55E4" w:rsidRPr="00166D0F" w:rsidRDefault="00BC55E4" w:rsidP="00B42AEB">
            <w:pPr>
              <w:rPr>
                <w:noProof/>
                <w:lang w:val="fr-BE"/>
              </w:rPr>
            </w:pPr>
          </w:p>
        </w:tc>
      </w:tr>
      <w:tr w:rsidR="002A5832" w:rsidRPr="00B50F49" w14:paraId="715CF196" w14:textId="77777777" w:rsidTr="00B87F34">
        <w:tc>
          <w:tcPr>
            <w:tcW w:w="4327" w:type="pct"/>
            <w:hideMark/>
          </w:tcPr>
          <w:p w14:paraId="048C05DF" w14:textId="77777777" w:rsidR="00BC55E4" w:rsidRPr="00166D0F" w:rsidRDefault="00BC55E4" w:rsidP="00B42AEB">
            <w:pPr>
              <w:rPr>
                <w:noProof/>
                <w:lang w:val="fr-BE"/>
              </w:rPr>
            </w:pPr>
            <w:r w:rsidRPr="00166D0F">
              <w:rPr>
                <w:noProof/>
                <w:lang w:val="fr-BE"/>
              </w:rPr>
              <w:t>Il-bibien ta’ ġewwa tal-binja jinfetħu awtomatikament jew jistgħu jinfetħu faċilment</w:t>
            </w:r>
          </w:p>
        </w:tc>
        <w:tc>
          <w:tcPr>
            <w:tcW w:w="374" w:type="pct"/>
          </w:tcPr>
          <w:p w14:paraId="0AC9FE2D" w14:textId="77777777" w:rsidR="00BC55E4" w:rsidRPr="00166D0F" w:rsidRDefault="00BC55E4" w:rsidP="00B42AEB">
            <w:pPr>
              <w:rPr>
                <w:noProof/>
                <w:lang w:val="fr-BE"/>
              </w:rPr>
            </w:pPr>
          </w:p>
        </w:tc>
        <w:tc>
          <w:tcPr>
            <w:tcW w:w="299" w:type="pct"/>
          </w:tcPr>
          <w:p w14:paraId="0228C6BD" w14:textId="77777777" w:rsidR="00BC55E4" w:rsidRPr="00166D0F" w:rsidRDefault="00BC55E4" w:rsidP="00B42AEB">
            <w:pPr>
              <w:rPr>
                <w:noProof/>
                <w:lang w:val="fr-BE"/>
              </w:rPr>
            </w:pPr>
          </w:p>
        </w:tc>
      </w:tr>
      <w:tr w:rsidR="002A5832" w:rsidRPr="00B50F49" w14:paraId="3CAC800D" w14:textId="77777777" w:rsidTr="00B87F34">
        <w:tc>
          <w:tcPr>
            <w:tcW w:w="4327" w:type="pct"/>
            <w:hideMark/>
          </w:tcPr>
          <w:p w14:paraId="15ACF8CA" w14:textId="06BBF011" w:rsidR="00BC55E4" w:rsidRPr="00166D0F" w:rsidRDefault="00BC55E4" w:rsidP="00B42AEB">
            <w:pPr>
              <w:rPr>
                <w:noProof/>
                <w:lang w:val="fr-BE"/>
              </w:rPr>
            </w:pPr>
            <w:r w:rsidRPr="00166D0F">
              <w:rPr>
                <w:noProof/>
                <w:lang w:val="fr-BE"/>
              </w:rPr>
              <w:t>Ir-rotta lejn il-post tal-votazzjoni hija mmarkata b’sinjali</w:t>
            </w:r>
          </w:p>
        </w:tc>
        <w:tc>
          <w:tcPr>
            <w:tcW w:w="374" w:type="pct"/>
          </w:tcPr>
          <w:p w14:paraId="27D11A27" w14:textId="77777777" w:rsidR="00BC55E4" w:rsidRPr="00166D0F" w:rsidRDefault="00BC55E4" w:rsidP="00B42AEB">
            <w:pPr>
              <w:rPr>
                <w:noProof/>
                <w:lang w:val="fr-BE"/>
              </w:rPr>
            </w:pPr>
          </w:p>
        </w:tc>
        <w:tc>
          <w:tcPr>
            <w:tcW w:w="299" w:type="pct"/>
          </w:tcPr>
          <w:p w14:paraId="1BE5098F" w14:textId="77777777" w:rsidR="00BC55E4" w:rsidRPr="00166D0F" w:rsidRDefault="00BC55E4" w:rsidP="00B42AEB">
            <w:pPr>
              <w:rPr>
                <w:noProof/>
                <w:lang w:val="fr-BE"/>
              </w:rPr>
            </w:pPr>
          </w:p>
        </w:tc>
      </w:tr>
      <w:tr w:rsidR="002A5832" w:rsidRPr="00B50F49" w14:paraId="1D4980E3" w14:textId="77777777" w:rsidTr="00B87F34">
        <w:tc>
          <w:tcPr>
            <w:tcW w:w="4327" w:type="pct"/>
            <w:hideMark/>
          </w:tcPr>
          <w:p w14:paraId="40B9490A" w14:textId="77777777" w:rsidR="00BC55E4" w:rsidRPr="00166D0F" w:rsidRDefault="00BC55E4" w:rsidP="00B42AEB">
            <w:pPr>
              <w:rPr>
                <w:noProof/>
                <w:lang w:val="fr-BE"/>
              </w:rPr>
            </w:pPr>
            <w:r w:rsidRPr="00166D0F">
              <w:rPr>
                <w:noProof/>
                <w:lang w:val="fr-BE"/>
              </w:rPr>
              <w:t>Il-binja ta’ ġewwa għandha dawl suffiċjenti</w:t>
            </w:r>
          </w:p>
        </w:tc>
        <w:tc>
          <w:tcPr>
            <w:tcW w:w="374" w:type="pct"/>
          </w:tcPr>
          <w:p w14:paraId="1F33E811" w14:textId="77777777" w:rsidR="00BC55E4" w:rsidRPr="00166D0F" w:rsidRDefault="00BC55E4" w:rsidP="00B42AEB">
            <w:pPr>
              <w:rPr>
                <w:noProof/>
                <w:lang w:val="fr-BE"/>
              </w:rPr>
            </w:pPr>
          </w:p>
        </w:tc>
        <w:tc>
          <w:tcPr>
            <w:tcW w:w="299" w:type="pct"/>
          </w:tcPr>
          <w:p w14:paraId="255A8914" w14:textId="77777777" w:rsidR="00BC55E4" w:rsidRPr="00166D0F" w:rsidRDefault="00BC55E4" w:rsidP="00B42AEB">
            <w:pPr>
              <w:rPr>
                <w:noProof/>
                <w:lang w:val="fr-BE"/>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Moviment fil-post tal-votazzjoni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Hemm biżżejjed spazju biex wieħed iċaqlaq siġġijiet tar-roti u għajnuniet oħrajn għall-mobbiltà fil-post tal-votazzjoni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Il-post tal-votazzjoni għandu siġġijiet għall-votanti li jkollhom bżonn jistrieħu</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166D0F" w14:paraId="009CB280" w14:textId="77777777" w:rsidTr="00B87F34">
        <w:tc>
          <w:tcPr>
            <w:tcW w:w="4327" w:type="pct"/>
            <w:hideMark/>
          </w:tcPr>
          <w:p w14:paraId="0500ECD4" w14:textId="071EAB2A" w:rsidR="00BC55E4" w:rsidRPr="00166D0F" w:rsidRDefault="00BC55E4" w:rsidP="00B42AEB">
            <w:pPr>
              <w:rPr>
                <w:noProof/>
                <w:lang w:val="fr-BE"/>
              </w:rPr>
            </w:pPr>
            <w:r w:rsidRPr="00166D0F">
              <w:rPr>
                <w:noProof/>
                <w:lang w:val="fr-BE"/>
              </w:rPr>
              <w:t>Il-post tal-votazzjoni għandu dawl suffiċjenti</w:t>
            </w:r>
          </w:p>
        </w:tc>
        <w:tc>
          <w:tcPr>
            <w:tcW w:w="374" w:type="pct"/>
          </w:tcPr>
          <w:p w14:paraId="0F8A3EFC" w14:textId="77777777" w:rsidR="00BC55E4" w:rsidRPr="00166D0F" w:rsidRDefault="00BC55E4" w:rsidP="00B42AEB">
            <w:pPr>
              <w:rPr>
                <w:noProof/>
                <w:lang w:val="fr-BE"/>
              </w:rPr>
            </w:pPr>
          </w:p>
        </w:tc>
        <w:tc>
          <w:tcPr>
            <w:tcW w:w="299" w:type="pct"/>
          </w:tcPr>
          <w:p w14:paraId="459F0557" w14:textId="77777777" w:rsidR="00BC55E4" w:rsidRPr="00166D0F" w:rsidRDefault="00BC55E4" w:rsidP="00B42AEB">
            <w:pPr>
              <w:rPr>
                <w:noProof/>
                <w:lang w:val="fr-BE"/>
              </w:rPr>
            </w:pPr>
          </w:p>
        </w:tc>
      </w:tr>
    </w:tbl>
    <w:p w14:paraId="1E3C9A09" w14:textId="45199D07" w:rsidR="001F288D" w:rsidRPr="00B42AEB" w:rsidRDefault="001F288D" w:rsidP="002D36F0">
      <w:pPr>
        <w:pStyle w:val="ListParagraph"/>
        <w:numPr>
          <w:ilvl w:val="0"/>
          <w:numId w:val="6"/>
        </w:numPr>
        <w:spacing w:before="360" w:after="240" w:line="288" w:lineRule="auto"/>
        <w:ind w:left="714" w:hanging="357"/>
        <w:rPr>
          <w:noProof/>
        </w:rPr>
      </w:pPr>
      <w:r>
        <w:rPr>
          <w:noProof/>
        </w:rPr>
        <w:t>Il-Finlandja</w:t>
      </w:r>
      <w:r>
        <w:rPr>
          <w:rStyle w:val="FootnoteReference"/>
          <w:noProof/>
        </w:rPr>
        <w:t>(</w:t>
      </w:r>
      <w:r>
        <w:rPr>
          <w:rStyle w:val="FootnoteReference"/>
          <w:noProof/>
        </w:rPr>
        <w:footnoteReference w:id="97"/>
      </w:r>
      <w:r w:rsidR="00B50F49">
        <w:rPr>
          <w:rStyle w:val="FootnoteReference"/>
          <w:noProof/>
        </w:rPr>
        <w:t>)</w:t>
      </w:r>
    </w:p>
    <w:tbl>
      <w:tblPr>
        <w:tblStyle w:val="TableGrid"/>
        <w:tblW w:w="5000" w:type="pct"/>
        <w:tblLook w:val="04A0" w:firstRow="1" w:lastRow="0" w:firstColumn="1" w:lastColumn="0" w:noHBand="0" w:noVBand="1"/>
      </w:tblPr>
      <w:tblGrid>
        <w:gridCol w:w="7840"/>
        <w:gridCol w:w="678"/>
        <w:gridCol w:w="542"/>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166D0F" w:rsidRDefault="00F44153" w:rsidP="00B42AEB">
            <w:pPr>
              <w:rPr>
                <w:b/>
                <w:noProof/>
                <w:lang w:val="fr-BE"/>
              </w:rPr>
            </w:pPr>
            <w:r w:rsidRPr="00166D0F">
              <w:rPr>
                <w:b/>
                <w:noProof/>
                <w:lang w:val="fr-BE"/>
              </w:rPr>
              <w:t>Il-wasla fil-post tal-votazzjoni</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Iva</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Le</w:t>
            </w:r>
          </w:p>
        </w:tc>
      </w:tr>
      <w:tr w:rsidR="00F44153" w:rsidRPr="00166D0F" w14:paraId="0718D6EA" w14:textId="77777777" w:rsidTr="006F0581">
        <w:tc>
          <w:tcPr>
            <w:tcW w:w="4327" w:type="pct"/>
            <w:hideMark/>
          </w:tcPr>
          <w:p w14:paraId="2D263A6D" w14:textId="0B09D7A0" w:rsidR="00F44153" w:rsidRPr="00166D0F" w:rsidRDefault="00F44153" w:rsidP="00B42AEB">
            <w:pPr>
              <w:rPr>
                <w:noProof/>
                <w:lang w:val="fr-BE"/>
              </w:rPr>
            </w:pPr>
            <w:r w:rsidRPr="00166D0F">
              <w:rPr>
                <w:noProof/>
                <w:lang w:val="fr-BE"/>
              </w:rPr>
              <w:t>Il-post tal-votazzjoni huwa faċilment aċċessibbli u hemm waqfa tat-trasport pubbliku qrib il-post tal-votazzjoni?</w:t>
            </w:r>
          </w:p>
        </w:tc>
        <w:tc>
          <w:tcPr>
            <w:tcW w:w="374" w:type="pct"/>
          </w:tcPr>
          <w:p w14:paraId="2E9C2963" w14:textId="77777777" w:rsidR="00F44153" w:rsidRPr="00166D0F" w:rsidRDefault="00F44153" w:rsidP="00B42AEB">
            <w:pPr>
              <w:rPr>
                <w:noProof/>
                <w:lang w:val="fr-BE"/>
              </w:rPr>
            </w:pPr>
          </w:p>
        </w:tc>
        <w:tc>
          <w:tcPr>
            <w:tcW w:w="299" w:type="pct"/>
          </w:tcPr>
          <w:p w14:paraId="37EC80E0" w14:textId="77777777" w:rsidR="00F44153" w:rsidRPr="00166D0F" w:rsidRDefault="00F44153" w:rsidP="00B42AEB">
            <w:pPr>
              <w:rPr>
                <w:noProof/>
                <w:lang w:val="fr-BE"/>
              </w:rPr>
            </w:pPr>
          </w:p>
        </w:tc>
      </w:tr>
      <w:tr w:rsidR="00F44153" w:rsidRPr="00166D0F" w14:paraId="186B7A9B" w14:textId="77777777" w:rsidTr="006F0581">
        <w:tc>
          <w:tcPr>
            <w:tcW w:w="4327" w:type="pct"/>
            <w:hideMark/>
          </w:tcPr>
          <w:p w14:paraId="5EF971B3" w14:textId="0E2CA9EE" w:rsidR="00F44153" w:rsidRPr="00166D0F" w:rsidRDefault="00F44153" w:rsidP="00B42AEB">
            <w:pPr>
              <w:rPr>
                <w:noProof/>
                <w:lang w:val="fr-BE"/>
              </w:rPr>
            </w:pPr>
            <w:r w:rsidRPr="00166D0F">
              <w:rPr>
                <w:noProof/>
                <w:lang w:val="fr-BE"/>
              </w:rPr>
              <w:t>It-traffiku ta’ skorta (eżempju taxis għall-persuni b’diżabilità) jistgħu jidħlu qrib l-entrata?</w:t>
            </w:r>
          </w:p>
        </w:tc>
        <w:tc>
          <w:tcPr>
            <w:tcW w:w="374" w:type="pct"/>
          </w:tcPr>
          <w:p w14:paraId="228BBDB1" w14:textId="77777777" w:rsidR="00F44153" w:rsidRPr="00166D0F" w:rsidRDefault="00F44153" w:rsidP="00B42AEB">
            <w:pPr>
              <w:rPr>
                <w:noProof/>
                <w:lang w:val="fr-BE"/>
              </w:rPr>
            </w:pPr>
          </w:p>
        </w:tc>
        <w:tc>
          <w:tcPr>
            <w:tcW w:w="299" w:type="pct"/>
          </w:tcPr>
          <w:p w14:paraId="65F8E4B9" w14:textId="77777777" w:rsidR="00F44153" w:rsidRPr="00166D0F" w:rsidRDefault="00F44153" w:rsidP="00B42AEB">
            <w:pPr>
              <w:rPr>
                <w:noProof/>
                <w:lang w:val="fr-BE"/>
              </w:rPr>
            </w:pPr>
          </w:p>
        </w:tc>
      </w:tr>
      <w:tr w:rsidR="00F44153" w:rsidRPr="00166D0F" w14:paraId="0FFA968C" w14:textId="77777777" w:rsidTr="006F0581">
        <w:tc>
          <w:tcPr>
            <w:tcW w:w="4327" w:type="pct"/>
            <w:hideMark/>
          </w:tcPr>
          <w:p w14:paraId="6E4B4746" w14:textId="044FD951" w:rsidR="00F44153" w:rsidRPr="00166D0F" w:rsidRDefault="00F44153" w:rsidP="00B42AEB">
            <w:pPr>
              <w:rPr>
                <w:noProof/>
                <w:lang w:val="fr-BE"/>
              </w:rPr>
            </w:pPr>
            <w:r w:rsidRPr="00166D0F">
              <w:rPr>
                <w:noProof/>
                <w:lang w:val="fr-BE"/>
              </w:rPr>
              <w:t>Hemm spazji tal-parkeġġ aċċessibbli qrib il-post tal-votazzjoni (wisa’ ta’ 3 600 mm u tul ta’ 5 000 mm)?</w:t>
            </w:r>
          </w:p>
        </w:tc>
        <w:tc>
          <w:tcPr>
            <w:tcW w:w="374" w:type="pct"/>
          </w:tcPr>
          <w:p w14:paraId="58FA46C2" w14:textId="77777777" w:rsidR="00F44153" w:rsidRPr="00166D0F" w:rsidRDefault="00F44153" w:rsidP="00B42AEB">
            <w:pPr>
              <w:rPr>
                <w:noProof/>
                <w:lang w:val="fr-BE"/>
              </w:rPr>
            </w:pPr>
          </w:p>
        </w:tc>
        <w:tc>
          <w:tcPr>
            <w:tcW w:w="299" w:type="pct"/>
          </w:tcPr>
          <w:p w14:paraId="147963E9" w14:textId="77777777" w:rsidR="00F44153" w:rsidRPr="00166D0F" w:rsidRDefault="00F44153" w:rsidP="00B42AEB">
            <w:pPr>
              <w:rPr>
                <w:noProof/>
                <w:lang w:val="fr-BE"/>
              </w:rPr>
            </w:pPr>
          </w:p>
        </w:tc>
      </w:tr>
      <w:tr w:rsidR="00F44153" w:rsidRPr="00B50F49" w14:paraId="17378218" w14:textId="77777777" w:rsidTr="006F0581">
        <w:tc>
          <w:tcPr>
            <w:tcW w:w="4327" w:type="pct"/>
            <w:hideMark/>
          </w:tcPr>
          <w:p w14:paraId="1B6E357B" w14:textId="4A8C9FEA" w:rsidR="00F44153" w:rsidRPr="00B50F49" w:rsidRDefault="00E4138A" w:rsidP="00B42AEB">
            <w:pPr>
              <w:rPr>
                <w:noProof/>
                <w:lang w:val="es-ES"/>
              </w:rPr>
            </w:pPr>
            <w:r w:rsidRPr="00B50F49">
              <w:rPr>
                <w:noProof/>
                <w:lang w:val="es-ES"/>
              </w:rPr>
              <w:t>Ir-rotta lejn id-dħul fiha sinjali?</w:t>
            </w:r>
          </w:p>
        </w:tc>
        <w:tc>
          <w:tcPr>
            <w:tcW w:w="374" w:type="pct"/>
          </w:tcPr>
          <w:p w14:paraId="6E066122" w14:textId="77777777" w:rsidR="00F44153" w:rsidRPr="00B50F49" w:rsidRDefault="00F44153" w:rsidP="00B42AEB">
            <w:pPr>
              <w:rPr>
                <w:noProof/>
                <w:lang w:val="es-ES"/>
              </w:rPr>
            </w:pPr>
          </w:p>
        </w:tc>
        <w:tc>
          <w:tcPr>
            <w:tcW w:w="299" w:type="pct"/>
          </w:tcPr>
          <w:p w14:paraId="05C95110" w14:textId="77777777" w:rsidR="00F44153" w:rsidRPr="00B50F49" w:rsidRDefault="00F44153" w:rsidP="00B42AEB">
            <w:pPr>
              <w:rPr>
                <w:noProof/>
                <w:lang w:val="es-ES"/>
              </w:rPr>
            </w:pPr>
          </w:p>
        </w:tc>
      </w:tr>
      <w:tr w:rsidR="00F44153" w:rsidRPr="00B50F49" w14:paraId="56C19A72" w14:textId="77777777" w:rsidTr="006F0581">
        <w:tc>
          <w:tcPr>
            <w:tcW w:w="4327" w:type="pct"/>
          </w:tcPr>
          <w:p w14:paraId="47869DCC" w14:textId="5A1DF6A9" w:rsidR="00F44153" w:rsidRPr="00B50F49" w:rsidRDefault="00E4138A" w:rsidP="00B42AEB">
            <w:pPr>
              <w:rPr>
                <w:noProof/>
                <w:lang w:val="es-ES"/>
              </w:rPr>
            </w:pPr>
            <w:r w:rsidRPr="00B50F49">
              <w:rPr>
                <w:noProof/>
                <w:lang w:val="es-ES"/>
              </w:rPr>
              <w:t>Ir-rotta lejn id-dħul hija faċli biex wieħed jara, lixxa, iebsa u ma tiżloqx?</w:t>
            </w:r>
          </w:p>
        </w:tc>
        <w:tc>
          <w:tcPr>
            <w:tcW w:w="374" w:type="pct"/>
          </w:tcPr>
          <w:p w14:paraId="1260751A" w14:textId="77777777" w:rsidR="00F44153" w:rsidRPr="00B50F49" w:rsidRDefault="00F44153" w:rsidP="00B42AEB">
            <w:pPr>
              <w:rPr>
                <w:noProof/>
                <w:lang w:val="es-ES"/>
              </w:rPr>
            </w:pPr>
          </w:p>
        </w:tc>
        <w:tc>
          <w:tcPr>
            <w:tcW w:w="299" w:type="pct"/>
          </w:tcPr>
          <w:p w14:paraId="19791FB1" w14:textId="77777777" w:rsidR="00F44153" w:rsidRPr="00B50F49" w:rsidRDefault="00F44153" w:rsidP="00B42AEB">
            <w:pPr>
              <w:rPr>
                <w:noProof/>
                <w:lang w:val="es-ES"/>
              </w:rPr>
            </w:pPr>
          </w:p>
        </w:tc>
      </w:tr>
      <w:tr w:rsidR="00F44153" w:rsidRPr="00B50F49" w14:paraId="32AC6449" w14:textId="77777777" w:rsidTr="006F0581">
        <w:tc>
          <w:tcPr>
            <w:tcW w:w="4327" w:type="pct"/>
            <w:hideMark/>
          </w:tcPr>
          <w:p w14:paraId="5C4EFCC0" w14:textId="429B47CA" w:rsidR="00F44153" w:rsidRPr="00166D0F" w:rsidRDefault="00E4138A" w:rsidP="00B42AEB">
            <w:pPr>
              <w:rPr>
                <w:noProof/>
                <w:lang w:val="fr-BE"/>
              </w:rPr>
            </w:pPr>
            <w:r w:rsidRPr="00166D0F">
              <w:rPr>
                <w:noProof/>
                <w:lang w:val="fr-BE"/>
              </w:rPr>
              <w:t>Il-gradjenti tal-passaġġ huma ta’ anqas minn 5 % (1:20)?</w:t>
            </w:r>
          </w:p>
        </w:tc>
        <w:tc>
          <w:tcPr>
            <w:tcW w:w="374" w:type="pct"/>
          </w:tcPr>
          <w:p w14:paraId="5D433CD2" w14:textId="77777777" w:rsidR="00F44153" w:rsidRPr="00166D0F" w:rsidRDefault="00F44153" w:rsidP="00B42AEB">
            <w:pPr>
              <w:rPr>
                <w:noProof/>
                <w:lang w:val="fr-BE"/>
              </w:rPr>
            </w:pPr>
          </w:p>
        </w:tc>
        <w:tc>
          <w:tcPr>
            <w:tcW w:w="299" w:type="pct"/>
          </w:tcPr>
          <w:p w14:paraId="778133C7" w14:textId="77777777" w:rsidR="00F44153" w:rsidRPr="00166D0F" w:rsidRDefault="00F44153" w:rsidP="00B42AEB">
            <w:pPr>
              <w:rPr>
                <w:noProof/>
                <w:lang w:val="fr-BE"/>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Dħul</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Hemm sinjali ċari għal rotot aċċessibbli fil-post tal-votazzjoni?</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50F49" w14:paraId="23B08F00" w14:textId="77777777" w:rsidTr="006F0581">
        <w:tc>
          <w:tcPr>
            <w:tcW w:w="4327" w:type="pct"/>
            <w:hideMark/>
          </w:tcPr>
          <w:p w14:paraId="2C1C8D7A" w14:textId="14D671DC" w:rsidR="00F44153" w:rsidRPr="00B50F49" w:rsidRDefault="00BF0133" w:rsidP="00B42AEB">
            <w:pPr>
              <w:rPr>
                <w:noProof/>
                <w:lang w:val="es-ES"/>
              </w:rPr>
            </w:pPr>
            <w:r w:rsidRPr="00B50F49">
              <w:rPr>
                <w:noProof/>
                <w:lang w:val="es-ES"/>
              </w:rPr>
              <w:t>Hemm rampa b’xaqliba sa 8 % u b’wisa’ ta’ mill-anqas 900 mm ħdejn it-taraġ tal-entrata?</w:t>
            </w:r>
          </w:p>
        </w:tc>
        <w:tc>
          <w:tcPr>
            <w:tcW w:w="374" w:type="pct"/>
          </w:tcPr>
          <w:p w14:paraId="5E6C4EDF" w14:textId="77777777" w:rsidR="00F44153" w:rsidRPr="00B50F49" w:rsidRDefault="00F44153" w:rsidP="00B42AEB">
            <w:pPr>
              <w:rPr>
                <w:noProof/>
                <w:lang w:val="es-ES"/>
              </w:rPr>
            </w:pPr>
          </w:p>
        </w:tc>
        <w:tc>
          <w:tcPr>
            <w:tcW w:w="299" w:type="pct"/>
          </w:tcPr>
          <w:p w14:paraId="7C1A9AC6" w14:textId="77777777" w:rsidR="00F44153" w:rsidRPr="00B50F49" w:rsidRDefault="00F44153" w:rsidP="00B42AEB">
            <w:pPr>
              <w:rPr>
                <w:noProof/>
                <w:lang w:val="es-ES"/>
              </w:rPr>
            </w:pPr>
          </w:p>
        </w:tc>
      </w:tr>
      <w:tr w:rsidR="00002825" w:rsidRPr="00B50F49" w14:paraId="20C77620" w14:textId="77777777" w:rsidTr="006F0581">
        <w:trPr>
          <w:trHeight w:val="325"/>
        </w:trPr>
        <w:tc>
          <w:tcPr>
            <w:tcW w:w="0" w:type="pct"/>
            <w:hideMark/>
          </w:tcPr>
          <w:p w14:paraId="476AAA39" w14:textId="76353995" w:rsidR="00F44153" w:rsidRPr="00B50F49" w:rsidRDefault="00BF0133" w:rsidP="00B42AEB">
            <w:pPr>
              <w:rPr>
                <w:noProof/>
                <w:lang w:val="es-ES"/>
              </w:rPr>
            </w:pPr>
            <w:r w:rsidRPr="00B50F49">
              <w:rPr>
                <w:noProof/>
                <w:lang w:val="es-ES"/>
              </w:rPr>
              <w:t>It-turġien u r-rampi għandhom poġġamani fuq iż-żewġ naħat?</w:t>
            </w:r>
          </w:p>
        </w:tc>
        <w:tc>
          <w:tcPr>
            <w:tcW w:w="0" w:type="pct"/>
          </w:tcPr>
          <w:p w14:paraId="62112186" w14:textId="77777777" w:rsidR="00F44153" w:rsidRPr="00B50F49" w:rsidRDefault="00F44153" w:rsidP="00B42AEB">
            <w:pPr>
              <w:rPr>
                <w:noProof/>
                <w:lang w:val="es-ES"/>
              </w:rPr>
            </w:pPr>
          </w:p>
        </w:tc>
        <w:tc>
          <w:tcPr>
            <w:tcW w:w="0" w:type="pct"/>
          </w:tcPr>
          <w:p w14:paraId="46400332" w14:textId="77777777" w:rsidR="00F44153" w:rsidRPr="00B50F49" w:rsidRDefault="00F44153" w:rsidP="00B42AEB">
            <w:pPr>
              <w:rPr>
                <w:noProof/>
                <w:lang w:val="es-ES"/>
              </w:rPr>
            </w:pPr>
          </w:p>
        </w:tc>
      </w:tr>
      <w:tr w:rsidR="00F44153" w:rsidRPr="00B50F49" w14:paraId="0F1F4192" w14:textId="77777777" w:rsidTr="006F0581">
        <w:tc>
          <w:tcPr>
            <w:tcW w:w="4327" w:type="pct"/>
            <w:hideMark/>
          </w:tcPr>
          <w:p w14:paraId="1F0B5EC0" w14:textId="6DC40A92" w:rsidR="00F44153" w:rsidRPr="00B50F49" w:rsidRDefault="00BF0133" w:rsidP="00B42AEB">
            <w:pPr>
              <w:rPr>
                <w:noProof/>
                <w:lang w:val="es-ES"/>
              </w:rPr>
            </w:pPr>
            <w:r w:rsidRPr="00B50F49">
              <w:rPr>
                <w:noProof/>
                <w:lang w:val="es-ES"/>
              </w:rPr>
              <w:t>Hemm pjattaforma quddiem il-bieb ta’ quddiem tal-anqas 1 500 mm x 1 500 mm?</w:t>
            </w:r>
          </w:p>
        </w:tc>
        <w:tc>
          <w:tcPr>
            <w:tcW w:w="374" w:type="pct"/>
          </w:tcPr>
          <w:p w14:paraId="123EBD46" w14:textId="77777777" w:rsidR="00F44153" w:rsidRPr="00B50F49" w:rsidRDefault="00F44153" w:rsidP="00B42AEB">
            <w:pPr>
              <w:rPr>
                <w:noProof/>
                <w:lang w:val="es-ES"/>
              </w:rPr>
            </w:pPr>
          </w:p>
        </w:tc>
        <w:tc>
          <w:tcPr>
            <w:tcW w:w="299" w:type="pct"/>
          </w:tcPr>
          <w:p w14:paraId="0BEFF1E3" w14:textId="77777777" w:rsidR="00F44153" w:rsidRPr="00B50F49" w:rsidRDefault="00F44153" w:rsidP="00B42AEB">
            <w:pPr>
              <w:rPr>
                <w:noProof/>
                <w:lang w:val="es-ES"/>
              </w:rPr>
            </w:pPr>
          </w:p>
        </w:tc>
      </w:tr>
      <w:tr w:rsidR="00F44153" w:rsidRPr="00B50F49" w14:paraId="11F2B2DA" w14:textId="77777777" w:rsidTr="006F0581">
        <w:tc>
          <w:tcPr>
            <w:tcW w:w="4327" w:type="pct"/>
            <w:hideMark/>
          </w:tcPr>
          <w:p w14:paraId="3D23490B" w14:textId="32792D1A" w:rsidR="00F44153" w:rsidRPr="00B50F49" w:rsidRDefault="00BF0133" w:rsidP="00B42AEB">
            <w:pPr>
              <w:rPr>
                <w:noProof/>
                <w:lang w:val="es-ES"/>
              </w:rPr>
            </w:pPr>
            <w:r w:rsidRPr="00B50F49">
              <w:rPr>
                <w:noProof/>
                <w:lang w:val="es-ES"/>
              </w:rPr>
              <w:t>Hemm mill-anqas 400 mm ta’ spazju liberu fuq in-naħa tal-ftuħ tal-bieb ta’ quddiem li utent tas-siġġu tar-roti jeħtieġ meta jiftaħ il-bieb?</w:t>
            </w:r>
          </w:p>
        </w:tc>
        <w:tc>
          <w:tcPr>
            <w:tcW w:w="374" w:type="pct"/>
          </w:tcPr>
          <w:p w14:paraId="0DB5FE05" w14:textId="77777777" w:rsidR="00F44153" w:rsidRPr="00B50F49" w:rsidRDefault="00F44153" w:rsidP="00B42AEB">
            <w:pPr>
              <w:rPr>
                <w:noProof/>
                <w:lang w:val="es-ES"/>
              </w:rPr>
            </w:pPr>
          </w:p>
        </w:tc>
        <w:tc>
          <w:tcPr>
            <w:tcW w:w="299" w:type="pct"/>
          </w:tcPr>
          <w:p w14:paraId="19DEC32F" w14:textId="77777777" w:rsidR="00F44153" w:rsidRPr="00B50F49" w:rsidRDefault="00F44153" w:rsidP="00B42AEB">
            <w:pPr>
              <w:rPr>
                <w:noProof/>
                <w:lang w:val="es-ES"/>
              </w:rPr>
            </w:pPr>
          </w:p>
        </w:tc>
      </w:tr>
      <w:tr w:rsidR="00F44153" w:rsidRPr="00B50F49" w14:paraId="31551317" w14:textId="77777777" w:rsidTr="006F0581">
        <w:tc>
          <w:tcPr>
            <w:tcW w:w="4327" w:type="pct"/>
            <w:hideMark/>
          </w:tcPr>
          <w:p w14:paraId="26C40154" w14:textId="2B4FE10B" w:rsidR="00F44153" w:rsidRPr="00B50F49" w:rsidRDefault="00BF0133" w:rsidP="00B42AEB">
            <w:pPr>
              <w:rPr>
                <w:noProof/>
                <w:lang w:val="es-ES"/>
              </w:rPr>
            </w:pPr>
            <w:r w:rsidRPr="00B50F49">
              <w:rPr>
                <w:noProof/>
                <w:lang w:val="es-ES"/>
              </w:rPr>
              <w:t>Il-wisa’ tal-bieb ta’ dħul hija mill-anqas 850 mm u l-għoli tal-għatba hija mhux aktar minn 20 mm?</w:t>
            </w:r>
          </w:p>
        </w:tc>
        <w:tc>
          <w:tcPr>
            <w:tcW w:w="374" w:type="pct"/>
          </w:tcPr>
          <w:p w14:paraId="4873CCD4" w14:textId="77777777" w:rsidR="00F44153" w:rsidRPr="00B50F49" w:rsidRDefault="00F44153" w:rsidP="00B42AEB">
            <w:pPr>
              <w:rPr>
                <w:noProof/>
                <w:lang w:val="es-ES"/>
              </w:rPr>
            </w:pPr>
          </w:p>
        </w:tc>
        <w:tc>
          <w:tcPr>
            <w:tcW w:w="299" w:type="pct"/>
          </w:tcPr>
          <w:p w14:paraId="1D85CEA3" w14:textId="77777777" w:rsidR="00F44153" w:rsidRPr="00B50F49" w:rsidRDefault="00F44153" w:rsidP="00B42AEB">
            <w:pPr>
              <w:rPr>
                <w:noProof/>
                <w:lang w:val="es-ES"/>
              </w:rPr>
            </w:pPr>
          </w:p>
        </w:tc>
      </w:tr>
      <w:tr w:rsidR="00F44153" w:rsidRPr="00B50F49" w14:paraId="2CB1C50D" w14:textId="77777777" w:rsidTr="006F0581">
        <w:tc>
          <w:tcPr>
            <w:tcW w:w="4327" w:type="pct"/>
            <w:hideMark/>
          </w:tcPr>
          <w:p w14:paraId="27CA24F6" w14:textId="3E85BA7B" w:rsidR="00F44153" w:rsidRPr="00B50F49" w:rsidRDefault="00E833D1" w:rsidP="00B42AEB">
            <w:pPr>
              <w:rPr>
                <w:noProof/>
                <w:lang w:val="es-ES"/>
              </w:rPr>
            </w:pPr>
            <w:r w:rsidRPr="00B50F49">
              <w:rPr>
                <w:noProof/>
                <w:lang w:val="es-ES"/>
              </w:rPr>
              <w:t>Il-biex jinfetaħ b’mod awtomatiku jew inkella huwa ħafif (il-forza massima tal-ftuħ 10 N, jiġifieri 1 kg)?</w:t>
            </w:r>
          </w:p>
        </w:tc>
        <w:tc>
          <w:tcPr>
            <w:tcW w:w="374" w:type="pct"/>
          </w:tcPr>
          <w:p w14:paraId="10F8AF69" w14:textId="77777777" w:rsidR="00F44153" w:rsidRPr="00B50F49" w:rsidRDefault="00F44153" w:rsidP="00B42AEB">
            <w:pPr>
              <w:rPr>
                <w:noProof/>
                <w:lang w:val="es-ES"/>
              </w:rPr>
            </w:pPr>
          </w:p>
        </w:tc>
        <w:tc>
          <w:tcPr>
            <w:tcW w:w="299" w:type="pct"/>
          </w:tcPr>
          <w:p w14:paraId="2F6E11E8" w14:textId="77777777" w:rsidR="00F44153" w:rsidRPr="00B50F49" w:rsidRDefault="00F44153" w:rsidP="00B42AEB">
            <w:pPr>
              <w:rPr>
                <w:noProof/>
                <w:lang w:val="es-ES"/>
              </w:rPr>
            </w:pPr>
          </w:p>
        </w:tc>
      </w:tr>
      <w:tr w:rsidR="00F44153" w:rsidRPr="00B50F49" w14:paraId="408D1CDE" w14:textId="77777777" w:rsidTr="006F0581">
        <w:tc>
          <w:tcPr>
            <w:tcW w:w="4327" w:type="pct"/>
            <w:hideMark/>
          </w:tcPr>
          <w:p w14:paraId="54D9793A" w14:textId="54DD07EC" w:rsidR="00F44153" w:rsidRPr="00B50F49" w:rsidRDefault="00E833D1" w:rsidP="00B42AEB">
            <w:pPr>
              <w:rPr>
                <w:noProof/>
                <w:lang w:val="es-ES"/>
              </w:rPr>
            </w:pPr>
            <w:r w:rsidRPr="00B50F49">
              <w:rPr>
                <w:noProof/>
                <w:lang w:val="es-ES"/>
              </w:rPr>
              <w:t>Hemm spazji ta’ mhux aktar minn 10 mm x 30 mm fit-tapit tat-tajn jew fil-gradilja fl-entrata, u d-differenza fil-livell ikkawżata mit-tapit jew mill-gradilja hija ta’ mhux aktar minn 20 mm?</w:t>
            </w:r>
          </w:p>
        </w:tc>
        <w:tc>
          <w:tcPr>
            <w:tcW w:w="374" w:type="pct"/>
          </w:tcPr>
          <w:p w14:paraId="360C8B86" w14:textId="77777777" w:rsidR="00F44153" w:rsidRPr="00B50F49" w:rsidRDefault="00F44153" w:rsidP="00B42AEB">
            <w:pPr>
              <w:rPr>
                <w:noProof/>
                <w:lang w:val="es-ES"/>
              </w:rPr>
            </w:pPr>
          </w:p>
        </w:tc>
        <w:tc>
          <w:tcPr>
            <w:tcW w:w="299" w:type="pct"/>
          </w:tcPr>
          <w:p w14:paraId="1A516B46" w14:textId="77777777" w:rsidR="00F44153" w:rsidRPr="00B50F49" w:rsidRDefault="00F44153" w:rsidP="00B42AEB">
            <w:pPr>
              <w:rPr>
                <w:noProof/>
                <w:lang w:val="es-ES"/>
              </w:rPr>
            </w:pPr>
          </w:p>
        </w:tc>
      </w:tr>
      <w:tr w:rsidR="00F44153" w:rsidRPr="00B50F49" w14:paraId="40963971" w14:textId="77777777" w:rsidTr="006F0581">
        <w:tc>
          <w:tcPr>
            <w:tcW w:w="4327" w:type="pct"/>
            <w:hideMark/>
          </w:tcPr>
          <w:p w14:paraId="00995295" w14:textId="7EA32C07" w:rsidR="00F44153" w:rsidRPr="00B50F49" w:rsidRDefault="00E833D1" w:rsidP="00B42AEB">
            <w:pPr>
              <w:rPr>
                <w:noProof/>
                <w:lang w:val="es-ES"/>
              </w:rPr>
            </w:pPr>
            <w:r w:rsidRPr="00B50F49">
              <w:rPr>
                <w:noProof/>
                <w:lang w:val="es-ES"/>
              </w:rPr>
              <w:t>Il-fond u l-wisa’ tal-kabinett tar-riħ huma tal-anqas 1 500 mm jekk iż-żewġ bibien jinfetħu ’l bogħod mill-ilqugħ tar-riħ?</w:t>
            </w:r>
          </w:p>
        </w:tc>
        <w:tc>
          <w:tcPr>
            <w:tcW w:w="374" w:type="pct"/>
          </w:tcPr>
          <w:p w14:paraId="1501E11E" w14:textId="77777777" w:rsidR="00F44153" w:rsidRPr="00B50F49" w:rsidRDefault="00F44153" w:rsidP="00B42AEB">
            <w:pPr>
              <w:rPr>
                <w:noProof/>
                <w:lang w:val="es-ES"/>
              </w:rPr>
            </w:pPr>
          </w:p>
        </w:tc>
        <w:tc>
          <w:tcPr>
            <w:tcW w:w="299" w:type="pct"/>
          </w:tcPr>
          <w:p w14:paraId="0425FE37" w14:textId="77777777" w:rsidR="00F44153" w:rsidRPr="00B50F49" w:rsidRDefault="00F44153" w:rsidP="00B42AEB">
            <w:pPr>
              <w:rPr>
                <w:noProof/>
                <w:lang w:val="es-ES"/>
              </w:rPr>
            </w:pPr>
          </w:p>
        </w:tc>
      </w:tr>
      <w:tr w:rsidR="00F44153" w:rsidRPr="00B50F49" w14:paraId="53312871" w14:textId="77777777" w:rsidTr="006F0581">
        <w:tc>
          <w:tcPr>
            <w:tcW w:w="4327" w:type="pct"/>
            <w:hideMark/>
          </w:tcPr>
          <w:p w14:paraId="5E2681BF" w14:textId="29F03161" w:rsidR="00F44153" w:rsidRPr="00B50F49" w:rsidRDefault="00E833D1" w:rsidP="00B42AEB">
            <w:pPr>
              <w:rPr>
                <w:noProof/>
                <w:lang w:val="es-ES"/>
              </w:rPr>
            </w:pPr>
            <w:r w:rsidRPr="00B50F49">
              <w:rPr>
                <w:noProof/>
                <w:lang w:val="es-ES"/>
              </w:rPr>
              <w:t>Il-wisa’ tal-kabinett tar-riħ hija mill-anqas 1 500 mm u l-fond huwa mill-anqas 2300 mm jekk wieħed mill-bibien jinfetaħ ġewwa l-kabinett?</w:t>
            </w:r>
          </w:p>
        </w:tc>
        <w:tc>
          <w:tcPr>
            <w:tcW w:w="374" w:type="pct"/>
          </w:tcPr>
          <w:p w14:paraId="064C6EE2" w14:textId="77777777" w:rsidR="00F44153" w:rsidRPr="00B50F49" w:rsidRDefault="00F44153" w:rsidP="00B42AEB">
            <w:pPr>
              <w:rPr>
                <w:noProof/>
                <w:lang w:val="es-ES"/>
              </w:rPr>
            </w:pPr>
          </w:p>
        </w:tc>
        <w:tc>
          <w:tcPr>
            <w:tcW w:w="299" w:type="pct"/>
          </w:tcPr>
          <w:p w14:paraId="3D467632" w14:textId="77777777" w:rsidR="00F44153" w:rsidRPr="00B50F49" w:rsidRDefault="00F44153" w:rsidP="00B42AEB">
            <w:pPr>
              <w:rPr>
                <w:noProof/>
                <w:lang w:val="es-ES"/>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Post tal-votazzjoni</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Il-post tal-votazzjoni għandu mill-anqas kabina tal-votazzjoni waħda fejn tista’ timla l-polza tal-votazzjoni fuq mejda waqt li tkun bilqiegħda?</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Hemm spazju għalll-irkoppa taħt il-mejda tal-kabina tal-votazzjoni (għoli 750-800 mm) b’dimensjonijiet minimi ta’ wisa’ ta’ 800 mm, fond ta’ 600 mm u għoli ta’ 670 mm?</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Jew hemm imwejjed li jista’ jiġi aġġustat l-għoli tagħhom fil-post tal-votazzjoni?</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Il-kabini tal-votazzjoni għandhom dawl mingħajr riflessjonijiet u adegwat (500-750 lux fil-livell tal-kitba)?</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Hemm siġġijiet fil-post tal-votazzjoni fejn il-votanti jistgħu jistrieħu jekk ikollhom bżonn?</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Hemm assistent elettorali kemm fil-post tal-votazzjoni bil-quddiem kif ukoll fil-post tal-votazzjoni attwali?</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166D0F" w14:paraId="26E577F8" w14:textId="77777777" w:rsidTr="006F0581">
        <w:tc>
          <w:tcPr>
            <w:tcW w:w="4327" w:type="pct"/>
            <w:hideMark/>
          </w:tcPr>
          <w:p w14:paraId="445AB74E" w14:textId="2D7762DD" w:rsidR="00F44153" w:rsidRPr="00166D0F" w:rsidRDefault="00E833D1" w:rsidP="00B42AEB">
            <w:pPr>
              <w:rPr>
                <w:noProof/>
                <w:lang w:val="fr-BE"/>
              </w:rPr>
            </w:pPr>
            <w:r w:rsidRPr="00166D0F">
              <w:rPr>
                <w:noProof/>
                <w:lang w:val="fr-BE"/>
              </w:rPr>
              <w:t xml:space="preserve">Jekk ikun hemm utenti ta’ apparat ta’ assistenza fost l-uffiċjali elettorali, il-post tal-votazzjoni jrid ikun mgħammar b’toilet aċċessibbli. </w:t>
            </w:r>
          </w:p>
        </w:tc>
        <w:tc>
          <w:tcPr>
            <w:tcW w:w="374" w:type="pct"/>
          </w:tcPr>
          <w:p w14:paraId="6736FFDA" w14:textId="77777777" w:rsidR="00F44153" w:rsidRPr="00166D0F" w:rsidRDefault="00F44153" w:rsidP="00B42AEB">
            <w:pPr>
              <w:rPr>
                <w:noProof/>
                <w:lang w:val="fr-BE"/>
              </w:rPr>
            </w:pPr>
          </w:p>
        </w:tc>
        <w:tc>
          <w:tcPr>
            <w:tcW w:w="299" w:type="pct"/>
          </w:tcPr>
          <w:p w14:paraId="44024A34" w14:textId="77777777" w:rsidR="00F44153" w:rsidRPr="00166D0F" w:rsidRDefault="00F44153" w:rsidP="00B42AEB">
            <w:pPr>
              <w:rPr>
                <w:noProof/>
                <w:lang w:val="fr-BE"/>
              </w:rPr>
            </w:pPr>
          </w:p>
        </w:tc>
      </w:tr>
    </w:tbl>
    <w:p w14:paraId="79E69447" w14:textId="7A49A8A7" w:rsidR="007013F9" w:rsidRPr="00166D0F" w:rsidRDefault="0081364D" w:rsidP="006F0581">
      <w:pPr>
        <w:pStyle w:val="Heading1"/>
        <w:spacing w:before="360" w:after="240" w:line="288" w:lineRule="auto"/>
        <w:rPr>
          <w:noProof/>
          <w:lang w:val="fr-BE"/>
        </w:rPr>
      </w:pPr>
      <w:bookmarkStart w:id="90" w:name="_Toc158728576"/>
      <w:bookmarkStart w:id="91" w:name="_Toc148718605"/>
      <w:r w:rsidRPr="00166D0F">
        <w:rPr>
          <w:noProof/>
          <w:lang w:val="fr-BE"/>
        </w:rPr>
        <w:t>Anness 3 – Eżempju ta’ rakkomandazzjonijiet ġenerali għall-uffiċjali tal-postijiet tal-votazzjoni</w:t>
      </w:r>
      <w:bookmarkEnd w:id="90"/>
      <w:r w:rsidRPr="00166D0F">
        <w:rPr>
          <w:noProof/>
          <w:lang w:val="fr-BE"/>
        </w:rPr>
        <w:t xml:space="preserve"> </w:t>
      </w:r>
    </w:p>
    <w:p w14:paraId="76D7F94A" w14:textId="099A6671" w:rsidR="006F0581" w:rsidRPr="00166D0F" w:rsidRDefault="006F0581" w:rsidP="006F0581">
      <w:pPr>
        <w:pBdr>
          <w:top w:val="single" w:sz="4" w:space="1" w:color="auto"/>
          <w:left w:val="single" w:sz="4" w:space="4" w:color="auto"/>
          <w:bottom w:val="single" w:sz="4" w:space="1" w:color="auto"/>
          <w:right w:val="single" w:sz="4" w:space="4" w:color="auto"/>
        </w:pBdr>
        <w:rPr>
          <w:noProof/>
          <w:lang w:val="fr-BE"/>
        </w:rPr>
      </w:pPr>
      <w:r w:rsidRPr="00166D0F">
        <w:rPr>
          <w:noProof/>
          <w:lang w:val="fr-BE"/>
        </w:rPr>
        <w:t xml:space="preserve">Spanja </w:t>
      </w:r>
      <w:r w:rsidRPr="00166D0F">
        <w:rPr>
          <w:noProof/>
          <w:lang w:val="fr-BE"/>
        </w:rPr>
        <w:cr/>
      </w:r>
      <w:r w:rsidRPr="00166D0F">
        <w:rPr>
          <w:noProof/>
          <w:lang w:val="fr-BE"/>
        </w:rPr>
        <w:br/>
        <w:t xml:space="preserve">Bħala membru ta’ post tal-votazzjoni, żomm f’moħħok li l-persuni b’diżabilità huma awtonomi u indipendenti u jeħtiġilhom jiġu ttrattati bħala tali. </w:t>
      </w:r>
      <w:r w:rsidRPr="00166D0F">
        <w:rPr>
          <w:noProof/>
          <w:lang w:val="fr-BE"/>
        </w:rPr>
        <w:cr/>
      </w:r>
      <w:r w:rsidRPr="00166D0F">
        <w:rPr>
          <w:noProof/>
          <w:lang w:val="fr-BE"/>
        </w:rPr>
        <w:br/>
        <w:t xml:space="preserve">Aġixxi b’mod naturali u b’rispett. Tassumix li persuna teħtieġ għajnuna sempliċiment minħabba li jkollha diżabilità. Jekk l-ambjent ikun aċċessibbli, il-persuni b’diżabilità normalment jimmaniġġaw mingħajr diffikultà. </w:t>
      </w:r>
      <w:r w:rsidRPr="00166D0F">
        <w:rPr>
          <w:noProof/>
          <w:lang w:val="fr-BE"/>
        </w:rPr>
        <w:cr/>
      </w:r>
      <w:r w:rsidRPr="00166D0F">
        <w:rPr>
          <w:noProof/>
          <w:lang w:val="fr-BE"/>
        </w:rPr>
        <w:br/>
        <w:t xml:space="preserve">Imxi mas-sens komun u mal-prinċipju tal-ugwaljanza u n-nondiskriminazzjoni. </w:t>
      </w:r>
      <w:r w:rsidRPr="00166D0F">
        <w:rPr>
          <w:noProof/>
          <w:lang w:val="fr-BE"/>
        </w:rPr>
        <w:cr/>
      </w:r>
      <w:r w:rsidRPr="00166D0F">
        <w:rPr>
          <w:noProof/>
          <w:lang w:val="fr-BE"/>
        </w:rPr>
        <w:br/>
        <w:t xml:space="preserve">Staqsi jekk l-għajnuna tiegħek tkunx meħtieġa biss jekk il-votant b’diżabilità jidher li jkollu bżonn. Jekk dik il-persuna taċċettaha, staqsiha speċifikament kif tista’ tgħin qabel ma taġixxi. </w:t>
      </w:r>
      <w:r w:rsidRPr="00166D0F">
        <w:rPr>
          <w:noProof/>
          <w:lang w:val="fr-BE"/>
        </w:rPr>
        <w:cr/>
      </w:r>
      <w:r w:rsidRPr="00166D0F">
        <w:rPr>
          <w:noProof/>
          <w:lang w:val="fr-BE"/>
        </w:rPr>
        <w:br/>
        <w:t xml:space="preserve">Fuq talba tal-votanti b’diżabilità, u biss meta jitolbu dan, fl-entrata għall-post tal-votazzjoni, ir-rappreżentant tal-amministrazzjoni jew tal-persunal tas-sigurtà jista’ jakkumpanjahom għall-post tal-votazzjoni korrispondenti. </w:t>
      </w:r>
      <w:r w:rsidRPr="00166D0F">
        <w:rPr>
          <w:noProof/>
          <w:lang w:val="fr-BE"/>
        </w:rPr>
        <w:cr/>
      </w:r>
      <w:r w:rsidRPr="00166D0F">
        <w:rPr>
          <w:noProof/>
          <w:lang w:val="fr-BE"/>
        </w:rPr>
        <w:br/>
        <w:t xml:space="preserve">Meta tikkomunika ma’ persuni b’insuffiċjenza fis-smigħ, tkellem dritt ’il quddiem, iċċaqlaqx rasek. Titkellimx minn warajhom, waqt li tkun baxxut ’l isfel jew qed tikteb. Tgħajjatx, tkellem b’mod normali, bir-ritmu normali tal-konverżazzjoni tiegħek, mingħajr ebda oġġett f’ħalqek, u tgħattix wiċċek. Jekk ikun meħtieġ, uża l-kitba, il-ġesti naturali jew iġbed l-attenzjoni billi tmiss b’mod ħafif id-driegħ. </w:t>
      </w:r>
      <w:r w:rsidRPr="00166D0F">
        <w:rPr>
          <w:noProof/>
          <w:lang w:val="fr-BE"/>
        </w:rPr>
        <w:cr/>
      </w:r>
      <w:r w:rsidRPr="00166D0F">
        <w:rPr>
          <w:noProof/>
          <w:lang w:val="fr-BE"/>
        </w:rPr>
        <w:br/>
        <w:t xml:space="preserve">Għall-votanti b’vista batuta, tista’ toffri driegħek bħala appoġġ. Jekk dan isir, adatta l-pass tiegħek għal tagħhom u kun konxju mill-ambjent sabiex ikunu jistgħu jimxu b’mod komdu. </w:t>
      </w:r>
      <w:r w:rsidRPr="00166D0F">
        <w:rPr>
          <w:noProof/>
          <w:lang w:val="fr-BE"/>
        </w:rPr>
        <w:cr/>
      </w:r>
      <w:r w:rsidRPr="00166D0F">
        <w:rPr>
          <w:noProof/>
          <w:lang w:val="fr-BE"/>
        </w:rPr>
        <w:br/>
        <w:t xml:space="preserve">Il-klieb ta’ gwida u l-klieb ta’ assistenza għall-persuni b’diżabilità dejjem jitħallew jidħlu. Jeħtieġ li dawn jibqgħu ma’ sidhom u ma jistgħux jiġu ddisturbati jew imfixkla. </w:t>
      </w:r>
      <w:r w:rsidRPr="00166D0F">
        <w:rPr>
          <w:noProof/>
          <w:lang w:val="fr-BE"/>
        </w:rPr>
        <w:cr/>
      </w:r>
      <w:r w:rsidRPr="00166D0F">
        <w:rPr>
          <w:noProof/>
          <w:lang w:val="fr-BE"/>
        </w:rPr>
        <w:br/>
        <w:t>Dejjem iċċekkja li l-persuna b’diżabilità tkun fehmet x’qed tipprova tikkomunika.</w:t>
      </w:r>
    </w:p>
    <w:p w14:paraId="29E14063" w14:textId="4E2BB5F0" w:rsidR="00BE3B24" w:rsidRPr="00166D0F" w:rsidRDefault="00C52063" w:rsidP="006F0581">
      <w:pPr>
        <w:pStyle w:val="Heading1"/>
        <w:spacing w:before="360" w:after="240" w:line="288" w:lineRule="auto"/>
        <w:rPr>
          <w:b w:val="0"/>
          <w:noProof/>
          <w:lang w:val="fr-BE"/>
        </w:rPr>
      </w:pPr>
      <w:bookmarkStart w:id="92" w:name="_Toc148718606"/>
      <w:bookmarkStart w:id="93" w:name="_Toc158728577"/>
      <w:bookmarkEnd w:id="91"/>
      <w:r w:rsidRPr="00166D0F">
        <w:rPr>
          <w:rStyle w:val="Heading1Char"/>
          <w:b/>
          <w:noProof/>
          <w:lang w:val="fr-BE"/>
        </w:rPr>
        <w:t>Anness 4 – Eżempju ta’ kif għandu jiġi pprovdut aċċess għall-bini tal-postijiet tal-votazzjoni</w:t>
      </w:r>
      <w:bookmarkEnd w:id="92"/>
      <w:r w:rsidRPr="00166D0F">
        <w:rPr>
          <w:rStyle w:val="FootnoteReference"/>
          <w:b w:val="0"/>
          <w:noProof/>
          <w:lang w:val="fr-BE"/>
        </w:rPr>
        <w:t>(</w:t>
      </w:r>
      <w:r>
        <w:rPr>
          <w:rStyle w:val="FootnoteReference"/>
          <w:b w:val="0"/>
          <w:noProof/>
        </w:rPr>
        <w:footnoteReference w:id="98"/>
      </w:r>
      <w:r w:rsidR="00B50F49">
        <w:rPr>
          <w:rStyle w:val="FootnoteReference"/>
          <w:b w:val="0"/>
          <w:noProof/>
          <w:lang w:val="fr-BE"/>
        </w:rPr>
        <w:t>)</w:t>
      </w:r>
      <w:bookmarkEnd w:id="93"/>
      <w:r w:rsidRPr="00166D0F">
        <w:rPr>
          <w:rStyle w:val="Heading1Char"/>
          <w:b/>
          <w:noProof/>
          <w:lang w:val="fr-BE"/>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Tpinġija tan-naħa ta’ barra ta’ post tal-votazzjoni b’postijiet tal-parkeġġ u b’rampa aċċessib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7DDBD7D8" w:rsidR="00197ADE" w:rsidRPr="00B42AEB" w:rsidRDefault="003C179C" w:rsidP="006F0581">
      <w:pPr>
        <w:pStyle w:val="Heading1"/>
        <w:spacing w:before="360" w:after="240" w:line="288" w:lineRule="auto"/>
        <w:rPr>
          <w:rStyle w:val="Heading1Char"/>
          <w:b/>
          <w:noProof/>
        </w:rPr>
      </w:pPr>
      <w:bookmarkStart w:id="95" w:name="_Toc158728578"/>
      <w:r>
        <w:rPr>
          <w:rStyle w:val="Heading1Char"/>
          <w:b/>
          <w:noProof/>
        </w:rPr>
        <w:t>Anness 5 – Eżempju ta’ kif għandu jiġi ddisinnjat post tal-votazzjoni aċċessibbli</w:t>
      </w:r>
      <w:bookmarkEnd w:id="94"/>
      <w:r>
        <w:rPr>
          <w:rStyle w:val="FootnoteReference"/>
          <w:b w:val="0"/>
          <w:noProof/>
        </w:rPr>
        <w:t>(</w:t>
      </w:r>
      <w:r>
        <w:rPr>
          <w:rStyle w:val="FootnoteReference"/>
          <w:b w:val="0"/>
          <w:noProof/>
        </w:rPr>
        <w:footnoteReference w:id="99"/>
      </w:r>
      <w:r w:rsidR="00B50F49">
        <w:rPr>
          <w:rStyle w:val="FootnoteReference"/>
          <w:b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Tpinġija ta’ kamra tal-votazzjoni aċċessibbli, bi spazju għar-rotazzjoni tas-siġġijiet tar-roti u mwejjed mqiegħda f’għoli aċċessib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2AB9BDCB" w:rsidR="00B5593C" w:rsidRPr="00166D0F" w:rsidRDefault="00B5593C" w:rsidP="006F0581">
      <w:pPr>
        <w:pStyle w:val="Heading1"/>
        <w:spacing w:before="360" w:after="240" w:line="288" w:lineRule="auto"/>
        <w:rPr>
          <w:noProof/>
          <w:lang w:val="fr-BE"/>
        </w:rPr>
      </w:pPr>
      <w:bookmarkStart w:id="96" w:name="_Toc148718608"/>
      <w:bookmarkStart w:id="97" w:name="_Toc158728579"/>
      <w:r w:rsidRPr="00166D0F">
        <w:rPr>
          <w:noProof/>
          <w:lang w:val="fr-BE"/>
        </w:rPr>
        <w:t>Anness 6 – Eżempji ta’ kabini tal-votazzjoni adattati</w:t>
      </w:r>
      <w:r w:rsidRPr="00166D0F">
        <w:rPr>
          <w:rStyle w:val="FootnoteReference"/>
          <w:noProof/>
          <w:lang w:val="fr-BE"/>
        </w:rPr>
        <w:t>(</w:t>
      </w:r>
      <w:r>
        <w:rPr>
          <w:rStyle w:val="FootnoteReference"/>
          <w:noProof/>
        </w:rPr>
        <w:footnoteReference w:id="100"/>
      </w:r>
      <w:r w:rsidR="00B50F49">
        <w:rPr>
          <w:rStyle w:val="FootnoteReference"/>
          <w:noProof/>
          <w:lang w:val="fr-BE"/>
        </w:rPr>
        <w:t>)</w:t>
      </w:r>
      <w:bookmarkEnd w:id="96"/>
      <w:bookmarkEnd w:id="97"/>
      <w:r w:rsidRPr="00166D0F">
        <w:rPr>
          <w:noProof/>
          <w:lang w:val="fr-BE"/>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Tpinġija ta’ kabina tal-votazzjoni aċċessibbli bi spazju ta’ rotazzjoni ta’ 150 cm. Il-wiċċ ta’ fuq tal-ixkaffa jitqiegħed f’għoli ta’ bejn 80 u 85 cm. L-għoli tal-wiċċ t’isfel tal-ixkaffa huwa ta’ 75 cm. L-ixkaffa għandha fond ta’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Tpinġija ta’ kabina tal-votazzjoni aċċessibbli mis-siġġu tar-roti. L-ispazju ta’ rotazzjoni huwa ta’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Tpinġija ta’ kabina tal-votazzjoni aċċessibbli mis-siġġu tar-roti. L-għoli tal-wiċċ t’isfel tal-ixkaffa huwa ta’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728580"/>
      <w:r>
        <w:rPr>
          <w:noProof/>
        </w:rPr>
        <w:t>Anness 7 – Il-kunċett ta’ diżabilità użat mill-Istati Membri fil-kuntest tal-elezzjonijiet</w:t>
      </w:r>
      <w:bookmarkEnd w:id="98"/>
      <w:bookmarkEnd w:id="99"/>
      <w:r>
        <w:rPr>
          <w:noProof/>
        </w:rPr>
        <w:t xml:space="preserve"> </w:t>
      </w:r>
    </w:p>
    <w:p w14:paraId="10F1BBD2" w14:textId="77777777" w:rsidR="001C0943" w:rsidRPr="00B42AEB" w:rsidRDefault="001C0943" w:rsidP="00B42AEB">
      <w:pPr>
        <w:rPr>
          <w:noProof/>
        </w:rPr>
      </w:pPr>
      <w:r>
        <w:rPr>
          <w:noProof/>
        </w:rPr>
        <w:t>L-Istati Membri jvarjaw fl-approċċ tagħhom għall-kunċett ta’ diżabilità fil-kuntest tal-elezzjonijiet. Dan xi drabi huwa marbut ma’ kif jiddefinixxu min huwa intitolat li jivvota u joħroġ bħala kandidat fl-elezzjonijiet, jew kif jiddefinixxu min huwa eliġibbli li juża arranġamenti speċjali ta’ votazzjoni. L-Istati Membri jistgħu jirreferu wkoll għad-diżabilità f’kuntesti oħrajn, bħad-drittijiet soċjali u fundamentali, li jistgħu jkunu rilevanti fil-kuntest tal-elezzjonijiet.</w:t>
      </w:r>
    </w:p>
    <w:p w14:paraId="24BF2807" w14:textId="23252D8B" w:rsidR="001C0943" w:rsidRPr="00B42AEB" w:rsidRDefault="001C0943" w:rsidP="00B42AEB">
      <w:pPr>
        <w:rPr>
          <w:noProof/>
        </w:rPr>
      </w:pPr>
      <w:r>
        <w:rPr>
          <w:noProof/>
        </w:rPr>
        <w:t>Diversi Stati Membri jużaw definizzjonijiet operazzjonali li jqisu l-kapaċità tal-votanti li jeżerċitaw id-dritt tagħhom li jivvotaw waħedhom. L-Awstrija tiddefinixxi bħala votanti b’diżabilità dawk il-persuni li jistgħu raġonevolment jeħtieġu assistenza biex jimlew polza tal-votazzjoni uffiċjali, kemm jekk bl-għajnuna ta’ persuna oħra kif ukoll ta’ ċerti apparati ta’ assistenza bħal mudelli. Iċ-Ċekja tirreferi għad-diżabilità bħala wieħed mill-kriterji għall-għoti ta’ assistenza jew appoġġ speċifiku ieħor lill-votanti. Id-Danimarka ssemmi lil persuni b’diżabilità fil-kuntest ta’ għażliet differenti ta’ votazzjoni disponibbli għall-votanti li ma jistgħux jivvotaw fil-post tal-votazzjoni jew fil-post tal-votazzjoni speċifiku li huma assenjati għalih. B’mod simili, l-Estonja tipprovdi għall-votanti li ma jistgħux jesprimu l-għażla tal-vot tagħhom fuq polza tal-votazzjoni jew fil-post tal-votazzjoni minħabba diżabilità fiżika. Spanja tapplika approċċ aktar sfumat, li jipprevedi tipi differenti ta’ diżabilitajiet, jew indebolimenti fiżiċi (bħal insuffiċjenza fis-smigħ u vista batuta) jew diżabilitajiet intellettwali</w:t>
      </w:r>
      <w:r>
        <w:rPr>
          <w:rStyle w:val="FootnoteReference"/>
          <w:noProof/>
        </w:rPr>
        <w:t>(</w:t>
      </w:r>
      <w:r>
        <w:rPr>
          <w:rStyle w:val="FootnoteReference"/>
          <w:noProof/>
        </w:rPr>
        <w:footnoteReference w:id="101"/>
      </w:r>
      <w:r w:rsidR="00B50F49">
        <w:rPr>
          <w:rStyle w:val="FootnoteReference"/>
          <w:noProof/>
        </w:rPr>
        <w:t>)</w:t>
      </w:r>
      <w:r>
        <w:rPr>
          <w:noProof/>
        </w:rPr>
        <w:t>.</w:t>
      </w:r>
    </w:p>
    <w:p w14:paraId="546F6BFC" w14:textId="77777777" w:rsidR="001C0943" w:rsidRPr="00B42AEB" w:rsidRDefault="001C0943" w:rsidP="00B42AEB">
      <w:pPr>
        <w:rPr>
          <w:noProof/>
        </w:rPr>
      </w:pPr>
      <w:r>
        <w:rPr>
          <w:noProof/>
        </w:rPr>
        <w:t>Għall-Kroazja, hija meħtieġa valutazzjoni tad-diżabilità (diżabilità fiżika bħal nuqqas ta’ dawl, vista baxxa, ħsara lill-estremitajiet ta’ fuq jew indebolimenti oħrajn li jipprevjenu lill-votant milli jivvota b’mod indipendenti) biss jekk tkun inkwistjoni l-kapaċità ta’ persuna li tivvota b’mod indipendenti.</w:t>
      </w:r>
    </w:p>
    <w:p w14:paraId="518E7B69" w14:textId="77777777" w:rsidR="001C0943" w:rsidRPr="00B42AEB" w:rsidRDefault="001C0943" w:rsidP="00B42AEB">
      <w:pPr>
        <w:rPr>
          <w:noProof/>
        </w:rPr>
      </w:pPr>
      <w:r>
        <w:rPr>
          <w:noProof/>
        </w:rPr>
        <w:t>L-Ungerija tiddefinixxi l-votanti b’diżabilità bħala votanti li għandhom ħiliet sensorjali limitati b’mod sinifikanti jew mingħajr ħiliet sensorjali, speċjalment il-vista u s-smigħ, jew li huma limitati b’mod sinifikanti jew li ma għandhom l-ebda kapaċità lokomotorja jew kapaċità mentali, jew li għandhom kapaċitajiet ta’ komunikazzjoni limitati b’mod konsiderevoli, u dan ipoġġihom fi żvantaġġ permanenti f’termini ta’ parteċipazzjoni attiva fil-ħajja soċjali.</w:t>
      </w:r>
    </w:p>
    <w:p w14:paraId="44FBED99" w14:textId="4416DEE6" w:rsidR="006B44F9" w:rsidRPr="00166D0F" w:rsidRDefault="001C0943" w:rsidP="00B42AEB">
      <w:pPr>
        <w:rPr>
          <w:noProof/>
          <w:lang w:val="fr-BE"/>
        </w:rPr>
      </w:pPr>
      <w:r w:rsidRPr="00166D0F">
        <w:rPr>
          <w:noProof/>
          <w:lang w:val="fr-BE"/>
        </w:rPr>
        <w:t>Il-Latvja ssemmi lill-votanti b’diżabilità fiżika li ma jistgħux jaslu sal-post tal-votazzjoni. In-Netherlands isemmu lill-votanti b’diżabilità fiżika fir-rekwiżit tagħhom li jgħammru l-postijiet tal-votazzjoni b’mod li jippermetti lill-votanti b’diżabilità fiżika biex jitfgħu l-vot tagħhom waħedhom kemm jista’ jkun jew li jiksbu għajnuna minn membru tal-post tal-votazzjoni.</w:t>
      </w:r>
    </w:p>
    <w:p w14:paraId="1F791EE6" w14:textId="13066641" w:rsidR="00982700" w:rsidRPr="00166D0F" w:rsidRDefault="001C0943" w:rsidP="00B42AEB">
      <w:pPr>
        <w:rPr>
          <w:noProof/>
          <w:lang w:val="fr-BE"/>
        </w:rPr>
      </w:pPr>
      <w:r w:rsidRPr="00166D0F">
        <w:rPr>
          <w:noProof/>
          <w:lang w:val="fr-BE"/>
        </w:rPr>
        <w:t>Fil-Portugall, għall-finijiet tal-obbligu li jiġi pprovdut servizz ta’ prijorità lil persuni b’diżabilità, fir-rigward tal-organizzazzjonijiet pubbliċi u privati kollha li jipprovdu servizz personali lill-pubbliku, persuna b’diżabilità jew b’inkapaċità hija legalment iddefinita bħala xi ħadd li, minħabba telf jew indeboliment konġenitali jew miksub ta’ funzjonijiet tal-ġisem, inklużi funzjonijiet psikoloġiċi, għandu diffikultajiet speċifiċi li, flimkien ma’ fatturi ambjentali, jillimitaw jew ifixklu l-attività u l-parteċipazzjoni tiegħu fuq l-istess livell ma’ persuni oħrajn u li għandu grad ta’ inkapaċità ta’ 60 % jew aktar, rikonoxxut f’Ċertifikat b’Diversi Użi</w:t>
      </w:r>
      <w:r w:rsidRPr="00166D0F">
        <w:rPr>
          <w:rStyle w:val="FootnoteReference"/>
          <w:noProof/>
          <w:lang w:val="fr-BE"/>
        </w:rPr>
        <w:t>(</w:t>
      </w:r>
      <w:r>
        <w:rPr>
          <w:rStyle w:val="FootnoteReference"/>
          <w:noProof/>
        </w:rPr>
        <w:footnoteReference w:id="102"/>
      </w:r>
      <w:r w:rsidR="00B50F49">
        <w:rPr>
          <w:rStyle w:val="FootnoteReference"/>
          <w:noProof/>
          <w:lang w:val="fr-BE"/>
        </w:rPr>
        <w:t>)</w:t>
      </w:r>
      <w:r w:rsidRPr="00166D0F">
        <w:rPr>
          <w:noProof/>
          <w:lang w:val="fr-BE"/>
        </w:rPr>
        <w:t xml:space="preserve">. Il-Portugall jipprovdi lill-votanti b’diżabilità bi prijorità jew assistenza fil-post tal-votazzjoni. Votant affettwat minn marda evidenti jew minn diżabilità fiżika, li l-istazzjon tal-votazzjoni jsib li ma jkunx jista’ jwettaq il-passi meħtieġa għall-votazzjoni, se jivvota flimkien ma’ votant ieħor tal-għażla tiegħu/tagħha, li jiggarantixxi li l-vot jikkorrispondi għar-rieda tal-votant u li huwa marbut b’segretezza assoluta. Jekk il-post tal-votazzjoni jqis li l-marda jew id-diżabilità fiżika ma jkunux evidenti, ikun meħtieġ ċertifikat li juri l-impossibbiltà tal-votazzjoni u li jrid jiġi ppreżentat fil-ħin tal-votazzjoni, maħruġ mit-tabib li jeżerċita setgħat ta’ awtorità tas-saħħa fiż-żona tal-muniċipalità u awtentikat bis-siġill tas-servizz rispettiv. Għal dan il-għan, iċ-ċentri tas-saħħa jridu jibqgħu miftuħa fil-jum tal-elezzjoni matul il-ħin li l-postijiet tal-votazzjoni jkunu qed jaħdmu. Mingħajr preġudizzju għall-konklużjonijiet tal-post tal-votazzjoni dwar l-ammissibbiltà tal-vot, kwalunkwe wieħed mill-membri tiegħu jew id-delegati tal-partiti politiċi jew tal-koalizzjonijiet jistgħu jirreġistraw protesta bil-miktub. Il-votanti b’vista batuta jistgħu, jekk ikunu jixtiequ hekk, jitolbu lill-post tal-votazzjoni biex jipprovduhom b’polza tal-votazzjoni bil-Braille li tippermettilhom iwettqu l-proċeduri ta’ votazzjoni preskritti legalment waħedhom. Il-leġiżlazzjoni elettorali tikkategorizza biss bħala li ma jistgħux jivvotaw lill-persuni b’diżabilitajiet psikosoċjali severi li jiddaħħlu f’faċilità psikjatra jew li jkunu ddikjarati bħala tali minn bord mediku. Il-persuni li jippreżentaw b’mod ċar indeboliment mentali serju, anke jekk ma jkunux irreġistrati bħala tali, meta jiddaħħlu f’istituzzjoni psikjatra jew ikunu ddikjarati bħala tali minn bord tat-tobba, u l-persuni li huma mċaħħda mid-drittijiet politiċi tagħhom b’deċiżjoni tal-qorti finali ma jkollhom l-ebda kapaċità elettorali attiva. </w:t>
      </w:r>
    </w:p>
    <w:p w14:paraId="62215551" w14:textId="0E9FB1EA" w:rsidR="001C0943" w:rsidRPr="00166D0F" w:rsidRDefault="001C0943" w:rsidP="00B42AEB">
      <w:pPr>
        <w:rPr>
          <w:noProof/>
          <w:lang w:val="fr-BE"/>
        </w:rPr>
      </w:pPr>
      <w:r w:rsidRPr="00166D0F">
        <w:rPr>
          <w:noProof/>
          <w:lang w:val="fr-BE"/>
        </w:rPr>
        <w:t>Is-Slovenja ssemmi firxa ta’ diżabilitajiet fil-liġijiet elettorali tagħha u tistabbilixxi l-għażliet ta’ votazzjoni disponibbli għall-votanti.</w:t>
      </w:r>
    </w:p>
    <w:p w14:paraId="33D2ED07" w14:textId="5992C420" w:rsidR="001C0943" w:rsidRPr="00166D0F" w:rsidRDefault="001C0943" w:rsidP="00B42AEB">
      <w:pPr>
        <w:rPr>
          <w:noProof/>
          <w:lang w:val="fr-BE"/>
        </w:rPr>
      </w:pPr>
      <w:r w:rsidRPr="00166D0F">
        <w:rPr>
          <w:noProof/>
          <w:lang w:val="fr-BE"/>
        </w:rPr>
        <w:t>Stati Membri oħrajn, għal diversi raġunijiet, ma jikkollegawx it-terminu speċifikament mal-parteċipazzjoni elettorali u jużaw definizzjonijiet ġeneriċi jew definizzjonijiet stabbiliti għal skopijiet legali oħrajn. Għall-Greċja, dan huwa marbut mas-sigurtà soċjali u mal-Pjan ta’ Azzjoni Nazzjonali li jmiss tagħha għall-Persuni b’Diżabilità, ir-Reġistru tad-Diżabilità u l-Kard tad-Diżabilità Diġitali. Franza tuża definizzjoni wiesgħa ta’ diżabilità, li hija ddefinita bħala kwalunkwe limitazzjoni tal-attività jew restrizzjoni tal-parteċipazzjoni fis-soċjetà esperjenzata fl-ambjent tagħha minn persuna minħabba indeboliment sostanzjali, dejjiemi jew permanenti ta’ funzjoni fiżika, sensorjali, mentali, konjittiva jew psikika waħda jew aktar, diżabilità multipla jew kundizzjoni tas-saħħa li tnaqqas il-kapaċità. L-Irlanda tuża definizzjoni fil-kuntest tal-elezzjonijiet li hija fil-biċċa l-kbira meħuda mid-definizzjoni tal-UNCRPD, li tindika li d-diżabilità tfisser restrizzjoni sostanzjali fil-kapaċità tal-persuna li twettaq professjoni, negozju jew okkupazzjoni fl-Istat jew li tipparteċipa fil-ħajja soċjali jew kulturali fl-Istat minħabba indeboliment fiżiku, sensorjali, mentali jew intellettwali persistenti.</w:t>
      </w:r>
    </w:p>
    <w:p w14:paraId="3DDBEEE6" w14:textId="6D8153C5" w:rsidR="001C0943" w:rsidRPr="00166D0F" w:rsidRDefault="00C82E82" w:rsidP="00B42AEB">
      <w:pPr>
        <w:rPr>
          <w:noProof/>
          <w:lang w:val="fr-BE"/>
        </w:rPr>
      </w:pPr>
      <w:r w:rsidRPr="00166D0F">
        <w:rPr>
          <w:noProof/>
          <w:lang w:val="fr-BE"/>
        </w:rPr>
        <w:t>Il-Litwanja tiddefinixxi d-diżabilità bħala deterjorament fit-tul għas-saħħa, għall-parteċipazzjoni fil-ħajja soċjali u għal tnaqqis fl-attività minħabba t-tfixkil tal-istruttura u tal-funzjonijiet tal-ġisem ta’ persuna u l-interazzjoni ta’ fatturi ambjentali negattivi. Mill-2024, din id-definizzjoni se tinbidel u d-diżabilità se tinftiehem bħala indeboliment funzjonali fit-tul (konġenitali u/jew akkwistat), li, minħabba fatturi ambjentali, jimpedixxi lil persuna milli tipparteċipa bis-sħiħ u b’mod effettiv fis-soċjetà fuq l-istess livell ma’ persuni oħrajn. Il-Lussemburgu juża d-definizzjoni tal-UNCRPD.</w:t>
      </w:r>
    </w:p>
    <w:p w14:paraId="3968C0BA" w14:textId="7DEFF79B" w:rsidR="001C0943" w:rsidRPr="00166D0F" w:rsidRDefault="001C0943" w:rsidP="00B42AEB">
      <w:pPr>
        <w:rPr>
          <w:noProof/>
          <w:lang w:val="fr-BE"/>
        </w:rPr>
      </w:pPr>
      <w:r w:rsidRPr="00166D0F">
        <w:rPr>
          <w:noProof/>
          <w:lang w:val="fr-BE"/>
        </w:rPr>
        <w:t>Fir-Rumanija, il-kunċett ta’ diżabilità ma huwiex inkluż fil-leġiżlazzjoni elettorali bħala tali, iżda f’leġiżlazzjoni speċifika dwar id-drittijiet tal-persuni b’diżabilità. Huwa bbażat fuq il-kunċett tal-UNCRPD li jiddefinixxi lill-persuni b’diżabilità bħala persuni li l-ambjent soċjali tagħhom ma huwiex adattat għall-indebolimenti fiżiċi, sensorjali, psikiċi, mentali u/jew assoċjati tagħhom, u jipprevjeni kompletament jew jillimita l-aċċess tagħhom b’opportunitajiet ugwali għall-ħajja tas-soċjetà, li jeħtieġu miżuri protettivi biex jappoġġaw l-integrazzjoni u l-inklużjoni soċjali tagħhom. Il-liġi dwar l-elezzjonijiet presidenzjali tirreferi wkoll għal persuni b’mobbiltà mnaqqsa, li tinkludi persuni b’diżabilità fiżika, u bħala kriterju biex ikunu jistgħu jivvotaw fi kwalunkwe post tal-votazzjoni aċċessibbli.</w:t>
      </w:r>
    </w:p>
    <w:p w14:paraId="02B66AE1" w14:textId="79FAE0D4" w:rsidR="001C0943" w:rsidRPr="00166D0F" w:rsidRDefault="001C0943" w:rsidP="00B42AEB">
      <w:pPr>
        <w:rPr>
          <w:noProof/>
          <w:lang w:val="fr-BE"/>
        </w:rPr>
      </w:pPr>
      <w:r w:rsidRPr="00166D0F">
        <w:rPr>
          <w:noProof/>
          <w:lang w:val="fr-BE"/>
        </w:rPr>
        <w:t>Il-Belġju la jiddefinixxi d-diżabilità u lanqas ma jiddistingwi bejn id-diżabilità mentali jew fiżika. Il-Ġermanja għandha qafas legali li huwa r-referenza għall-politiki kollha dwar id-diżabilità. Fl-Iżvezja, ma hemm l-ebda kriterju speċifiku li jiddefinixxi x’jikkostitwixxi diżabilità, peress li tipi differenti ta’ diżabilitajiet jaffettwaw lill-persuni f’sitwazzjonijiet differenti.</w:t>
      </w:r>
    </w:p>
    <w:p w14:paraId="3FB72687" w14:textId="28901808" w:rsidR="001C0943" w:rsidRPr="00166D0F" w:rsidRDefault="001C0943" w:rsidP="006F0581">
      <w:pPr>
        <w:pStyle w:val="Heading1"/>
        <w:spacing w:before="360" w:after="240" w:line="288" w:lineRule="auto"/>
        <w:rPr>
          <w:noProof/>
          <w:lang w:val="fr-BE"/>
        </w:rPr>
      </w:pPr>
      <w:bookmarkStart w:id="100" w:name="_Toc148718610"/>
      <w:bookmarkStart w:id="101" w:name="_Toc158728581"/>
      <w:r w:rsidRPr="00166D0F">
        <w:rPr>
          <w:noProof/>
          <w:lang w:val="fr-BE"/>
        </w:rPr>
        <w:t>Anness 8 – Id-dritt tal-UE u l-istandards tal-UE b’rilevanza fil-kuntest tal-aċċessibbiltà tal-elezzjonijiet għall-persuni b’diżabilità</w:t>
      </w:r>
      <w:bookmarkEnd w:id="100"/>
      <w:bookmarkEnd w:id="101"/>
    </w:p>
    <w:p w14:paraId="704DF251" w14:textId="34A6F914" w:rsidR="001C0943" w:rsidRPr="00166D0F" w:rsidRDefault="001C0943" w:rsidP="00B42AEB">
      <w:pPr>
        <w:rPr>
          <w:noProof/>
          <w:lang w:val="fr-BE"/>
        </w:rPr>
      </w:pPr>
      <w:r w:rsidRPr="00166D0F">
        <w:rPr>
          <w:noProof/>
          <w:lang w:val="fr-BE"/>
        </w:rPr>
        <w:t>Id-Direttiva (UE) 2019/882</w:t>
      </w:r>
      <w:r w:rsidRPr="00166D0F">
        <w:rPr>
          <w:rStyle w:val="FootnoteReference"/>
          <w:noProof/>
          <w:lang w:val="fr-BE"/>
        </w:rPr>
        <w:t>(</w:t>
      </w:r>
      <w:r>
        <w:rPr>
          <w:rStyle w:val="FootnoteReference"/>
          <w:noProof/>
        </w:rPr>
        <w:footnoteReference w:id="103"/>
      </w:r>
      <w:r w:rsidR="00B50F49">
        <w:rPr>
          <w:rStyle w:val="FootnoteReference"/>
          <w:noProof/>
          <w:lang w:val="fr-BE"/>
        </w:rPr>
        <w:t>)</w:t>
      </w:r>
      <w:r w:rsidRPr="00166D0F">
        <w:rPr>
          <w:noProof/>
          <w:lang w:val="fr-BE"/>
        </w:rPr>
        <w:t xml:space="preserve"> (l-Att Ewropew dwar l-Aċċessibbiltà) dwar ir-</w:t>
      </w:r>
      <w:r w:rsidRPr="00166D0F">
        <w:rPr>
          <w:b/>
          <w:noProof/>
          <w:lang w:val="fr-BE"/>
        </w:rPr>
        <w:t>rekwiżiti ta’ aċċessibbiltà għall-prodotti u s-servizzi</w:t>
      </w:r>
      <w:r w:rsidRPr="00166D0F">
        <w:rPr>
          <w:noProof/>
          <w:lang w:val="fr-BE"/>
        </w:rPr>
        <w:t xml:space="preserve"> tippromwovi parteċipazzjoni ugwali sħiħa u effettiva billi ttejjeb l-aċċess għal prodotti u servizzi ġenerali li, bid-disinn jew bl-adattament, jissodisfaw il-ħtiġijiet speċifiċi ta’ persuni b’diżabilità. L-Anness I ta’ din id-Direttiva jistabbilixxi r-rekwiżiti speċifiċi ta’ aċċessibbiltà għall-prodotti u għas-servizzi. L-Anness II jipprovdi eżempji ta’ soluzzjonijiet prattiċi li jgħinu lill-pajjiżi jissodisfaw dawn ir-rekwiżiti ta’ aċċessibbiltà. Dawn is-soluzzjonijiet ikopru l-għoti ta’ informazzjoni, l-interfaċċa tal-utent u d-disinn tal-funzjonalità, l-imballaġġ u l-istruzzjonijiet tal-prodotti, il-forniment ta’ servizzi u servizzi speċifiċi, li jistgħu jkunu wkoll ta’ għajnuna biex is-soluzzjonijiet tal-votazzjoni elettronika jsiru aċċessibbli.</w:t>
      </w:r>
      <w:r w:rsidRPr="00166D0F">
        <w:rPr>
          <w:rStyle w:val="FootnoteReference"/>
          <w:noProof/>
          <w:lang w:val="fr-BE"/>
        </w:rPr>
        <w:t>(</w:t>
      </w:r>
      <w:r>
        <w:rPr>
          <w:rStyle w:val="FootnoteReference"/>
          <w:noProof/>
        </w:rPr>
        <w:footnoteReference w:id="104"/>
      </w:r>
      <w:r w:rsidR="00B50F49">
        <w:rPr>
          <w:rStyle w:val="FootnoteReference"/>
          <w:noProof/>
          <w:lang w:val="fr-BE"/>
        </w:rPr>
        <w:t>)</w:t>
      </w:r>
    </w:p>
    <w:p w14:paraId="7955EF21" w14:textId="77777777" w:rsidR="001C0943" w:rsidRPr="00166D0F" w:rsidRDefault="001C0943" w:rsidP="00B42AEB">
      <w:pPr>
        <w:rPr>
          <w:noProof/>
          <w:lang w:val="fr-BE"/>
        </w:rPr>
      </w:pPr>
      <w:r w:rsidRPr="00166D0F">
        <w:rPr>
          <w:noProof/>
          <w:lang w:val="fr-BE"/>
        </w:rPr>
        <w:t>Għall-prodotti u s-servizzi mhux koperti mill-Att Ewropew dwar l-Aċċessibbiltà, li jiġu segwiti wara dawn ir-rekwiżiti ta’ aċċessibbiltà xorta jgħinu biex tittejjeb l-aċċessibbiltà fl-UE kollha.</w:t>
      </w:r>
    </w:p>
    <w:p w14:paraId="70C3BFCB" w14:textId="47C8977F" w:rsidR="001C0943" w:rsidRPr="00166D0F" w:rsidRDefault="001C0943" w:rsidP="00B42AEB">
      <w:pPr>
        <w:rPr>
          <w:noProof/>
          <w:lang w:val="fr-BE"/>
        </w:rPr>
      </w:pPr>
      <w:r w:rsidRPr="00166D0F">
        <w:rPr>
          <w:b/>
          <w:noProof/>
          <w:lang w:val="fr-BE"/>
        </w:rPr>
        <w:t>Id-Direttivi 2014/24/UE</w:t>
      </w:r>
      <w:r w:rsidRPr="00166D0F">
        <w:rPr>
          <w:rStyle w:val="FootnoteReference"/>
          <w:noProof/>
          <w:lang w:val="fr-BE"/>
        </w:rPr>
        <w:t>(</w:t>
      </w:r>
      <w:r>
        <w:rPr>
          <w:rStyle w:val="FootnoteReference"/>
          <w:noProof/>
        </w:rPr>
        <w:footnoteReference w:id="105"/>
      </w:r>
      <w:r w:rsidR="00B50F49">
        <w:rPr>
          <w:rStyle w:val="FootnoteReference"/>
          <w:noProof/>
          <w:lang w:val="fr-BE"/>
        </w:rPr>
        <w:t>)</w:t>
      </w:r>
      <w:r w:rsidRPr="00166D0F">
        <w:rPr>
          <w:noProof/>
          <w:lang w:val="fr-BE"/>
        </w:rPr>
        <w:t xml:space="preserve"> u </w:t>
      </w:r>
      <w:r w:rsidRPr="00166D0F">
        <w:rPr>
          <w:b/>
          <w:noProof/>
          <w:lang w:val="fr-BE"/>
        </w:rPr>
        <w:t>2014/25/UE</w:t>
      </w:r>
      <w:r w:rsidRPr="00166D0F">
        <w:rPr>
          <w:rStyle w:val="FootnoteReference"/>
          <w:noProof/>
          <w:lang w:val="fr-BE"/>
        </w:rPr>
        <w:t>(</w:t>
      </w:r>
      <w:hyperlink r:id="rId26" w:anchor="#ntr23-L_2019151EN.01007001-E0023" w:history="1">
        <w:r w:rsidRPr="00166D0F">
          <w:rPr>
            <w:rStyle w:val="super"/>
            <w:noProof/>
            <w:vertAlign w:val="superscript"/>
            <w:lang w:val="fr-BE"/>
          </w:rPr>
          <w:t>23</w:t>
        </w:r>
      </w:hyperlink>
      <w:r w:rsidRPr="00166D0F">
        <w:rPr>
          <w:rStyle w:val="Hyperlink"/>
          <w:noProof/>
          <w:u w:val="none"/>
          <w:vertAlign w:val="superscript"/>
          <w:lang w:val="fr-BE"/>
        </w:rPr>
        <w:t xml:space="preserve">, </w:t>
      </w:r>
      <w:r>
        <w:rPr>
          <w:rStyle w:val="FootnoteReference"/>
          <w:noProof/>
        </w:rPr>
        <w:footnoteReference w:id="106"/>
      </w:r>
      <w:r w:rsidR="00B50F49">
        <w:rPr>
          <w:rStyle w:val="FootnoteReference"/>
          <w:noProof/>
          <w:lang w:val="fr-BE"/>
        </w:rPr>
        <w:t>)</w:t>
      </w:r>
      <w:r w:rsidRPr="00166D0F">
        <w:rPr>
          <w:noProof/>
          <w:lang w:val="fr-BE"/>
        </w:rPr>
        <w:t>tal-Parlament Ewropew u tal-Kunsill dwar l-akkwist pubbliku, li jiddefinixxu l-proċeduri għall-akkwist ta’ kuntratti pubbliċi u l-kompetizzjonijiet ta’ disinn għal ċerti provvisti (prodotti), servizzi u xogħlijiet, jistabbilixxu li, għall-akkwist kollu mfassal biex jintuża mill-pubbliku, kemm jekk pubbliku ġenerali kif ukoll jekk ikun persunal tal-awtorità jew tal-entità kontraenti, l-ispeċifikazzjonijiet tekniċi jridu (ħlief f’każijiet debitament iġġustifikati) isegwu l-kriterji ta’ aċċessibbiltà għall-persuni b’diżabilità jew id-disinn għall-utenti kollha. Dawn id-Direttivi jirrikjedu wkoll li, fejn ir-rekwiżiti obbligatorji ta’ aċċessibbiltà jiġu adottati minn att leġiżlattiv tal-UE, l-ispeċifikazzjonijiet tekniċi jridu jsegwu dawn ir-rekwiżiti f’termini tal-għoti ta’ aċċess għall-persuni b’diżabilità u d-disinn għall-utenti kollha.</w:t>
      </w:r>
    </w:p>
    <w:p w14:paraId="20A1C3DC" w14:textId="4E29745D" w:rsidR="001C0943" w:rsidRPr="00B50F49" w:rsidRDefault="001C0943" w:rsidP="00B42AEB">
      <w:pPr>
        <w:rPr>
          <w:noProof/>
          <w:shd w:val="clear" w:color="auto" w:fill="FFFFFF"/>
          <w:lang w:val="fr-BE"/>
        </w:rPr>
      </w:pPr>
      <w:r w:rsidRPr="00166D0F">
        <w:rPr>
          <w:b/>
          <w:noProof/>
          <w:lang w:val="fr-BE"/>
        </w:rPr>
        <w:t>Id-Direttiva (UE) 2016/2102</w:t>
      </w:r>
      <w:r w:rsidRPr="00166D0F">
        <w:rPr>
          <w:rStyle w:val="FootnoteReference"/>
          <w:noProof/>
          <w:lang w:val="fr-BE"/>
        </w:rPr>
        <w:t>(</w:t>
      </w:r>
      <w:r>
        <w:rPr>
          <w:rStyle w:val="FootnoteReference"/>
          <w:noProof/>
        </w:rPr>
        <w:footnoteReference w:id="107"/>
      </w:r>
      <w:r w:rsidR="00B50F49">
        <w:rPr>
          <w:rStyle w:val="FootnoteReference"/>
          <w:noProof/>
          <w:lang w:val="fr-BE"/>
        </w:rPr>
        <w:t>)</w:t>
      </w:r>
      <w:r w:rsidRPr="00166D0F">
        <w:rPr>
          <w:b/>
          <w:noProof/>
          <w:lang w:val="fr-BE"/>
        </w:rPr>
        <w:t xml:space="preserve"> (id-Direttiva dwar l-Aċċessibbiltà tal-Web)</w:t>
      </w:r>
      <w:r w:rsidRPr="00166D0F">
        <w:rPr>
          <w:noProof/>
          <w:lang w:val="fr-BE"/>
        </w:rPr>
        <w:t xml:space="preserve"> tistabbilixxi l-prinċipji ta’ aċċessibbiltà għas-</w:t>
      </w:r>
      <w:r w:rsidRPr="00166D0F">
        <w:rPr>
          <w:noProof/>
          <w:shd w:val="clear" w:color="auto" w:fill="FFFFFF"/>
          <w:lang w:val="fr-BE"/>
        </w:rPr>
        <w:t xml:space="preserve">siti web u għall-applikazzjonijiet tal-mowbajl immexxija minn korpi tas-settur pubbliku. </w:t>
      </w:r>
      <w:r w:rsidRPr="00B50F49">
        <w:rPr>
          <w:noProof/>
          <w:shd w:val="clear" w:color="auto" w:fill="FFFFFF"/>
          <w:lang w:val="fr-BE"/>
        </w:rPr>
        <w:t xml:space="preserve">Dawn il-prinċipji huma: </w:t>
      </w:r>
    </w:p>
    <w:p w14:paraId="78E3A529" w14:textId="77777777" w:rsidR="001C0943" w:rsidRPr="00B42AEB" w:rsidRDefault="001C0943" w:rsidP="002D36F0">
      <w:pPr>
        <w:pStyle w:val="ListParagraph"/>
        <w:numPr>
          <w:ilvl w:val="0"/>
          <w:numId w:val="11"/>
        </w:numPr>
        <w:rPr>
          <w:noProof/>
        </w:rPr>
      </w:pPr>
      <w:r>
        <w:rPr>
          <w:noProof/>
        </w:rPr>
        <w:t xml:space="preserve">il-komponenti tal-interfaċċa tal-informazzjoni u tal-utent iridu jkunu jistgħu jiġu ppreżentati lill-utenti b’modi li jistgħu jipperċepixxu; </w:t>
      </w:r>
    </w:p>
    <w:p w14:paraId="504418B8" w14:textId="77777777" w:rsidR="001C0943" w:rsidRPr="00B42AEB" w:rsidRDefault="001C0943" w:rsidP="002D36F0">
      <w:pPr>
        <w:pStyle w:val="ListParagraph"/>
        <w:numPr>
          <w:ilvl w:val="0"/>
          <w:numId w:val="11"/>
        </w:numPr>
        <w:rPr>
          <w:noProof/>
        </w:rPr>
      </w:pPr>
      <w:r>
        <w:rPr>
          <w:noProof/>
        </w:rPr>
        <w:t>l-operabbiltà, jiġifieri li l-komponenti tal-interfaċċa tal-utent u n-navigazzjoni jridu jkunu jistgħu jitħaddmu;</w:t>
      </w:r>
    </w:p>
    <w:p w14:paraId="5F752A60" w14:textId="77777777" w:rsidR="001C0943" w:rsidRPr="00B42AEB" w:rsidRDefault="001C0943" w:rsidP="002D36F0">
      <w:pPr>
        <w:pStyle w:val="ListParagraph"/>
        <w:numPr>
          <w:ilvl w:val="0"/>
          <w:numId w:val="11"/>
        </w:numPr>
        <w:rPr>
          <w:noProof/>
        </w:rPr>
      </w:pPr>
      <w:r>
        <w:rPr>
          <w:noProof/>
        </w:rPr>
        <w:t xml:space="preserve">il-fehim, jiġifieri li l-informazzjoni u t-tħaddim tal-interfaċċa tal-utent iridu jkunu jinftiehmu; kif ukoll </w:t>
      </w:r>
    </w:p>
    <w:p w14:paraId="28296E95" w14:textId="72396C8E" w:rsidR="009D22C5" w:rsidRPr="00B42AEB" w:rsidRDefault="001C0943" w:rsidP="002D36F0">
      <w:pPr>
        <w:pStyle w:val="ListParagraph"/>
        <w:numPr>
          <w:ilvl w:val="0"/>
          <w:numId w:val="11"/>
        </w:numPr>
        <w:rPr>
          <w:noProof/>
        </w:rPr>
      </w:pPr>
      <w:r>
        <w:rPr>
          <w:noProof/>
        </w:rPr>
        <w:t>ir-robustezza, jiġifieri li l-kontenut irid ikun robust biżżejjed biex jiġi interpretat b’mod affidabbli minn firxa wiesgħa ta’ utenti, inklużi teknoloġiji ta’ assistenza.</w:t>
      </w:r>
      <w:r>
        <w:rPr>
          <w:rStyle w:val="FootnoteReference"/>
          <w:noProof/>
        </w:rPr>
        <w:t>(</w:t>
      </w:r>
      <w:r>
        <w:rPr>
          <w:rStyle w:val="FootnoteReference"/>
          <w:noProof/>
        </w:rPr>
        <w:footnoteReference w:id="108"/>
      </w:r>
      <w:r w:rsidR="00B50F49">
        <w:rPr>
          <w:rStyle w:val="FootnoteReference"/>
          <w:noProof/>
        </w:rPr>
        <w:t>)</w:t>
      </w:r>
      <w:r>
        <w:rPr>
          <w:noProof/>
        </w:rPr>
        <w:t xml:space="preserve"> </w:t>
      </w:r>
    </w:p>
    <w:p w14:paraId="3E17BBF7" w14:textId="3944029A" w:rsidR="006B4EB8" w:rsidRPr="00B42AEB" w:rsidRDefault="006B4EB8" w:rsidP="00BD1AD5">
      <w:pPr>
        <w:rPr>
          <w:noProof/>
        </w:rPr>
      </w:pPr>
      <w:r>
        <w:rPr>
          <w:noProof/>
        </w:rPr>
        <w:t>Id-Direttiva tirrikjedi wkoll li kull sit web u applikazzjoni tal-mowbajl tipprovdi dikjarazzjoni ta’ aċċessibbiltà ddettaljata, komprensiva u ċara dwar kif is-siti web u l-applikazzjonijiet tal-mowbajl tagħhom jikkonformaw ma’ din id-direttiva.</w:t>
      </w:r>
      <w:r>
        <w:rPr>
          <w:noProof/>
          <w:vertAlign w:val="superscript"/>
        </w:rPr>
        <w:t>(</w:t>
      </w:r>
      <w:r>
        <w:rPr>
          <w:noProof/>
          <w:vertAlign w:val="superscript"/>
        </w:rPr>
        <w:footnoteReference w:id="109"/>
      </w:r>
      <w:r>
        <w:rPr>
          <w:noProof/>
          <w:vertAlign w:val="superscript"/>
        </w:rPr>
        <w:t>)</w:t>
      </w:r>
      <w:r>
        <w:rPr>
          <w:noProof/>
        </w:rPr>
        <w:t xml:space="preserve"> </w:t>
      </w:r>
    </w:p>
    <w:p w14:paraId="4B5BFCF7" w14:textId="77777777" w:rsidR="001C0943" w:rsidRPr="00B42AEB" w:rsidRDefault="001C0943" w:rsidP="00B42AEB">
      <w:pPr>
        <w:rPr>
          <w:noProof/>
        </w:rPr>
      </w:pPr>
      <w:r>
        <w:rPr>
          <w:noProof/>
        </w:rPr>
        <w:t>Għal ħafna Stati Membri, l-adozzjoni tad-Direttiva kellha l-għan li ddaħħal liġijiet nazzjonali ġodda dwar l-aċċessibbiltà għall-web. Mingħajr id-Direttiva, azzjoni fil-livell nazzjonali biss ma kinitx tilħaq il-livell ta’ attività relatata mal-aċċessibbiltà għall-web, inkluż is-sensibilizzazzjoni fis-settur pubbliku, kif muri fir-rapporti ta’ monitoraġġ tal-aċċessibbiltà tal-Istati Membri.</w:t>
      </w:r>
      <w:r>
        <w:rPr>
          <w:noProof/>
          <w:shd w:val="clear" w:color="auto" w:fill="FFFFFF"/>
        </w:rPr>
        <w:t xml:space="preserve"> </w:t>
      </w:r>
      <w:r>
        <w:rPr>
          <w:noProof/>
        </w:rPr>
        <w:t>Ir-rieżami tal-avvanzi teknoloġiċi wriet li l-mezzi awtomatizzati jew effiċjenti u faċli biex jiġu implimentati bl-użu tal-intelliġenza artifiċjali u t-tagħlim bil-magni qed jintużaw dejjem aktar f’għodod li jipprovdu aċċess diġitali, li jtejbu l-aċċessibbiltà għal xi tipi ta’ kontenut li bħalissa huma barra mill-kamp ta’ applikazzjoni tad-Direttiva.</w:t>
      </w:r>
    </w:p>
    <w:p w14:paraId="23047A6E" w14:textId="31B913A3" w:rsidR="001C0943" w:rsidRPr="00B42AEB" w:rsidRDefault="001C0943" w:rsidP="00B42AEB">
      <w:pPr>
        <w:rPr>
          <w:noProof/>
          <w:shd w:val="clear" w:color="auto" w:fill="FFFFFF"/>
        </w:rPr>
      </w:pPr>
      <w:r>
        <w:rPr>
          <w:b/>
          <w:bCs/>
          <w:noProof/>
          <w:shd w:val="clear" w:color="auto" w:fill="FFFFFF"/>
        </w:rPr>
        <w:t>Id-Direttiva 2010/13/UE</w:t>
      </w:r>
      <w:r>
        <w:rPr>
          <w:rStyle w:val="FootnoteReference"/>
          <w:noProof/>
          <w:shd w:val="clear" w:color="auto" w:fill="FFFFFF"/>
        </w:rPr>
        <w:t>(</w:t>
      </w:r>
      <w:r>
        <w:rPr>
          <w:rStyle w:val="FootnoteReference"/>
          <w:noProof/>
          <w:shd w:val="clear" w:color="auto" w:fill="FFFFFF"/>
        </w:rPr>
        <w:footnoteReference w:id="110"/>
      </w:r>
      <w:r w:rsidR="00B50F49">
        <w:rPr>
          <w:rStyle w:val="FootnoteReference"/>
          <w:noProof/>
          <w:shd w:val="clear" w:color="auto" w:fill="FFFFFF"/>
        </w:rPr>
        <w:t>)</w:t>
      </w:r>
      <w:r>
        <w:rPr>
          <w:noProof/>
          <w:shd w:val="clear" w:color="auto" w:fill="FFFFFF"/>
        </w:rPr>
        <w:t xml:space="preserve"> tirrikonoxxi li d-dritt tal-persuni b’indeboliment u tal-anzjani li jipparteċipaw u jiġu integrati fil-ħajja soċjali u kulturali tal-Unjoni huwa marbut mal-forniment ta’ servizzi tal-media awdjoviżiva aċċessibbli. Għalhekk, l-Istati Membri, mingħajr dewmien żejjed, jeħtiġilhom jiżguraw li l-fornituri tas-servizzi tal-media taħt il-ġuriżdizzjoni tagħhom b’mod attiv jagħmlu aċċessibbli kontenut għall-persuni b’diżabbiltà, b’mod partikolari persuni b’vista batuta jew insuffiċjenza fis-smigħ. Il-fornituri tas-servizzi tal-media jeħtiġilhom jissodisfaw ir-rekwiżiti ta’ aċċessibbiltà permezz ta’ proċess progressiv u kontinwu, filwaqt li jitqiesu r-restrizzjonijiet prattiċi u inevitabbli li jistgħu jipprevjenu aċċessibbiltà sħiħa, bħal programmi jew avvenimenti mxandra f’ħin reali. </w:t>
      </w:r>
    </w:p>
    <w:p w14:paraId="7DD99A9C" w14:textId="33174B4A" w:rsidR="001C0943" w:rsidRPr="00B42AEB" w:rsidRDefault="001C0943" w:rsidP="00B42AEB">
      <w:pPr>
        <w:rPr>
          <w:noProof/>
          <w:shd w:val="clear" w:color="auto" w:fill="FFFFFF"/>
        </w:rPr>
      </w:pPr>
      <w:r>
        <w:rPr>
          <w:noProof/>
          <w:shd w:val="clear" w:color="auto" w:fill="FFFFFF"/>
        </w:rPr>
        <w:t>Sabiex jitkejjel il-progress li sar mill-fornituri tas-servizzi tal-media biex jagħmlu s-servizzi tagħhom progressivament aċċessibbli għall-persuni b’diżabilità viżwali jew tas-smigħ, l-Istati Membri jeħtiġilhom jirrikjedu li l-fornituri tas-servizzi tal-media stabbiliti fit-territorju tagħhom jirrapportaw lill-awtoritajiet regolatorji nazzjonali fuq bażi regolari.</w:t>
      </w:r>
      <w:r>
        <w:rPr>
          <w:noProof/>
        </w:rPr>
        <w:t xml:space="preserve"> </w:t>
      </w:r>
      <w:r>
        <w:rPr>
          <w:noProof/>
          <w:shd w:val="clear" w:color="auto" w:fill="FFFFFF"/>
        </w:rPr>
        <w:t>L-Istati Membri jeħtiġilhom iħeġġu wkoll lill-fornituri tas-servizzi tal-media biex jiżviluppaw pjanijiet ta’ azzjoni għall-aċċessibbiltà biex kontinwament u progressivament irendu s-servizzi tagħhom aktar aċċessibbli għall-persuni b’diżabbiltà. Dawn il-pjanijiet ta’ azzjoni jridu jiġu kkomunikati lill-awtoritajiet jew lill-korpi regolatorji nazzjonali. Kull Stat Membru jeħtieġlu jaħtar ukoll punt ta’ kuntatt online uniku u faċilment aċċessibbli, inkluż minn persuni b’diżabilità, u disponibbli għall-pubbliku biex jipprovdi informazzjoni u jirċievi lmenti dwar kwalunkwe waħda mill-kwistjonijiet ta’ aċċessibbiltà msemmija hawn fuq.</w:t>
      </w:r>
    </w:p>
    <w:p w14:paraId="200D4BE8" w14:textId="56952DA2" w:rsidR="001C0943" w:rsidRPr="00B42AEB" w:rsidRDefault="001C0943" w:rsidP="00B42AEB">
      <w:pPr>
        <w:rPr>
          <w:noProof/>
        </w:rPr>
      </w:pPr>
      <w:r>
        <w:rPr>
          <w:b/>
          <w:noProof/>
        </w:rPr>
        <w:t>L-Istandard Ewropew EN 301 549</w:t>
      </w:r>
      <w:r>
        <w:rPr>
          <w:rStyle w:val="FootnoteReference"/>
          <w:noProof/>
        </w:rPr>
        <w:t>(</w:t>
      </w:r>
      <w:r>
        <w:rPr>
          <w:rStyle w:val="FootnoteReference"/>
          <w:noProof/>
        </w:rPr>
        <w:footnoteReference w:id="111"/>
      </w:r>
      <w:r w:rsidR="00B50F49">
        <w:rPr>
          <w:rStyle w:val="FootnoteReference"/>
          <w:noProof/>
        </w:rPr>
        <w:t>)</w:t>
      </w:r>
      <w:r>
        <w:rPr>
          <w:noProof/>
        </w:rPr>
        <w:t xml:space="preserve"> jispeċifika r-rekwiżiti ta’ aċċessibbiltà funzjonali applikabbli għall-prodotti u għas-servizzi tal-ICT, u deskrizzjoni tal-proċeduri tat-test u tal-metodoloġija ta’ evalwazzjoni għal kull rekwiżit ta’ aċċessibbiltà f’forma li hija xierqa għall-użu fl-akkwist pubbliku fl-Ewropa. Dan id-dokument huwa mfassal biex jintuża ma’ teknoloġiji bbażati fuq il-web, ma’ teknoloġiji mhux web u ma’ ibridi li jużaw it-tnejn. Dan ikopri s-software, il-hardware u s-servizzi. Huwa mfassal għall-użu kemm mill-fornituri kif ukoll mill-akkwirenti, iżda mistenni li jkun ta’ użu għal ħafna oħrajn ukoll.</w:t>
      </w:r>
    </w:p>
    <w:p w14:paraId="3925D93A" w14:textId="2C415B84" w:rsidR="001C0943" w:rsidRPr="00B42AEB" w:rsidRDefault="001C0943" w:rsidP="00B42AEB">
      <w:pPr>
        <w:rPr>
          <w:noProof/>
        </w:rPr>
      </w:pPr>
      <w:r>
        <w:rPr>
          <w:noProof/>
        </w:rPr>
        <w:t>Dan huwa bbażat ħafna fuq il-</w:t>
      </w:r>
      <w:hyperlink r:id="rId27" w:history="1">
        <w:r>
          <w:rPr>
            <w:rStyle w:val="Hyperlink"/>
            <w:noProof/>
          </w:rPr>
          <w:t>Linji Gwida dwar l-Aċċessibbiltà tal-Kontenut tal-Web v2.1</w:t>
        </w:r>
      </w:hyperlink>
      <w:r>
        <w:rPr>
          <w:noProof/>
        </w:rPr>
        <w:t xml:space="preserve">, ippubblikati mid-W3C u magħrufa bħala WCAG 2.1. Dawn id-WCAG huma rekwiżiti rikonoxxuti internazzjonalment għall-produzzjoni tal-kontenut tal-web. Dawn jitqiesu bħala l-aħjar prattika u jintużaw ħafna. Madankollu, </w:t>
      </w:r>
      <w:r>
        <w:rPr>
          <w:rStyle w:val="Strong"/>
          <w:noProof/>
        </w:rPr>
        <w:t>kull wieħed minn EN 301 549 v2.1.2 u v3.2.1 jinkludi rekwiżiti li ma humiex parti mid-WCAG 2.1</w:t>
      </w:r>
      <w:r>
        <w:rPr>
          <w:noProof/>
        </w:rPr>
        <w:t>. L-EN 301 549 jinkludi wkoll rekwiżiti li ma humiex rilevanti għad-Direttiva dwar l-Aċċessibbiltà tal-Web, pereżempju r-rekwiżiti ta’ aċċessibbiltà tas-sistemi tal-hardware tal-kompjuter.</w:t>
      </w:r>
      <w:r>
        <w:rPr>
          <w:rStyle w:val="FootnoteReference"/>
          <w:noProof/>
        </w:rPr>
        <w:t>(</w:t>
      </w:r>
      <w:r>
        <w:rPr>
          <w:rStyle w:val="FootnoteReference"/>
          <w:noProof/>
        </w:rPr>
        <w:footnoteReference w:id="112"/>
      </w:r>
      <w:r w:rsidR="00B50F49">
        <w:rPr>
          <w:rStyle w:val="FootnoteReference"/>
          <w:noProof/>
        </w:rPr>
        <w:t>)</w:t>
      </w:r>
    </w:p>
    <w:p w14:paraId="7C0B46A8" w14:textId="2F772F6F" w:rsidR="001C0943" w:rsidRPr="00B42AEB" w:rsidRDefault="001C0943" w:rsidP="00B42AEB">
      <w:pPr>
        <w:rPr>
          <w:b/>
          <w:noProof/>
        </w:rPr>
      </w:pPr>
      <w:r>
        <w:rPr>
          <w:b/>
          <w:noProof/>
        </w:rPr>
        <w:t>L-Istandard Ewropew EN 17210</w:t>
      </w:r>
      <w:r>
        <w:rPr>
          <w:rStyle w:val="FootnoteReference"/>
          <w:noProof/>
        </w:rPr>
        <w:t>(</w:t>
      </w:r>
      <w:r>
        <w:rPr>
          <w:rStyle w:val="FootnoteReference"/>
          <w:noProof/>
        </w:rPr>
        <w:footnoteReference w:id="113"/>
      </w:r>
      <w:r w:rsidR="00B50F49">
        <w:rPr>
          <w:rStyle w:val="FootnoteReference"/>
          <w:noProof/>
        </w:rPr>
        <w:t>)</w:t>
      </w:r>
      <w:r>
        <w:rPr>
          <w:noProof/>
        </w:rPr>
        <w:t xml:space="preserve"> dwar l-aċċessibbiltà u l-użu tal-ambjent mibni</w:t>
      </w:r>
      <w:r>
        <w:rPr>
          <w:noProof/>
          <w:shd w:val="clear" w:color="auto" w:fill="FFFFFF"/>
        </w:rPr>
        <w:t xml:space="preserve"> </w:t>
      </w:r>
      <w:r>
        <w:rPr>
          <w:noProof/>
        </w:rPr>
        <w:t>jiddeskrivi r-rekwiżiti funzjonali bażiċi u minimi u r-rakkomandazzjonijiet għal ambjent mibni aċċessibbli u li jista’ jintuża. Dan isegwi l-prinċipji tad-“Disinn għal Kulħadd”/“Disinn Universali”, li jiffaċilitaw l-użu ekwu u sikur għal firxa wiesgħa ta’ utenti, inklużi l-persuni b’diżabilità. Dawn ir-rekwiżiti u r-rakkomandazzjonijiet dwar l-aċċessibbiltà funzjonali u l-użu huma rilevanti għad-disinn, għall-kostruzzjoni, għar-rinnovazzjoni jew għall-adattament, u għall-manutenzjoni ta’ ambjenti mibnija, inklużi dawk fuq barra u żoni urbani.</w:t>
      </w:r>
    </w:p>
    <w:p w14:paraId="57A28AE6" w14:textId="77777777" w:rsidR="001C0943" w:rsidRPr="00B50F49" w:rsidRDefault="001C0943" w:rsidP="00B42AEB">
      <w:pPr>
        <w:pStyle w:val="FRABodyText"/>
        <w:spacing w:after="120" w:line="288" w:lineRule="auto"/>
        <w:jc w:val="left"/>
        <w:rPr>
          <w:rFonts w:ascii="Arial" w:hAnsi="Arial" w:cs="Arial"/>
          <w:noProof/>
          <w:sz w:val="24"/>
          <w:lang w:val="es-ES"/>
        </w:rPr>
      </w:pPr>
      <w:r w:rsidRPr="00B50F49">
        <w:rPr>
          <w:rFonts w:ascii="Arial" w:hAnsi="Arial"/>
          <w:noProof/>
          <w:sz w:val="24"/>
          <w:lang w:val="es-ES"/>
        </w:rPr>
        <w:t>Dokumenti ta’ referenza addizzjonali jinkludu:</w:t>
      </w:r>
    </w:p>
    <w:p w14:paraId="11B77ABD" w14:textId="6B16B35E" w:rsidR="001C0943" w:rsidRPr="00B42AEB" w:rsidRDefault="00C03814"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Commission staff working document evaluation</w:t>
        </w:r>
      </w:hyperlink>
      <w:r w:rsidR="00C32507">
        <w:rPr>
          <w:rFonts w:ascii="Arial" w:hAnsi="Arial"/>
          <w:noProof/>
          <w:sz w:val="24"/>
        </w:rPr>
        <w:t>, review of the application of Directive (EU) 2016/2102 of the European Parliament and of the Council of 26 October 2016 on the accessibility of the websites and mobile applications of public sector bodies (Web Accessibility Directive);</w:t>
      </w:r>
    </w:p>
    <w:p w14:paraId="46EC6EB0" w14:textId="5A5C1266" w:rsidR="001C0943" w:rsidRPr="00B42AEB" w:rsidRDefault="00C03814" w:rsidP="002D36F0">
      <w:pPr>
        <w:pStyle w:val="FRABodyText"/>
        <w:numPr>
          <w:ilvl w:val="0"/>
          <w:numId w:val="4"/>
        </w:numPr>
        <w:spacing w:after="120" w:line="288" w:lineRule="auto"/>
        <w:jc w:val="left"/>
        <w:rPr>
          <w:rFonts w:ascii="Arial" w:hAnsi="Arial" w:cs="Arial"/>
          <w:noProof/>
          <w:sz w:val="24"/>
        </w:rPr>
      </w:pPr>
      <w:hyperlink r:id="rId29" w:history="1">
        <w:r w:rsidR="00C32507">
          <w:rPr>
            <w:rStyle w:val="Hyperlink"/>
            <w:noProof/>
          </w:rPr>
          <w:t>Study underpinning the review of the application of the Web Accessibility Directive</w:t>
        </w:r>
      </w:hyperlink>
      <w:r w:rsidR="00C32507">
        <w:rPr>
          <w:rFonts w:ascii="Arial" w:hAnsi="Arial"/>
          <w:noProof/>
          <w:sz w:val="24"/>
        </w:rPr>
        <w:t>;</w:t>
      </w:r>
    </w:p>
    <w:p w14:paraId="775F4175" w14:textId="720500F5" w:rsidR="001C0943" w:rsidRPr="00B42AEB" w:rsidRDefault="00C03814" w:rsidP="002D36F0">
      <w:pPr>
        <w:pStyle w:val="FRABodyText"/>
        <w:numPr>
          <w:ilvl w:val="0"/>
          <w:numId w:val="4"/>
        </w:numPr>
        <w:spacing w:after="120" w:line="288" w:lineRule="auto"/>
        <w:jc w:val="left"/>
        <w:rPr>
          <w:rFonts w:ascii="Arial" w:hAnsi="Arial" w:cs="Arial"/>
          <w:noProof/>
          <w:sz w:val="24"/>
        </w:rPr>
      </w:pPr>
      <w:hyperlink r:id="rId30" w:history="1">
        <w:r w:rsidR="00346220">
          <w:rPr>
            <w:rStyle w:val="Hyperlink"/>
            <w:noProof/>
          </w:rPr>
          <w:t>Il-Kumitat Ekonomiku u Soċjali Ewropew</w:t>
        </w:r>
      </w:hyperlink>
      <w:r w:rsidR="00346220">
        <w:rPr>
          <w:noProof/>
        </w:rPr>
        <w:t xml:space="preserve">, </w:t>
      </w:r>
      <w:r w:rsidR="00346220">
        <w:rPr>
          <w:rFonts w:ascii="Arial" w:hAnsi="Arial"/>
          <w:i/>
          <w:noProof/>
          <w:sz w:val="24"/>
        </w:rPr>
        <w:t>Id-dritt reali tal-persuni b’diżabilità li jivvotaw fl-elezzjonijiet tal-Parlament Ewropew</w:t>
      </w:r>
      <w:r w:rsidR="00346220">
        <w:rPr>
          <w:rFonts w:ascii="Arial" w:hAnsi="Arial"/>
          <w:noProof/>
          <w:sz w:val="24"/>
        </w:rPr>
        <w:t>;</w:t>
      </w:r>
    </w:p>
    <w:p w14:paraId="1C5F1872" w14:textId="39142893" w:rsidR="001C0943" w:rsidRPr="00A226EA" w:rsidRDefault="00C03814"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European Disability Forum Human Rights report on political participation of persons with disabilities</w:t>
        </w:r>
      </w:hyperlink>
      <w:r w:rsidR="00C32507">
        <w:rPr>
          <w:rFonts w:ascii="Arial" w:hAnsi="Arial"/>
          <w:noProof/>
          <w:sz w:val="24"/>
        </w:rPr>
        <w:t>;</w:t>
      </w:r>
    </w:p>
    <w:p w14:paraId="67DF9416" w14:textId="43C97C4E" w:rsidR="00CA27D9" w:rsidRPr="00B42AEB" w:rsidRDefault="00C03814" w:rsidP="002D36F0">
      <w:pPr>
        <w:pStyle w:val="FRABodyText"/>
        <w:numPr>
          <w:ilvl w:val="0"/>
          <w:numId w:val="4"/>
        </w:numPr>
        <w:spacing w:after="120" w:line="288" w:lineRule="auto"/>
        <w:jc w:val="left"/>
        <w:rPr>
          <w:rFonts w:ascii="Arial" w:hAnsi="Arial" w:cs="Arial"/>
          <w:noProof/>
          <w:sz w:val="24"/>
        </w:rPr>
      </w:pPr>
      <w:hyperlink r:id="rId32" w:history="1">
        <w:r w:rsidR="00C32507">
          <w:rPr>
            <w:rStyle w:val="Hyperlink"/>
            <w:noProof/>
          </w:rPr>
          <w:t>AVA – Accessible Voting Awareness-Raising report</w:t>
        </w:r>
      </w:hyperlink>
      <w:r w:rsidR="00C32507">
        <w:rPr>
          <w:rFonts w:ascii="Arial" w:hAnsi="Arial"/>
          <w:noProof/>
          <w:color w:val="333333"/>
          <w:sz w:val="24"/>
          <w:shd w:val="clear" w:color="auto" w:fill="FFFFFF"/>
        </w:rPr>
        <w:t xml:space="preserve"> on the Accessibility of Elections for Blind and Partially Sighted Voters in Europe produced by the </w:t>
      </w:r>
      <w:r w:rsidR="00C32507">
        <w:rPr>
          <w:rFonts w:ascii="Arial" w:hAnsi="Arial"/>
          <w:noProof/>
          <w:sz w:val="24"/>
        </w:rPr>
        <w:t>European Blind Union</w:t>
      </w:r>
      <w:r w:rsidR="00C32507">
        <w:rPr>
          <w:rFonts w:ascii="Arial" w:hAnsi="Arial"/>
          <w:noProof/>
          <w:color w:val="333333"/>
          <w:sz w:val="24"/>
          <w:shd w:val="clear" w:color="auto" w:fill="FFFFFF"/>
        </w:rPr>
        <w:t>.</w:t>
      </w:r>
    </w:p>
    <w:p w14:paraId="47C15215" w14:textId="1795F06F" w:rsidR="001C0943" w:rsidRPr="00B42AEB" w:rsidRDefault="001C0943" w:rsidP="00B42AEB">
      <w:pPr>
        <w:pStyle w:val="Heading1"/>
        <w:rPr>
          <w:noProof/>
        </w:rPr>
      </w:pPr>
      <w:bookmarkStart w:id="102" w:name="_Toc148718611"/>
      <w:bookmarkStart w:id="103" w:name="_Toc158728582"/>
      <w:r>
        <w:rPr>
          <w:noProof/>
        </w:rPr>
        <w:t>Anness 9 - L-eżiti ta’ grupp ta’ fokus dwar l-aċċessibbiltà għall-elezzjonijiet għall-persuni b’diżabilità organizzat mill-Kummissjoni fis-7 ta’ Settembru 2023</w:t>
      </w:r>
      <w:bookmarkEnd w:id="102"/>
      <w:bookmarkEnd w:id="103"/>
    </w:p>
    <w:p w14:paraId="5E76C007" w14:textId="4502AB11" w:rsidR="001C0943" w:rsidRPr="00B42AEB" w:rsidRDefault="001C0943" w:rsidP="00B42AEB">
      <w:pPr>
        <w:rPr>
          <w:noProof/>
        </w:rPr>
      </w:pPr>
      <w:r>
        <w:rPr>
          <w:noProof/>
        </w:rPr>
        <w:t xml:space="preserve">Fis-7 ta’ Settembru 2023, il-Kummissjoni organizzat grupp fokali mal-partijiet ikkonċernati li jaħdmu fuq id-drittijiet għall-persuni b’diżabilità. </w:t>
      </w:r>
    </w:p>
    <w:p w14:paraId="0CB1A290" w14:textId="2051D0E8" w:rsidR="001C0943" w:rsidRPr="00B42AEB" w:rsidRDefault="001C0943" w:rsidP="00B42AEB">
      <w:pPr>
        <w:rPr>
          <w:noProof/>
        </w:rPr>
      </w:pPr>
      <w:r>
        <w:rPr>
          <w:noProof/>
        </w:rPr>
        <w:t xml:space="preserve">Tqajjem tħassib dwar l-aċċess għall-proċess elettorali minn persuni b’diżabilitajiet intellettwali u dwar it-testijiet li qed jitwettqu f’dan il-kuntest. Ostakli oħrajn għall-aċċessibbiltà msemmija kienu jinkludu n-nuqqas ta’ informazzjoni faċli biex tinqara, in-nuqqas ta’ appoġġ jew appoġġ insuffiċjenti għall-kandidati b’diżabilità u għall-uffiċjali eletti, inkluż f’termini ta’ interpretazzjoni tal-lingwa bis-sinjali, taħriġ insuffiċjenti għall-uffiċjali tal-elezzjoni dwar kif jgħinu lill-persuni b’diżabilità biex jivvotaw, postijiet tal-votazzjoni inaċċessibbli, nuqqas ta’ trasport lejn postijiet tal-votazzjoni u għażliet alternattivi insuffiċjenti għall-votazzjoni fil-post tal-votazzjoni. </w:t>
      </w:r>
    </w:p>
    <w:p w14:paraId="15B635DF" w14:textId="77777777" w:rsidR="001C0943" w:rsidRPr="00B42AEB" w:rsidRDefault="001C0943" w:rsidP="00B42AEB">
      <w:pPr>
        <w:rPr>
          <w:noProof/>
        </w:rPr>
      </w:pPr>
      <w:r>
        <w:rPr>
          <w:noProof/>
        </w:rPr>
        <w:t xml:space="preserve">Xi parteċipanti enfasizzaw li n-nuqqas ta’ għarfien dwar id-drittijiet tad-diżabilità u l-aċċessibbiltà fil-proċessi elettorali jista’ jirriżulta kemm f’ostakli fl-attitudni kif ukoll ostakli ambjentali, li jista’ jkollhom impatt fuq il-bidliet fil-politika jew fuq inizjattivi biex tittejjeb ir-rata ta’ parteċipazzjoni. Issemma li l-għarfien baxx jirriżulta minn diversi kwistjonijiet, inkluż nuqqas ta’ </w:t>
      </w:r>
      <w:r>
        <w:rPr>
          <w:i/>
          <w:iCs/>
          <w:noProof/>
        </w:rPr>
        <w:t>data</w:t>
      </w:r>
      <w:r>
        <w:rPr>
          <w:noProof/>
        </w:rPr>
        <w:t xml:space="preserve"> dwar il-votazzjoni b’dettall dwar id-diżabilità, nuqqas ta’ taħriġ għall-uffiċjali elettorali u livelli baxxi ta’ involviment tal-organizzazzjonijiet tad-diżabilità fir-riforma tal-prattiki elettorali. </w:t>
      </w:r>
    </w:p>
    <w:p w14:paraId="0A3D7166" w14:textId="3D2B7931" w:rsidR="001C0943" w:rsidRPr="00B42AEB" w:rsidRDefault="001C0943" w:rsidP="00B42AEB">
      <w:pPr>
        <w:rPr>
          <w:noProof/>
        </w:rPr>
      </w:pPr>
      <w:r>
        <w:rPr>
          <w:noProof/>
        </w:rPr>
        <w:t>Saret referenza għall-ostakli ambjentali, li jinkludu n-nuqqas ta’ aċċess għall-informazzjoni u l-komunikazzjoni dwar l-elezzjonijiet u l-partiti politiċi, il-postijiet tal-votazzjoni inaċċessibbli (kemm fiżiċi kif ukoll b’mod ieħor) u l-materjali tal-votazzjoni, metodi ta’ votazzjoni alternattivi u avvanzati insuffiċjenti, disponibbiltà limitata ta’ teknoloġiji ta’ assistenza u nuqqas ta’ appoġġ prattiku u finanzjarju għall-persuni b’diżabilità, kemm bħala votanti kif ukoll bħala kandidati. L-ebda Stat Membru ma jipprovdi appoġġ speċifiku lill-kandidati b’diżabilità jew fondi pubbliċi biex ikopru l-kostijiet tagħhom tal-kampanji. Dan ipoġġi l-piż finanzjarju u loġistiku tal-aċċessibbiltà unikament fuq il-kandidati prospettivi.</w:t>
      </w:r>
    </w:p>
    <w:p w14:paraId="486F628D" w14:textId="4E01E9C5" w:rsidR="00044B98" w:rsidRPr="00B42AEB" w:rsidRDefault="001C0943" w:rsidP="00B42AEB">
      <w:pPr>
        <w:rPr>
          <w:noProof/>
        </w:rPr>
      </w:pPr>
      <w:r>
        <w:rPr>
          <w:noProof/>
        </w:rPr>
        <w:t>Il-partijiet ikkonċernati semmew ukoll sfidi relatati mal-ħtiġijiet lingwistiċi li jiffaċċjaw il-persuni b’insuffiċjenza fis-smigħ fit-twettiq ta’ mandat elett. Akkomodazzjoni raġonevoli, inklużi servizzi ta’ interpretazzjoni tal-lingwa bis-sinjali, tista’ tiġi pprovduta minn partiti politiċi, mill-parlamenti nazzjonali u mill-Parlament Ewropew.</w:t>
      </w:r>
    </w:p>
    <w:p w14:paraId="76F4C8A7" w14:textId="2419E23D" w:rsidR="00B83655" w:rsidRPr="00166D0F" w:rsidRDefault="00B83655" w:rsidP="006F0581">
      <w:pPr>
        <w:pStyle w:val="Heading1"/>
        <w:spacing w:before="360" w:after="240" w:line="288" w:lineRule="auto"/>
        <w:rPr>
          <w:noProof/>
          <w:lang w:val="fr-BE"/>
        </w:rPr>
      </w:pPr>
      <w:bookmarkStart w:id="104" w:name="_Toc158728583"/>
      <w:bookmarkStart w:id="105" w:name="_Toc148718612"/>
      <w:r w:rsidRPr="00166D0F">
        <w:rPr>
          <w:noProof/>
          <w:lang w:val="fr-BE"/>
        </w:rPr>
        <w:t>Anness 10 – Disponibbiltà ta’ għodod ta’ assistenza, kabini tal-votazzjoni u kaxxi tal-voti aċċessibbli</w:t>
      </w:r>
      <w:r w:rsidRPr="00166D0F">
        <w:rPr>
          <w:rStyle w:val="FootnoteReference"/>
          <w:noProof/>
          <w:lang w:val="fr-BE"/>
        </w:rPr>
        <w:t>(</w:t>
      </w:r>
      <w:r>
        <w:rPr>
          <w:rStyle w:val="FootnoteReference"/>
          <w:noProof/>
        </w:rPr>
        <w:footnoteReference w:id="114"/>
      </w:r>
      <w:r w:rsidR="00B50F49">
        <w:rPr>
          <w:rStyle w:val="FootnoteReference"/>
          <w:noProof/>
          <w:lang w:val="fr-BE"/>
        </w:rPr>
        <w:t>)</w:t>
      </w:r>
      <w:bookmarkEnd w:id="104"/>
      <w:r w:rsidRPr="00166D0F">
        <w:rPr>
          <w:noProof/>
          <w:lang w:val="fr-BE"/>
        </w:rPr>
        <w:t xml:space="preserve"> </w:t>
      </w:r>
      <w:bookmarkEnd w:id="105"/>
    </w:p>
    <w:tbl>
      <w:tblPr>
        <w:tblStyle w:val="TableGrid"/>
        <w:tblW w:w="5000" w:type="pct"/>
        <w:tblCellMar>
          <w:top w:w="113" w:type="dxa"/>
          <w:bottom w:w="113" w:type="dxa"/>
        </w:tblCellMar>
        <w:tblLook w:val="04A0" w:firstRow="1" w:lastRow="0" w:firstColumn="1" w:lastColumn="0" w:noHBand="0" w:noVBand="1"/>
      </w:tblPr>
      <w:tblGrid>
        <w:gridCol w:w="1671"/>
        <w:gridCol w:w="807"/>
        <w:gridCol w:w="933"/>
        <w:gridCol w:w="739"/>
        <w:gridCol w:w="667"/>
        <w:gridCol w:w="1036"/>
        <w:gridCol w:w="725"/>
        <w:gridCol w:w="980"/>
        <w:gridCol w:w="732"/>
        <w:gridCol w:w="770"/>
      </w:tblGrid>
      <w:tr w:rsidR="00346220" w:rsidRPr="00D56964" w14:paraId="6F21094C" w14:textId="77777777" w:rsidTr="00A965F1">
        <w:trPr>
          <w:trHeight w:val="2286"/>
          <w:tblHeader/>
        </w:trPr>
        <w:tc>
          <w:tcPr>
            <w:tcW w:w="921"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Stat Membru</w:t>
            </w:r>
          </w:p>
        </w:tc>
        <w:tc>
          <w:tcPr>
            <w:tcW w:w="446" w:type="pct"/>
            <w:shd w:val="clear" w:color="auto" w:fill="D9D9D9" w:themeFill="background1" w:themeFillShade="D9"/>
            <w:textDirection w:val="btLr"/>
            <w:vAlign w:val="center"/>
          </w:tcPr>
          <w:p w14:paraId="71F51BC1" w14:textId="728C02CD" w:rsidR="00B83655" w:rsidRPr="00D56964" w:rsidRDefault="00B83655" w:rsidP="006F0581">
            <w:pPr>
              <w:pStyle w:val="Table"/>
              <w:jc w:val="left"/>
              <w:rPr>
                <w:rFonts w:ascii="Arial" w:hAnsi="Arial"/>
                <w:b/>
                <w:noProof/>
                <w:sz w:val="24"/>
              </w:rPr>
            </w:pPr>
            <w:r>
              <w:rPr>
                <w:rFonts w:ascii="Arial" w:hAnsi="Arial"/>
                <w:b/>
                <w:noProof/>
                <w:sz w:val="24"/>
              </w:rPr>
              <w:t>Mudelli</w:t>
            </w:r>
            <w:r>
              <w:rPr>
                <w:rStyle w:val="FootnoteReference"/>
                <w:b/>
                <w:noProof/>
              </w:rPr>
              <w:t>(</w:t>
            </w:r>
            <w:r>
              <w:rPr>
                <w:rStyle w:val="FootnoteReference"/>
                <w:b/>
                <w:noProof/>
              </w:rPr>
              <w:footnoteReference w:id="115"/>
            </w:r>
            <w:r w:rsidR="00B50F49">
              <w:rPr>
                <w:rStyle w:val="FootnoteReference"/>
                <w:b/>
                <w:noProof/>
              </w:rPr>
              <w:t>)</w:t>
            </w:r>
          </w:p>
        </w:tc>
        <w:tc>
          <w:tcPr>
            <w:tcW w:w="515" w:type="pct"/>
            <w:shd w:val="clear" w:color="auto" w:fill="D9D9D9" w:themeFill="background1" w:themeFillShade="D9"/>
            <w:textDirection w:val="btLr"/>
            <w:vAlign w:val="center"/>
          </w:tcPr>
          <w:p w14:paraId="6336B23F" w14:textId="41787756" w:rsidR="00B83655" w:rsidRPr="00D56964" w:rsidRDefault="00B83655" w:rsidP="006F0581">
            <w:pPr>
              <w:pStyle w:val="Table"/>
              <w:jc w:val="left"/>
              <w:rPr>
                <w:rFonts w:ascii="Arial" w:hAnsi="Arial"/>
                <w:b/>
                <w:noProof/>
                <w:sz w:val="24"/>
              </w:rPr>
            </w:pPr>
            <w:r>
              <w:rPr>
                <w:rFonts w:ascii="Arial" w:hAnsi="Arial"/>
                <w:b/>
                <w:noProof/>
                <w:sz w:val="24"/>
              </w:rPr>
              <w:t>Lentijiet li jkabbru</w:t>
            </w:r>
            <w:r>
              <w:rPr>
                <w:rStyle w:val="FootnoteReference"/>
                <w:b/>
                <w:noProof/>
              </w:rPr>
              <w:t>(</w:t>
            </w:r>
            <w:r>
              <w:rPr>
                <w:rStyle w:val="FootnoteReference"/>
                <w:b/>
                <w:noProof/>
              </w:rPr>
              <w:footnoteReference w:id="116"/>
            </w:r>
            <w:r w:rsidR="00B50F49">
              <w:rPr>
                <w:rStyle w:val="FootnoteReference"/>
                <w:b/>
                <w:noProof/>
              </w:rPr>
              <w:t>)</w:t>
            </w:r>
          </w:p>
        </w:tc>
        <w:tc>
          <w:tcPr>
            <w:tcW w:w="408" w:type="pct"/>
            <w:shd w:val="clear" w:color="auto" w:fill="D9D9D9" w:themeFill="background1" w:themeFillShade="D9"/>
            <w:textDirection w:val="btLr"/>
            <w:vAlign w:val="center"/>
          </w:tcPr>
          <w:p w14:paraId="446113E5" w14:textId="684C6223" w:rsidR="00B83655" w:rsidRPr="00D56964" w:rsidRDefault="00B83655" w:rsidP="006F0581">
            <w:pPr>
              <w:pStyle w:val="Table"/>
              <w:jc w:val="left"/>
              <w:rPr>
                <w:rFonts w:ascii="Arial" w:hAnsi="Arial"/>
                <w:b/>
                <w:noProof/>
                <w:sz w:val="24"/>
              </w:rPr>
            </w:pPr>
            <w:r>
              <w:rPr>
                <w:rFonts w:ascii="Arial" w:hAnsi="Arial"/>
                <w:b/>
                <w:noProof/>
                <w:sz w:val="24"/>
              </w:rPr>
              <w:t>Dawl adegwat</w:t>
            </w:r>
            <w:r>
              <w:rPr>
                <w:rStyle w:val="FootnoteReference"/>
                <w:b/>
                <w:noProof/>
              </w:rPr>
              <w:t>(</w:t>
            </w:r>
            <w:r>
              <w:rPr>
                <w:rStyle w:val="FootnoteReference"/>
                <w:b/>
                <w:noProof/>
              </w:rPr>
              <w:footnoteReference w:id="117"/>
            </w:r>
            <w:r w:rsidR="00B50F49">
              <w:rPr>
                <w:rStyle w:val="FootnoteReference"/>
                <w:b/>
                <w:noProof/>
              </w:rPr>
              <w:t>)</w:t>
            </w:r>
          </w:p>
        </w:tc>
        <w:tc>
          <w:tcPr>
            <w:tcW w:w="368" w:type="pct"/>
            <w:shd w:val="clear" w:color="auto" w:fill="D9D9D9" w:themeFill="background1" w:themeFillShade="D9"/>
            <w:textDirection w:val="btLr"/>
            <w:vAlign w:val="center"/>
          </w:tcPr>
          <w:p w14:paraId="5B451F71" w14:textId="0C3DA236" w:rsidR="00B83655" w:rsidRPr="00D56964" w:rsidRDefault="00B83655" w:rsidP="006F0581">
            <w:pPr>
              <w:pStyle w:val="Table"/>
              <w:jc w:val="left"/>
              <w:rPr>
                <w:rFonts w:ascii="Arial" w:hAnsi="Arial"/>
                <w:b/>
                <w:noProof/>
                <w:sz w:val="24"/>
              </w:rPr>
            </w:pPr>
            <w:r>
              <w:rPr>
                <w:rFonts w:ascii="Arial" w:hAnsi="Arial"/>
                <w:b/>
                <w:noProof/>
                <w:sz w:val="24"/>
              </w:rPr>
              <w:t>Deskrizzjoni awdjo</w:t>
            </w:r>
            <w:r>
              <w:rPr>
                <w:rStyle w:val="FootnoteReference"/>
                <w:b/>
                <w:noProof/>
              </w:rPr>
              <w:t>(</w:t>
            </w:r>
            <w:r>
              <w:rPr>
                <w:rStyle w:val="FootnoteReference"/>
                <w:b/>
                <w:noProof/>
              </w:rPr>
              <w:footnoteReference w:id="118"/>
            </w:r>
            <w:r w:rsidR="00B50F49">
              <w:rPr>
                <w:rStyle w:val="FootnoteReference"/>
                <w:b/>
                <w:noProof/>
              </w:rPr>
              <w:t>)</w:t>
            </w:r>
          </w:p>
        </w:tc>
        <w:tc>
          <w:tcPr>
            <w:tcW w:w="572" w:type="pct"/>
            <w:shd w:val="clear" w:color="auto" w:fill="D9D9D9" w:themeFill="background1" w:themeFillShade="D9"/>
            <w:textDirection w:val="btLr"/>
            <w:vAlign w:val="center"/>
          </w:tcPr>
          <w:p w14:paraId="05D4176F" w14:textId="77777777" w:rsidR="00B83655" w:rsidRPr="00166D0F" w:rsidRDefault="00B83655" w:rsidP="006F0581">
            <w:pPr>
              <w:pStyle w:val="Table"/>
              <w:jc w:val="left"/>
              <w:rPr>
                <w:rFonts w:ascii="Arial" w:hAnsi="Arial"/>
                <w:b/>
                <w:noProof/>
                <w:sz w:val="24"/>
                <w:lang w:val="fr-BE"/>
              </w:rPr>
            </w:pPr>
            <w:r w:rsidRPr="00166D0F">
              <w:rPr>
                <w:rFonts w:ascii="Arial" w:hAnsi="Arial"/>
                <w:b/>
                <w:noProof/>
                <w:sz w:val="24"/>
                <w:lang w:val="fr-BE"/>
              </w:rPr>
              <w:t>Lingwa tas-sinjali disponibbli fil-post tal-votazzjoni</w:t>
            </w:r>
          </w:p>
        </w:tc>
        <w:tc>
          <w:tcPr>
            <w:tcW w:w="400" w:type="pct"/>
            <w:shd w:val="clear" w:color="auto" w:fill="D9D9D9" w:themeFill="background1" w:themeFillShade="D9"/>
            <w:textDirection w:val="btLr"/>
            <w:vAlign w:val="center"/>
          </w:tcPr>
          <w:p w14:paraId="1F90EA0E" w14:textId="027C3E5F" w:rsidR="00B83655" w:rsidRPr="00D56964" w:rsidRDefault="00B83655" w:rsidP="00ED533D">
            <w:pPr>
              <w:pStyle w:val="Table"/>
              <w:jc w:val="left"/>
              <w:rPr>
                <w:rFonts w:ascii="Arial" w:hAnsi="Arial"/>
                <w:b/>
                <w:noProof/>
                <w:sz w:val="24"/>
              </w:rPr>
            </w:pPr>
            <w:r>
              <w:rPr>
                <w:rFonts w:ascii="Arial" w:hAnsi="Arial"/>
                <w:b/>
                <w:noProof/>
                <w:sz w:val="24"/>
              </w:rPr>
              <w:t>Karti stampati kbar</w:t>
            </w:r>
            <w:r>
              <w:rPr>
                <w:rStyle w:val="FootnoteReference"/>
                <w:b/>
                <w:noProof/>
              </w:rPr>
              <w:t>(</w:t>
            </w:r>
            <w:r>
              <w:rPr>
                <w:rStyle w:val="FootnoteReference"/>
                <w:b/>
                <w:noProof/>
              </w:rPr>
              <w:footnoteReference w:id="119"/>
            </w:r>
            <w:r w:rsidR="00B50F49">
              <w:rPr>
                <w:rStyle w:val="FootnoteReference"/>
                <w:b/>
                <w:noProof/>
              </w:rPr>
              <w:t>)</w:t>
            </w:r>
          </w:p>
        </w:tc>
        <w:tc>
          <w:tcPr>
            <w:tcW w:w="541" w:type="pct"/>
            <w:shd w:val="clear" w:color="auto" w:fill="D9D9D9" w:themeFill="background1" w:themeFillShade="D9"/>
            <w:textDirection w:val="btLr"/>
            <w:vAlign w:val="center"/>
          </w:tcPr>
          <w:p w14:paraId="156FD648" w14:textId="5FAC0068" w:rsidR="00B83655" w:rsidRPr="00D56964" w:rsidRDefault="00B83655" w:rsidP="006F0581">
            <w:pPr>
              <w:pStyle w:val="Table"/>
              <w:jc w:val="left"/>
              <w:rPr>
                <w:rFonts w:ascii="Arial" w:hAnsi="Arial"/>
                <w:b/>
                <w:noProof/>
                <w:sz w:val="24"/>
              </w:rPr>
            </w:pPr>
            <w:r>
              <w:rPr>
                <w:rFonts w:ascii="Arial" w:hAnsi="Arial"/>
                <w:b/>
                <w:noProof/>
                <w:sz w:val="24"/>
              </w:rPr>
              <w:t>Poloz bil-Braille</w:t>
            </w:r>
            <w:r>
              <w:rPr>
                <w:rStyle w:val="FootnoteReference"/>
                <w:b/>
                <w:noProof/>
              </w:rPr>
              <w:t>(</w:t>
            </w:r>
            <w:r>
              <w:rPr>
                <w:rStyle w:val="FootnoteReference"/>
                <w:b/>
                <w:noProof/>
              </w:rPr>
              <w:footnoteReference w:id="120"/>
            </w:r>
            <w:r w:rsidR="00B50F49">
              <w:rPr>
                <w:rStyle w:val="FootnoteReference"/>
                <w:b/>
                <w:noProof/>
              </w:rPr>
              <w:t>)</w:t>
            </w:r>
          </w:p>
        </w:tc>
        <w:tc>
          <w:tcPr>
            <w:tcW w:w="404" w:type="pct"/>
            <w:shd w:val="clear" w:color="auto" w:fill="D9D9D9" w:themeFill="background1" w:themeFillShade="D9"/>
            <w:textDirection w:val="btLr"/>
            <w:vAlign w:val="center"/>
          </w:tcPr>
          <w:p w14:paraId="7E7C4EA9" w14:textId="48F8E1AC" w:rsidR="00B83655" w:rsidRPr="00D56964" w:rsidRDefault="00B83655" w:rsidP="006F0581">
            <w:pPr>
              <w:pStyle w:val="Table"/>
              <w:jc w:val="left"/>
              <w:rPr>
                <w:rFonts w:ascii="Arial" w:hAnsi="Arial"/>
                <w:b/>
                <w:noProof/>
                <w:sz w:val="24"/>
              </w:rPr>
            </w:pPr>
            <w:r>
              <w:rPr>
                <w:rFonts w:ascii="Arial" w:hAnsi="Arial"/>
                <w:b/>
                <w:noProof/>
                <w:sz w:val="24"/>
              </w:rPr>
              <w:t>Kabini tal-votazzjoni aċċessibbli</w:t>
            </w:r>
            <w:r>
              <w:rPr>
                <w:rStyle w:val="FootnoteReference"/>
                <w:b/>
                <w:noProof/>
              </w:rPr>
              <w:t>(</w:t>
            </w:r>
            <w:r>
              <w:rPr>
                <w:rStyle w:val="FootnoteReference"/>
                <w:b/>
                <w:noProof/>
              </w:rPr>
              <w:footnoteReference w:id="121"/>
            </w:r>
            <w:r w:rsidR="00B50F49">
              <w:rPr>
                <w:rStyle w:val="FootnoteReference"/>
                <w:b/>
                <w:noProof/>
              </w:rPr>
              <w:t>)</w:t>
            </w:r>
          </w:p>
        </w:tc>
        <w:tc>
          <w:tcPr>
            <w:tcW w:w="426" w:type="pct"/>
            <w:shd w:val="clear" w:color="auto" w:fill="D9D9D9" w:themeFill="background1" w:themeFillShade="D9"/>
            <w:textDirection w:val="btLr"/>
            <w:vAlign w:val="center"/>
          </w:tcPr>
          <w:p w14:paraId="01E2A6AE" w14:textId="1CDFC565" w:rsidR="00B83655" w:rsidRPr="00D56964" w:rsidRDefault="00B83655" w:rsidP="006F0581">
            <w:pPr>
              <w:pStyle w:val="Table"/>
              <w:jc w:val="left"/>
              <w:rPr>
                <w:rFonts w:ascii="Arial" w:hAnsi="Arial"/>
                <w:b/>
                <w:noProof/>
                <w:sz w:val="24"/>
              </w:rPr>
            </w:pPr>
            <w:r>
              <w:rPr>
                <w:rFonts w:ascii="Arial" w:hAnsi="Arial"/>
                <w:b/>
                <w:noProof/>
                <w:sz w:val="24"/>
              </w:rPr>
              <w:t>Kaxxi tal-voti aċċessibbli</w:t>
            </w:r>
            <w:r>
              <w:rPr>
                <w:rStyle w:val="FootnoteReference"/>
                <w:b/>
                <w:noProof/>
              </w:rPr>
              <w:t>(</w:t>
            </w:r>
            <w:r>
              <w:rPr>
                <w:rStyle w:val="FootnoteReference"/>
                <w:b/>
                <w:noProof/>
              </w:rPr>
              <w:footnoteReference w:id="122"/>
            </w:r>
            <w:r w:rsidR="00B50F49">
              <w:rPr>
                <w:rStyle w:val="FootnoteReference"/>
                <w:b/>
                <w:noProof/>
              </w:rPr>
              <w:t>)</w:t>
            </w:r>
          </w:p>
        </w:tc>
      </w:tr>
      <w:tr w:rsidR="00346220" w:rsidRPr="00D56964" w14:paraId="75C49AFD" w14:textId="77777777" w:rsidTr="00A965F1">
        <w:trPr>
          <w:trHeight w:val="242"/>
        </w:trPr>
        <w:tc>
          <w:tcPr>
            <w:tcW w:w="921"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L-Awstrija</w:t>
            </w:r>
          </w:p>
        </w:tc>
        <w:tc>
          <w:tcPr>
            <w:tcW w:w="446"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4620C669" w14:textId="77777777" w:rsidTr="00A965F1">
        <w:trPr>
          <w:trHeight w:val="242"/>
        </w:trPr>
        <w:tc>
          <w:tcPr>
            <w:tcW w:w="921"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Il-Belġju</w:t>
            </w:r>
          </w:p>
        </w:tc>
        <w:tc>
          <w:tcPr>
            <w:tcW w:w="446"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Iva</w:t>
            </w:r>
          </w:p>
        </w:tc>
        <w:tc>
          <w:tcPr>
            <w:tcW w:w="515"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Iva</w:t>
            </w:r>
          </w:p>
        </w:tc>
        <w:tc>
          <w:tcPr>
            <w:tcW w:w="368"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Iva </w:t>
            </w:r>
          </w:p>
        </w:tc>
        <w:tc>
          <w:tcPr>
            <w:tcW w:w="572"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Iva</w:t>
            </w:r>
          </w:p>
        </w:tc>
        <w:tc>
          <w:tcPr>
            <w:tcW w:w="541"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380FF5E9" w14:textId="77777777" w:rsidTr="00A965F1">
        <w:trPr>
          <w:trHeight w:val="242"/>
        </w:trPr>
        <w:tc>
          <w:tcPr>
            <w:tcW w:w="921"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Il-Bulgarija</w:t>
            </w:r>
          </w:p>
        </w:tc>
        <w:tc>
          <w:tcPr>
            <w:tcW w:w="446"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44AAD7BA" w14:textId="77777777" w:rsidTr="00A965F1">
        <w:trPr>
          <w:trHeight w:val="70"/>
        </w:trPr>
        <w:tc>
          <w:tcPr>
            <w:tcW w:w="921"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Ċipru</w:t>
            </w:r>
          </w:p>
        </w:tc>
        <w:tc>
          <w:tcPr>
            <w:tcW w:w="446"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Iva</w:t>
            </w:r>
          </w:p>
        </w:tc>
        <w:tc>
          <w:tcPr>
            <w:tcW w:w="541"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0050C1FA" w14:textId="77777777" w:rsidTr="00A965F1">
        <w:trPr>
          <w:trHeight w:val="70"/>
        </w:trPr>
        <w:tc>
          <w:tcPr>
            <w:tcW w:w="921"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Iċ-Ċekja</w:t>
            </w:r>
          </w:p>
        </w:tc>
        <w:tc>
          <w:tcPr>
            <w:tcW w:w="446"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Le</w:t>
            </w:r>
          </w:p>
        </w:tc>
        <w:tc>
          <w:tcPr>
            <w:tcW w:w="368"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Iva</w:t>
            </w:r>
          </w:p>
        </w:tc>
        <w:tc>
          <w:tcPr>
            <w:tcW w:w="572"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304B5F33" w14:textId="77777777" w:rsidTr="00A965F1">
        <w:trPr>
          <w:trHeight w:val="305"/>
        </w:trPr>
        <w:tc>
          <w:tcPr>
            <w:tcW w:w="921"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Il-Ġermanja</w:t>
            </w:r>
          </w:p>
        </w:tc>
        <w:tc>
          <w:tcPr>
            <w:tcW w:w="446"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Iva</w:t>
            </w:r>
          </w:p>
        </w:tc>
        <w:tc>
          <w:tcPr>
            <w:tcW w:w="400"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508E220C" w14:textId="77777777" w:rsidTr="00A965F1">
        <w:trPr>
          <w:trHeight w:val="70"/>
        </w:trPr>
        <w:tc>
          <w:tcPr>
            <w:tcW w:w="921"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Id-Danimarka</w:t>
            </w:r>
          </w:p>
        </w:tc>
        <w:tc>
          <w:tcPr>
            <w:tcW w:w="446"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Le</w:t>
            </w:r>
          </w:p>
        </w:tc>
        <w:tc>
          <w:tcPr>
            <w:tcW w:w="515"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77B97E2A" w14:textId="77777777" w:rsidTr="00A965F1">
        <w:trPr>
          <w:trHeight w:val="154"/>
        </w:trPr>
        <w:tc>
          <w:tcPr>
            <w:tcW w:w="921"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L-Estonja</w:t>
            </w:r>
          </w:p>
        </w:tc>
        <w:tc>
          <w:tcPr>
            <w:tcW w:w="446"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Le</w:t>
            </w:r>
          </w:p>
        </w:tc>
        <w:tc>
          <w:tcPr>
            <w:tcW w:w="515"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Iva</w:t>
            </w:r>
          </w:p>
        </w:tc>
        <w:tc>
          <w:tcPr>
            <w:tcW w:w="400"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6113D5DE" w14:textId="77777777" w:rsidTr="00A965F1">
        <w:trPr>
          <w:trHeight w:val="154"/>
        </w:trPr>
        <w:tc>
          <w:tcPr>
            <w:tcW w:w="921"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Il-Greċja</w:t>
            </w:r>
          </w:p>
        </w:tc>
        <w:tc>
          <w:tcPr>
            <w:tcW w:w="446"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Iva</w:t>
            </w:r>
          </w:p>
        </w:tc>
      </w:tr>
      <w:tr w:rsidR="00346220" w:rsidRPr="00D56964" w14:paraId="45DA51FF" w14:textId="77777777" w:rsidTr="00A965F1">
        <w:trPr>
          <w:trHeight w:val="154"/>
        </w:trPr>
        <w:tc>
          <w:tcPr>
            <w:tcW w:w="921"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Spanja</w:t>
            </w:r>
          </w:p>
        </w:tc>
        <w:tc>
          <w:tcPr>
            <w:tcW w:w="446"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Iva</w:t>
            </w:r>
          </w:p>
        </w:tc>
        <w:tc>
          <w:tcPr>
            <w:tcW w:w="515"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Iva</w:t>
            </w:r>
          </w:p>
        </w:tc>
        <w:tc>
          <w:tcPr>
            <w:tcW w:w="368"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Iva</w:t>
            </w:r>
          </w:p>
        </w:tc>
        <w:tc>
          <w:tcPr>
            <w:tcW w:w="572"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Iva</w:t>
            </w:r>
          </w:p>
        </w:tc>
        <w:tc>
          <w:tcPr>
            <w:tcW w:w="400"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Le</w:t>
            </w:r>
          </w:p>
        </w:tc>
        <w:tc>
          <w:tcPr>
            <w:tcW w:w="541"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Iva</w:t>
            </w:r>
          </w:p>
        </w:tc>
        <w:tc>
          <w:tcPr>
            <w:tcW w:w="404"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Iva</w:t>
            </w:r>
          </w:p>
        </w:tc>
      </w:tr>
      <w:bookmarkEnd w:id="106"/>
      <w:tr w:rsidR="00346220" w:rsidRPr="00D56964" w14:paraId="76153A3B" w14:textId="77777777" w:rsidTr="00A965F1">
        <w:trPr>
          <w:trHeight w:val="154"/>
        </w:trPr>
        <w:tc>
          <w:tcPr>
            <w:tcW w:w="921"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Il-Finlandja</w:t>
            </w:r>
          </w:p>
        </w:tc>
        <w:tc>
          <w:tcPr>
            <w:tcW w:w="446"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Iva</w:t>
            </w:r>
          </w:p>
        </w:tc>
        <w:tc>
          <w:tcPr>
            <w:tcW w:w="515"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Iva</w:t>
            </w:r>
          </w:p>
        </w:tc>
      </w:tr>
      <w:tr w:rsidR="00346220" w:rsidRPr="00D56964" w14:paraId="0F2F6156" w14:textId="77777777" w:rsidTr="00A965F1">
        <w:trPr>
          <w:trHeight w:val="154"/>
        </w:trPr>
        <w:tc>
          <w:tcPr>
            <w:tcW w:w="921"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Franza</w:t>
            </w:r>
          </w:p>
        </w:tc>
        <w:tc>
          <w:tcPr>
            <w:tcW w:w="446"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Iva</w:t>
            </w:r>
          </w:p>
        </w:tc>
        <w:tc>
          <w:tcPr>
            <w:tcW w:w="368"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Iva</w:t>
            </w:r>
          </w:p>
        </w:tc>
        <w:tc>
          <w:tcPr>
            <w:tcW w:w="572"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Le</w:t>
            </w:r>
          </w:p>
        </w:tc>
        <w:tc>
          <w:tcPr>
            <w:tcW w:w="400"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Iva</w:t>
            </w:r>
          </w:p>
        </w:tc>
        <w:tc>
          <w:tcPr>
            <w:tcW w:w="541"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Iva</w:t>
            </w:r>
          </w:p>
        </w:tc>
      </w:tr>
      <w:tr w:rsidR="00346220" w:rsidRPr="00D56964" w14:paraId="4F388F78" w14:textId="77777777" w:rsidTr="00A965F1">
        <w:trPr>
          <w:trHeight w:val="154"/>
        </w:trPr>
        <w:tc>
          <w:tcPr>
            <w:tcW w:w="921"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Il-Kroazja</w:t>
            </w:r>
          </w:p>
        </w:tc>
        <w:tc>
          <w:tcPr>
            <w:tcW w:w="446"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Iva</w:t>
            </w:r>
          </w:p>
        </w:tc>
        <w:tc>
          <w:tcPr>
            <w:tcW w:w="368"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Iva</w:t>
            </w:r>
          </w:p>
        </w:tc>
        <w:tc>
          <w:tcPr>
            <w:tcW w:w="572"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Iva</w:t>
            </w:r>
          </w:p>
        </w:tc>
        <w:tc>
          <w:tcPr>
            <w:tcW w:w="400"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Iva</w:t>
            </w:r>
          </w:p>
        </w:tc>
      </w:tr>
      <w:tr w:rsidR="00346220" w:rsidRPr="00D56964" w14:paraId="0CBA1BB1" w14:textId="77777777" w:rsidTr="00A965F1">
        <w:trPr>
          <w:trHeight w:val="154"/>
        </w:trPr>
        <w:tc>
          <w:tcPr>
            <w:tcW w:w="921"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L-Ungerija</w:t>
            </w:r>
          </w:p>
        </w:tc>
        <w:tc>
          <w:tcPr>
            <w:tcW w:w="446"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Le</w:t>
            </w:r>
          </w:p>
        </w:tc>
        <w:tc>
          <w:tcPr>
            <w:tcW w:w="400"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Iva</w:t>
            </w:r>
          </w:p>
        </w:tc>
        <w:tc>
          <w:tcPr>
            <w:tcW w:w="541"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Iva</w:t>
            </w:r>
          </w:p>
        </w:tc>
        <w:tc>
          <w:tcPr>
            <w:tcW w:w="404"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Iva</w:t>
            </w:r>
          </w:p>
        </w:tc>
      </w:tr>
      <w:tr w:rsidR="00346220" w:rsidRPr="00D56964" w14:paraId="12A0A442" w14:textId="77777777" w:rsidTr="00A965F1">
        <w:trPr>
          <w:trHeight w:val="154"/>
        </w:trPr>
        <w:tc>
          <w:tcPr>
            <w:tcW w:w="921"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L-Irlanda</w:t>
            </w:r>
          </w:p>
        </w:tc>
        <w:tc>
          <w:tcPr>
            <w:tcW w:w="446"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Le</w:t>
            </w:r>
          </w:p>
        </w:tc>
        <w:tc>
          <w:tcPr>
            <w:tcW w:w="400"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Iva</w:t>
            </w:r>
          </w:p>
        </w:tc>
        <w:tc>
          <w:tcPr>
            <w:tcW w:w="541"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Iva</w:t>
            </w:r>
          </w:p>
        </w:tc>
        <w:tc>
          <w:tcPr>
            <w:tcW w:w="404"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Iva</w:t>
            </w:r>
          </w:p>
        </w:tc>
      </w:tr>
      <w:tr w:rsidR="00346220" w:rsidRPr="00D56964" w14:paraId="52DF6AC7" w14:textId="77777777" w:rsidTr="00A965F1">
        <w:trPr>
          <w:trHeight w:val="154"/>
        </w:trPr>
        <w:tc>
          <w:tcPr>
            <w:tcW w:w="921"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L-Italja</w:t>
            </w:r>
          </w:p>
        </w:tc>
        <w:tc>
          <w:tcPr>
            <w:tcW w:w="446"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Iva</w:t>
            </w:r>
          </w:p>
        </w:tc>
      </w:tr>
      <w:tr w:rsidR="00346220" w:rsidRPr="00D56964" w14:paraId="413D88A9" w14:textId="77777777" w:rsidTr="00A965F1">
        <w:trPr>
          <w:trHeight w:val="154"/>
        </w:trPr>
        <w:tc>
          <w:tcPr>
            <w:tcW w:w="921"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Il-Litwanja</w:t>
            </w:r>
          </w:p>
        </w:tc>
        <w:tc>
          <w:tcPr>
            <w:tcW w:w="446"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Iva</w:t>
            </w:r>
          </w:p>
        </w:tc>
        <w:tc>
          <w:tcPr>
            <w:tcW w:w="368"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Iva</w:t>
            </w:r>
          </w:p>
        </w:tc>
        <w:tc>
          <w:tcPr>
            <w:tcW w:w="572"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Iva</w:t>
            </w:r>
          </w:p>
        </w:tc>
        <w:tc>
          <w:tcPr>
            <w:tcW w:w="400"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07F8AE1A" w14:textId="77777777" w:rsidTr="00A965F1">
        <w:trPr>
          <w:trHeight w:val="154"/>
        </w:trPr>
        <w:tc>
          <w:tcPr>
            <w:tcW w:w="921"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Il-Lussemburgu</w:t>
            </w:r>
          </w:p>
        </w:tc>
        <w:tc>
          <w:tcPr>
            <w:tcW w:w="446"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Iva</w:t>
            </w:r>
          </w:p>
        </w:tc>
        <w:tc>
          <w:tcPr>
            <w:tcW w:w="404"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7281270B" w14:textId="77777777" w:rsidTr="00A965F1">
        <w:trPr>
          <w:trHeight w:val="154"/>
        </w:trPr>
        <w:tc>
          <w:tcPr>
            <w:tcW w:w="921"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Il-Latvja</w:t>
            </w:r>
          </w:p>
        </w:tc>
        <w:tc>
          <w:tcPr>
            <w:tcW w:w="446"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Le</w:t>
            </w:r>
          </w:p>
        </w:tc>
        <w:tc>
          <w:tcPr>
            <w:tcW w:w="368"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Iva</w:t>
            </w:r>
          </w:p>
        </w:tc>
        <w:tc>
          <w:tcPr>
            <w:tcW w:w="572"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1819B6C7" w14:textId="77777777" w:rsidTr="00A965F1">
        <w:trPr>
          <w:trHeight w:val="154"/>
        </w:trPr>
        <w:tc>
          <w:tcPr>
            <w:tcW w:w="921"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46"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Iva</w:t>
            </w:r>
          </w:p>
        </w:tc>
        <w:tc>
          <w:tcPr>
            <w:tcW w:w="368"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Iva</w:t>
            </w:r>
          </w:p>
        </w:tc>
        <w:tc>
          <w:tcPr>
            <w:tcW w:w="572"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Iva</w:t>
            </w:r>
          </w:p>
        </w:tc>
        <w:tc>
          <w:tcPr>
            <w:tcW w:w="404"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3E06C38B" w14:textId="77777777" w:rsidTr="00A965F1">
        <w:trPr>
          <w:trHeight w:val="154"/>
        </w:trPr>
        <w:tc>
          <w:tcPr>
            <w:tcW w:w="921"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In-Netherlands</w:t>
            </w:r>
          </w:p>
        </w:tc>
        <w:tc>
          <w:tcPr>
            <w:tcW w:w="446"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Iva</w:t>
            </w:r>
          </w:p>
        </w:tc>
        <w:tc>
          <w:tcPr>
            <w:tcW w:w="408"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Iva</w:t>
            </w:r>
          </w:p>
        </w:tc>
        <w:tc>
          <w:tcPr>
            <w:tcW w:w="400"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Iva</w:t>
            </w:r>
          </w:p>
        </w:tc>
        <w:tc>
          <w:tcPr>
            <w:tcW w:w="541"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7E35379F" w14:textId="77777777" w:rsidTr="00A965F1">
        <w:trPr>
          <w:trHeight w:val="154"/>
        </w:trPr>
        <w:tc>
          <w:tcPr>
            <w:tcW w:w="921"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Il-Polonja</w:t>
            </w:r>
          </w:p>
        </w:tc>
        <w:tc>
          <w:tcPr>
            <w:tcW w:w="446"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6B4F1DA0" w14:textId="77777777" w:rsidTr="00A965F1">
        <w:trPr>
          <w:trHeight w:val="154"/>
        </w:trPr>
        <w:tc>
          <w:tcPr>
            <w:tcW w:w="921"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Il-Portugall</w:t>
            </w:r>
          </w:p>
        </w:tc>
        <w:tc>
          <w:tcPr>
            <w:tcW w:w="446"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Iva</w:t>
            </w:r>
          </w:p>
        </w:tc>
        <w:tc>
          <w:tcPr>
            <w:tcW w:w="404"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61E5BC20" w14:textId="77777777" w:rsidTr="00A965F1">
        <w:trPr>
          <w:trHeight w:val="154"/>
        </w:trPr>
        <w:tc>
          <w:tcPr>
            <w:tcW w:w="921"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Ir-Rumanija</w:t>
            </w:r>
          </w:p>
        </w:tc>
        <w:tc>
          <w:tcPr>
            <w:tcW w:w="446"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5FF8B4D2" w14:textId="77777777" w:rsidTr="00A965F1">
        <w:trPr>
          <w:trHeight w:val="154"/>
        </w:trPr>
        <w:tc>
          <w:tcPr>
            <w:tcW w:w="921"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L-Iżvezja</w:t>
            </w:r>
          </w:p>
        </w:tc>
        <w:tc>
          <w:tcPr>
            <w:tcW w:w="446"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Le</w:t>
            </w:r>
          </w:p>
        </w:tc>
        <w:tc>
          <w:tcPr>
            <w:tcW w:w="515" w:type="pct"/>
            <w:shd w:val="clear" w:color="auto" w:fill="E2EFD9" w:themeFill="accent6" w:themeFillTint="33"/>
          </w:tcPr>
          <w:p w14:paraId="0ED13AB4" w14:textId="73D40EBC" w:rsidR="00C93552" w:rsidRPr="00D56964" w:rsidRDefault="00C93552" w:rsidP="00C93552">
            <w:pPr>
              <w:pStyle w:val="Table"/>
              <w:rPr>
                <w:rFonts w:ascii="Arial" w:hAnsi="Arial"/>
                <w:noProof/>
                <w:sz w:val="24"/>
              </w:rPr>
            </w:pPr>
            <w:r>
              <w:rPr>
                <w:noProof/>
              </w:rPr>
              <w:t>Iva</w:t>
            </w:r>
            <w:r>
              <w:rPr>
                <w:rStyle w:val="FootnoteReference"/>
                <w:noProof/>
              </w:rPr>
              <w:t>(</w:t>
            </w:r>
            <w:r>
              <w:rPr>
                <w:rStyle w:val="FootnoteReference"/>
                <w:noProof/>
              </w:rPr>
              <w:footnoteReference w:id="123"/>
            </w:r>
            <w:r w:rsidR="00B50F49">
              <w:rPr>
                <w:rStyle w:val="FootnoteReference"/>
                <w:noProof/>
              </w:rPr>
              <w:t>)</w:t>
            </w:r>
          </w:p>
        </w:tc>
        <w:tc>
          <w:tcPr>
            <w:tcW w:w="408"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E2EFD9" w:themeFill="accent6" w:themeFillTint="33"/>
          </w:tcPr>
          <w:p w14:paraId="77F488F2" w14:textId="062A48FE" w:rsidR="00C93552" w:rsidRPr="00D56964" w:rsidRDefault="00C93552" w:rsidP="00C93552">
            <w:pPr>
              <w:pStyle w:val="Table"/>
              <w:rPr>
                <w:rFonts w:ascii="Arial" w:hAnsi="Arial"/>
                <w:noProof/>
                <w:sz w:val="24"/>
              </w:rPr>
            </w:pPr>
            <w:r>
              <w:rPr>
                <w:noProof/>
              </w:rPr>
              <w:t>Iva</w:t>
            </w:r>
            <w:r>
              <w:rPr>
                <w:rStyle w:val="FootnoteReference"/>
                <w:noProof/>
              </w:rPr>
              <w:t>(</w:t>
            </w:r>
            <w:r>
              <w:rPr>
                <w:rStyle w:val="FootnoteReference"/>
                <w:noProof/>
              </w:rPr>
              <w:footnoteReference w:id="124"/>
            </w:r>
            <w:r w:rsidR="00B50F49">
              <w:rPr>
                <w:rStyle w:val="FootnoteReference"/>
                <w:noProof/>
              </w:rPr>
              <w:t>)</w:t>
            </w:r>
          </w:p>
        </w:tc>
        <w:tc>
          <w:tcPr>
            <w:tcW w:w="404"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26339347" w14:textId="77777777" w:rsidTr="00A965F1">
        <w:trPr>
          <w:trHeight w:val="154"/>
        </w:trPr>
        <w:tc>
          <w:tcPr>
            <w:tcW w:w="921"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Is-Slovenja</w:t>
            </w:r>
          </w:p>
        </w:tc>
        <w:tc>
          <w:tcPr>
            <w:tcW w:w="446"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Iva</w:t>
            </w:r>
          </w:p>
        </w:tc>
        <w:tc>
          <w:tcPr>
            <w:tcW w:w="515"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Iva</w:t>
            </w:r>
          </w:p>
        </w:tc>
        <w:tc>
          <w:tcPr>
            <w:tcW w:w="368"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Iva</w:t>
            </w:r>
          </w:p>
        </w:tc>
        <w:tc>
          <w:tcPr>
            <w:tcW w:w="541"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Le</w:t>
            </w:r>
          </w:p>
        </w:tc>
        <w:tc>
          <w:tcPr>
            <w:tcW w:w="404"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Iva</w:t>
            </w:r>
          </w:p>
        </w:tc>
      </w:tr>
      <w:tr w:rsidR="00346220" w:rsidRPr="00D56964" w14:paraId="0D57B21B" w14:textId="77777777" w:rsidTr="00A965F1">
        <w:trPr>
          <w:trHeight w:val="154"/>
        </w:trPr>
        <w:tc>
          <w:tcPr>
            <w:tcW w:w="921"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Is-Slovakkja</w:t>
            </w:r>
          </w:p>
        </w:tc>
        <w:tc>
          <w:tcPr>
            <w:tcW w:w="446"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Le</w:t>
            </w:r>
          </w:p>
        </w:tc>
        <w:tc>
          <w:tcPr>
            <w:tcW w:w="515"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Le</w:t>
            </w:r>
          </w:p>
        </w:tc>
        <w:tc>
          <w:tcPr>
            <w:tcW w:w="408"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Le</w:t>
            </w:r>
          </w:p>
        </w:tc>
        <w:tc>
          <w:tcPr>
            <w:tcW w:w="368"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Le</w:t>
            </w:r>
          </w:p>
        </w:tc>
        <w:tc>
          <w:tcPr>
            <w:tcW w:w="572"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Le</w:t>
            </w:r>
          </w:p>
        </w:tc>
        <w:tc>
          <w:tcPr>
            <w:tcW w:w="400"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Le</w:t>
            </w:r>
          </w:p>
        </w:tc>
        <w:tc>
          <w:tcPr>
            <w:tcW w:w="541"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Le </w:t>
            </w:r>
          </w:p>
        </w:tc>
        <w:tc>
          <w:tcPr>
            <w:tcW w:w="404"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Iva</w:t>
            </w:r>
          </w:p>
        </w:tc>
        <w:tc>
          <w:tcPr>
            <w:tcW w:w="426"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Iva</w:t>
            </w:r>
          </w:p>
        </w:tc>
      </w:tr>
    </w:tbl>
    <w:p w14:paraId="733EE204" w14:textId="4E4B3AE0" w:rsidR="00B83655" w:rsidRPr="00166D0F" w:rsidRDefault="00B83655" w:rsidP="00ED533D">
      <w:pPr>
        <w:pStyle w:val="Heading1"/>
        <w:spacing w:before="360" w:after="240" w:line="288" w:lineRule="auto"/>
        <w:rPr>
          <w:noProof/>
          <w:lang w:val="fr-BE"/>
        </w:rPr>
      </w:pPr>
      <w:bookmarkStart w:id="107" w:name="_Toc148718613"/>
      <w:bookmarkStart w:id="108" w:name="_Toc158728584"/>
      <w:r w:rsidRPr="00166D0F">
        <w:rPr>
          <w:noProof/>
          <w:lang w:val="fr-BE"/>
        </w:rPr>
        <w:t>Anness 11 - Għażliet ta’ votazzjoni komplementari disponibbli għall-persuni b’diżabilità fl-Istati Membri tal-UE</w:t>
      </w:r>
      <w:r w:rsidRPr="00166D0F">
        <w:rPr>
          <w:rStyle w:val="FootnoteReference"/>
          <w:noProof/>
          <w:lang w:val="fr-BE"/>
        </w:rPr>
        <w:t>(</w:t>
      </w:r>
      <w:r>
        <w:rPr>
          <w:rStyle w:val="FootnoteReference"/>
          <w:noProof/>
        </w:rPr>
        <w:footnoteReference w:id="125"/>
      </w:r>
      <w:r w:rsidR="00B50F49">
        <w:rPr>
          <w:rStyle w:val="FootnoteReference"/>
          <w:noProof/>
          <w:lang w:val="fr-BE"/>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671"/>
        <w:gridCol w:w="1080"/>
        <w:gridCol w:w="1006"/>
        <w:gridCol w:w="988"/>
        <w:gridCol w:w="691"/>
        <w:gridCol w:w="910"/>
        <w:gridCol w:w="957"/>
        <w:gridCol w:w="800"/>
        <w:gridCol w:w="957"/>
      </w:tblGrid>
      <w:tr w:rsidR="00A965F1" w:rsidRPr="00ED533D" w14:paraId="1995CB00" w14:textId="77777777" w:rsidTr="00A965F1">
        <w:trPr>
          <w:trHeight w:val="2002"/>
          <w:tblHeader/>
        </w:trPr>
        <w:tc>
          <w:tcPr>
            <w:tcW w:w="922"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Pajjiż</w:t>
            </w:r>
          </w:p>
        </w:tc>
        <w:tc>
          <w:tcPr>
            <w:tcW w:w="608" w:type="pct"/>
            <w:shd w:val="clear" w:color="auto" w:fill="D9D9D9" w:themeFill="background1" w:themeFillShade="D9"/>
            <w:textDirection w:val="btLr"/>
            <w:vAlign w:val="center"/>
          </w:tcPr>
          <w:p w14:paraId="7E2FFCB4" w14:textId="6DC02B9C" w:rsidR="00B83655" w:rsidRPr="00ED533D" w:rsidRDefault="00B83655" w:rsidP="00ED533D">
            <w:pPr>
              <w:pStyle w:val="Table"/>
              <w:jc w:val="left"/>
              <w:rPr>
                <w:rFonts w:ascii="Arial" w:hAnsi="Arial"/>
                <w:b/>
                <w:noProof/>
                <w:sz w:val="24"/>
              </w:rPr>
            </w:pPr>
            <w:r>
              <w:rPr>
                <w:rFonts w:ascii="Arial" w:hAnsi="Arial"/>
                <w:b/>
                <w:noProof/>
                <w:sz w:val="24"/>
              </w:rPr>
              <w:t>Votazzjoni mobbli</w:t>
            </w:r>
            <w:r>
              <w:rPr>
                <w:rStyle w:val="FootnoteReference"/>
                <w:b/>
                <w:noProof/>
              </w:rPr>
              <w:t>(</w:t>
            </w:r>
            <w:r>
              <w:rPr>
                <w:rStyle w:val="FootnoteReference"/>
                <w:b/>
                <w:noProof/>
              </w:rPr>
              <w:footnoteReference w:id="126"/>
            </w:r>
            <w:r w:rsidR="00B50F49">
              <w:rPr>
                <w:rStyle w:val="FootnoteReference"/>
                <w:b/>
                <w:noProof/>
              </w:rPr>
              <w:t>)</w:t>
            </w:r>
          </w:p>
        </w:tc>
        <w:tc>
          <w:tcPr>
            <w:tcW w:w="567" w:type="pct"/>
            <w:shd w:val="clear" w:color="auto" w:fill="D9D9D9" w:themeFill="background1" w:themeFillShade="D9"/>
            <w:textDirection w:val="btLr"/>
            <w:vAlign w:val="center"/>
          </w:tcPr>
          <w:p w14:paraId="11FE884B" w14:textId="7B9704F4" w:rsidR="00B83655" w:rsidRPr="00B50F49" w:rsidRDefault="00B83655" w:rsidP="00ED533D">
            <w:pPr>
              <w:pStyle w:val="Table"/>
              <w:jc w:val="left"/>
              <w:rPr>
                <w:rFonts w:ascii="Arial" w:hAnsi="Arial"/>
                <w:b/>
                <w:noProof/>
                <w:sz w:val="24"/>
                <w:lang w:val="es-ES"/>
              </w:rPr>
            </w:pPr>
            <w:r w:rsidRPr="00B50F49">
              <w:rPr>
                <w:rFonts w:ascii="Arial" w:hAnsi="Arial"/>
                <w:b/>
                <w:noProof/>
                <w:sz w:val="24"/>
                <w:lang w:val="es-ES"/>
              </w:rPr>
              <w:t>Votazzjoni barra mill-post tal-votazzjoni</w:t>
            </w:r>
            <w:r w:rsidRPr="00B50F49">
              <w:rPr>
                <w:rStyle w:val="FootnoteReference"/>
                <w:b/>
                <w:noProof/>
                <w:lang w:val="es-ES"/>
              </w:rPr>
              <w:t>(</w:t>
            </w:r>
            <w:r>
              <w:rPr>
                <w:rStyle w:val="FootnoteReference"/>
                <w:b/>
                <w:noProof/>
              </w:rPr>
              <w:footnoteReference w:id="127"/>
            </w:r>
            <w:r w:rsidR="00B50F49">
              <w:rPr>
                <w:rStyle w:val="FootnoteReference"/>
                <w:b/>
                <w:noProof/>
                <w:lang w:val="es-ES"/>
              </w:rPr>
              <w:t>)</w:t>
            </w:r>
          </w:p>
        </w:tc>
        <w:tc>
          <w:tcPr>
            <w:tcW w:w="557" w:type="pct"/>
            <w:shd w:val="clear" w:color="auto" w:fill="D9D9D9" w:themeFill="background1" w:themeFillShade="D9"/>
            <w:textDirection w:val="btLr"/>
            <w:vAlign w:val="center"/>
          </w:tcPr>
          <w:p w14:paraId="6CBF654F" w14:textId="592368E6" w:rsidR="00B83655" w:rsidRPr="00B50F49" w:rsidRDefault="00B83655" w:rsidP="00ED533D">
            <w:pPr>
              <w:pStyle w:val="Table"/>
              <w:jc w:val="left"/>
              <w:rPr>
                <w:rFonts w:ascii="Arial" w:hAnsi="Arial"/>
                <w:b/>
                <w:noProof/>
                <w:sz w:val="24"/>
                <w:lang w:val="es-ES"/>
              </w:rPr>
            </w:pPr>
            <w:r w:rsidRPr="00B50F49">
              <w:rPr>
                <w:rFonts w:ascii="Arial" w:hAnsi="Arial"/>
                <w:b/>
                <w:noProof/>
                <w:sz w:val="24"/>
                <w:lang w:val="es-ES"/>
              </w:rPr>
              <w:t>Għażla tal-postijiet tal-votazzjoni</w:t>
            </w:r>
            <w:r w:rsidRPr="00B50F49">
              <w:rPr>
                <w:rStyle w:val="FootnoteReference"/>
                <w:b/>
                <w:noProof/>
                <w:lang w:val="es-ES"/>
              </w:rPr>
              <w:t>(</w:t>
            </w:r>
            <w:r>
              <w:rPr>
                <w:rStyle w:val="FootnoteReference"/>
                <w:b/>
                <w:noProof/>
              </w:rPr>
              <w:footnoteReference w:id="128"/>
            </w:r>
            <w:r w:rsidR="00B50F49">
              <w:rPr>
                <w:rStyle w:val="FootnoteReference"/>
                <w:b/>
                <w:noProof/>
                <w:lang w:val="es-ES"/>
              </w:rPr>
              <w:t>)</w:t>
            </w:r>
          </w:p>
        </w:tc>
        <w:tc>
          <w:tcPr>
            <w:tcW w:w="393" w:type="pct"/>
            <w:shd w:val="clear" w:color="auto" w:fill="D9D9D9" w:themeFill="background1" w:themeFillShade="D9"/>
            <w:textDirection w:val="btLr"/>
            <w:vAlign w:val="center"/>
          </w:tcPr>
          <w:p w14:paraId="059E6D28" w14:textId="3C7C2B9E" w:rsidR="00B83655" w:rsidRPr="00ED533D" w:rsidRDefault="00B83655" w:rsidP="00ED533D">
            <w:pPr>
              <w:pStyle w:val="Table"/>
              <w:jc w:val="left"/>
              <w:rPr>
                <w:rFonts w:ascii="Arial" w:hAnsi="Arial"/>
                <w:b/>
                <w:noProof/>
                <w:sz w:val="24"/>
              </w:rPr>
            </w:pPr>
            <w:r>
              <w:rPr>
                <w:rFonts w:ascii="Arial" w:hAnsi="Arial"/>
                <w:b/>
                <w:noProof/>
                <w:sz w:val="24"/>
              </w:rPr>
              <w:t>Votazzjoni minn qabel</w:t>
            </w:r>
            <w:r>
              <w:rPr>
                <w:rStyle w:val="FootnoteReference"/>
                <w:b/>
                <w:noProof/>
              </w:rPr>
              <w:t>(</w:t>
            </w:r>
            <w:r>
              <w:rPr>
                <w:rStyle w:val="FootnoteReference"/>
                <w:b/>
                <w:noProof/>
              </w:rPr>
              <w:footnoteReference w:id="129"/>
            </w:r>
            <w:r w:rsidR="00B50F49">
              <w:rPr>
                <w:rStyle w:val="FootnoteReference"/>
                <w:b/>
                <w:noProof/>
              </w:rPr>
              <w:t>)</w:t>
            </w:r>
          </w:p>
        </w:tc>
        <w:tc>
          <w:tcPr>
            <w:tcW w:w="418" w:type="pct"/>
            <w:shd w:val="clear" w:color="auto" w:fill="D9D9D9" w:themeFill="background1" w:themeFillShade="D9"/>
            <w:textDirection w:val="btLr"/>
            <w:vAlign w:val="center"/>
          </w:tcPr>
          <w:p w14:paraId="29CE48E9" w14:textId="233FB136" w:rsidR="00B83655" w:rsidRPr="00ED533D" w:rsidRDefault="00B83655" w:rsidP="00ED533D">
            <w:pPr>
              <w:pStyle w:val="Table"/>
              <w:jc w:val="left"/>
              <w:rPr>
                <w:rFonts w:ascii="Arial" w:hAnsi="Arial"/>
                <w:b/>
                <w:noProof/>
                <w:sz w:val="24"/>
              </w:rPr>
            </w:pPr>
            <w:r>
              <w:rPr>
                <w:rFonts w:ascii="Arial" w:hAnsi="Arial"/>
                <w:b/>
                <w:noProof/>
                <w:sz w:val="24"/>
              </w:rPr>
              <w:t xml:space="preserve">Votazzjoni bil-posta </w:t>
            </w:r>
            <w:r>
              <w:rPr>
                <w:rStyle w:val="FootnoteReference"/>
                <w:b/>
                <w:noProof/>
              </w:rPr>
              <w:t>(</w:t>
            </w:r>
            <w:r>
              <w:rPr>
                <w:rStyle w:val="FootnoteReference"/>
                <w:b/>
                <w:noProof/>
              </w:rPr>
              <w:footnoteReference w:id="130"/>
            </w:r>
            <w:r w:rsidR="00B50F49">
              <w:rPr>
                <w:rStyle w:val="FootnoteReference"/>
                <w:b/>
                <w:noProof/>
              </w:rPr>
              <w:t>)</w:t>
            </w:r>
          </w:p>
        </w:tc>
        <w:tc>
          <w:tcPr>
            <w:tcW w:w="540" w:type="pct"/>
            <w:shd w:val="clear" w:color="auto" w:fill="D9D9D9" w:themeFill="background1" w:themeFillShade="D9"/>
            <w:textDirection w:val="btLr"/>
            <w:vAlign w:val="center"/>
          </w:tcPr>
          <w:p w14:paraId="69CFE104" w14:textId="4C6BD6FE" w:rsidR="00B83655" w:rsidRPr="00ED533D" w:rsidRDefault="00B83655" w:rsidP="00ED533D">
            <w:pPr>
              <w:pStyle w:val="Table"/>
              <w:jc w:val="left"/>
              <w:rPr>
                <w:rFonts w:ascii="Arial" w:hAnsi="Arial"/>
                <w:b/>
                <w:noProof/>
                <w:sz w:val="24"/>
              </w:rPr>
            </w:pPr>
            <w:r>
              <w:rPr>
                <w:rFonts w:ascii="Arial" w:hAnsi="Arial"/>
                <w:b/>
                <w:noProof/>
                <w:sz w:val="24"/>
              </w:rPr>
              <w:t>Votazzjoni assistita</w:t>
            </w:r>
            <w:r>
              <w:rPr>
                <w:rStyle w:val="FootnoteReference"/>
                <w:b/>
                <w:noProof/>
              </w:rPr>
              <w:t>(</w:t>
            </w:r>
            <w:r>
              <w:rPr>
                <w:rStyle w:val="FootnoteReference"/>
                <w:b/>
                <w:noProof/>
              </w:rPr>
              <w:footnoteReference w:id="131"/>
            </w:r>
            <w:r w:rsidR="00B50F49">
              <w:rPr>
                <w:rStyle w:val="FootnoteReference"/>
                <w:b/>
                <w:noProof/>
              </w:rPr>
              <w:t>)</w:t>
            </w:r>
          </w:p>
        </w:tc>
        <w:tc>
          <w:tcPr>
            <w:tcW w:w="453" w:type="pct"/>
            <w:shd w:val="clear" w:color="auto" w:fill="D9D9D9" w:themeFill="background1" w:themeFillShade="D9"/>
            <w:textDirection w:val="btLr"/>
            <w:vAlign w:val="center"/>
          </w:tcPr>
          <w:p w14:paraId="66F85681" w14:textId="53FAC670" w:rsidR="00B83655" w:rsidRPr="00ED533D" w:rsidRDefault="00B83655" w:rsidP="00ED533D">
            <w:pPr>
              <w:pStyle w:val="Table"/>
              <w:jc w:val="left"/>
              <w:rPr>
                <w:rFonts w:ascii="Arial" w:hAnsi="Arial"/>
                <w:b/>
                <w:noProof/>
                <w:sz w:val="24"/>
              </w:rPr>
            </w:pPr>
            <w:r>
              <w:rPr>
                <w:rFonts w:ascii="Arial" w:hAnsi="Arial"/>
                <w:b/>
                <w:noProof/>
                <w:sz w:val="24"/>
              </w:rPr>
              <w:t>Votazzjoni bi prokura</w:t>
            </w:r>
            <w:r>
              <w:rPr>
                <w:rStyle w:val="FootnoteReference"/>
                <w:b/>
                <w:noProof/>
              </w:rPr>
              <w:t>(</w:t>
            </w:r>
            <w:r>
              <w:rPr>
                <w:rStyle w:val="FootnoteReference"/>
                <w:b/>
                <w:noProof/>
              </w:rPr>
              <w:footnoteReference w:id="132"/>
            </w:r>
            <w:r w:rsidR="00B50F49">
              <w:rPr>
                <w:rStyle w:val="FootnoteReference"/>
                <w:b/>
                <w:noProof/>
              </w:rPr>
              <w:t>)</w:t>
            </w:r>
          </w:p>
        </w:tc>
        <w:tc>
          <w:tcPr>
            <w:tcW w:w="540" w:type="pct"/>
            <w:shd w:val="clear" w:color="auto" w:fill="D9D9D9" w:themeFill="background1" w:themeFillShade="D9"/>
            <w:textDirection w:val="btLr"/>
            <w:vAlign w:val="center"/>
          </w:tcPr>
          <w:p w14:paraId="601B7CF6" w14:textId="2A3DAE9F" w:rsidR="00B83655" w:rsidRPr="00ED533D" w:rsidRDefault="00B83655" w:rsidP="00ED533D">
            <w:pPr>
              <w:pStyle w:val="Table"/>
              <w:jc w:val="left"/>
              <w:rPr>
                <w:rFonts w:ascii="Arial" w:hAnsi="Arial"/>
                <w:b/>
                <w:noProof/>
                <w:sz w:val="24"/>
              </w:rPr>
            </w:pPr>
            <w:r>
              <w:rPr>
                <w:rFonts w:ascii="Arial" w:hAnsi="Arial"/>
                <w:b/>
                <w:noProof/>
                <w:sz w:val="24"/>
              </w:rPr>
              <w:t>Votazzjoni bl-internet</w:t>
            </w:r>
            <w:r>
              <w:rPr>
                <w:rStyle w:val="FootnoteReference"/>
                <w:b/>
                <w:noProof/>
              </w:rPr>
              <w:t>(</w:t>
            </w:r>
            <w:r>
              <w:rPr>
                <w:rStyle w:val="FootnoteReference"/>
                <w:b/>
                <w:noProof/>
              </w:rPr>
              <w:footnoteReference w:id="133"/>
            </w:r>
            <w:r w:rsidR="00B50F49">
              <w:rPr>
                <w:rStyle w:val="FootnoteReference"/>
                <w:b/>
                <w:noProof/>
              </w:rPr>
              <w:t>)</w:t>
            </w:r>
          </w:p>
        </w:tc>
      </w:tr>
      <w:tr w:rsidR="00A965F1" w:rsidRPr="00ED533D" w14:paraId="49A94E3D" w14:textId="77777777" w:rsidTr="00A965F1">
        <w:trPr>
          <w:trHeight w:val="242"/>
        </w:trPr>
        <w:tc>
          <w:tcPr>
            <w:tcW w:w="922"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L-Awstrija</w:t>
            </w:r>
          </w:p>
        </w:tc>
        <w:tc>
          <w:tcPr>
            <w:tcW w:w="608"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11059DBD" w14:textId="77777777" w:rsidTr="00A965F1">
        <w:trPr>
          <w:trHeight w:val="242"/>
        </w:trPr>
        <w:tc>
          <w:tcPr>
            <w:tcW w:w="922"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Il-Belġju</w:t>
            </w:r>
          </w:p>
        </w:tc>
        <w:tc>
          <w:tcPr>
            <w:tcW w:w="608"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72904005" w14:textId="6AE3AC56" w:rsidR="00B83655" w:rsidRPr="00D56964" w:rsidRDefault="00D56964" w:rsidP="00B42AEB">
            <w:pPr>
              <w:pStyle w:val="Table"/>
              <w:rPr>
                <w:rFonts w:ascii="Arial" w:hAnsi="Arial"/>
                <w:noProof/>
                <w:sz w:val="24"/>
              </w:rPr>
            </w:pPr>
            <w:r>
              <w:rPr>
                <w:noProof/>
              </w:rPr>
              <w:t>Iva</w:t>
            </w:r>
            <w:r>
              <w:rPr>
                <w:rStyle w:val="FootnoteReference"/>
                <w:noProof/>
              </w:rPr>
              <w:t>(</w:t>
            </w:r>
            <w:r>
              <w:rPr>
                <w:rStyle w:val="FootnoteReference"/>
                <w:noProof/>
              </w:rPr>
              <w:footnoteReference w:id="134"/>
            </w:r>
            <w:r w:rsidR="00B50F49">
              <w:rPr>
                <w:rStyle w:val="FootnoteReference"/>
                <w:noProof/>
              </w:rPr>
              <w:t>)</w:t>
            </w:r>
          </w:p>
        </w:tc>
        <w:tc>
          <w:tcPr>
            <w:tcW w:w="540"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Iva</w:t>
            </w:r>
          </w:p>
        </w:tc>
        <w:tc>
          <w:tcPr>
            <w:tcW w:w="540"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49B401AE" w14:textId="77777777" w:rsidTr="00A965F1">
        <w:trPr>
          <w:trHeight w:val="242"/>
        </w:trPr>
        <w:tc>
          <w:tcPr>
            <w:tcW w:w="922"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Il-Bulgarija</w:t>
            </w:r>
          </w:p>
        </w:tc>
        <w:tc>
          <w:tcPr>
            <w:tcW w:w="608"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5F8F24B6" w14:textId="77777777" w:rsidTr="00A965F1">
        <w:trPr>
          <w:trHeight w:val="70"/>
        </w:trPr>
        <w:tc>
          <w:tcPr>
            <w:tcW w:w="922"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Ċipru</w:t>
            </w:r>
          </w:p>
        </w:tc>
        <w:tc>
          <w:tcPr>
            <w:tcW w:w="608"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Le</w:t>
            </w:r>
          </w:p>
        </w:tc>
        <w:tc>
          <w:tcPr>
            <w:tcW w:w="393"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352D1E24" w14:textId="77777777" w:rsidTr="00A965F1">
        <w:trPr>
          <w:trHeight w:val="70"/>
        </w:trPr>
        <w:tc>
          <w:tcPr>
            <w:tcW w:w="922"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Iċ-Ċekja</w:t>
            </w:r>
          </w:p>
        </w:tc>
        <w:tc>
          <w:tcPr>
            <w:tcW w:w="608"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Iva</w:t>
            </w:r>
          </w:p>
        </w:tc>
        <w:tc>
          <w:tcPr>
            <w:tcW w:w="567"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Iva</w:t>
            </w:r>
          </w:p>
        </w:tc>
        <w:tc>
          <w:tcPr>
            <w:tcW w:w="557"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0C3D4126" w14:textId="77777777" w:rsidTr="00A965F1">
        <w:trPr>
          <w:trHeight w:val="70"/>
        </w:trPr>
        <w:tc>
          <w:tcPr>
            <w:tcW w:w="922"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Il-Ġermanja</w:t>
            </w:r>
          </w:p>
        </w:tc>
        <w:tc>
          <w:tcPr>
            <w:tcW w:w="608"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6C1EF066" w14:textId="77777777" w:rsidTr="00A965F1">
        <w:trPr>
          <w:trHeight w:val="70"/>
        </w:trPr>
        <w:tc>
          <w:tcPr>
            <w:tcW w:w="922"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Id-Danimarka</w:t>
            </w:r>
          </w:p>
        </w:tc>
        <w:tc>
          <w:tcPr>
            <w:tcW w:w="608"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Iva</w:t>
            </w:r>
          </w:p>
        </w:tc>
        <w:tc>
          <w:tcPr>
            <w:tcW w:w="567"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Iva</w:t>
            </w:r>
          </w:p>
        </w:tc>
        <w:tc>
          <w:tcPr>
            <w:tcW w:w="557"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Iva</w:t>
            </w:r>
          </w:p>
        </w:tc>
        <w:tc>
          <w:tcPr>
            <w:tcW w:w="418"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263A1622" w14:textId="77777777" w:rsidTr="00A965F1">
        <w:trPr>
          <w:trHeight w:val="154"/>
        </w:trPr>
        <w:tc>
          <w:tcPr>
            <w:tcW w:w="922"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L-Estonja</w:t>
            </w:r>
          </w:p>
        </w:tc>
        <w:tc>
          <w:tcPr>
            <w:tcW w:w="608"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Iva</w:t>
            </w:r>
          </w:p>
        </w:tc>
        <w:tc>
          <w:tcPr>
            <w:tcW w:w="393"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Iva</w:t>
            </w:r>
          </w:p>
        </w:tc>
        <w:tc>
          <w:tcPr>
            <w:tcW w:w="418"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Iva</w:t>
            </w:r>
          </w:p>
        </w:tc>
      </w:tr>
      <w:tr w:rsidR="00A965F1" w:rsidRPr="00ED533D" w14:paraId="06965B5C" w14:textId="77777777" w:rsidTr="00A965F1">
        <w:trPr>
          <w:trHeight w:val="154"/>
        </w:trPr>
        <w:tc>
          <w:tcPr>
            <w:tcW w:w="922"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Il-Greċja</w:t>
            </w:r>
          </w:p>
        </w:tc>
        <w:tc>
          <w:tcPr>
            <w:tcW w:w="608"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Le</w:t>
            </w:r>
          </w:p>
        </w:tc>
        <w:tc>
          <w:tcPr>
            <w:tcW w:w="557"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Le</w:t>
            </w:r>
          </w:p>
        </w:tc>
        <w:tc>
          <w:tcPr>
            <w:tcW w:w="393"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2B83160C" w14:textId="1FD062CA" w:rsidR="00B83655" w:rsidRPr="00D56964" w:rsidRDefault="00D56964" w:rsidP="00B42AEB">
            <w:pPr>
              <w:pStyle w:val="Table"/>
              <w:rPr>
                <w:rFonts w:ascii="Arial" w:hAnsi="Arial"/>
                <w:noProof/>
                <w:sz w:val="24"/>
              </w:rPr>
            </w:pPr>
            <w:r>
              <w:rPr>
                <w:noProof/>
              </w:rPr>
              <w:t>Iva</w:t>
            </w:r>
            <w:r>
              <w:rPr>
                <w:rStyle w:val="FootnoteReference"/>
                <w:noProof/>
              </w:rPr>
              <w:t>(</w:t>
            </w:r>
            <w:r>
              <w:rPr>
                <w:rStyle w:val="FootnoteReference"/>
                <w:noProof/>
              </w:rPr>
              <w:footnoteReference w:id="135"/>
            </w:r>
            <w:r w:rsidR="00B50F49">
              <w:rPr>
                <w:rStyle w:val="FootnoteReference"/>
                <w:noProof/>
              </w:rPr>
              <w:t>)</w:t>
            </w:r>
          </w:p>
        </w:tc>
        <w:tc>
          <w:tcPr>
            <w:tcW w:w="453"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Le</w:t>
            </w:r>
          </w:p>
        </w:tc>
      </w:tr>
      <w:tr w:rsidR="00A965F1" w:rsidRPr="00ED533D" w14:paraId="1C1F370B" w14:textId="77777777" w:rsidTr="00A965F1">
        <w:trPr>
          <w:trHeight w:val="154"/>
        </w:trPr>
        <w:tc>
          <w:tcPr>
            <w:tcW w:w="922"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Spanja</w:t>
            </w:r>
          </w:p>
        </w:tc>
        <w:tc>
          <w:tcPr>
            <w:tcW w:w="608"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Le</w:t>
            </w:r>
          </w:p>
        </w:tc>
        <w:tc>
          <w:tcPr>
            <w:tcW w:w="567"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Iva</w:t>
            </w:r>
          </w:p>
        </w:tc>
        <w:tc>
          <w:tcPr>
            <w:tcW w:w="557"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Le</w:t>
            </w:r>
          </w:p>
        </w:tc>
        <w:tc>
          <w:tcPr>
            <w:tcW w:w="393"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Le</w:t>
            </w:r>
          </w:p>
        </w:tc>
      </w:tr>
      <w:tr w:rsidR="00A965F1" w:rsidRPr="00ED533D" w14:paraId="3D39DC69" w14:textId="77777777" w:rsidTr="00A965F1">
        <w:trPr>
          <w:trHeight w:val="154"/>
        </w:trPr>
        <w:tc>
          <w:tcPr>
            <w:tcW w:w="922"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Il-Finlandja</w:t>
            </w:r>
          </w:p>
        </w:tc>
        <w:tc>
          <w:tcPr>
            <w:tcW w:w="608"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Iva</w:t>
            </w:r>
          </w:p>
        </w:tc>
        <w:tc>
          <w:tcPr>
            <w:tcW w:w="567"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Iva</w:t>
            </w:r>
          </w:p>
        </w:tc>
        <w:tc>
          <w:tcPr>
            <w:tcW w:w="557"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Le </w:t>
            </w:r>
          </w:p>
        </w:tc>
        <w:tc>
          <w:tcPr>
            <w:tcW w:w="393"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Iva</w:t>
            </w:r>
          </w:p>
        </w:tc>
        <w:tc>
          <w:tcPr>
            <w:tcW w:w="418" w:type="pct"/>
            <w:shd w:val="clear" w:color="auto" w:fill="E2EFD9" w:themeFill="accent6" w:themeFillTint="33"/>
          </w:tcPr>
          <w:p w14:paraId="2B5C2FFE" w14:textId="4E795219" w:rsidR="00203B22" w:rsidRPr="00D56964" w:rsidRDefault="00203B22" w:rsidP="00203B22">
            <w:pPr>
              <w:pStyle w:val="Table"/>
              <w:rPr>
                <w:rFonts w:ascii="Arial" w:hAnsi="Arial"/>
                <w:noProof/>
                <w:sz w:val="24"/>
              </w:rPr>
            </w:pPr>
            <w:r>
              <w:rPr>
                <w:noProof/>
              </w:rPr>
              <w:t>Iva</w:t>
            </w:r>
            <w:r>
              <w:rPr>
                <w:rStyle w:val="FootnoteReference"/>
                <w:noProof/>
              </w:rPr>
              <w:t>(</w:t>
            </w:r>
            <w:r>
              <w:rPr>
                <w:rStyle w:val="FootnoteReference"/>
                <w:noProof/>
              </w:rPr>
              <w:footnoteReference w:id="136"/>
            </w:r>
            <w:r w:rsidR="00B50F49">
              <w:rPr>
                <w:rStyle w:val="FootnoteReference"/>
                <w:noProof/>
              </w:rPr>
              <w:t>)</w:t>
            </w:r>
          </w:p>
        </w:tc>
        <w:tc>
          <w:tcPr>
            <w:tcW w:w="540"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Le</w:t>
            </w:r>
          </w:p>
        </w:tc>
      </w:tr>
      <w:tr w:rsidR="00A965F1" w:rsidRPr="00ED533D" w14:paraId="6F204974" w14:textId="77777777" w:rsidTr="00A965F1">
        <w:trPr>
          <w:trHeight w:val="154"/>
        </w:trPr>
        <w:tc>
          <w:tcPr>
            <w:tcW w:w="922"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Franza</w:t>
            </w:r>
          </w:p>
        </w:tc>
        <w:tc>
          <w:tcPr>
            <w:tcW w:w="608"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Le</w:t>
            </w:r>
          </w:p>
        </w:tc>
        <w:tc>
          <w:tcPr>
            <w:tcW w:w="393"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Iva</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40"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0C09CD93" w14:textId="44871E6A" w:rsidR="00402EFD" w:rsidRPr="00D56964" w:rsidRDefault="00402EFD" w:rsidP="00402EFD">
            <w:pPr>
              <w:pStyle w:val="Table"/>
              <w:rPr>
                <w:rFonts w:ascii="Arial" w:hAnsi="Arial"/>
                <w:noProof/>
                <w:sz w:val="24"/>
              </w:rPr>
            </w:pPr>
            <w:r>
              <w:rPr>
                <w:noProof/>
              </w:rPr>
              <w:t>Iva</w:t>
            </w:r>
            <w:r>
              <w:rPr>
                <w:rStyle w:val="FootnoteReference"/>
                <w:noProof/>
              </w:rPr>
              <w:t>(</w:t>
            </w:r>
            <w:r>
              <w:rPr>
                <w:rStyle w:val="FootnoteReference"/>
                <w:noProof/>
              </w:rPr>
              <w:footnoteReference w:id="138"/>
            </w:r>
            <w:r w:rsidR="00B50F49">
              <w:rPr>
                <w:rStyle w:val="FootnoteReference"/>
                <w:noProof/>
              </w:rPr>
              <w:t>)</w:t>
            </w:r>
          </w:p>
        </w:tc>
      </w:tr>
      <w:tr w:rsidR="00A965F1" w:rsidRPr="00ED533D" w14:paraId="4DB9E644" w14:textId="77777777" w:rsidTr="00A965F1">
        <w:trPr>
          <w:trHeight w:val="154"/>
        </w:trPr>
        <w:tc>
          <w:tcPr>
            <w:tcW w:w="922"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Il-Kroazja</w:t>
            </w:r>
          </w:p>
        </w:tc>
        <w:tc>
          <w:tcPr>
            <w:tcW w:w="608"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Iva</w:t>
            </w:r>
          </w:p>
        </w:tc>
        <w:tc>
          <w:tcPr>
            <w:tcW w:w="557"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Le</w:t>
            </w:r>
          </w:p>
        </w:tc>
        <w:tc>
          <w:tcPr>
            <w:tcW w:w="393"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596C43C9" w14:textId="77777777" w:rsidTr="00A965F1">
        <w:trPr>
          <w:trHeight w:val="154"/>
        </w:trPr>
        <w:tc>
          <w:tcPr>
            <w:tcW w:w="922"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L-Ungerija</w:t>
            </w:r>
          </w:p>
        </w:tc>
        <w:tc>
          <w:tcPr>
            <w:tcW w:w="608"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3304B66D" w14:textId="77777777" w:rsidTr="00A965F1">
        <w:trPr>
          <w:trHeight w:val="154"/>
        </w:trPr>
        <w:tc>
          <w:tcPr>
            <w:tcW w:w="922"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L-Irlanda</w:t>
            </w:r>
          </w:p>
        </w:tc>
        <w:tc>
          <w:tcPr>
            <w:tcW w:w="608"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3FE8324F" w14:textId="77777777" w:rsidTr="00A965F1">
        <w:trPr>
          <w:trHeight w:val="154"/>
        </w:trPr>
        <w:tc>
          <w:tcPr>
            <w:tcW w:w="922"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L-Italja</w:t>
            </w:r>
          </w:p>
        </w:tc>
        <w:tc>
          <w:tcPr>
            <w:tcW w:w="608"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3EB2859E" w14:textId="77777777" w:rsidTr="00A965F1">
        <w:trPr>
          <w:trHeight w:val="154"/>
        </w:trPr>
        <w:tc>
          <w:tcPr>
            <w:tcW w:w="922"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Il-Litwanja</w:t>
            </w:r>
          </w:p>
        </w:tc>
        <w:tc>
          <w:tcPr>
            <w:tcW w:w="608"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Iva</w:t>
            </w:r>
          </w:p>
        </w:tc>
        <w:tc>
          <w:tcPr>
            <w:tcW w:w="418" w:type="pct"/>
            <w:shd w:val="clear" w:color="auto" w:fill="E2EFD9" w:themeFill="accent6" w:themeFillTint="33"/>
          </w:tcPr>
          <w:p w14:paraId="554026F5" w14:textId="28DD2B72" w:rsidR="00402EFD" w:rsidRPr="00D56964" w:rsidRDefault="00402EFD" w:rsidP="00402EFD">
            <w:pPr>
              <w:pStyle w:val="Table"/>
              <w:rPr>
                <w:rFonts w:ascii="Arial" w:hAnsi="Arial"/>
                <w:noProof/>
                <w:sz w:val="24"/>
              </w:rPr>
            </w:pPr>
            <w:r>
              <w:rPr>
                <w:noProof/>
              </w:rPr>
              <w:t>Iva</w:t>
            </w:r>
            <w:r>
              <w:rPr>
                <w:rStyle w:val="FootnoteReference"/>
                <w:noProof/>
              </w:rPr>
              <w:t>(</w:t>
            </w:r>
            <w:r>
              <w:rPr>
                <w:rStyle w:val="FootnoteReference"/>
                <w:noProof/>
              </w:rPr>
              <w:footnoteReference w:id="139"/>
            </w:r>
            <w:r w:rsidR="00B50F49">
              <w:rPr>
                <w:rStyle w:val="FootnoteReference"/>
                <w:noProof/>
              </w:rPr>
              <w:t>)</w:t>
            </w:r>
          </w:p>
        </w:tc>
        <w:tc>
          <w:tcPr>
            <w:tcW w:w="540"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5507836D" w14:textId="77777777" w:rsidTr="00A965F1">
        <w:trPr>
          <w:trHeight w:val="154"/>
        </w:trPr>
        <w:tc>
          <w:tcPr>
            <w:tcW w:w="922"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Il-Lussemburgu</w:t>
            </w:r>
          </w:p>
        </w:tc>
        <w:tc>
          <w:tcPr>
            <w:tcW w:w="608"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40390455" w14:textId="77777777" w:rsidTr="00A965F1">
        <w:trPr>
          <w:trHeight w:val="154"/>
        </w:trPr>
        <w:tc>
          <w:tcPr>
            <w:tcW w:w="922"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Il-Latvja</w:t>
            </w:r>
          </w:p>
        </w:tc>
        <w:tc>
          <w:tcPr>
            <w:tcW w:w="608"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Iva</w:t>
            </w:r>
          </w:p>
        </w:tc>
        <w:tc>
          <w:tcPr>
            <w:tcW w:w="418"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6423EF05" w14:textId="77777777" w:rsidTr="00A965F1">
        <w:trPr>
          <w:trHeight w:val="154"/>
        </w:trPr>
        <w:tc>
          <w:tcPr>
            <w:tcW w:w="922"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608"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Le</w:t>
            </w:r>
          </w:p>
        </w:tc>
        <w:tc>
          <w:tcPr>
            <w:tcW w:w="393"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Iva</w:t>
            </w:r>
          </w:p>
        </w:tc>
        <w:tc>
          <w:tcPr>
            <w:tcW w:w="418"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2B799E1A" w14:textId="58DC1089" w:rsidR="00402EFD" w:rsidRPr="00D56964" w:rsidRDefault="00402EFD" w:rsidP="00402EFD">
            <w:pPr>
              <w:pStyle w:val="Table"/>
              <w:rPr>
                <w:rFonts w:ascii="Arial" w:hAnsi="Arial"/>
                <w:noProof/>
                <w:sz w:val="24"/>
              </w:rPr>
            </w:pPr>
            <w:r>
              <w:rPr>
                <w:noProof/>
              </w:rPr>
              <w:t>Iva</w:t>
            </w:r>
            <w:r>
              <w:rPr>
                <w:rStyle w:val="FootnoteReference"/>
                <w:noProof/>
              </w:rPr>
              <w:t>(</w:t>
            </w:r>
            <w:r>
              <w:rPr>
                <w:rStyle w:val="FootnoteReference"/>
                <w:noProof/>
              </w:rPr>
              <w:footnoteReference w:id="140"/>
            </w:r>
            <w:r w:rsidR="00B50F49">
              <w:rPr>
                <w:rStyle w:val="FootnoteReference"/>
                <w:noProof/>
              </w:rPr>
              <w:t>)</w:t>
            </w:r>
          </w:p>
        </w:tc>
        <w:tc>
          <w:tcPr>
            <w:tcW w:w="453"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1354224D" w14:textId="77777777" w:rsidTr="00A965F1">
        <w:trPr>
          <w:trHeight w:val="154"/>
        </w:trPr>
        <w:tc>
          <w:tcPr>
            <w:tcW w:w="922"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In-Netherlands</w:t>
            </w:r>
          </w:p>
        </w:tc>
        <w:tc>
          <w:tcPr>
            <w:tcW w:w="608"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18F04CE1" w14:textId="77777777" w:rsidTr="00A965F1">
        <w:trPr>
          <w:trHeight w:val="154"/>
        </w:trPr>
        <w:tc>
          <w:tcPr>
            <w:tcW w:w="922"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Il-Polonja</w:t>
            </w:r>
          </w:p>
        </w:tc>
        <w:tc>
          <w:tcPr>
            <w:tcW w:w="608"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Le</w:t>
            </w:r>
          </w:p>
        </w:tc>
        <w:tc>
          <w:tcPr>
            <w:tcW w:w="567"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092720B1" w14:textId="77777777" w:rsidTr="00A965F1">
        <w:trPr>
          <w:trHeight w:val="154"/>
        </w:trPr>
        <w:tc>
          <w:tcPr>
            <w:tcW w:w="922"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Il-Portugall</w:t>
            </w:r>
          </w:p>
        </w:tc>
        <w:tc>
          <w:tcPr>
            <w:tcW w:w="608"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Le</w:t>
            </w:r>
          </w:p>
        </w:tc>
        <w:tc>
          <w:tcPr>
            <w:tcW w:w="393"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Iva</w:t>
            </w:r>
          </w:p>
        </w:tc>
        <w:tc>
          <w:tcPr>
            <w:tcW w:w="418"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Le</w:t>
            </w:r>
          </w:p>
        </w:tc>
      </w:tr>
      <w:tr w:rsidR="00A965F1" w:rsidRPr="00ED533D" w14:paraId="157F85AF" w14:textId="77777777" w:rsidTr="00A965F1">
        <w:trPr>
          <w:trHeight w:val="154"/>
        </w:trPr>
        <w:tc>
          <w:tcPr>
            <w:tcW w:w="922"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Ir-Rumanija</w:t>
            </w:r>
          </w:p>
        </w:tc>
        <w:tc>
          <w:tcPr>
            <w:tcW w:w="608"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E2EFD9" w:themeFill="accent6" w:themeFillTint="33"/>
          </w:tcPr>
          <w:p w14:paraId="0A97BF04" w14:textId="192E893B" w:rsidR="00402EFD" w:rsidRPr="00D56964" w:rsidRDefault="00402EFD" w:rsidP="00402EFD">
            <w:pPr>
              <w:pStyle w:val="Table"/>
              <w:rPr>
                <w:rFonts w:ascii="Arial" w:hAnsi="Arial"/>
                <w:noProof/>
                <w:sz w:val="24"/>
              </w:rPr>
            </w:pPr>
            <w:r>
              <w:rPr>
                <w:noProof/>
              </w:rPr>
              <w:t>Iva</w:t>
            </w:r>
            <w:r>
              <w:rPr>
                <w:rStyle w:val="FootnoteReference"/>
                <w:noProof/>
              </w:rPr>
              <w:t>(</w:t>
            </w:r>
            <w:r>
              <w:rPr>
                <w:rStyle w:val="FootnoteReference"/>
                <w:noProof/>
              </w:rPr>
              <w:footnoteReference w:id="141"/>
            </w:r>
            <w:r w:rsidR="00B50F49">
              <w:rPr>
                <w:rStyle w:val="FootnoteReference"/>
                <w:noProof/>
              </w:rPr>
              <w:t>)</w:t>
            </w:r>
          </w:p>
        </w:tc>
        <w:tc>
          <w:tcPr>
            <w:tcW w:w="540"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Le</w:t>
            </w:r>
          </w:p>
        </w:tc>
      </w:tr>
      <w:tr w:rsidR="00A965F1" w:rsidRPr="00D56964" w14:paraId="1B87D2BB" w14:textId="77777777" w:rsidTr="00A965F1">
        <w:trPr>
          <w:trHeight w:val="154"/>
        </w:trPr>
        <w:tc>
          <w:tcPr>
            <w:tcW w:w="922"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L-Iżvezja</w:t>
            </w:r>
          </w:p>
        </w:tc>
        <w:tc>
          <w:tcPr>
            <w:tcW w:w="608"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Iva</w:t>
            </w:r>
          </w:p>
        </w:tc>
        <w:tc>
          <w:tcPr>
            <w:tcW w:w="557"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Le</w:t>
            </w:r>
          </w:p>
        </w:tc>
        <w:tc>
          <w:tcPr>
            <w:tcW w:w="393"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Iva</w:t>
            </w:r>
          </w:p>
        </w:tc>
        <w:tc>
          <w:tcPr>
            <w:tcW w:w="418" w:type="pct"/>
            <w:shd w:val="clear" w:color="auto" w:fill="E2EFD9" w:themeFill="accent6" w:themeFillTint="33"/>
          </w:tcPr>
          <w:p w14:paraId="3717DB17" w14:textId="7FBCA651" w:rsidR="00402EFD" w:rsidRPr="00D56964" w:rsidRDefault="00402EFD" w:rsidP="00402EFD">
            <w:pPr>
              <w:pStyle w:val="Table"/>
              <w:rPr>
                <w:rFonts w:ascii="Arial" w:hAnsi="Arial"/>
                <w:noProof/>
                <w:sz w:val="24"/>
              </w:rPr>
            </w:pPr>
            <w:r>
              <w:rPr>
                <w:noProof/>
              </w:rPr>
              <w:t>Iva</w:t>
            </w:r>
            <w:r>
              <w:rPr>
                <w:rStyle w:val="FootnoteReference"/>
                <w:noProof/>
              </w:rPr>
              <w:t>(</w:t>
            </w:r>
            <w:r>
              <w:rPr>
                <w:rStyle w:val="FootnoteReference"/>
                <w:noProof/>
              </w:rPr>
              <w:footnoteReference w:id="142"/>
            </w:r>
            <w:r w:rsidR="00B50F49">
              <w:rPr>
                <w:rStyle w:val="FootnoteReference"/>
                <w:noProof/>
              </w:rPr>
              <w:t>)</w:t>
            </w:r>
          </w:p>
        </w:tc>
        <w:tc>
          <w:tcPr>
            <w:tcW w:w="540"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Le</w:t>
            </w:r>
          </w:p>
        </w:tc>
      </w:tr>
      <w:tr w:rsidR="00A965F1" w:rsidRPr="00D56964" w14:paraId="21B5EF6B" w14:textId="77777777" w:rsidTr="00A965F1">
        <w:trPr>
          <w:trHeight w:val="154"/>
        </w:trPr>
        <w:tc>
          <w:tcPr>
            <w:tcW w:w="922"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Is-Slovenja</w:t>
            </w:r>
          </w:p>
        </w:tc>
        <w:tc>
          <w:tcPr>
            <w:tcW w:w="608"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Iva</w:t>
            </w:r>
          </w:p>
        </w:tc>
        <w:tc>
          <w:tcPr>
            <w:tcW w:w="557"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Iva</w:t>
            </w:r>
          </w:p>
        </w:tc>
        <w:tc>
          <w:tcPr>
            <w:tcW w:w="418"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Iva</w:t>
            </w:r>
          </w:p>
        </w:tc>
        <w:tc>
          <w:tcPr>
            <w:tcW w:w="540"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Le</w:t>
            </w:r>
          </w:p>
        </w:tc>
      </w:tr>
      <w:tr w:rsidR="00A965F1" w:rsidRPr="00D56964" w14:paraId="7BFD7BDF" w14:textId="77777777" w:rsidTr="00A965F1">
        <w:trPr>
          <w:trHeight w:val="154"/>
        </w:trPr>
        <w:tc>
          <w:tcPr>
            <w:tcW w:w="922"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Is-Slovakkja</w:t>
            </w:r>
          </w:p>
        </w:tc>
        <w:tc>
          <w:tcPr>
            <w:tcW w:w="608"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Iva</w:t>
            </w:r>
          </w:p>
        </w:tc>
        <w:tc>
          <w:tcPr>
            <w:tcW w:w="567"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Le</w:t>
            </w:r>
          </w:p>
        </w:tc>
        <w:tc>
          <w:tcPr>
            <w:tcW w:w="557"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Iva</w:t>
            </w:r>
          </w:p>
        </w:tc>
        <w:tc>
          <w:tcPr>
            <w:tcW w:w="393"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Le</w:t>
            </w:r>
          </w:p>
        </w:tc>
        <w:tc>
          <w:tcPr>
            <w:tcW w:w="418"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Iva</w:t>
            </w:r>
          </w:p>
        </w:tc>
        <w:tc>
          <w:tcPr>
            <w:tcW w:w="453"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Le</w:t>
            </w:r>
          </w:p>
        </w:tc>
        <w:tc>
          <w:tcPr>
            <w:tcW w:w="540"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Le</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A0ADCF" w14:textId="200C343E" w:rsidR="00C03814" w:rsidRPr="00C03814" w:rsidRDefault="00C03814" w:rsidP="00C03814">
    <w:pPr>
      <w:pStyle w:val="FooterCoverPage"/>
      <w:rPr>
        <w:rFonts w:ascii="Arial" w:hAnsi="Arial" w:cs="Arial"/>
        <w:b/>
        <w:sz w:val="48"/>
      </w:rPr>
    </w:pPr>
    <w:r w:rsidRPr="00C03814">
      <w:rPr>
        <w:rFonts w:ascii="Arial" w:hAnsi="Arial" w:cs="Arial"/>
        <w:b/>
        <w:sz w:val="48"/>
      </w:rPr>
      <w:t>MT</w:t>
    </w:r>
    <w:r w:rsidRPr="00C03814">
      <w:rPr>
        <w:rFonts w:ascii="Arial" w:hAnsi="Arial" w:cs="Arial"/>
        <w:b/>
        <w:sz w:val="48"/>
      </w:rPr>
      <w:tab/>
    </w:r>
    <w:r w:rsidRPr="00C03814">
      <w:rPr>
        <w:rFonts w:ascii="Arial" w:hAnsi="Arial" w:cs="Arial"/>
        <w:b/>
        <w:sz w:val="48"/>
      </w:rPr>
      <w:tab/>
    </w:r>
    <w:r w:rsidRPr="00C03814">
      <w:tab/>
    </w:r>
    <w:r w:rsidRPr="00C03814">
      <w:rPr>
        <w:rFonts w:ascii="Arial" w:hAnsi="Arial" w:cs="Arial"/>
        <w:b/>
        <w:sz w:val="48"/>
      </w:rPr>
      <w:t>MT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096378" w14:textId="5AD80441" w:rsidR="00C03814" w:rsidRPr="00C03814" w:rsidRDefault="00C03814" w:rsidP="00C03814">
    <w:pPr>
      <w:pStyle w:val="FooterCoverPage"/>
      <w:rPr>
        <w:rFonts w:ascii="Arial" w:hAnsi="Arial" w:cs="Arial"/>
        <w:b/>
        <w:sz w:val="48"/>
      </w:rPr>
    </w:pPr>
    <w:r w:rsidRPr="00C03814">
      <w:rPr>
        <w:rFonts w:ascii="Arial" w:hAnsi="Arial" w:cs="Arial"/>
        <w:b/>
        <w:sz w:val="48"/>
      </w:rPr>
      <w:t>MT</w:t>
    </w:r>
    <w:r w:rsidRPr="00C03814">
      <w:rPr>
        <w:rFonts w:ascii="Arial" w:hAnsi="Arial" w:cs="Arial"/>
        <w:b/>
        <w:sz w:val="48"/>
      </w:rPr>
      <w:tab/>
    </w:r>
    <w:r w:rsidRPr="00C03814">
      <w:rPr>
        <w:rFonts w:ascii="Arial" w:hAnsi="Arial" w:cs="Arial"/>
        <w:b/>
        <w:sz w:val="48"/>
      </w:rPr>
      <w:tab/>
    </w:r>
    <w:r w:rsidRPr="00C03814">
      <w:tab/>
    </w:r>
    <w:r w:rsidRPr="00C03814">
      <w:rPr>
        <w:rFonts w:ascii="Arial" w:hAnsi="Arial" w:cs="Arial"/>
        <w:b/>
        <w:sz w:val="48"/>
      </w:rPr>
      <w:t>MT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86CFBD" w14:textId="77777777" w:rsidR="00C03814" w:rsidRPr="00C03814" w:rsidRDefault="00C03814" w:rsidP="00C03814">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594E11D3"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C03814">
          <w:rPr>
            <w:noProof/>
            <w:sz w:val="20"/>
          </w:rPr>
          <w:t>3</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Il-linji gwida politiċi għall-Kummissjoni Ewropea li jmiss 2019-2024</w:t>
        </w:r>
      </w:hyperlink>
      <w:r>
        <w:t>.</w:t>
      </w:r>
      <w:r>
        <w:rPr>
          <w:rFonts w:ascii="Arial" w:hAnsi="Arial"/>
        </w:rPr>
        <w:t xml:space="preserve"> </w:t>
      </w:r>
    </w:p>
  </w:footnote>
  <w:footnote w:id="3">
    <w:p w14:paraId="5C3E2BAB" w14:textId="064171A2" w:rsidR="00EE2BB3" w:rsidRPr="00166D0F" w:rsidRDefault="00EE2BB3" w:rsidP="0034629E">
      <w:pPr>
        <w:pStyle w:val="FootnoteText"/>
        <w:spacing w:after="60" w:line="264" w:lineRule="auto"/>
        <w:ind w:left="142" w:hanging="142"/>
        <w:jc w:val="left"/>
        <w:rPr>
          <w:rFonts w:ascii="Arial" w:hAnsi="Arial" w:cs="Arial"/>
          <w:lang w:val="fr-BE"/>
        </w:rPr>
      </w:pPr>
      <w:r>
        <w:rPr>
          <w:rStyle w:val="FootnoteReference"/>
          <w:rFonts w:eastAsiaTheme="majorEastAsia"/>
          <w:sz w:val="20"/>
        </w:rPr>
        <w:footnoteRef/>
      </w:r>
      <w:r w:rsidRPr="00166D0F">
        <w:rPr>
          <w:rFonts w:ascii="Arial" w:hAnsi="Arial"/>
          <w:lang w:val="fr-BE"/>
        </w:rPr>
        <w:t xml:space="preserve"> </w:t>
      </w:r>
      <w:hyperlink r:id="rId2" w:history="1">
        <w:r w:rsidRPr="00166D0F">
          <w:rPr>
            <w:rStyle w:val="Hyperlink"/>
            <w:sz w:val="20"/>
            <w:lang w:val="fr-BE"/>
          </w:rPr>
          <w:t>Statistika |</w:t>
        </w:r>
      </w:hyperlink>
      <w:hyperlink r:id="rId3" w:history="1">
        <w:r w:rsidRPr="00166D0F">
          <w:rPr>
            <w:rStyle w:val="Hyperlink"/>
            <w:sz w:val="20"/>
            <w:lang w:val="fr-BE"/>
          </w:rPr>
          <w:t xml:space="preserve"> Eurostat (europa.eu)</w:t>
        </w:r>
      </w:hyperlink>
      <w:r w:rsidRPr="00166D0F">
        <w:rPr>
          <w:rFonts w:ascii="Arial" w:hAnsi="Arial"/>
          <w:lang w:val="fr-BE"/>
        </w:rPr>
        <w:t>.</w:t>
      </w:r>
    </w:p>
  </w:footnote>
  <w:footnote w:id="4">
    <w:p w14:paraId="5E0E730A" w14:textId="541A0532" w:rsidR="00EE2BB3" w:rsidRPr="00166D0F"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166D0F">
        <w:rPr>
          <w:rFonts w:ascii="Arial" w:hAnsi="Arial"/>
          <w:lang w:val="fr-BE"/>
        </w:rPr>
        <w:t xml:space="preserve"> </w:t>
      </w:r>
      <w:hyperlink r:id="rId4" w:history="1">
        <w:r w:rsidRPr="00166D0F">
          <w:rPr>
            <w:rStyle w:val="Hyperlink"/>
            <w:sz w:val="20"/>
            <w:lang w:val="fr-BE"/>
          </w:rPr>
          <w:t>Rapport dwar l-elezzjonijiet tal-2019 għall-Parlament Ewropew</w:t>
        </w:r>
      </w:hyperlink>
      <w:r w:rsidRPr="00166D0F">
        <w:rPr>
          <w:rFonts w:ascii="Arial" w:hAnsi="Arial"/>
          <w:lang w:val="fr-BE"/>
        </w:rPr>
        <w:t>.</w:t>
      </w:r>
    </w:p>
  </w:footnote>
  <w:footnote w:id="5">
    <w:p w14:paraId="111C1331" w14:textId="77777777" w:rsidR="00EE2BB3" w:rsidRPr="00166D0F"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166D0F">
        <w:rPr>
          <w:rFonts w:ascii="Arial" w:hAnsi="Arial"/>
          <w:lang w:val="fr-BE"/>
        </w:rPr>
        <w:t xml:space="preserve"> Ir-rapport tal-Kummissjoni jirreferi wkoll għar-rapport mill-Kumitat Ekonomiku u Soċjali Ewropew li jgħid li madwar 800 000 ċittadin tal-UE minn 16-il Stat Membru setgħu ġew imċaħħda mid-dritt li jipparteċipaw fl-elezzjonijiet tal-2019 għall-Parlament Ewropew.</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Aktar informazzjoni dwar in-</w:t>
      </w:r>
      <w:hyperlink r:id="rId5" w:history="1">
        <w:r>
          <w:rPr>
            <w:rStyle w:val="Hyperlink"/>
            <w:sz w:val="20"/>
          </w:rPr>
          <w:t>Network Ewropew ta’ Kooperazzjoni dwar l-Elezzjonijiet</w:t>
        </w:r>
      </w:hyperlink>
      <w:r>
        <w:rPr>
          <w:rFonts w:ascii="Arial" w:hAnsi="Arial"/>
        </w:rPr>
        <w:t xml:space="preserve"> (ECNE).</w:t>
      </w:r>
    </w:p>
  </w:footnote>
  <w:footnote w:id="7">
    <w:p w14:paraId="1E8931A9" w14:textId="19C62395"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6" w:history="1">
        <w:r>
          <w:rPr>
            <w:rStyle w:val="Hyperlink"/>
            <w:sz w:val="20"/>
          </w:rPr>
          <w:t>Riżoluzzjoni leġiżlattiva tal-Parlament Ewropew tat-3 ta’ Mejju 2022 dwar il-proposta għal Regolament tal-Kunsill dwar l-elezzjoni tal-Membri tal-Parlament Ewropew b’vot universali dirett, li jħassar id-Deċiżjoni tal-Kunsill (76/787/KEFA, KEE, Euratom) u l-Att li jikkonċerna l-elezzjoni tal-Membri tal-Parlament Ewropew b’vot dirett universali anness ma’ dik id-Deċiżjoni</w:t>
        </w:r>
      </w:hyperlink>
      <w:r>
        <w:rPr>
          <w:rFonts w:ascii="Arial" w:hAnsi="Arial"/>
        </w:rPr>
        <w:t xml:space="preserve"> (2020/2220(INL) – 2022/0902(APP</w:t>
      </w:r>
      <w:r w:rsidR="00B50F49">
        <w:rPr>
          <w:rFonts w:ascii="Arial" w:hAnsi="Arial"/>
        </w:rPr>
        <w:t>)</w:t>
      </w:r>
      <w:r>
        <w:rPr>
          <w:rFonts w:ascii="Arial" w:hAnsi="Arial"/>
        </w:rPr>
        <w:t>.</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Il-Parlament stieden ukoll “lill-Istati Membri jintroduċu miżuri biex jimmassimizzaw l-aċċessibbiltà tal-elezzjonijiet għaċ-ċittadini b’diżabilità li jkopru, fost l-oħrajn u fejn xieraq, l-informazzjoni u r-reġistrazzjoni tal-votazzjoni, il-postijiet tal-votazzjoni, il-kabini u l-apparat tal-votazzjoni u l-poloz tal-votazzjoni; jirrakkomanda li jiġu implimentati arranġamenti xierqa mfassla għall-proċeduri ta’ votazzjoni nazzjonali biex jiffaċilitaw il-vot taċ-ċittadini b’diżabilità bħall-possibbiltà li jagħżlu post tal-votazzjoni, postijiet tal-votazzjoni magħluqa f’postijiet ewlenin, u l-użu ta’ teknoloġiji, formati u tekniki ta’ assistenza bħall-Braille, tipa kbira, informazzjoni bbażata fuq l-awdjo, stensils tattili, informazzjoni faċli biex tinqara u komunikazzjoni bil-lingwa tas-sinjali; jistieden lill-Istati Membri jippermettu li l-persuni b’diżabilità jingħataw assistenza waqt il-votazzjoni permezz ta’ persuna tal-għażla tagħhom stess, fejn meħtieġ u fuq talba tagħhom.”</w:t>
      </w:r>
    </w:p>
  </w:footnote>
  <w:footnote w:id="9">
    <w:p w14:paraId="3D35A96A" w14:textId="4AB7CFD6"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Riżoluzzjoni tal-Parlament Ewropew tat-13 ta’ Diċembru 2022 lejn drittijiet ugwali għall-persuni b’diżabilità</w:t>
        </w:r>
      </w:hyperlink>
      <w:r>
        <w:rPr>
          <w:rFonts w:ascii="Arial" w:hAnsi="Arial"/>
        </w:rPr>
        <w:t xml:space="preserve"> (2022/2026(INI</w:t>
      </w:r>
      <w:r w:rsidR="00B50F49">
        <w:rPr>
          <w:rFonts w:ascii="Arial" w:hAnsi="Arial"/>
        </w:rPr>
        <w:t>)</w:t>
      </w:r>
      <w:r>
        <w:rPr>
          <w:rFonts w:ascii="Arial" w:hAnsi="Arial"/>
        </w:rPr>
        <w:t>.</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Ir-Riżoluzzjoni enfasizzat ukoll il-ħtieġa li jiġi ggarantit id-dritt tal-vot b’mod indipendenti u sigriet, biex jiġi żgurat li l-persuni b’diżabilità jkollhom opportunitajiet indaqs biex imexxu kampanja fl-elezzjonijiet u jiġi żgurat li l-postijiet tal-votazzjoni jkunu aċċessibbli għall-persuni b’diżabilità. Il-partiti politiċi Ewropej, nazzjonali, reġjonali u lokali jeħtiġilhom jiżguraw li l-persuni b’diżabilità jkunu rrappreżentati aħjar fil-listi elettorali. L-awtoritajiet elettorali maħtura tal-Istati Membri ġew mistiedna jiġbru </w:t>
      </w:r>
      <w:r>
        <w:rPr>
          <w:rFonts w:ascii="Arial" w:hAnsi="Arial"/>
          <w:i/>
          <w:iCs/>
        </w:rPr>
        <w:t>data</w:t>
      </w:r>
      <w:r>
        <w:rPr>
          <w:rFonts w:ascii="Arial" w:hAnsi="Arial"/>
        </w:rPr>
        <w:t xml:space="preserve"> dwar l-aċċessibbiltà tal-postijiet tal-votazzjoni, inklużi indikazzjonijiet dwar jekk humiex adattati biex jakkomodaw il-ħtiġijiet tal-persuni b’diżabilità u biex jirrapportaw dan lill-Kummissjoni, lill-Kunsill u lill-Parlament Ewropew mhux aktar tard minn sena wara li tkun saret elezzjoni tal-Parlament Ewropew.</w:t>
      </w:r>
    </w:p>
  </w:footnote>
  <w:footnote w:id="11">
    <w:p w14:paraId="16568EE6" w14:textId="6239AAD0"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Riżoluzzjoni leġiżlattiva tal-Parlament Ewropew tal-14 ta’ Frar 2023 dwar il-proposta għal Direttiva tal-Kunsill li tistipula arranġamenti dettaljati għall-eżerċizzju tad-dritt tal-vot u tal-kandidatura fl-elezzjonijiet muniċipali minn ċittadini tal-Unjoni li joqogħdu fi Stat Membru li tiegħu ma jkunux ċittadini (riformulazzjoni)</w:t>
        </w:r>
      </w:hyperlink>
      <w:r>
        <w:rPr>
          <w:sz w:val="20"/>
          <w:shd w:val="clear" w:color="auto" w:fill="FFFFFF"/>
        </w:rPr>
        <w:t xml:space="preserve"> (COM(2021) 0733 – C9-0022/2022 – 2021/0373(CNS</w:t>
      </w:r>
      <w:r w:rsidR="00B50F49">
        <w:rPr>
          <w:sz w:val="20"/>
          <w:shd w:val="clear" w:color="auto" w:fill="FFFFFF"/>
        </w:rPr>
        <w:t>)</w:t>
      </w:r>
      <w:r>
        <w:rPr>
          <w:sz w:val="20"/>
          <w:shd w:val="clear" w:color="auto" w:fill="FFFFFF"/>
        </w:rPr>
        <w:t xml:space="preserve"> </w:t>
      </w:r>
      <w:r>
        <w:rPr>
          <w:sz w:val="20"/>
        </w:rPr>
        <w:t xml:space="preserve">u </w:t>
      </w:r>
      <w:hyperlink r:id="rId9" w:history="1">
        <w:r>
          <w:rPr>
            <w:rStyle w:val="Hyperlink"/>
            <w:sz w:val="20"/>
          </w:rPr>
          <w:t>Riżoluzzjoni leġiżlattiva tal-Parlament Ewropew tal-14 ta’ Frar 2023 dwar il-proposta għal Direttiva tal-Kunsill dwar l-istipular ta’ arranġamenti dettaljati għall-eżerċizzju tad-dritt tal-vot u tal-kandidatura fl-elezzjonijiet tal-Parlament Ewropew għaċ-ċittadini tal-Unjoni li joqogħdu fi Stat Membru li tiegħu ma jkunux ċittadini (riformulazzjoni)</w:t>
        </w:r>
      </w:hyperlink>
      <w:r>
        <w:rPr>
          <w:sz w:val="20"/>
        </w:rPr>
        <w:t xml:space="preserve"> (COM(2021)0732 – C9-0021/2022 – 2021/0372(CNS</w:t>
      </w:r>
      <w:r w:rsidR="00B50F49">
        <w:rPr>
          <w:sz w:val="20"/>
        </w:rPr>
        <w:t>)</w:t>
      </w:r>
      <w:r>
        <w:rPr>
          <w:sz w:val="20"/>
        </w:rPr>
        <w:t>.</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Rapport ta’ informazzjoni tal-Kumitat Ekonomiku u Soċjali Ewropew - Id-drittijiet reali ta’ persuni b’diżabilità li jivvutaw fl-elezzjonijiet tal-Parlament Ewropew.</w:t>
        </w:r>
      </w:hyperlink>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Eżempji tal-aħjar prattika nnotati mir-Rapport jinkludu kaxxi tal-votazzjoni mobbli għall-persuni b’diżabilità (il-Bulgarija):</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materjal ta’ informazzjoni mmirata mfassal f’lingwaġġ sempliċi u bil-Braille (vidjos, fuljetti) biex jappoġġa gruppi speċifiċi f’lingwi differenti (il-Belġju), proġett ta’ prova dwar il-votazzjoni elettronika awtonoma għal persuni b’vista batuta (il-Belġju), postijiet tal-votazzjoni aċċessibbli u kaxxi tal-votazzjoni fl-isptarijiet, djar tal-kura jew istituzzjonijiet simili (l-Irlanda);</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poloz tal-votazzjoni bil-Braille (is-Slovakkja), riċerka dwar l-ostakli li jiffaċċjaw il-politiċi b’diżabilità u x’miżuri jeħtieġ li jittieħdu sabiex dawn jipparteċipaw u jwettqu dmirijiethom (in-Netherlands).</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hyperlink r:id="rId11" w:history="1">
        <w:r>
          <w:rPr>
            <w:rStyle w:val="Hyperlink"/>
            <w:sz w:val="20"/>
          </w:rPr>
          <w:t>Concluding observations on the initial report of the European Union</w:t>
        </w:r>
      </w:hyperlink>
      <w:r>
        <w:rPr>
          <w:rFonts w:ascii="Arial" w:hAnsi="Arial"/>
        </w:rPr>
        <w:t xml:space="preserve"> adottati fl-14-il sessjoni tiegħu f’Ġinevra fl-2015. </w:t>
      </w:r>
      <w:r>
        <w:t>Ara wkoll ir-</w:t>
      </w:r>
      <w:hyperlink r:id="rId12" w:history="1">
        <w:r>
          <w:rPr>
            <w:rStyle w:val="Hyperlink"/>
            <w:sz w:val="20"/>
          </w:rPr>
          <w:t>report issued in 2023 by the special UN rapporteur on the rights of persons with disabilities</w:t>
        </w:r>
      </w:hyperlink>
      <w: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Unjoni ta’ Ugwaljanza:</w:t>
        </w:r>
      </w:hyperlink>
      <w:hyperlink r:id="rId14" w:history="1">
        <w:r>
          <w:rPr>
            <w:rStyle w:val="Hyperlink"/>
            <w:sz w:val="20"/>
          </w:rPr>
          <w:t>Strateġija dwar id-Drittijiet tal-Persuni b’Diżabilità 2021-2030</w:t>
        </w:r>
      </w:hyperlink>
      <w: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Fil-25 ta’ Novembru 2021, il-Kummissjoni ppreżentat pakkett ta’ miżuri biex issaħħaħ id-demokrazija u tipproteġi l-integrità tal-elezzjonijiet. Il-pakkett kien jinkludi komunikazzjoni li ħabbret li l-Kummissjoni se tkompli l-ħidma tan-Network Ewropew ta’ Kooperazzjoni dwar l-Elezzjonijiet biex tiffaċilita u ttejjeb il-kapaċità taċ-ċittadini kollha tal-UE li jeżerċitaw id-drittijiet tal-vot tagħhom inkluż billi tappoġġa l-iskambju tal-aħjar prattiki u l-assistenza reċiproka biex jiġu żgurati elezzjonijiet liberi u ġusti u billi jiġu stabbiliti referenzi komuni dwar prattiki tajbin għal fażijiet speċifiċi taċ-ċiklu elettorali. Hija impenjat ruħha li tmexxi avveniment ta’ livell għoli dwar l-elezzjonijiet fit-tieni nofs tal-2023 u li tlaqqa’ flimkien diversi awtoritajiet relatati mal-elezzjonijiet biex jiġu indirizzati l-isfidi indirizzati fil-pakkett.</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Eżempji ta’ proġetti jinkludu:</w:t>
      </w:r>
    </w:p>
    <w:p w14:paraId="5C5EEDA7" w14:textId="70DA326C" w:rsidR="00EE2BB3" w:rsidRPr="006B02A7" w:rsidRDefault="00C03814" w:rsidP="002D36F0">
      <w:pPr>
        <w:pStyle w:val="FootnoteText"/>
        <w:numPr>
          <w:ilvl w:val="0"/>
          <w:numId w:val="8"/>
        </w:numPr>
        <w:spacing w:after="0" w:line="264" w:lineRule="auto"/>
        <w:jc w:val="left"/>
        <w:rPr>
          <w:rFonts w:ascii="Arial" w:hAnsi="Arial" w:cs="Arial"/>
        </w:rPr>
      </w:pPr>
      <w:hyperlink r:id="rId15" w:history="1">
        <w:r w:rsidR="00C32507">
          <w:rPr>
            <w:rStyle w:val="Hyperlink"/>
            <w:sz w:val="20"/>
          </w:rPr>
          <w:t>The Future is Ours:</w:t>
        </w:r>
      </w:hyperlink>
      <w:hyperlink r:id="rId16" w:history="1">
        <w:r w:rsidR="00C32507">
          <w:rPr>
            <w:rStyle w:val="Hyperlink"/>
            <w:sz w:val="20"/>
          </w:rPr>
          <w:t xml:space="preserve"> Persons with Disabilities Rebuild Democracy</w:t>
        </w:r>
      </w:hyperlink>
      <w:r w:rsidR="00C32507">
        <w:rPr>
          <w:rFonts w:ascii="Arial" w:hAnsi="Arial"/>
        </w:rPr>
        <w:t xml:space="preserve">. </w:t>
      </w:r>
    </w:p>
    <w:p w14:paraId="40D01A40" w14:textId="4143486F" w:rsidR="00EE2BB3" w:rsidRPr="006B02A7" w:rsidRDefault="00C03814" w:rsidP="002D36F0">
      <w:pPr>
        <w:pStyle w:val="FootnoteText"/>
        <w:numPr>
          <w:ilvl w:val="0"/>
          <w:numId w:val="8"/>
        </w:numPr>
        <w:spacing w:after="60" w:line="264" w:lineRule="auto"/>
        <w:jc w:val="left"/>
        <w:rPr>
          <w:rFonts w:ascii="Arial" w:hAnsi="Arial" w:cs="Arial"/>
        </w:rPr>
      </w:pPr>
      <w:hyperlink r:id="rId17" w:history="1">
        <w:r w:rsidR="00C32507">
          <w:rPr>
            <w:rStyle w:val="Hyperlink"/>
            <w:sz w:val="20"/>
          </w:rPr>
          <w:t>Ambitions.</w:t>
        </w:r>
      </w:hyperlink>
      <w:hyperlink r:id="rId18" w:history="1">
        <w:r w:rsidR="00C32507">
          <w:rPr>
            <w:rStyle w:val="Hyperlink"/>
            <w:sz w:val="20"/>
          </w:rPr>
          <w:t xml:space="preserve"> Rights.</w:t>
        </w:r>
      </w:hyperlink>
      <w:hyperlink r:id="rId19" w:history="1">
        <w:r w:rsidR="00C32507">
          <w:rPr>
            <w:rStyle w:val="Hyperlink"/>
            <w:sz w:val="20"/>
          </w:rPr>
          <w:t xml:space="preserve"> Belonging.</w:t>
        </w:r>
      </w:hyperlink>
      <w:hyperlink r:id="rId20" w:history="1">
        <w:r w:rsidR="00C32507">
          <w:rPr>
            <w:rStyle w:val="Hyperlink"/>
            <w:sz w:val="20"/>
          </w:rPr>
          <w:t xml:space="preserve"> Keys to inclusion of people with intellectual disabilities</w:t>
        </w:r>
      </w:hyperlink>
      <w:r w:rsidR="00C32507">
        <w:rPr>
          <w:rFonts w:ascii="Arial" w:hAnsi="Arial"/>
        </w:rPr>
        <w:t>.</w:t>
      </w:r>
    </w:p>
  </w:footnote>
  <w:footnote w:id="18">
    <w:p w14:paraId="0DC0F278" w14:textId="20ADC077" w:rsidR="00EE2BB3" w:rsidRPr="00166D0F"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sidRPr="00166D0F">
        <w:rPr>
          <w:rFonts w:ascii="Arial" w:hAnsi="Arial"/>
          <w:lang w:val="fr-BE"/>
        </w:rPr>
        <w:t xml:space="preserve"> Fl-2010, il-FRA ppubblikat ir-rapport “Id-dritt għall-parteċipazzjoni politika ta’ persuni bi problemi ta’ saħħa mentali u persuni b’diżabilità intellettwali”. Fl-2014, l-aġenzija żviluppat u ppopolat indikaturi tad-drittijiet tal-bniedem dwar id-dritt għall-parteċipazzjoni politika ta’ persuni b’diżabilità. Barra minn hekk, il-FRA ppubblikat ħames infografiċi biex tgħin fis-sensibilizzazzjoni dwar id-drittijiet tal-vot ta’ persuni b’diżabilità fost l-atturi ewlenin. Dokument ippubblikat fl-2019 janalizza r-riformi legali relatati fl-Istati Membri mill-2014.</w:t>
      </w:r>
    </w:p>
  </w:footnote>
  <w:footnote w:id="19">
    <w:p w14:paraId="37C9A58C" w14:textId="77777777" w:rsidR="00EE2BB3" w:rsidRPr="00166D0F" w:rsidRDefault="00EE2BB3" w:rsidP="0034629E">
      <w:pPr>
        <w:pStyle w:val="FootnoteText"/>
        <w:spacing w:after="60" w:line="264" w:lineRule="auto"/>
        <w:ind w:left="224" w:hanging="224"/>
        <w:jc w:val="left"/>
        <w:rPr>
          <w:rFonts w:ascii="Arial" w:hAnsi="Arial" w:cs="Arial"/>
          <w:lang w:val="fr-BE"/>
        </w:rPr>
      </w:pPr>
      <w:r>
        <w:rPr>
          <w:rStyle w:val="FootnoteReference"/>
          <w:sz w:val="20"/>
        </w:rPr>
        <w:footnoteRef/>
      </w:r>
      <w:r w:rsidRPr="00166D0F">
        <w:rPr>
          <w:rFonts w:ascii="Arial" w:hAnsi="Arial"/>
          <w:lang w:val="fr-BE"/>
        </w:rPr>
        <w:t xml:space="preserve"> Fl-24 ta’ Jannar 2022, l-Istati Membri ddiskutew miżuri biex iżidu l-aċċessibbiltà fiżika tal-postijiet tal-votazzjoni, l-appoġġ fuq il-post, l-għodod ta’ assistenza elettorali u metodi alternattivi ta’ votazzjoni. Fil-21 ta’ Settembru 2022, rappreżentant tal-Forum Ewropew dwar id-Diżabilità ppreżenta r-Rapport tal-Forum Ewropew dwar id-Diżabilità tal-2022 tiegħu dwar il-parteċipazzjoni politika ta’ persuni b’diżabilità. Fit-12 ta’ Ġunju 2023, il-Forum Ewropew dwar id-Diżabilità ppreżenta proġett iffinanzjat mill-UE li għandu l-għan li jżid is-sehem ta’ persuni b’diżabilità li jipparteċipaw fl-elezzjonijiet Ewropej tal-2024.</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sz w:val="20"/>
          </w:rPr>
          <w:t>Study on the participation of citizens with disabilities in elections (Studju dwar il-parteċipazzjoni taċ-ċittadini b’diżabilità fl-elezzjonijiet)</w:t>
        </w:r>
      </w:hyperlink>
      <w:r>
        <w:rPr>
          <w:rStyle w:val="Hyperlink"/>
        </w:rPr>
        <w:t>.</w:t>
      </w:r>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Study on Political Participation of Persons with Disabilities</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Study on Political Participation of Persons with Disabilities.</w:t>
        </w:r>
      </w:hyperlink>
      <w:hyperlink r:id="rId24" w:history="1">
        <w:r>
          <w:rPr>
            <w:rStyle w:val="Hyperlink"/>
            <w:sz w:val="20"/>
          </w:rPr>
          <w:t xml:space="preserve"> Update of the 2018 report</w:t>
        </w:r>
      </w:hyperlink>
      <w:r>
        <w:rPr>
          <w:rFonts w:ascii="Arial" w:hAnsi="Arial"/>
        </w:rPr>
        <w:t xml:space="preserve">. </w:t>
      </w:r>
    </w:p>
  </w:footnote>
  <w:footnote w:id="23">
    <w:p w14:paraId="5EE3A416" w14:textId="61524881" w:rsidR="00EE2BB3" w:rsidRPr="00166D0F" w:rsidRDefault="00EE2BB3" w:rsidP="0034629E">
      <w:pPr>
        <w:spacing w:after="60" w:line="264" w:lineRule="auto"/>
        <w:ind w:left="224" w:hanging="224"/>
        <w:rPr>
          <w:sz w:val="20"/>
          <w:lang w:val="fr-BE"/>
        </w:rPr>
      </w:pPr>
      <w:r>
        <w:rPr>
          <w:rStyle w:val="FootnoteReference"/>
          <w:sz w:val="20"/>
        </w:rPr>
        <w:footnoteRef/>
      </w:r>
      <w:r>
        <w:rPr>
          <w:sz w:val="20"/>
        </w:rPr>
        <w:t xml:space="preserve"> Ġew organizzati laqgħat mal-Forum Ewropew dwar id-Diżabilità (EDF) dwar il-parteċipazzjoni politika ta’ persuni b’diżabilità, fis-16 ta’ Mejju u fl-10 ta’ Ġunju 2022 u fit-18 ta’ April u fit-2 ta’ Mejju 2023. L-EDF ipparteċipa fil-laqgħa tan-Network Ewropew ta’ Kooperazzjoni dwar l-Elezzjonijiet tal-21 ta’ Settembru 2022. </w:t>
      </w:r>
      <w:r w:rsidRPr="00166D0F">
        <w:rPr>
          <w:sz w:val="20"/>
          <w:lang w:val="fr-BE"/>
        </w:rPr>
        <w:t xml:space="preserve">Laqgħat mar-rappreżentanti tal-Organización Nacional de Ciegos Españoles saru fl-10 ta’ Novembru 2022 (il-Kummissarju Dalli), fil-25 ta’ Novembru 2022 (DĠ JUST) u fis-7 ta’ Frar 2023 (DĠ JUST). Fis-17 ta’ Novembru 2023 saret laqgħa </w:t>
      </w:r>
      <w:r w:rsidRPr="00166D0F">
        <w:rPr>
          <w:i/>
          <w:iCs/>
          <w:sz w:val="20"/>
          <w:lang w:val="fr-BE"/>
        </w:rPr>
        <w:t>ad hoc</w:t>
      </w:r>
      <w:r w:rsidRPr="00166D0F">
        <w:rPr>
          <w:sz w:val="20"/>
          <w:lang w:val="fr-BE"/>
        </w:rPr>
        <w:t xml:space="preserve"> tal-Pjattaforma tad-Diżabilità.</w:t>
      </w:r>
    </w:p>
  </w:footnote>
  <w:footnote w:id="24">
    <w:p w14:paraId="35737F8A" w14:textId="074B5584" w:rsidR="00EE2BB3" w:rsidRPr="00B50F49"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B50F49">
        <w:rPr>
          <w:rFonts w:ascii="Arial" w:hAnsi="Arial"/>
          <w:lang w:val="fr-BE"/>
        </w:rPr>
        <w:t xml:space="preserve"> </w:t>
      </w:r>
      <w:hyperlink r:id="rId25" w:history="1">
        <w:r w:rsidRPr="00B50F49">
          <w:rPr>
            <w:rStyle w:val="Hyperlink"/>
            <w:sz w:val="20"/>
            <w:lang w:val="fr-BE"/>
          </w:rPr>
          <w:t>Pjan ta’ Azzjoni għad-Demokrazija Ewropea</w:t>
        </w:r>
      </w:hyperlink>
      <w:r w:rsidRPr="00B50F49">
        <w:rPr>
          <w:lang w:val="fr-BE"/>
        </w:rPr>
        <w:t>.</w:t>
      </w:r>
      <w:r w:rsidRPr="00B50F49">
        <w:rPr>
          <w:rFonts w:ascii="Arial" w:hAnsi="Arial"/>
          <w:lang w:val="fr-BE"/>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Compendium of e-voting and other ICT practices</w:t>
        </w:r>
      </w:hyperlink>
      <w:r>
        <w:rPr>
          <w:rStyle w:val="Hyperlink"/>
          <w:sz w:val="20"/>
        </w:rP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Study on political participation of persons with_disabilities.</w:t>
        </w:r>
      </w:hyperlink>
      <w:r>
        <w:rPr>
          <w:rFonts w:ascii="Arial" w:hAnsi="Arial"/>
        </w:rPr>
        <w:t xml:space="preserve"> </w:t>
      </w:r>
    </w:p>
  </w:footnote>
  <w:footnote w:id="27">
    <w:p w14:paraId="308DDD5D" w14:textId="0124948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Study on participation of citizens with disabilities in elections</w:t>
        </w:r>
      </w:hyperlink>
      <w:r>
        <w:t>.</w:t>
      </w:r>
      <w:r>
        <w:rPr>
          <w:rFonts w:ascii="Arial" w:hAnsi="Arial"/>
        </w:rPr>
        <w:t xml:space="preserve"> </w:t>
      </w:r>
    </w:p>
  </w:footnote>
  <w:footnote w:id="28">
    <w:p w14:paraId="05F11ABC" w14:textId="3E25BF91" w:rsidR="00EE2BB3" w:rsidRPr="00166D0F" w:rsidRDefault="00EE2BB3" w:rsidP="0034629E">
      <w:pPr>
        <w:pStyle w:val="FootnoteText"/>
        <w:spacing w:after="60" w:line="264" w:lineRule="auto"/>
        <w:ind w:left="284" w:hanging="284"/>
        <w:jc w:val="left"/>
        <w:rPr>
          <w:rFonts w:ascii="Arial" w:hAnsi="Arial" w:cs="Arial"/>
          <w:lang w:val="fr-BE"/>
        </w:rPr>
      </w:pPr>
      <w:r>
        <w:rPr>
          <w:rStyle w:val="FootnoteReference"/>
          <w:sz w:val="20"/>
        </w:rPr>
        <w:footnoteRef/>
      </w:r>
      <w:r w:rsidRPr="00166D0F">
        <w:rPr>
          <w:rFonts w:ascii="Arial" w:hAnsi="Arial"/>
          <w:lang w:val="fr-BE"/>
        </w:rPr>
        <w:t xml:space="preserve"> </w:t>
      </w:r>
      <w:hyperlink r:id="rId29" w:history="1">
        <w:r w:rsidRPr="00166D0F">
          <w:rPr>
            <w:rStyle w:val="Hyperlink"/>
            <w:sz w:val="20"/>
            <w:lang w:val="fr-BE"/>
          </w:rPr>
          <w:t>Il-Konvenzjoni stabbiliet il-Kumitat CRPD, korp indipendenti li jissorvelja l-applikazzjoni ta’ dan it-trattat</w:t>
        </w:r>
      </w:hyperlink>
      <w:r w:rsidRPr="00166D0F">
        <w:rPr>
          <w:lang w:val="fr-BE"/>
        </w:rPr>
        <w:t>.</w:t>
      </w:r>
    </w:p>
  </w:footnote>
  <w:footnote w:id="29">
    <w:p w14:paraId="2B8C82C2" w14:textId="6DEFDA28"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30" w:history="1">
        <w:r w:rsidRPr="00166D0F">
          <w:rPr>
            <w:rStyle w:val="Hyperlink"/>
            <w:sz w:val="20"/>
            <w:lang w:val="fr-BE"/>
          </w:rPr>
          <w:t xml:space="preserve">C-356/12, </w:t>
        </w:r>
        <w:r w:rsidRPr="00166D0F">
          <w:rPr>
            <w:rStyle w:val="Hyperlink"/>
            <w:i/>
            <w:sz w:val="20"/>
            <w:lang w:val="fr-BE"/>
          </w:rPr>
          <w:t>Glatzel</w:t>
        </w:r>
      </w:hyperlink>
      <w:r w:rsidRPr="00166D0F">
        <w:rPr>
          <w:rFonts w:ascii="Arial" w:hAnsi="Arial"/>
          <w:lang w:val="fr-BE"/>
        </w:rPr>
        <w:t>.</w:t>
      </w:r>
    </w:p>
  </w:footnote>
  <w:footnote w:id="30">
    <w:p w14:paraId="360C4538" w14:textId="74779BD3" w:rsidR="00EE2BB3" w:rsidRPr="00B50F49" w:rsidRDefault="00EE2BB3" w:rsidP="0034629E">
      <w:pPr>
        <w:pStyle w:val="FootnoteText"/>
        <w:spacing w:after="60" w:line="264" w:lineRule="auto"/>
        <w:ind w:left="168" w:hanging="168"/>
        <w:jc w:val="left"/>
        <w:rPr>
          <w:rFonts w:ascii="Arial" w:hAnsi="Arial" w:cs="Arial"/>
          <w:lang w:val="fr-BE"/>
        </w:rPr>
      </w:pPr>
      <w:r>
        <w:rPr>
          <w:rStyle w:val="FootnoteReference"/>
          <w:sz w:val="20"/>
        </w:rPr>
        <w:footnoteRef/>
      </w:r>
      <w:r w:rsidRPr="00166D0F">
        <w:rPr>
          <w:rFonts w:ascii="Arial" w:hAnsi="Arial"/>
          <w:lang w:val="fr-BE"/>
        </w:rPr>
        <w:t xml:space="preserve"> </w:t>
      </w:r>
      <w:hyperlink r:id="rId31" w:history="1">
        <w:r w:rsidRPr="00166D0F">
          <w:rPr>
            <w:rStyle w:val="Hyperlink"/>
            <w:sz w:val="20"/>
            <w:lang w:val="fr-BE"/>
          </w:rPr>
          <w:t>Att dwar l-elezzjoni tal-membri tal-Parlament Ewropew b’vot universali dirett.</w:t>
        </w:r>
      </w:hyperlink>
      <w:hyperlink r:id="rId32" w:history="1">
        <w:r w:rsidRPr="00166D0F">
          <w:rPr>
            <w:rStyle w:val="Hyperlink"/>
            <w:sz w:val="20"/>
            <w:lang w:val="fr-BE"/>
          </w:rPr>
          <w:t xml:space="preserve"> </w:t>
        </w:r>
        <w:r w:rsidRPr="00B50F49">
          <w:rPr>
            <w:rStyle w:val="Hyperlink"/>
            <w:sz w:val="20"/>
            <w:lang w:val="fr-BE"/>
          </w:rPr>
          <w:t>Test konsolidat</w:t>
        </w:r>
      </w:hyperlink>
      <w:r w:rsidRPr="00B50F49">
        <w:rPr>
          <w:rFonts w:ascii="Arial" w:hAnsi="Arial"/>
          <w:lang w:val="fr-BE"/>
        </w:rPr>
        <w:t>.</w:t>
      </w:r>
    </w:p>
  </w:footnote>
  <w:footnote w:id="31">
    <w:p w14:paraId="7419373E" w14:textId="5D50E334" w:rsidR="00EE2BB3" w:rsidRPr="00B50F49" w:rsidRDefault="00EE2BB3" w:rsidP="0034629E">
      <w:pPr>
        <w:pStyle w:val="FootnoteText"/>
        <w:spacing w:after="60" w:line="264" w:lineRule="auto"/>
        <w:ind w:left="224" w:hanging="224"/>
        <w:jc w:val="left"/>
        <w:rPr>
          <w:rFonts w:ascii="Arial" w:hAnsi="Arial" w:cs="Arial"/>
          <w:lang w:val="fr-BE"/>
        </w:rPr>
      </w:pPr>
      <w:r>
        <w:rPr>
          <w:rStyle w:val="FootnoteReference"/>
          <w:rFonts w:eastAsiaTheme="majorEastAsia"/>
          <w:sz w:val="20"/>
        </w:rPr>
        <w:footnoteRef/>
      </w:r>
      <w:r w:rsidRPr="00B50F49">
        <w:rPr>
          <w:rFonts w:ascii="Arial" w:hAnsi="Arial"/>
          <w:lang w:val="fr-BE"/>
        </w:rPr>
        <w:t xml:space="preserve"> </w:t>
      </w:r>
      <w:hyperlink r:id="rId33" w:history="1">
        <w:r w:rsidRPr="00B50F49">
          <w:rPr>
            <w:rStyle w:val="Hyperlink"/>
            <w:sz w:val="20"/>
            <w:lang w:val="fr-BE"/>
          </w:rPr>
          <w:t>Proposta għal REGOLAMENT TAL-KUNSILL dwar l-elezzjoni tal-Membri tal-Parlament Ewropew b’vot universali dirett, li jħassar id-Deċiżjoni tal-Kunsill 76/787/KEFA, KEE, Euratom u l-Att li jikkonċerna l-elezzjoni tal-Membri tal-Parlament Ewropew b’vot dirett universali anness ma’ dik id-Deċiżjoni</w:t>
        </w:r>
      </w:hyperlink>
      <w:r w:rsidRPr="00B50F49">
        <w:rPr>
          <w:rFonts w:ascii="Arial" w:hAnsi="Arial"/>
          <w:lang w:val="fr-BE"/>
        </w:rPr>
        <w:t>.</w:t>
      </w:r>
    </w:p>
  </w:footnote>
  <w:footnote w:id="32">
    <w:p w14:paraId="5E04927E" w14:textId="77777777" w:rsidR="00EE2BB3" w:rsidRPr="00B50F49" w:rsidRDefault="00EE2BB3" w:rsidP="0034629E">
      <w:pPr>
        <w:pStyle w:val="FootnoteText"/>
        <w:spacing w:after="60" w:line="264" w:lineRule="auto"/>
        <w:ind w:left="224" w:hanging="224"/>
        <w:jc w:val="left"/>
        <w:rPr>
          <w:rFonts w:ascii="Arial" w:hAnsi="Arial" w:cs="Arial"/>
          <w:lang w:val="fr-BE"/>
        </w:rPr>
      </w:pPr>
      <w:r>
        <w:rPr>
          <w:rStyle w:val="FootnoteReference"/>
          <w:sz w:val="20"/>
        </w:rPr>
        <w:footnoteRef/>
      </w:r>
      <w:r w:rsidRPr="00B50F49">
        <w:rPr>
          <w:rFonts w:ascii="Arial" w:hAnsi="Arial"/>
          <w:lang w:val="fr-BE"/>
        </w:rPr>
        <w:t xml:space="preserve"> “Kull ċittadin tal-Unjoni mill-età ta’ 16-il sena, </w:t>
      </w:r>
      <w:r w:rsidRPr="00B50F49">
        <w:rPr>
          <w:rFonts w:ascii="Arial" w:hAnsi="Arial"/>
          <w:b/>
          <w:bCs/>
          <w:lang w:val="fr-BE"/>
        </w:rPr>
        <w:t>inklużi l-persuni b’diżabilità irrispettivament mill-kapaċità ġuridika tagħhom,</w:t>
      </w:r>
      <w:r w:rsidRPr="00B50F49">
        <w:rPr>
          <w:rFonts w:ascii="Arial" w:hAnsi="Arial"/>
          <w:lang w:val="fr-BE"/>
        </w:rPr>
        <w:t xml:space="preserve"> għandu jkollu d-dritt li jivvota fl-elezzjonijiet tal-Parlament Ewropew mingħajr preġudizzju għall-ordnijiet kostituzzjonali eżistenti li jistabbilixxu età minima tal-vot ta’ 18-il sena jew 17-il sena.”</w:t>
      </w:r>
    </w:p>
  </w:footnote>
  <w:footnote w:id="33">
    <w:p w14:paraId="4F8990C0" w14:textId="77777777" w:rsidR="00EE2BB3" w:rsidRPr="00B50F49" w:rsidRDefault="00EE2BB3" w:rsidP="0034629E">
      <w:pPr>
        <w:spacing w:after="60" w:line="264" w:lineRule="auto"/>
        <w:ind w:left="224" w:hanging="224"/>
        <w:rPr>
          <w:sz w:val="20"/>
          <w:lang w:val="fr-BE"/>
        </w:rPr>
      </w:pPr>
      <w:r>
        <w:rPr>
          <w:sz w:val="20"/>
          <w:vertAlign w:val="superscript"/>
        </w:rPr>
        <w:footnoteRef/>
      </w:r>
      <w:r w:rsidRPr="00B50F49">
        <w:rPr>
          <w:sz w:val="20"/>
          <w:lang w:val="fr-BE"/>
        </w:rPr>
        <w:t xml:space="preserve"> B’riżultat ta’ dan, kwalunkwe limitazzjoni għandha tikkonforma mal-Artikolu 52 tal-Karta tad-Drittijiet Fundamentali tal-UE, u, b’mod partikolari, għandha tiġi prevista mil-liġi u tirrispetta l-essenza ta’ dawk id-drittijiet u l-libertajiet. Barra minn hekk, jistgħu jsiru limitazzjonijiet f’dawk il-każijiet biss fejn ikun meħtieġ u fejn ġenwinament jintlaħqu l-objettivi ta’ interess ġenerali rikonoxxuti mill-UE jew il-ħtieġa li jiġu protetti d-drittijiet u l-libertajiet ta’ ħaddieħor, soġġetti għall-prinċipju tal-proporzjonalità.</w:t>
      </w:r>
    </w:p>
  </w:footnote>
  <w:footnote w:id="34">
    <w:p w14:paraId="0FEA642A" w14:textId="02357169" w:rsidR="00EE2BB3" w:rsidRPr="00B50F49"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sidRPr="00B50F49">
        <w:rPr>
          <w:rFonts w:ascii="Arial" w:hAnsi="Arial"/>
          <w:lang w:val="fr-BE"/>
        </w:rPr>
        <w:t xml:space="preserve"> </w:t>
      </w:r>
      <w:hyperlink r:id="rId34" w:history="1">
        <w:r w:rsidRPr="00B50F49">
          <w:rPr>
            <w:rStyle w:val="Hyperlink"/>
            <w:sz w:val="20"/>
            <w:lang w:val="fr-BE"/>
          </w:rPr>
          <w:t>Id-Direttiva tal-Kunsill 93/109/KE tas-6 ta’ Diċembru 1993 dwar arranġamenti dettaljati sabiex jiġi eżerċitat id-dritt għall-vot u għall-kandidatura fl-elezzjonijiet tal-Parlament Ewropew għaċ-ċittadini tal-Unjoni li joqogħdu fi Stat Membru li tiegħu ma jkunux ċittadini.</w:t>
        </w:r>
      </w:hyperlink>
      <w:hyperlink r:id="rId35" w:history="1">
        <w:r w:rsidRPr="00B50F49">
          <w:rPr>
            <w:rStyle w:val="Hyperlink"/>
            <w:sz w:val="20"/>
            <w:lang w:val="fr-BE"/>
          </w:rPr>
          <w:t xml:space="preserve"> Test konsolidat</w:t>
        </w:r>
      </w:hyperlink>
      <w:r w:rsidRPr="00B50F49">
        <w:rPr>
          <w:rFonts w:ascii="Arial" w:hAnsi="Arial"/>
          <w:lang w:val="fr-BE"/>
        </w:rPr>
        <w:t>.</w:t>
      </w:r>
    </w:p>
  </w:footnote>
  <w:footnote w:id="35">
    <w:p w14:paraId="0E4480A2" w14:textId="7196C0D4" w:rsidR="00EE2BB3" w:rsidRPr="00B50F49"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B50F49">
        <w:rPr>
          <w:rFonts w:ascii="Arial" w:hAnsi="Arial"/>
          <w:lang w:val="fr-BE"/>
        </w:rPr>
        <w:t xml:space="preserve"> </w:t>
      </w:r>
      <w:hyperlink r:id="rId36" w:history="1">
        <w:r w:rsidRPr="00B50F49">
          <w:rPr>
            <w:rStyle w:val="Hyperlink"/>
            <w:sz w:val="20"/>
            <w:lang w:val="fr-BE"/>
          </w:rPr>
          <w:t>Id-Direttiva tal-Kunsill 94/80/KE tad-19 ta’ Diċembru 1994 li tistipula arranġamenti dettaljati għall-eżerċizzju tad-dritt tal-vot u tal-kandidatura f’elezzjonijiet muniċipali minn ċittadin tal-Unjoni li jgħixu fi Stat Membru li tiegħu ma humiex ċittadini.</w:t>
        </w:r>
      </w:hyperlink>
      <w:hyperlink r:id="rId37" w:history="1">
        <w:r w:rsidRPr="00B50F49">
          <w:rPr>
            <w:rStyle w:val="Hyperlink"/>
            <w:sz w:val="20"/>
            <w:lang w:val="fr-BE"/>
          </w:rPr>
          <w:t xml:space="preserve"> Test konsolidat</w:t>
        </w:r>
      </w:hyperlink>
      <w:r w:rsidRPr="00B50F49">
        <w:rPr>
          <w:rFonts w:ascii="Arial" w:hAnsi="Arial"/>
          <w:lang w:val="fr-BE"/>
        </w:rPr>
        <w:t>.</w:t>
      </w:r>
    </w:p>
  </w:footnote>
  <w:footnote w:id="36">
    <w:p w14:paraId="47E5915D" w14:textId="52121C86" w:rsidR="00EE2BB3" w:rsidRPr="00B50F49" w:rsidRDefault="00EE2BB3" w:rsidP="0034629E">
      <w:pPr>
        <w:pStyle w:val="FootnoteText"/>
        <w:spacing w:after="60" w:line="264" w:lineRule="auto"/>
        <w:jc w:val="left"/>
        <w:rPr>
          <w:rFonts w:ascii="Arial" w:hAnsi="Arial" w:cs="Arial"/>
          <w:lang w:val="fr-BE"/>
        </w:rPr>
      </w:pPr>
      <w:r>
        <w:rPr>
          <w:rStyle w:val="FootnoteReference"/>
          <w:sz w:val="20"/>
        </w:rPr>
        <w:footnoteRef/>
      </w:r>
      <w:r w:rsidRPr="00B50F49">
        <w:rPr>
          <w:rFonts w:ascii="Arial" w:hAnsi="Arial"/>
          <w:lang w:val="fr-BE"/>
        </w:rPr>
        <w:t xml:space="preserve"> </w:t>
      </w:r>
      <w:hyperlink r:id="rId38" w:history="1">
        <w:r w:rsidRPr="00B50F49">
          <w:rPr>
            <w:rStyle w:val="Hyperlink"/>
            <w:sz w:val="20"/>
            <w:lang w:val="fr-BE"/>
          </w:rPr>
          <w:t>Demokrazija u drittijiet elettorali (europa.eu)</w:t>
        </w:r>
      </w:hyperlink>
      <w:r w:rsidRPr="00B50F49">
        <w:rPr>
          <w:rStyle w:val="Hyperlink"/>
          <w:sz w:val="20"/>
          <w:lang w:val="fr-BE"/>
        </w:rPr>
        <w:t>.</w:t>
      </w:r>
    </w:p>
  </w:footnote>
  <w:footnote w:id="37">
    <w:p w14:paraId="52EE9B9A" w14:textId="6D57FDF6" w:rsidR="00EE2BB3" w:rsidRPr="00B50F49" w:rsidRDefault="00EE2BB3" w:rsidP="0034629E">
      <w:pPr>
        <w:spacing w:after="60" w:line="264" w:lineRule="auto"/>
        <w:ind w:left="196" w:hanging="196"/>
        <w:rPr>
          <w:sz w:val="20"/>
          <w:lang w:val="fr-BE"/>
        </w:rPr>
      </w:pPr>
      <w:r>
        <w:rPr>
          <w:rStyle w:val="FootnoteReference"/>
          <w:sz w:val="20"/>
        </w:rPr>
        <w:footnoteRef/>
      </w:r>
      <w:r w:rsidRPr="00B50F49">
        <w:rPr>
          <w:sz w:val="20"/>
          <w:lang w:val="fr-BE"/>
        </w:rPr>
        <w:t xml:space="preserve"> </w:t>
      </w:r>
      <w:hyperlink r:id="rId39" w:history="1">
        <w:r w:rsidRPr="00B50F49">
          <w:rPr>
            <w:rStyle w:val="Hyperlink"/>
            <w:sz w:val="20"/>
            <w:lang w:val="fr-BE"/>
          </w:rPr>
          <w:t>Proposta għal Regolament tal-Parlament Ewropew u tal-Kunsill dwar it-trasparenza u l-immirar tar-reklamar politiku</w:t>
        </w:r>
      </w:hyperlink>
      <w:r w:rsidRPr="00B50F49">
        <w:rPr>
          <w:lang w:val="fr-BE"/>
        </w:rPr>
        <w:t>.</w:t>
      </w:r>
      <w:r w:rsidRPr="00B50F49">
        <w:rPr>
          <w:sz w:val="20"/>
          <w:lang w:val="fr-BE"/>
        </w:rPr>
        <w:t xml:space="preserve"> </w:t>
      </w:r>
    </w:p>
  </w:footnote>
  <w:footnote w:id="38">
    <w:p w14:paraId="15FD588E" w14:textId="57B9A4BB" w:rsidR="00EE2BB3" w:rsidRPr="00B50F49"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B50F49">
        <w:rPr>
          <w:rFonts w:ascii="Arial" w:hAnsi="Arial"/>
          <w:lang w:val="fr-BE"/>
        </w:rPr>
        <w:t xml:space="preserve"> </w:t>
      </w:r>
      <w:hyperlink r:id="rId40" w:history="1">
        <w:r w:rsidRPr="00B50F49">
          <w:rPr>
            <w:rStyle w:val="Hyperlink"/>
            <w:sz w:val="20"/>
            <w:lang w:val="fr-BE"/>
          </w:rPr>
          <w:t>Id-Direttiva (UE) 2019/882 tal-Parlament Ewropew u tal-Kunsill tas-17 ta’ April 2019 dwar ir-rekwiżiti ta’ aċċessibbiltà għall-prodotti u għas-servizzi</w:t>
        </w:r>
      </w:hyperlink>
      <w:r w:rsidRPr="00B50F49">
        <w:rPr>
          <w:lang w:val="fr-BE"/>
        </w:rPr>
        <w:t>.</w:t>
      </w:r>
      <w:r w:rsidRPr="00B50F49">
        <w:rPr>
          <w:rFonts w:ascii="Arial" w:hAnsi="Arial"/>
          <w:lang w:val="fr-BE"/>
        </w:rPr>
        <w:t xml:space="preserve"> </w:t>
      </w:r>
    </w:p>
  </w:footnote>
  <w:footnote w:id="39">
    <w:p w14:paraId="1458CD8C" w14:textId="10FC0946" w:rsidR="00EE2BB3" w:rsidRPr="00B50F49"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B50F49">
        <w:rPr>
          <w:rFonts w:ascii="Arial" w:hAnsi="Arial"/>
          <w:lang w:val="es-ES"/>
        </w:rPr>
        <w:t xml:space="preserve"> </w:t>
      </w:r>
      <w:hyperlink r:id="rId41" w:history="1">
        <w:r w:rsidRPr="00B50F49">
          <w:rPr>
            <w:rStyle w:val="Hyperlink"/>
            <w:sz w:val="20"/>
            <w:lang w:val="es-ES"/>
          </w:rPr>
          <w:t>Id-Direttiva 2014/24/UE tal-Parlament Ewropew u tal-Kunsill tas-26 ta’ Frar 2014 dwar l-akkwist pubbliku u li tħassar id-Direttiva 2004/18/KE</w:t>
        </w:r>
      </w:hyperlink>
      <w:r w:rsidRPr="00B50F49">
        <w:rPr>
          <w:rStyle w:val="Hyperlink"/>
          <w:sz w:val="20"/>
          <w:lang w:val="es-ES"/>
        </w:rPr>
        <w:t>.</w:t>
      </w:r>
      <w:r w:rsidRPr="00B50F49">
        <w:rPr>
          <w:rFonts w:ascii="Arial" w:hAnsi="Arial"/>
          <w:lang w:val="es-ES"/>
        </w:rPr>
        <w:t xml:space="preserve"> </w:t>
      </w:r>
    </w:p>
  </w:footnote>
  <w:footnote w:id="40">
    <w:p w14:paraId="0734FE8D" w14:textId="2AD34AC1" w:rsidR="00EE2BB3" w:rsidRPr="00B50F49"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B50F49">
        <w:rPr>
          <w:rFonts w:ascii="Arial" w:hAnsi="Arial"/>
          <w:lang w:val="es-ES"/>
        </w:rPr>
        <w:t xml:space="preserve"> </w:t>
      </w:r>
      <w:hyperlink r:id="rId42" w:history="1">
        <w:r w:rsidRPr="00B50F49">
          <w:rPr>
            <w:rStyle w:val="Hyperlink"/>
            <w:sz w:val="20"/>
            <w:lang w:val="es-ES"/>
          </w:rPr>
          <w:t>Id-Direttiva 2014/25/UE tal-Parlament Ewropew u tal-Kunsill tas-26 ta’ Frar 2014 dwar l-akkwist minn entitajiet li joperaw fis-setturi tas-servizzi tal-ilma, l-enerġija, it-trasport u postali u li tħassar id-Direttiva 2004/17/KE</w:t>
        </w:r>
      </w:hyperlink>
      <w:r w:rsidRPr="00B50F49">
        <w:rPr>
          <w:lang w:val="es-ES"/>
        </w:rPr>
        <w:t>.</w:t>
      </w:r>
    </w:p>
  </w:footnote>
  <w:footnote w:id="41">
    <w:p w14:paraId="212121F0" w14:textId="7F8D9409" w:rsidR="00EE2BB3" w:rsidRPr="00B50F49" w:rsidRDefault="00EE2BB3" w:rsidP="0034629E">
      <w:pPr>
        <w:pStyle w:val="FootnoteText"/>
        <w:spacing w:after="60" w:line="264" w:lineRule="auto"/>
        <w:ind w:left="196" w:hanging="196"/>
        <w:jc w:val="left"/>
        <w:rPr>
          <w:rFonts w:ascii="Arial" w:hAnsi="Arial" w:cs="Arial"/>
          <w:lang w:val="es-ES"/>
        </w:rPr>
      </w:pPr>
      <w:r>
        <w:rPr>
          <w:rStyle w:val="FootnoteReference"/>
          <w:rFonts w:eastAsiaTheme="majorEastAsia"/>
          <w:sz w:val="20"/>
        </w:rPr>
        <w:footnoteRef/>
      </w:r>
      <w:r w:rsidRPr="00B50F49">
        <w:rPr>
          <w:rFonts w:ascii="Arial" w:hAnsi="Arial"/>
          <w:lang w:val="es-ES"/>
        </w:rPr>
        <w:t xml:space="preserve"> </w:t>
      </w:r>
      <w:hyperlink r:id="rId43" w:history="1">
        <w:r w:rsidRPr="00B50F49">
          <w:rPr>
            <w:rStyle w:val="Hyperlink"/>
            <w:sz w:val="20"/>
            <w:lang w:val="es-ES"/>
          </w:rPr>
          <w:t>Id-Direttiva (UE) 2016/2102 tal-Parlament Ewropew u tal-Kunsill tas-26 ta’ Ottubru 2016 dwar l-aċċessibbiltà tas-siti elettroniċi u tal-applikazzjonijiet mobbli tal-korpi tas-settur pubbliku</w:t>
        </w:r>
      </w:hyperlink>
      <w:r w:rsidRPr="00B50F49">
        <w:rPr>
          <w:lang w:val="es-ES"/>
        </w:rPr>
        <w:t>.</w:t>
      </w:r>
    </w:p>
  </w:footnote>
  <w:footnote w:id="42">
    <w:p w14:paraId="2114E3F0" w14:textId="36855486" w:rsidR="00EE2BB3" w:rsidRPr="00B50F49"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B50F49">
        <w:rPr>
          <w:rFonts w:ascii="Arial" w:hAnsi="Arial"/>
          <w:lang w:val="es-ES"/>
        </w:rPr>
        <w:t xml:space="preserve"> </w:t>
      </w:r>
      <w:hyperlink r:id="rId44" w:history="1">
        <w:r w:rsidRPr="00B50F49">
          <w:rPr>
            <w:rStyle w:val="Hyperlink"/>
            <w:sz w:val="20"/>
            <w:lang w:val="es-ES"/>
          </w:rPr>
          <w:t>Id-Direttiva 2010/13/UE tal-Parlament Ewropew u tal-Kunsill tal-10 ta’ Marzu 2010 dwar il-koordinazzjoni ta’ ċerti dispożizzjonijiet stabbiliti bil-liġi, b’regolament jew b’azzjoni amministrattiva fi Stati Membri dwar il-forniment ta’ servizzi tal-media awdjoviżiva (Direttiva dwar is-Servizzi tal-Media Awdjoviżiva)</w:t>
        </w:r>
      </w:hyperlink>
      <w:r w:rsidRPr="00B50F49">
        <w:rPr>
          <w:rFonts w:ascii="Arial" w:hAnsi="Arial"/>
          <w:lang w:val="es-ES"/>
        </w:rPr>
        <w:t xml:space="preserve"> </w:t>
      </w:r>
    </w:p>
  </w:footnote>
  <w:footnote w:id="43">
    <w:p w14:paraId="31B6330F" w14:textId="77B8DA87" w:rsidR="00EE2BB3" w:rsidRPr="00B50F49"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B50F49">
        <w:rPr>
          <w:rFonts w:ascii="Arial" w:hAnsi="Arial"/>
          <w:lang w:val="es-ES"/>
        </w:rPr>
        <w:t xml:space="preserve"> </w:t>
      </w:r>
      <w:hyperlink r:id="rId45" w:history="1">
        <w:r w:rsidRPr="00B50F49">
          <w:rPr>
            <w:rStyle w:val="Hyperlink"/>
            <w:sz w:val="20"/>
            <w:lang w:val="es-ES"/>
          </w:rPr>
          <w:t>Proposta għal Direttiva tal-Parlament Ewropew u tal-Kunsill li tistabbilixxi l-Kard Ewropea tad-Diżabilità u l-Kard Ewropea għall-Parkeġġ għall-persuni b’diżabilità</w:t>
        </w:r>
      </w:hyperlink>
      <w:r w:rsidRPr="00B50F49">
        <w:rPr>
          <w:lang w:val="es-ES"/>
        </w:rPr>
        <w:t>.</w:t>
      </w:r>
      <w:r w:rsidRPr="00B50F49">
        <w:rPr>
          <w:rFonts w:ascii="Arial" w:hAnsi="Arial"/>
          <w:lang w:val="es-ES"/>
        </w:rPr>
        <w:t xml:space="preserve"> Il-QĠUE kopriet il-kunċett/id-definizzjoni ta’ diżabilità f’diversi każijiet, bħal: Il-Kawża C-13/05, Chacón Navas vs Eurest Colectividades SA, ECLI:EU:C:2006:456; Il-Kawża C–303/06, Coleman vs Attridge Law, ECLI:EU:C:2008:415; Il-Kawżi Magħquda C-335/11 u C-337/11, HK Danmark, li jaġixxu f’isem Jette Ring vs Dansk almennyttigt Boligselskab u HK Danmark, li jaġixxu f’isem Lone Skouboe Werge vs Dansk Arbejdsgiverforening, li jaġixxu f’isem Pro Display A/S (Ring u Skouboe Werge), ECLI:EU:C:2013:222; Il-Kawża C-363/12, Z vs Dipartiment tal-Gvern, il-Bord tat-tmexxija ta’ skola komunitarja, ECLI:EU:C:2014:159; Il-Kawża C-354/13, FOA li taġixxi f’isem Karsten Kaltoft, ECLI:EU:C:2014:2463; Il-Kawża C-395/15, Daouradi vs Bootes Plus SL </w:t>
      </w:r>
      <w:r w:rsidRPr="00B50F49">
        <w:rPr>
          <w:rFonts w:ascii="Arial" w:hAnsi="Arial"/>
          <w:i/>
          <w:iCs/>
          <w:lang w:val="es-ES"/>
        </w:rPr>
        <w:t>et</w:t>
      </w:r>
      <w:r w:rsidRPr="00B50F49">
        <w:rPr>
          <w:rFonts w:ascii="Arial" w:hAnsi="Arial"/>
          <w:lang w:val="es-ES"/>
        </w:rPr>
        <w:t>, ECLI:EU:C:2016:917; Il-Kawża C-270/16, Ruiz Conejero, ECLI:EU:C:2018:17; Il-Kawża C-406/15 Milkova, ECLI:EU:C:2017:198.</w:t>
      </w:r>
    </w:p>
  </w:footnote>
  <w:footnote w:id="44">
    <w:p w14:paraId="1B7D4E8C" w14:textId="745FCEC7" w:rsidR="00EE2BB3" w:rsidRPr="00B50F49" w:rsidRDefault="00EE2BB3" w:rsidP="0034629E">
      <w:pPr>
        <w:pStyle w:val="FootnoteText"/>
        <w:spacing w:after="60" w:line="264" w:lineRule="auto"/>
        <w:jc w:val="left"/>
        <w:rPr>
          <w:rFonts w:ascii="Arial" w:hAnsi="Arial" w:cs="Arial"/>
          <w:lang w:val="es-ES"/>
        </w:rPr>
      </w:pPr>
      <w:r>
        <w:rPr>
          <w:rStyle w:val="FootnoteReference"/>
          <w:sz w:val="20"/>
        </w:rPr>
        <w:footnoteRef/>
      </w:r>
      <w:r w:rsidRPr="00B50F49">
        <w:rPr>
          <w:rFonts w:ascii="Arial" w:hAnsi="Arial"/>
          <w:lang w:val="es-ES"/>
        </w:rPr>
        <w:t xml:space="preserve"> </w:t>
      </w:r>
      <w:hyperlink r:id="rId46" w:history="1">
        <w:r w:rsidRPr="00B50F49">
          <w:rPr>
            <w:rStyle w:val="Hyperlink"/>
            <w:sz w:val="20"/>
            <w:lang w:val="es-ES"/>
          </w:rPr>
          <w:t>Il-Konvenzjoni Ewropea dwar id-Drittijiet tal-Bniedem (coe.int)</w:t>
        </w:r>
      </w:hyperlink>
      <w:r w:rsidRPr="00B50F49">
        <w:rPr>
          <w:lang w:val="es-ES"/>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sz w:val="20"/>
          </w:rPr>
          <w:t>The political rights of persons with disabilities:</w:t>
        </w:r>
      </w:hyperlink>
      <w:hyperlink r:id="rId48" w:history="1">
        <w:r>
          <w:rPr>
            <w:rStyle w:val="Hyperlink"/>
            <w:sz w:val="20"/>
          </w:rPr>
          <w:t xml:space="preserve"> a democratic issue</w:t>
        </w:r>
      </w:hyperlink>
      <w:r>
        <w:rPr>
          <w:rFonts w:ascii="Arial" w:hAnsi="Arial"/>
        </w:rPr>
        <w:t>.</w:t>
      </w:r>
    </w:p>
  </w:footnote>
  <w:footnote w:id="46">
    <w:p w14:paraId="7774CE87" w14:textId="0CE0FDA3"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49" w:anchor="{%22itemid%22:[%22001-98800%22]}" w:history="1">
        <w:r w:rsidRPr="00166D0F">
          <w:rPr>
            <w:rStyle w:val="Hyperlink"/>
            <w:sz w:val="20"/>
            <w:lang w:val="fr-BE"/>
          </w:rPr>
          <w:t>Il-Kawża ta’ Alajos Kiss vs L-Ungerija</w:t>
        </w:r>
      </w:hyperlink>
      <w:r w:rsidRPr="00166D0F">
        <w:rPr>
          <w:rFonts w:ascii="Arial" w:hAnsi="Arial"/>
          <w:lang w:val="fr-BE"/>
        </w:rPr>
        <w:t>.</w:t>
      </w:r>
    </w:p>
  </w:footnote>
  <w:footnote w:id="47">
    <w:p w14:paraId="4FB2B478" w14:textId="33AB90EA"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50" w:anchor="{%22itemid%22:[%22001-215603%22]}" w:history="1">
        <w:r w:rsidRPr="00166D0F">
          <w:rPr>
            <w:rStyle w:val="Hyperlink"/>
            <w:sz w:val="20"/>
            <w:lang w:val="fr-BE"/>
          </w:rPr>
          <w:t>Il-Kawża ta’ Anatoliy Marinov vs Il-Bulgarija</w:t>
        </w:r>
      </w:hyperlink>
      <w:r w:rsidRPr="00166D0F">
        <w:rPr>
          <w:rFonts w:ascii="Arial" w:hAnsi="Arial"/>
          <w:lang w:val="fr-BE"/>
        </w:rPr>
        <w:t>.</w:t>
      </w:r>
    </w:p>
  </w:footnote>
  <w:footnote w:id="48">
    <w:p w14:paraId="172C72AC" w14:textId="4611D701"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51" w:anchor="{%22itemid%22:[%22001-207667%22]}" w:history="1">
        <w:r w:rsidRPr="00166D0F">
          <w:rPr>
            <w:rStyle w:val="Hyperlink"/>
            <w:sz w:val="20"/>
            <w:lang w:val="fr-BE"/>
          </w:rPr>
          <w:t>Il-Kawża ta’ Strøbye u Rosenlind vs Id-Danimarka</w:t>
        </w:r>
      </w:hyperlink>
      <w:r w:rsidRPr="00166D0F">
        <w:rPr>
          <w:rFonts w:ascii="Arial" w:hAnsi="Arial"/>
          <w:lang w:val="fr-BE"/>
        </w:rPr>
        <w:t>.</w:t>
      </w:r>
    </w:p>
  </w:footnote>
  <w:footnote w:id="49">
    <w:p w14:paraId="449369E1" w14:textId="05705BB1"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52" w:anchor="{%22itemid%22:[%22001-210089%22]}" w:history="1">
        <w:r w:rsidRPr="00166D0F">
          <w:rPr>
            <w:rStyle w:val="Hyperlink"/>
            <w:sz w:val="20"/>
            <w:lang w:val="fr-BE"/>
          </w:rPr>
          <w:t>Il-Kawża ta’ Caamaño Valle vs Spanja</w:t>
        </w:r>
      </w:hyperlink>
      <w:r w:rsidRPr="00166D0F">
        <w:rPr>
          <w:rFonts w:ascii="Arial" w:hAnsi="Arial"/>
          <w:lang w:val="fr-BE"/>
        </w:rPr>
        <w:t>.</w:t>
      </w:r>
    </w:p>
  </w:footnote>
  <w:footnote w:id="50">
    <w:p w14:paraId="6CB71C3A" w14:textId="32ACFD16"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53" w:anchor="{%22itemid%22:[%22001-75427%22]}" w:history="1">
        <w:r w:rsidRPr="00166D0F">
          <w:rPr>
            <w:rStyle w:val="Hyperlink"/>
            <w:sz w:val="20"/>
            <w:lang w:val="fr-BE"/>
          </w:rPr>
          <w:t>Il-Kawża ta’ Mółka vs Il-Polonja, 2006</w:t>
        </w:r>
      </w:hyperlink>
      <w:r w:rsidRPr="00166D0F">
        <w:rPr>
          <w:rStyle w:val="Hyperlink"/>
          <w:sz w:val="20"/>
          <w:u w:val="none"/>
          <w:lang w:val="fr-B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Revised Interpretative Declaration to the Code of Good Practice in Electoral Matters on the Participation of People with Disabilities in Elections</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Għal aktar informazzjoni, ara l-</w:t>
      </w:r>
      <w:hyperlink r:id="rId55" w:history="1">
        <w:r>
          <w:rPr>
            <w:rStyle w:val="Hyperlink"/>
            <w:sz w:val="20"/>
          </w:rPr>
          <w:t>artikolu Elezzjonijiet</w:t>
        </w:r>
      </w:hyperlink>
      <w:r>
        <w:rPr>
          <w:rFonts w:ascii="Arial" w:hAnsi="Arial"/>
        </w:rPr>
        <w:t xml:space="preserve"> tal-Organizzazzjoni għas-Sigurtà u l-Kooperazzjoni fl-Ewropa (OSKE).</w:t>
      </w:r>
    </w:p>
  </w:footnote>
  <w:footnote w:id="53">
    <w:p w14:paraId="53749B8D" w14:textId="39F17333" w:rsidR="00EE2BB3" w:rsidRPr="00B50F49" w:rsidRDefault="00EE2BB3" w:rsidP="0034629E">
      <w:pPr>
        <w:pStyle w:val="FootnoteText"/>
        <w:spacing w:after="60" w:line="264" w:lineRule="auto"/>
        <w:ind w:left="196" w:hanging="196"/>
        <w:jc w:val="left"/>
        <w:rPr>
          <w:rFonts w:ascii="Arial" w:hAnsi="Arial" w:cs="Arial"/>
          <w:lang w:val="es-ES"/>
        </w:rPr>
      </w:pPr>
      <w:r>
        <w:rPr>
          <w:rStyle w:val="FootnoteReference"/>
          <w:sz w:val="20"/>
        </w:rPr>
        <w:footnoteRef/>
      </w:r>
      <w:r w:rsidRPr="00B50F49">
        <w:rPr>
          <w:rFonts w:ascii="Arial" w:hAnsi="Arial"/>
          <w:lang w:val="es-ES"/>
        </w:rPr>
        <w:t xml:space="preserve"> </w:t>
      </w:r>
      <w:hyperlink r:id="rId56" w:history="1">
        <w:r w:rsidRPr="00B50F49">
          <w:rPr>
            <w:rStyle w:val="Hyperlink"/>
            <w:sz w:val="20"/>
            <w:lang w:val="es-ES"/>
          </w:rPr>
          <w:t>Strategia națională „O Românie echitabilă”, 2022-2027 – Autoritatea Naţională pentru Protecția Drepturilor Persoanelor cu Dizabilități (gov.ro)</w:t>
        </w:r>
      </w:hyperlink>
      <w:r w:rsidRPr="00B50F49">
        <w:rPr>
          <w:rFonts w:ascii="Arial" w:hAnsi="Arial"/>
          <w:lang w:val="es-ES"/>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Ara, pereżempju,</w:t>
      </w:r>
      <w:r>
        <w:rPr>
          <w:rFonts w:ascii="Arial" w:hAnsi="Arial"/>
        </w:rPr>
        <w:t xml:space="preserve"> </w:t>
      </w:r>
      <w:hyperlink r:id="rId57" w:history="1">
        <w:r>
          <w:rPr>
            <w:rStyle w:val="Hyperlink"/>
            <w:sz w:val="20"/>
          </w:rPr>
          <w:t>Yle broadcasts municipal election debate in “Easy Finnish”</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Ireland’s Statutory, Independent Electoral Commission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Disability Rights in the European Elections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Creating successful campaigns for more accessible elections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Recommendations for Accessible Elections in Europe</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Good Practices for Accessible Elections in Europe</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Sit web ta’ ONCE</w:t>
        </w:r>
      </w:hyperlink>
      <w:r>
        <w:rPr>
          <w:rFonts w:ascii="Arial" w:hAnsi="Arial"/>
        </w:rPr>
        <w:t>.</w:t>
      </w:r>
    </w:p>
  </w:footnote>
  <w:footnote w:id="61">
    <w:p w14:paraId="168F3D8E" w14:textId="7362DCED" w:rsidR="00EE2BB3" w:rsidRPr="00B50F49" w:rsidRDefault="00EE2BB3" w:rsidP="0034629E">
      <w:pPr>
        <w:pStyle w:val="FootnoteText"/>
        <w:spacing w:after="60" w:line="264" w:lineRule="auto"/>
        <w:jc w:val="left"/>
        <w:rPr>
          <w:rFonts w:ascii="Arial" w:hAnsi="Arial" w:cs="Arial"/>
          <w:lang w:val="es-ES"/>
        </w:rPr>
      </w:pPr>
      <w:r>
        <w:rPr>
          <w:rStyle w:val="FootnoteReference"/>
          <w:sz w:val="20"/>
        </w:rPr>
        <w:footnoteRef/>
      </w:r>
      <w:r>
        <w:rPr>
          <w:rFonts w:ascii="Arial" w:hAnsi="Arial"/>
        </w:rPr>
        <w:t xml:space="preserve"> </w:t>
      </w:r>
      <w:hyperlink r:id="rId64" w:history="1">
        <w:r>
          <w:rPr>
            <w:rStyle w:val="Hyperlink"/>
            <w:sz w:val="20"/>
          </w:rPr>
          <w:t>Accessibility</w:t>
        </w:r>
      </w:hyperlink>
      <w:r>
        <w:t>.</w:t>
      </w:r>
      <w:r>
        <w:rPr>
          <w:rFonts w:ascii="Arial" w:hAnsi="Arial"/>
        </w:rPr>
        <w:t xml:space="preserve"> </w:t>
      </w:r>
      <w:r w:rsidRPr="00B50F49">
        <w:rPr>
          <w:rFonts w:ascii="Arial" w:hAnsi="Arial"/>
          <w:lang w:val="es-ES"/>
        </w:rPr>
        <w:t xml:space="preserve">Elecciones Generales Julio 2023. </w:t>
      </w:r>
    </w:p>
  </w:footnote>
  <w:footnote w:id="62">
    <w:p w14:paraId="2142C31E" w14:textId="77777777" w:rsidR="0034629E" w:rsidRPr="00B50F49" w:rsidRDefault="0034629E" w:rsidP="0034629E">
      <w:pPr>
        <w:pStyle w:val="FootnoteText"/>
        <w:spacing w:after="60" w:line="264" w:lineRule="auto"/>
        <w:jc w:val="left"/>
        <w:rPr>
          <w:rFonts w:ascii="Arial" w:hAnsi="Arial" w:cs="Arial"/>
          <w:lang w:val="es-ES"/>
        </w:rPr>
      </w:pPr>
      <w:r>
        <w:rPr>
          <w:rStyle w:val="FootnoteReference"/>
          <w:sz w:val="20"/>
        </w:rPr>
        <w:footnoteRef/>
      </w:r>
      <w:r w:rsidRPr="00B50F49">
        <w:rPr>
          <w:rFonts w:ascii="Arial" w:hAnsi="Arial"/>
          <w:lang w:val="es-ES"/>
        </w:rPr>
        <w:t xml:space="preserve"> 28 ta’ Mejju 2023.</w:t>
      </w:r>
    </w:p>
  </w:footnote>
  <w:footnote w:id="63">
    <w:p w14:paraId="46DD268D" w14:textId="4217523E" w:rsidR="00EE2BB3" w:rsidRPr="00B50F49" w:rsidRDefault="00EE2BB3" w:rsidP="0034629E">
      <w:pPr>
        <w:pStyle w:val="FootnoteText"/>
        <w:spacing w:after="60" w:line="264" w:lineRule="auto"/>
        <w:rPr>
          <w:rFonts w:ascii="Arial" w:hAnsi="Arial" w:cs="Arial"/>
          <w:lang w:val="es-ES"/>
        </w:rPr>
      </w:pPr>
      <w:r>
        <w:rPr>
          <w:rStyle w:val="FootnoteReference"/>
          <w:sz w:val="20"/>
        </w:rPr>
        <w:footnoteRef/>
      </w:r>
      <w:r w:rsidRPr="00B50F49">
        <w:rPr>
          <w:rFonts w:ascii="Arial" w:hAnsi="Arial"/>
          <w:lang w:val="es-ES"/>
        </w:rPr>
        <w:t xml:space="preserve"> </w:t>
      </w:r>
      <w:hyperlink r:id="rId65" w:history="1">
        <w:r w:rsidRPr="00B50F49">
          <w:rPr>
            <w:rStyle w:val="Hyperlink"/>
            <w:sz w:val="20"/>
            <w:lang w:val="es-ES"/>
          </w:rPr>
          <w:t>Guía para señalizar los colegios electorales</w:t>
        </w:r>
      </w:hyperlink>
      <w:r w:rsidRPr="00B50F49">
        <w:rPr>
          <w:rFonts w:ascii="Arial" w:hAnsi="Arial"/>
          <w:lang w:val="es-ES"/>
        </w:rPr>
        <w:t xml:space="preserve">. </w:t>
      </w:r>
    </w:p>
  </w:footnote>
  <w:footnote w:id="64">
    <w:p w14:paraId="4F47FDCE" w14:textId="485E8D54" w:rsidR="00EE2BB3" w:rsidRPr="00B50F49" w:rsidRDefault="00EE2BB3" w:rsidP="0034629E">
      <w:pPr>
        <w:pStyle w:val="FootnoteText"/>
        <w:spacing w:after="60" w:line="264" w:lineRule="auto"/>
        <w:jc w:val="left"/>
        <w:rPr>
          <w:rFonts w:ascii="Arial" w:hAnsi="Arial" w:cs="Arial"/>
          <w:lang w:val="es-ES"/>
        </w:rPr>
      </w:pPr>
      <w:r>
        <w:rPr>
          <w:rStyle w:val="FootnoteReference"/>
          <w:sz w:val="20"/>
        </w:rPr>
        <w:footnoteRef/>
      </w:r>
      <w:r w:rsidRPr="00B50F49">
        <w:rPr>
          <w:rFonts w:ascii="Arial" w:hAnsi="Arial"/>
          <w:lang w:val="es-ES"/>
        </w:rPr>
        <w:t xml:space="preserve"> Pereżempju fil-Belġju, fl-Estonja, fil-Kroazja, f’Ċipru, fid-Danimarka, fl-Irlanda, fil-Litwanja, fil-Portugall, fir-Rumanija, fi Spanja, fl-Iżvezja.</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Accessible and inclusive elections in the Netherlands</w:t>
        </w:r>
      </w:hyperlink>
      <w:r>
        <w:rPr>
          <w:rFonts w:ascii="Arial" w:hAnsi="Arial"/>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Dawn is-servizzi jistgħu jintalbu mill-Bord Elettorali taż-Żona, bil-miktub u fi żmien 7 ijiem min-notifika tal-ħatra tagħhom.</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Overview of the Web Accessibility Initiative (WAI) - W3C</w:t>
        </w:r>
      </w:hyperlink>
      <w:r>
        <w:rPr>
          <w:rFonts w:ascii="Arial" w:hAnsi="Arial"/>
        </w:rPr>
        <w:t>.</w:t>
      </w:r>
    </w:p>
  </w:footnote>
  <w:footnote w:id="68">
    <w:p w14:paraId="7378D3BC" w14:textId="655CBE4E"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68" w:history="1">
        <w:r w:rsidRPr="00166D0F">
          <w:rPr>
            <w:rStyle w:val="Hyperlink"/>
            <w:sz w:val="20"/>
            <w:lang w:val="fr-BE"/>
          </w:rPr>
          <w:t>Guide de mise en image de la Langue des signes française</w:t>
        </w:r>
      </w:hyperlink>
      <w:r w:rsidRPr="00166D0F">
        <w:rPr>
          <w:rFonts w:ascii="Arial" w:hAnsi="Arial"/>
          <w:lang w:val="fr-BE"/>
        </w:rPr>
        <w:t>.</w:t>
      </w:r>
    </w:p>
  </w:footnote>
  <w:footnote w:id="69">
    <w:p w14:paraId="12CA5256" w14:textId="30EB57D1"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69" w:history="1">
        <w:r w:rsidRPr="00166D0F">
          <w:rPr>
            <w:rStyle w:val="Hyperlink"/>
            <w:sz w:val="20"/>
            <w:lang w:val="fr-BE"/>
          </w:rPr>
          <w:t>Présidentielle 2022:</w:t>
        </w:r>
      </w:hyperlink>
      <w:hyperlink r:id="rId70" w:history="1">
        <w:r w:rsidRPr="00166D0F">
          <w:rPr>
            <w:rStyle w:val="Hyperlink"/>
            <w:sz w:val="20"/>
            <w:lang w:val="fr-BE"/>
          </w:rPr>
          <w:t xml:space="preserve"> comment l’Arcom renforce l’accessibilité de la campagne électorale</w:t>
        </w:r>
      </w:hyperlink>
      <w:r w:rsidRPr="00166D0F">
        <w:rPr>
          <w:rFonts w:ascii="Arial" w:hAnsi="Arial"/>
          <w:lang w:val="fr-BE"/>
        </w:rPr>
        <w:t>.</w:t>
      </w:r>
    </w:p>
  </w:footnote>
  <w:footnote w:id="70">
    <w:p w14:paraId="05BD2DDA" w14:textId="31D5B1ED"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71" w:history="1">
        <w:r w:rsidRPr="00166D0F">
          <w:rPr>
            <w:rStyle w:val="Hyperlink"/>
            <w:sz w:val="20"/>
            <w:lang w:val="fr-BE"/>
          </w:rPr>
          <w:t>Autorité de régulation de la communication audiovisuelle et numérique</w:t>
        </w:r>
      </w:hyperlink>
      <w:r w:rsidRPr="00166D0F">
        <w:rPr>
          <w:rFonts w:ascii="Arial" w:hAnsi="Arial"/>
          <w:lang w:val="fr-BE"/>
        </w:rPr>
        <w:t>.</w:t>
      </w:r>
    </w:p>
  </w:footnote>
  <w:footnote w:id="71">
    <w:p w14:paraId="0804A282" w14:textId="4B699F4C" w:rsidR="00EE2BB3" w:rsidRPr="00B50F49"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72" w:history="1">
        <w:r w:rsidRPr="00166D0F">
          <w:rPr>
            <w:rStyle w:val="Hyperlink"/>
            <w:sz w:val="20"/>
            <w:lang w:val="fr-BE"/>
          </w:rPr>
          <w:t>Le vote des personnes en situation de handicap:</w:t>
        </w:r>
      </w:hyperlink>
      <w:hyperlink r:id="rId73" w:history="1">
        <w:r w:rsidRPr="00166D0F">
          <w:rPr>
            <w:rStyle w:val="Hyperlink"/>
            <w:sz w:val="20"/>
            <w:lang w:val="fr-BE"/>
          </w:rPr>
          <w:t xml:space="preserve"> l’accessibilité des opérations de vote.</w:t>
        </w:r>
      </w:hyperlink>
      <w:hyperlink r:id="rId74" w:history="1">
        <w:r w:rsidRPr="00166D0F">
          <w:rPr>
            <w:rStyle w:val="Hyperlink"/>
            <w:sz w:val="20"/>
            <w:lang w:val="fr-BE"/>
          </w:rPr>
          <w:t xml:space="preserve"> </w:t>
        </w:r>
        <w:r w:rsidRPr="00B50F49">
          <w:rPr>
            <w:rStyle w:val="Hyperlink"/>
            <w:sz w:val="20"/>
            <w:lang w:val="fr-BE"/>
          </w:rPr>
          <w:t>Les élections en France</w:t>
        </w:r>
      </w:hyperlink>
      <w:r w:rsidRPr="00B50F49">
        <w:rPr>
          <w:rFonts w:ascii="Arial" w:hAnsi="Arial"/>
          <w:lang w:val="fr-BE"/>
        </w:rPr>
        <w:t>.</w:t>
      </w:r>
    </w:p>
  </w:footnote>
  <w:footnote w:id="72">
    <w:p w14:paraId="4B1A0D6F" w14:textId="5A6E669E" w:rsidR="00EE2BB3" w:rsidRPr="00B50F49" w:rsidRDefault="00EE2BB3" w:rsidP="0034629E">
      <w:pPr>
        <w:pStyle w:val="FootnoteText"/>
        <w:spacing w:after="60" w:line="264" w:lineRule="auto"/>
        <w:jc w:val="left"/>
        <w:rPr>
          <w:rFonts w:ascii="Arial" w:hAnsi="Arial" w:cs="Arial"/>
          <w:lang w:val="fr-BE"/>
        </w:rPr>
      </w:pPr>
      <w:r>
        <w:rPr>
          <w:rStyle w:val="FootnoteReference"/>
          <w:sz w:val="20"/>
        </w:rPr>
        <w:footnoteRef/>
      </w:r>
      <w:r w:rsidRPr="00B50F49">
        <w:rPr>
          <w:rFonts w:ascii="Arial" w:hAnsi="Arial"/>
          <w:lang w:val="fr-BE"/>
        </w:rPr>
        <w:t xml:space="preserve"> Is-sit web </w:t>
      </w:r>
      <w:hyperlink r:id="rId75" w:history="1">
        <w:r w:rsidRPr="00B50F49">
          <w:rPr>
            <w:rStyle w:val="Hyperlink"/>
            <w:sz w:val="20"/>
            <w:lang w:val="fr-BE"/>
          </w:rPr>
          <w:t>Alle stembureaus in Nederland</w:t>
        </w:r>
      </w:hyperlink>
      <w:r w:rsidRPr="00B50F49">
        <w:rPr>
          <w:rFonts w:ascii="Arial" w:hAnsi="Arial"/>
          <w:lang w:val="fr-BE"/>
        </w:rPr>
        <w:t xml:space="preserve"> fih informazzjoni dwar fejn jinsabu l-postijiet tal-votazzjoni u l-punt sa fejn ikunu (esktra) aċċessibbli.</w:t>
      </w:r>
    </w:p>
  </w:footnote>
  <w:footnote w:id="73">
    <w:p w14:paraId="64BFD0A7" w14:textId="7777777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RGAA: référentiel général d’amélioration de l’accessibilité, décret No 2009-546 du 14 mai 2009 modifié en septembre 2019.</w:t>
      </w:r>
    </w:p>
  </w:footnote>
  <w:footnote w:id="74">
    <w:p w14:paraId="6156A8F8" w14:textId="26BD242D" w:rsidR="00EE2BB3" w:rsidRPr="00B50F49" w:rsidRDefault="00EE2BB3" w:rsidP="0034629E">
      <w:pPr>
        <w:pStyle w:val="FootnoteText"/>
        <w:spacing w:after="60" w:line="264" w:lineRule="auto"/>
        <w:jc w:val="left"/>
        <w:rPr>
          <w:rFonts w:ascii="Arial" w:hAnsi="Arial" w:cs="Arial"/>
          <w:lang w:val="es-ES"/>
        </w:rPr>
      </w:pPr>
      <w:r>
        <w:rPr>
          <w:rStyle w:val="FootnoteReference"/>
          <w:sz w:val="20"/>
        </w:rPr>
        <w:footnoteRef/>
      </w:r>
      <w:r w:rsidRPr="00166D0F">
        <w:rPr>
          <w:rFonts w:ascii="Arial" w:hAnsi="Arial"/>
          <w:lang w:val="fr-BE"/>
        </w:rPr>
        <w:t xml:space="preserve"> </w:t>
      </w:r>
      <w:hyperlink r:id="rId76" w:history="1">
        <w:r w:rsidRPr="00166D0F">
          <w:rPr>
            <w:rStyle w:val="Hyperlink"/>
            <w:sz w:val="20"/>
            <w:lang w:val="fr-BE"/>
          </w:rPr>
          <w:t>Le vote des personnes en situation de handicap:</w:t>
        </w:r>
      </w:hyperlink>
      <w:hyperlink r:id="rId77" w:history="1">
        <w:r w:rsidRPr="00166D0F">
          <w:rPr>
            <w:rStyle w:val="Hyperlink"/>
            <w:sz w:val="20"/>
            <w:lang w:val="fr-BE"/>
          </w:rPr>
          <w:t xml:space="preserve"> l’accessibilité des opérations de vote.</w:t>
        </w:r>
      </w:hyperlink>
      <w:hyperlink r:id="rId78" w:history="1">
        <w:r w:rsidRPr="00166D0F">
          <w:rPr>
            <w:rStyle w:val="Hyperlink"/>
            <w:sz w:val="20"/>
            <w:lang w:val="fr-BE"/>
          </w:rPr>
          <w:t xml:space="preserve"> </w:t>
        </w:r>
        <w:r w:rsidRPr="00B50F49">
          <w:rPr>
            <w:rStyle w:val="Hyperlink"/>
            <w:sz w:val="20"/>
            <w:lang w:val="es-ES"/>
          </w:rPr>
          <w:t>Les élections en France</w:t>
        </w:r>
      </w:hyperlink>
      <w:r w:rsidRPr="00B50F49">
        <w:rPr>
          <w:rStyle w:val="Hyperlink"/>
          <w:sz w:val="20"/>
          <w:lang w:val="es-ES"/>
        </w:rPr>
        <w:t>.</w:t>
      </w:r>
    </w:p>
  </w:footnote>
  <w:footnote w:id="75">
    <w:p w14:paraId="6BE980DB" w14:textId="1645B129" w:rsidR="00EE2BB3" w:rsidRPr="00B50F49" w:rsidRDefault="00EE2BB3" w:rsidP="0034629E">
      <w:pPr>
        <w:pStyle w:val="FootnoteText"/>
        <w:spacing w:after="60" w:line="264" w:lineRule="auto"/>
        <w:jc w:val="left"/>
        <w:rPr>
          <w:rFonts w:ascii="Arial" w:hAnsi="Arial" w:cs="Arial"/>
          <w:lang w:val="es-ES"/>
        </w:rPr>
      </w:pPr>
      <w:r>
        <w:rPr>
          <w:rStyle w:val="FootnoteReference"/>
          <w:sz w:val="20"/>
        </w:rPr>
        <w:footnoteRef/>
      </w:r>
      <w:r w:rsidRPr="00B50F49">
        <w:rPr>
          <w:rFonts w:ascii="Arial" w:hAnsi="Arial"/>
          <w:lang w:val="es-ES"/>
        </w:rPr>
        <w:t xml:space="preserve"> </w:t>
      </w:r>
      <w:hyperlink r:id="rId79" w:history="1">
        <w:r w:rsidRPr="00B50F49">
          <w:rPr>
            <w:rStyle w:val="Hyperlink"/>
            <w:sz w:val="20"/>
            <w:lang w:val="es-ES"/>
          </w:rPr>
          <w:t xml:space="preserve">Ċeremonja taċ-Ċertifikat - Assoċjazzjoni Ġermaniża għall-Persuni Għomja u b’Vista Batuta. </w:t>
        </w:r>
      </w:hyperlink>
    </w:p>
  </w:footnote>
  <w:footnote w:id="76">
    <w:p w14:paraId="563003C7" w14:textId="7777777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Fil-każ ta’ elezzjonijiet parlamentari.</w:t>
      </w:r>
    </w:p>
  </w:footnote>
  <w:footnote w:id="77">
    <w:p w14:paraId="210C9A61" w14:textId="77777777" w:rsidR="00EE2BB3" w:rsidRPr="00166D0F"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166D0F">
        <w:rPr>
          <w:rFonts w:ascii="Arial" w:hAnsi="Arial"/>
          <w:lang w:val="fr-BE"/>
        </w:rPr>
        <w:t xml:space="preserve"> L-Awstrija, il-Belġju, il-Bulgarija, il-Ġermanja, id-Danimarka, l-Estonja, Franza, il-Finlandja, il-Greċja, l-Ungerija, l-Irlanda, l-Italja, il-Latvja, il-Litwanja, il-Lussemburgu, in-Netherlands, il-Polonja, il-Portugall, ir-Rumanija, Spanja, l-Iżvezja u s-Slovenja.</w:t>
      </w:r>
    </w:p>
  </w:footnote>
  <w:footnote w:id="78">
    <w:p w14:paraId="0C481AF5" w14:textId="77777777" w:rsidR="00EE2BB3" w:rsidRPr="00166D0F"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166D0F">
        <w:rPr>
          <w:rFonts w:ascii="Arial" w:hAnsi="Arial"/>
          <w:lang w:val="fr-BE"/>
        </w:rPr>
        <w:t xml:space="preserve"> Skont l-Att dwar l-Emenda tad-Drittijiet tal-Vot tal-2023 (</w:t>
      </w:r>
      <w:r w:rsidRPr="00166D0F">
        <w:rPr>
          <w:rFonts w:ascii="Arial" w:hAnsi="Arial"/>
          <w:i/>
          <w:lang w:val="fr-BE"/>
        </w:rPr>
        <w:t>Wahlrechtsänderungsgesetz</w:t>
      </w:r>
      <w:r w:rsidRPr="00166D0F">
        <w:rPr>
          <w:rFonts w:ascii="Arial" w:hAnsi="Arial"/>
          <w:lang w:val="fr-BE"/>
        </w:rPr>
        <w:t xml:space="preserve"> 2023), mill-2024, il-postijiet tal-votazzjoni kollha jridu jissodisfaw il-kundizzjonijiet qafas ta’ § 6 “</w:t>
      </w:r>
      <w:r w:rsidRPr="00166D0F">
        <w:rPr>
          <w:rFonts w:ascii="Arial" w:hAnsi="Arial"/>
          <w:i/>
          <w:lang w:val="fr-BE"/>
        </w:rPr>
        <w:t>Bundes-Behindertengleichstellungsgesetz’”</w:t>
      </w:r>
      <w:r w:rsidRPr="00166D0F">
        <w:rPr>
          <w:rFonts w:ascii="Arial" w:hAnsi="Arial"/>
          <w:lang w:val="fr-BE"/>
        </w:rPr>
        <w:t xml:space="preserve"> (l-Att Federali dwar l-Opportunitajiet Indaqs għall-persuni b’diżabilità). Skont din id-dispożizzjoni, il-postijiet tal-votazzjoni kollha għandhom ikunu aċċessibbli għall-persuni b’diżabilità mingħajr ostakli, soġġetti għal fattibbiltà teknika. Fi kwalunkwe każ, kull bini li fih jiġi stabbilit post tal-votazzjoni jrid jagħmel mill-anqas post wieħed tal-votazzjoni b’kabini tal-votazzjoni aċċessibbli għall-persuni b’diżabilità. Mill-2028, il-postijiet tal-votazzjoni kollha fl-Awstrija (inklużi l-kabini tal-votazzjoni) iridu jkunu mingħajr ostakli, bla eċċezzjoni.</w:t>
      </w:r>
    </w:p>
  </w:footnote>
  <w:footnote w:id="79">
    <w:p w14:paraId="36EE937C" w14:textId="084364B2" w:rsidR="0085267A" w:rsidRPr="00166D0F" w:rsidRDefault="0085267A">
      <w:pPr>
        <w:pStyle w:val="FootnoteText"/>
        <w:rPr>
          <w:lang w:val="fr-BE"/>
        </w:rPr>
      </w:pPr>
      <w:r>
        <w:rPr>
          <w:rStyle w:val="FootnoteReference"/>
          <w:sz w:val="20"/>
        </w:rPr>
        <w:footnoteRef/>
      </w:r>
      <w:r w:rsidRPr="00166D0F">
        <w:rPr>
          <w:lang w:val="fr-BE"/>
        </w:rPr>
        <w:t xml:space="preserve"> </w:t>
      </w:r>
      <w:r w:rsidRPr="00166D0F">
        <w:rPr>
          <w:rFonts w:ascii="Arial" w:hAnsi="Arial"/>
          <w:lang w:val="fr-BE"/>
        </w:rPr>
        <w:t>Skont l-</w:t>
      </w:r>
      <w:hyperlink r:id="rId80" w:history="1">
        <w:r w:rsidRPr="00166D0F">
          <w:rPr>
            <w:rStyle w:val="Hyperlink"/>
            <w:sz w:val="20"/>
            <w:lang w:val="fr-BE"/>
          </w:rPr>
          <w:t>Ordni INT/511/2022 ta’ Ġunju 3</w:t>
        </w:r>
      </w:hyperlink>
      <w:r w:rsidRPr="00166D0F">
        <w:rPr>
          <w:rFonts w:ascii="Arial" w:hAnsi="Arial"/>
          <w:lang w:val="fr-BE"/>
        </w:rPr>
        <w:t>, li timmodifika d-dispożizzjonijiet tad-</w:t>
      </w:r>
      <w:hyperlink r:id="rId81" w:history="1">
        <w:r w:rsidRPr="00166D0F">
          <w:rPr>
            <w:rStyle w:val="Hyperlink"/>
            <w:sz w:val="20"/>
            <w:lang w:val="fr-BE"/>
          </w:rPr>
          <w:t>Digriet Rjali 605/1999 ta’ April 16 dwar ir-regolamentazzjoni komplementari tal-kabini tal-votazzjoni tal-proċessi elettorali</w:t>
        </w:r>
      </w:hyperlink>
      <w:r w:rsidRPr="00166D0F">
        <w:rPr>
          <w:rFonts w:ascii="Arial" w:hAnsi="Arial"/>
          <w:lang w:val="fr-BE"/>
        </w:rPr>
        <w:t xml:space="preserve"> jridu jkunu aċċessibbli bis-sħiħ. </w:t>
      </w:r>
    </w:p>
  </w:footnote>
  <w:footnote w:id="80">
    <w:p w14:paraId="5B09A1D4" w14:textId="32C260CB"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82" w:history="1">
        <w:r w:rsidRPr="00166D0F">
          <w:rPr>
            <w:rStyle w:val="Hyperlink"/>
            <w:sz w:val="20"/>
            <w:lang w:val="fr-BE"/>
          </w:rPr>
          <w:t xml:space="preserve">Id-Deċiżjoni tal-Awtorità Elettorali Permanenti Nru 44/2016 dwar is-sett minimu ta’ kundizzjonijiet li għandhom jiġu ssodisfati fil-lokalitajiet fejn joperaw il-postijiet tal-votazzjoni u t-tagħmir minimu tagħhom. </w:t>
        </w:r>
      </w:hyperlink>
    </w:p>
  </w:footnote>
  <w:footnote w:id="81">
    <w:p w14:paraId="0D156D0C" w14:textId="77777777" w:rsidR="00EE2BB3" w:rsidRPr="00B50F49" w:rsidRDefault="00EE2BB3" w:rsidP="0034629E">
      <w:pPr>
        <w:pStyle w:val="FootnoteText"/>
        <w:spacing w:after="60" w:line="264" w:lineRule="auto"/>
        <w:jc w:val="left"/>
        <w:rPr>
          <w:rFonts w:ascii="Arial" w:hAnsi="Arial" w:cs="Arial"/>
          <w:lang w:val="es-ES"/>
        </w:rPr>
      </w:pPr>
      <w:r>
        <w:rPr>
          <w:rStyle w:val="FootnoteReference"/>
          <w:sz w:val="20"/>
        </w:rPr>
        <w:footnoteRef/>
      </w:r>
      <w:r w:rsidRPr="00B50F49">
        <w:rPr>
          <w:rFonts w:ascii="Arial" w:hAnsi="Arial"/>
          <w:lang w:val="es-ES"/>
        </w:rPr>
        <w:t xml:space="preserve"> Fir-referenda biss, fejn tista’ tivvota biss “Iva” jew “Le”.</w:t>
      </w:r>
    </w:p>
  </w:footnote>
  <w:footnote w:id="82">
    <w:p w14:paraId="09A762EA" w14:textId="77777777" w:rsidR="00EE2BB3" w:rsidRPr="00166D0F"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166D0F">
        <w:rPr>
          <w:rFonts w:ascii="Arial" w:hAnsi="Arial"/>
          <w:lang w:val="fr-BE"/>
        </w:rPr>
        <w:t xml:space="preserve"> B’kollaborazzjoni mas-Centre pour le développement des compétences relatives à la vue (CDV), il-gvern se jipprovdi lill-votanti b’diżabilità viżwali b’mudell ta’ votazzjoni bil-mess fil-jum tal-votazzjoni. Dan il-mudell ta’ votazzjoni bil-mess se jkun disponibbli f’kull post tal-votazzjoni u jista’ jiġi ordnat ukoll mill-votant direttament mis-CDV biex ikun disponibbli għall-votant meta jkunu għażlu li jivvotaw bil-posta.</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sz w:val="20"/>
          </w:rPr>
          <w:t>Kif taħdem il-votazzjoni?</w:t>
        </w:r>
      </w:hyperlink>
      <w:r>
        <w:rPr>
          <w:rFonts w:ascii="Arial" w:hAnsi="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84" w:history="1">
        <w:r>
          <w:rPr>
            <w:rStyle w:val="Hyperlink"/>
            <w:sz w:val="20"/>
          </w:rPr>
          <w:t>Comparative study regarding methods, procedures and technical instruments used by other states to ensure the accessibility of electoral processes for individuals with disabilities</w:t>
        </w:r>
      </w:hyperlink>
      <w:r>
        <w:rPr>
          <w:rFonts w:ascii="Arial" w:hAnsi="Arial"/>
        </w:rPr>
        <w:t xml:space="preserve">, imfassal mill-Awtorità Elettorali Permanenti.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Il-leġiżlatura qieset il-firxa tal-użu tal-magni tal-votazzjoni f’kull elezzjoni, il-kost għall-baġit tal-użu ta’ magni tal-votazzjoni, u r-regolamenti fi Stati Membri oħrajn tal-UE.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Votazzjoni bil-posta kif preskritta mil-leġiżlazzjoni Awstrijaka.</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Elezzjonijiet presidenzjali.</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L-utenti tas-servizz speċjali tat-trasport Adapto li jkollhom kard ta’ Adapto jistgħu jivvjaġġaw lejn il-post tal-votazzjoni bl-użu tas-servizz Adapto. Il-vjaġġi lejn u mill-post tal-votazzjoni mhux se jitnaqqsu mill-kwota tal-vjaġġi annwali ta’ Adapto li minnhom jibbenefikaw. Biex jitolbu servizz bħal dan, l-utenti jistgħu jċemplu lis-servizz mobiliteit.lu fuq 2465-2465, jew jagħmlu prenotazzjoni bl-użu tal-applikazzjoni tal-mowbajl adapto.lu billi jagħżlu “Elezzjonijiet/Wahlen”.</w:t>
      </w:r>
    </w:p>
  </w:footnote>
  <w:footnote w:id="89">
    <w:p w14:paraId="46F9B30C" w14:textId="1901D46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166D0F">
        <w:rPr>
          <w:rFonts w:ascii="Arial" w:hAnsi="Arial"/>
          <w:lang w:val="fr-BE"/>
        </w:rPr>
        <w:t xml:space="preserve"> </w:t>
      </w:r>
      <w:hyperlink r:id="rId85" w:history="1">
        <w:r w:rsidRPr="00166D0F">
          <w:rPr>
            <w:rStyle w:val="Hyperlink"/>
            <w:sz w:val="20"/>
            <w:lang w:val="fr-BE"/>
          </w:rPr>
          <w:t>Présentation du vote par internet.</w:t>
        </w:r>
      </w:hyperlink>
      <w:hyperlink r:id="rId86" w:history="1">
        <w:r w:rsidRPr="00166D0F">
          <w:rPr>
            <w:rStyle w:val="Hyperlink"/>
            <w:sz w:val="20"/>
            <w:lang w:val="fr-BE"/>
          </w:rPr>
          <w:t xml:space="preserve"> </w:t>
        </w:r>
        <w:r>
          <w:rPr>
            <w:rStyle w:val="Hyperlink"/>
            <w:sz w:val="20"/>
          </w:rPr>
          <w:t>Ministère de l’Europe et des Affaires étrangères</w:t>
        </w:r>
      </w:hyperlink>
      <w:r>
        <w:rPr>
          <w:rFonts w:ascii="Arial" w:hAnsi="Arial"/>
        </w:rPr>
        <w:t>.</w:t>
      </w:r>
    </w:p>
  </w:footnote>
  <w:footnote w:id="90">
    <w:p w14:paraId="6B2ADE21" w14:textId="293447C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7" w:history="1">
        <w:r>
          <w:rPr>
            <w:rStyle w:val="Hyperlink"/>
            <w:sz w:val="20"/>
          </w:rPr>
          <w:t>Online Voting Powers Social Elections in Germany</w:t>
        </w:r>
      </w:hyperlink>
      <w:r>
        <w:rPr>
          <w:rFonts w:ascii="Arial" w:hAnsi="Arial"/>
        </w:rPr>
        <w:t>.</w:t>
      </w:r>
    </w:p>
  </w:footnote>
  <w:footnote w:id="91">
    <w:p w14:paraId="6AFB43C2" w14:textId="7C6A77D6"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88" w:history="1">
        <w:r w:rsidRPr="00166D0F">
          <w:rPr>
            <w:rStyle w:val="Hyperlink"/>
            <w:sz w:val="20"/>
            <w:lang w:val="fr-BE"/>
          </w:rPr>
          <w:t>The 2022 EU Justice Scoreboard</w:t>
        </w:r>
      </w:hyperlink>
      <w:r w:rsidRPr="00166D0F">
        <w:rPr>
          <w:rFonts w:ascii="Arial" w:hAnsi="Arial"/>
          <w:lang w:val="fr-BE"/>
        </w:rPr>
        <w:t>.</w:t>
      </w:r>
    </w:p>
  </w:footnote>
  <w:footnote w:id="92">
    <w:p w14:paraId="13344400" w14:textId="33752B2C"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89" w:history="1">
        <w:r w:rsidRPr="00166D0F">
          <w:rPr>
            <w:rStyle w:val="Hyperlink"/>
            <w:sz w:val="20"/>
            <w:lang w:val="fr-BE"/>
          </w:rPr>
          <w:t>Observatoire de l’accessibilité des campagnes électorales et des scrutins de 2022</w:t>
        </w:r>
      </w:hyperlink>
      <w:r w:rsidRPr="00166D0F">
        <w:rPr>
          <w:rFonts w:ascii="Arial" w:hAnsi="Arial"/>
          <w:lang w:val="fr-BE"/>
        </w:rPr>
        <w:t>.</w:t>
      </w:r>
    </w:p>
  </w:footnote>
  <w:footnote w:id="93">
    <w:p w14:paraId="69852E27" w14:textId="7777777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bookmarkStart w:id="83" w:name="_Hlk151393575"/>
      <w:r w:rsidRPr="00166D0F">
        <w:rPr>
          <w:rFonts w:ascii="Arial" w:hAnsi="Arial"/>
          <w:lang w:val="fr-BE"/>
        </w:rPr>
        <w:t>Li l-biċċa l-kbira tal-miżuri jkunu ta’ benefiċċju għall-aċċess għall-elezzjonijiet tal-gruppi kollha, inklużi persuni akbar fl-età.</w:t>
      </w:r>
      <w:bookmarkEnd w:id="83"/>
    </w:p>
  </w:footnote>
  <w:footnote w:id="94">
    <w:p w14:paraId="0C31A6D7" w14:textId="7777777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Ara pereżempju l-Att dwar ir-Riforma Elettorali reċenti tal-Irlanda (2022).</w:t>
      </w:r>
    </w:p>
  </w:footnote>
  <w:footnote w:id="95">
    <w:p w14:paraId="18B023FC" w14:textId="5F974B1D"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Ara l-proposta tar-Rumanija għal emendi leġiżlattivi biex jingħata appoġġ finanzjarju.</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0" w:history="1">
        <w:r>
          <w:rPr>
            <w:rStyle w:val="Hyperlink"/>
            <w:sz w:val="20"/>
          </w:rPr>
          <w:t>European Inclusive Publishing Forum</w:t>
        </w:r>
      </w:hyperlink>
      <w:r>
        <w:rPr>
          <w:rFonts w:ascii="Arial" w:hAnsi="Arial"/>
        </w:rPr>
        <w:t>.</w:t>
      </w:r>
    </w:p>
  </w:footnote>
  <w:footnote w:id="97">
    <w:p w14:paraId="1ABF4F7E" w14:textId="7172DB9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1" w:history="1">
        <w:r>
          <w:rPr>
            <w:rStyle w:val="Hyperlink"/>
            <w:sz w:val="20"/>
          </w:rPr>
          <w:t>Invalidiliitto, ’Äänestyspaikkojen esteettömyyden tarkistuslista’</w:t>
        </w:r>
      </w:hyperlink>
      <w:r>
        <w:rPr>
          <w:rFonts w:ascii="Arial" w:hAnsi="Arial"/>
        </w:rPr>
        <w:t>.</w:t>
      </w:r>
    </w:p>
  </w:footnote>
  <w:footnote w:id="98">
    <w:p w14:paraId="32626F0E" w14:textId="1F1D17F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92" w:history="1">
        <w:r w:rsidRPr="00166D0F">
          <w:rPr>
            <w:rStyle w:val="Hyperlink"/>
            <w:sz w:val="20"/>
            <w:lang w:val="fr-BE"/>
          </w:rPr>
          <w:t>Accessibilite_des_bureaux_de_vote.</w:t>
        </w:r>
      </w:hyperlink>
      <w:r w:rsidRPr="00166D0F">
        <w:rPr>
          <w:rFonts w:ascii="Arial" w:hAnsi="Arial"/>
          <w:lang w:val="fr-BE"/>
        </w:rPr>
        <w:t xml:space="preserve"> </w:t>
      </w:r>
    </w:p>
  </w:footnote>
  <w:footnote w:id="99">
    <w:p w14:paraId="30416320" w14:textId="79A62565"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93" w:history="1">
        <w:r w:rsidRPr="00166D0F">
          <w:rPr>
            <w:rStyle w:val="Hyperlink"/>
            <w:sz w:val="20"/>
            <w:lang w:val="fr-BE"/>
          </w:rPr>
          <w:t>Accessibilite_des_bureaux_de_vote.</w:t>
        </w:r>
      </w:hyperlink>
      <w:r w:rsidRPr="00166D0F">
        <w:rPr>
          <w:rFonts w:ascii="Arial" w:hAnsi="Arial"/>
          <w:lang w:val="fr-BE"/>
        </w:rPr>
        <w:t xml:space="preserve"> </w:t>
      </w:r>
    </w:p>
  </w:footnote>
  <w:footnote w:id="100">
    <w:p w14:paraId="7AD79085" w14:textId="2F22D854"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w:t>
      </w:r>
      <w:hyperlink r:id="rId94" w:history="1">
        <w:r w:rsidRPr="00166D0F">
          <w:rPr>
            <w:rStyle w:val="Hyperlink"/>
            <w:sz w:val="20"/>
            <w:lang w:val="fr-BE"/>
          </w:rPr>
          <w:t>Accessibilite_des_bureaux_de_vote.</w:t>
        </w:r>
      </w:hyperlink>
      <w:r w:rsidRPr="00166D0F">
        <w:rPr>
          <w:rFonts w:ascii="Arial" w:hAnsi="Arial"/>
          <w:lang w:val="fr-BE"/>
        </w:rPr>
        <w:t xml:space="preserve"> </w:t>
      </w:r>
    </w:p>
  </w:footnote>
  <w:footnote w:id="101">
    <w:p w14:paraId="194121B4" w14:textId="77777777" w:rsidR="00EE2BB3" w:rsidRPr="00166D0F" w:rsidRDefault="00EE2BB3" w:rsidP="0034629E">
      <w:pPr>
        <w:spacing w:after="60" w:line="264" w:lineRule="auto"/>
        <w:rPr>
          <w:sz w:val="20"/>
          <w:lang w:val="fr-BE"/>
        </w:rPr>
      </w:pPr>
      <w:r>
        <w:rPr>
          <w:rStyle w:val="FootnoteReference"/>
          <w:sz w:val="20"/>
        </w:rPr>
        <w:footnoteRef/>
      </w:r>
      <w:r w:rsidRPr="00166D0F">
        <w:rPr>
          <w:sz w:val="20"/>
          <w:lang w:val="fr-BE"/>
        </w:rPr>
        <w:t xml:space="preserve"> Fl-2018, fi Spanja, ġie emendat l-Artikolu 3 tal-Liġi Elettorali.</w:t>
      </w:r>
    </w:p>
  </w:footnote>
  <w:footnote w:id="102">
    <w:p w14:paraId="2744C486" w14:textId="0C55349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Id-Digriet Liġi n. 58/2016, tad-29 ta’ Awwissu.</w:t>
      </w:r>
    </w:p>
  </w:footnote>
  <w:footnote w:id="103">
    <w:p w14:paraId="5324ABF5" w14:textId="08C492DA" w:rsidR="00EE2BB3" w:rsidRPr="00166D0F"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166D0F">
        <w:rPr>
          <w:rFonts w:ascii="Arial" w:hAnsi="Arial"/>
          <w:lang w:val="fr-BE"/>
        </w:rPr>
        <w:t xml:space="preserve"> </w:t>
      </w:r>
      <w:hyperlink r:id="rId95" w:history="1">
        <w:r w:rsidRPr="00166D0F">
          <w:rPr>
            <w:rStyle w:val="Hyperlink"/>
            <w:sz w:val="20"/>
            <w:lang w:val="fr-BE"/>
          </w:rPr>
          <w:t>Id-Direttiva (UE) 2019/882 tal-Parlament Ewropew u tal-Kunsill tas-17 ta’ April 2019 dwar ir-rekwiżiti ta’ aċċessibbiltà għall-prodotti u għas-servizzi</w:t>
        </w:r>
      </w:hyperlink>
      <w:r w:rsidRPr="00166D0F">
        <w:rPr>
          <w:lang w:val="fr-BE"/>
        </w:rPr>
        <w:t>.</w:t>
      </w:r>
    </w:p>
  </w:footnote>
  <w:footnote w:id="104">
    <w:p w14:paraId="7F95D160" w14:textId="13DFBD13" w:rsidR="00EE2BB3" w:rsidRPr="00166D0F"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166D0F">
        <w:rPr>
          <w:rFonts w:ascii="Arial" w:hAnsi="Arial"/>
          <w:lang w:val="fr-BE"/>
        </w:rPr>
        <w:t xml:space="preserve"> L-Anness 2 tad-Direttiva jipprovdi eżempji li jistgħu jkunu rilevanti għall-proċeduri ta’ votazzjoni.</w:t>
      </w:r>
    </w:p>
  </w:footnote>
  <w:footnote w:id="105">
    <w:p w14:paraId="636CB85F" w14:textId="294002EE" w:rsidR="00EE2BB3" w:rsidRPr="00B50F49" w:rsidRDefault="00EE2BB3" w:rsidP="005A432A">
      <w:pPr>
        <w:pStyle w:val="FootnoteText"/>
        <w:spacing w:after="60" w:line="264" w:lineRule="auto"/>
        <w:ind w:left="266" w:hanging="266"/>
        <w:jc w:val="left"/>
        <w:rPr>
          <w:rFonts w:ascii="Arial" w:hAnsi="Arial" w:cs="Arial"/>
          <w:lang w:val="es-ES"/>
        </w:rPr>
      </w:pPr>
      <w:r>
        <w:rPr>
          <w:rStyle w:val="FootnoteReference"/>
          <w:rFonts w:eastAsiaTheme="majorEastAsia"/>
          <w:sz w:val="20"/>
        </w:rPr>
        <w:footnoteRef/>
      </w:r>
      <w:r w:rsidRPr="00B50F49">
        <w:rPr>
          <w:rFonts w:ascii="Arial" w:hAnsi="Arial"/>
          <w:lang w:val="es-ES"/>
        </w:rPr>
        <w:t xml:space="preserve"> </w:t>
      </w:r>
      <w:hyperlink r:id="rId96" w:history="1">
        <w:r w:rsidRPr="00B50F49">
          <w:rPr>
            <w:rStyle w:val="Hyperlink"/>
            <w:sz w:val="20"/>
            <w:lang w:val="es-ES"/>
          </w:rPr>
          <w:t>Id-Direttiva 2014/24/UE tal-Parlament Ewropew u tal-Kunsill tas-26 ta’ Frar 2014 dwar l-akkwist pubbliku u li tħassar id-Direttiva 2004/18/KE</w:t>
        </w:r>
      </w:hyperlink>
      <w:r w:rsidRPr="00B50F49">
        <w:rPr>
          <w:rFonts w:ascii="Arial" w:hAnsi="Arial"/>
          <w:lang w:val="es-ES"/>
        </w:rPr>
        <w:t xml:space="preserve">. Test konsolidat. </w:t>
      </w:r>
    </w:p>
  </w:footnote>
  <w:footnote w:id="106">
    <w:p w14:paraId="22D00D00" w14:textId="506274C9" w:rsidR="00EE2BB3" w:rsidRPr="00B50F49" w:rsidRDefault="00EE2BB3" w:rsidP="005A432A">
      <w:pPr>
        <w:pStyle w:val="FootnoteText"/>
        <w:spacing w:after="60" w:line="264" w:lineRule="auto"/>
        <w:ind w:left="266" w:hanging="266"/>
        <w:jc w:val="left"/>
        <w:rPr>
          <w:rFonts w:ascii="Arial" w:hAnsi="Arial" w:cs="Arial"/>
          <w:lang w:val="es-ES"/>
        </w:rPr>
      </w:pPr>
      <w:r>
        <w:rPr>
          <w:rStyle w:val="FootnoteReference"/>
          <w:rFonts w:eastAsiaTheme="majorEastAsia"/>
          <w:sz w:val="20"/>
        </w:rPr>
        <w:footnoteRef/>
      </w:r>
      <w:r w:rsidRPr="00B50F49">
        <w:rPr>
          <w:rFonts w:ascii="Arial" w:hAnsi="Arial"/>
          <w:lang w:val="es-ES"/>
        </w:rPr>
        <w:t xml:space="preserve"> </w:t>
      </w:r>
      <w:hyperlink r:id="rId97" w:history="1">
        <w:r w:rsidRPr="00B50F49">
          <w:rPr>
            <w:rStyle w:val="Hyperlink"/>
            <w:sz w:val="20"/>
            <w:lang w:val="es-ES"/>
          </w:rPr>
          <w:t>Id-Direttiva 2014/25/UE tal-Parlament Ewropew u tal-Kunsill tas-26 ta’ Frar 2014 dwar l-akkwist minn entitajiet li joperaw fis-setturi tas-servizzi tal-ilma, l-enerġija, it-trasport u postali u li tħassar id-Direttiva 2004/17/KE</w:t>
        </w:r>
      </w:hyperlink>
      <w:r w:rsidRPr="00B50F49">
        <w:rPr>
          <w:lang w:val="es-ES"/>
        </w:rPr>
        <w:t>.</w:t>
      </w:r>
      <w:r w:rsidRPr="00B50F49">
        <w:rPr>
          <w:rFonts w:ascii="Arial" w:hAnsi="Arial"/>
          <w:lang w:val="es-ES"/>
        </w:rPr>
        <w:t xml:space="preserve"> Test konsolidat.</w:t>
      </w:r>
    </w:p>
  </w:footnote>
  <w:footnote w:id="107">
    <w:p w14:paraId="1A5040E1" w14:textId="32E43D19" w:rsidR="00EE2BB3" w:rsidRPr="00B50F49" w:rsidRDefault="00EE2BB3" w:rsidP="005A432A">
      <w:pPr>
        <w:pStyle w:val="FootnoteText"/>
        <w:spacing w:after="60" w:line="264" w:lineRule="auto"/>
        <w:ind w:left="252" w:hanging="252"/>
        <w:jc w:val="left"/>
        <w:rPr>
          <w:rFonts w:ascii="Arial" w:hAnsi="Arial" w:cs="Arial"/>
          <w:lang w:val="es-ES"/>
        </w:rPr>
      </w:pPr>
      <w:r>
        <w:rPr>
          <w:rStyle w:val="FootnoteReference"/>
          <w:rFonts w:eastAsiaTheme="majorEastAsia"/>
          <w:sz w:val="20"/>
        </w:rPr>
        <w:footnoteRef/>
      </w:r>
      <w:r w:rsidRPr="00B50F49">
        <w:rPr>
          <w:rFonts w:ascii="Arial" w:hAnsi="Arial"/>
          <w:lang w:val="es-ES"/>
        </w:rPr>
        <w:t xml:space="preserve"> </w:t>
      </w:r>
      <w:hyperlink r:id="rId98" w:history="1">
        <w:r w:rsidRPr="00B50F49">
          <w:rPr>
            <w:rStyle w:val="Hyperlink"/>
            <w:sz w:val="20"/>
            <w:lang w:val="es-ES"/>
          </w:rPr>
          <w:t>Id-Direttiva (UE) 2019/882 tal-Parlament Ewropew u tal-Kunsill tas-17 ta’ April 2019 dwar ir-rekwiżiti ta’ aċċessibbiltà għall-prodotti u għas-servizzi</w:t>
        </w:r>
      </w:hyperlink>
      <w:r w:rsidRPr="00B50F49">
        <w:rPr>
          <w:lang w:val="es-ES"/>
        </w:rPr>
        <w:t>.</w:t>
      </w:r>
    </w:p>
  </w:footnote>
  <w:footnote w:id="108">
    <w:p w14:paraId="1D157BBD" w14:textId="77777777" w:rsidR="00EE2BB3" w:rsidRPr="00B50F49" w:rsidRDefault="00EE2BB3" w:rsidP="005A432A">
      <w:pPr>
        <w:pStyle w:val="FootnoteText"/>
        <w:spacing w:after="60" w:line="264" w:lineRule="auto"/>
        <w:ind w:left="252" w:hanging="252"/>
        <w:jc w:val="left"/>
        <w:rPr>
          <w:rFonts w:ascii="Arial" w:hAnsi="Arial" w:cs="Arial"/>
          <w:color w:val="002060"/>
          <w:lang w:val="es-ES"/>
        </w:rPr>
      </w:pPr>
      <w:r>
        <w:rPr>
          <w:rStyle w:val="FootnoteReference"/>
          <w:rFonts w:eastAsiaTheme="majorEastAsia"/>
          <w:sz w:val="20"/>
        </w:rPr>
        <w:footnoteRef/>
      </w:r>
      <w:r w:rsidRPr="00B50F49">
        <w:rPr>
          <w:rFonts w:ascii="Arial" w:hAnsi="Arial"/>
          <w:lang w:val="es-ES"/>
        </w:rPr>
        <w:t xml:space="preserve"> Dawk il-prinċipji ta’ aċċessibbiltà huma tradotti fi kriterji ta’ suċċess li jistgħu jiġu ttestjati, bħal dawk li jifformaw il-bażi tal-Istandard Ewropew EN 301 549 V3.2.1 (2021-03) “Rekwiżiti ta’ aċċessibbiltà xierqa għall-akkwist pubbliku ta’ prodotti u servizzi tal-ICT fl-Ewropa”. Dan jipprovdi metodoloġija komuni biex tiġi ttestjata l-konformità tal-kontenut fuq siti web u applikazzjonijiet tal-mowbajl ma’ dawk il-prinċipji. Dan l-istandard Ewropew ġie adottat fuq il-bażi tal-mandat M/554 maħruġ mill-Kummissjoni lill-organizzazzjonijiet Ewropej għall-istandardizzazzjoni.</w:t>
      </w:r>
    </w:p>
  </w:footnote>
  <w:footnote w:id="109">
    <w:p w14:paraId="442B6F29" w14:textId="1F43D8EE" w:rsidR="00EE2BB3" w:rsidRPr="00B50F49" w:rsidRDefault="00EE2BB3" w:rsidP="005A432A">
      <w:pPr>
        <w:pStyle w:val="FootnoteText"/>
        <w:spacing w:after="60" w:line="264" w:lineRule="auto"/>
        <w:ind w:left="252" w:hanging="252"/>
        <w:jc w:val="left"/>
        <w:rPr>
          <w:rFonts w:ascii="Arial" w:hAnsi="Arial" w:cs="Arial"/>
          <w:lang w:val="es-ES"/>
        </w:rPr>
      </w:pPr>
      <w:r>
        <w:rPr>
          <w:rStyle w:val="FootnoteReference"/>
          <w:sz w:val="20"/>
        </w:rPr>
        <w:footnoteRef/>
      </w:r>
      <w:r w:rsidRPr="00B50F49">
        <w:rPr>
          <w:rFonts w:ascii="Arial" w:hAnsi="Arial"/>
          <w:lang w:val="es-ES"/>
        </w:rPr>
        <w:t xml:space="preserve"> Id-Deċiżjoni ta’ Implimentazzjoni tal-Kummissjoni (UE) 2018/1523 tal-11 ta’ Ottubru 2018 li tistabbilixxi mudell tad-dikjarazzjoni tal-aċċessibbiltà b’konformità mad-Direttiva (UE) 2016/2102 tal-Parlament Ewropew u tal-Kunsill dwar l-aċċessibbiltà tas-siti elettroniċi u tal-applikazzjonijiet mobbli tal-korpi tas-settur pubbliku (ĠU L 256, 12.10.2018, p. 103-107).</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sidRPr="00B50F49">
        <w:rPr>
          <w:rFonts w:ascii="Arial" w:hAnsi="Arial"/>
          <w:lang w:val="es-ES"/>
        </w:rPr>
        <w:t xml:space="preserve"> </w:t>
      </w:r>
      <w:hyperlink r:id="rId99" w:history="1">
        <w:r w:rsidRPr="00B50F49">
          <w:rPr>
            <w:rStyle w:val="Hyperlink"/>
            <w:sz w:val="20"/>
            <w:lang w:val="es-ES"/>
          </w:rPr>
          <w:t>Id-Direttiva 2010/13/UE tal-Parlament Ewropew u tal-Kunsill tal-10 ta’ Marzu 2010 dwar il-koordinazzjoni ta’ ċerti dispożizzjonijiet stabbiliti bil-liġi, b’regolament jew b’azzjoni amministrattiva fi Stati Membri dwar il-forniment ta’ servizzi tal-media awdjoviżiva (Direttiva dwar is-Servizzi tal-Media awdjoviżiva)</w:t>
        </w:r>
      </w:hyperlink>
      <w:r w:rsidRPr="00B50F49">
        <w:rPr>
          <w:rFonts w:ascii="Arial" w:hAnsi="Arial"/>
          <w:lang w:val="es-ES"/>
        </w:rPr>
        <w:t xml:space="preserve"> (verżjoni kodifikata). </w:t>
      </w:r>
      <w:r>
        <w:rPr>
          <w:rFonts w:ascii="Arial" w:hAnsi="Arial"/>
        </w:rPr>
        <w:t>Test konsolidat</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sz w:val="20"/>
          </w:rPr>
          <w:t>Id-Direttiva dwar l-Aċċessibbiltà tal-Web:</w:t>
        </w:r>
      </w:hyperlink>
      <w:hyperlink r:id="rId101" w:history="1">
        <w:r>
          <w:rPr>
            <w:rStyle w:val="Hyperlink"/>
            <w:sz w:val="20"/>
          </w:rPr>
          <w:t xml:space="preserve"> Standards u armonizzazzjoni.</w:t>
        </w:r>
      </w:hyperlink>
      <w:r>
        <w:rPr>
          <w:rStyle w:val="FootnoteReference"/>
          <w:sz w:val="20"/>
        </w:rPr>
        <w:t xml:space="preserve"> </w:t>
      </w:r>
      <w:r>
        <w:rPr>
          <w:rStyle w:val="cf01"/>
          <w:rFonts w:ascii="Arial" w:hAnsi="Arial"/>
          <w:sz w:val="20"/>
        </w:rPr>
        <w:t>Dan l-istandard bħalissa qed jiġi rivedut, wara l-adozzjoni mill-Kummissjoni tal-mandat ta’ standardizzazzjoni M/587 (</w:t>
      </w:r>
      <w:r>
        <w:rPr>
          <w:rStyle w:val="cf11"/>
          <w:rFonts w:ascii="Arial" w:hAnsi="Arial"/>
          <w:sz w:val="20"/>
        </w:rPr>
        <w:t>ID-DEĊIŻJONI TA’ IMPLIMENTAZZJONI TAL-KUMMISSJONI tal-14.9.2022 dwar talba ta’ standardizzazzjoni lill-organizzazzjonijiet Ewropej tal-istandardizzazzjoni fir-rigward tar-rekwiżiti ta’ aċċessibbiltà tal-prodotti u s-servizzi b’appoġġ għad-Direttiva (UE) 2019/882 tal-Parlament Ewropew u tal-Kunsill; ara l-</w:t>
      </w:r>
      <w:hyperlink r:id="rId102" w:history="1">
        <w:r>
          <w:rPr>
            <w:rStyle w:val="cf11"/>
            <w:rFonts w:ascii="Arial" w:hAnsi="Arial"/>
            <w:color w:val="0000FF"/>
            <w:sz w:val="20"/>
            <w:u w:val="single"/>
          </w:rPr>
          <w:t>Pjattaforma eNorm (europa.eu)</w:t>
        </w:r>
      </w:hyperlink>
      <w:r>
        <w:rPr>
          <w:rStyle w:val="cf01"/>
          <w:rFonts w:ascii="Arial" w:hAnsi="Arial"/>
          <w:sz w:val="20"/>
        </w:rPr>
        <w:t>), immirata biex tappoġġa l-implimentazzjoni tal-Att Ewropew dwar l-Aċċessibbiltà. L-iskadenza għall-adozzjoni tal-istandards riveduti hija l-15 ta’ Settembru 2025.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sz w:val="20"/>
          </w:rPr>
          <w:t>Id-Direttiva dwar l-Aċċessibbiltà tal-Web:</w:t>
        </w:r>
      </w:hyperlink>
      <w:hyperlink r:id="rId104" w:history="1">
        <w:r>
          <w:rPr>
            <w:rStyle w:val="Hyperlink"/>
            <w:sz w:val="20"/>
          </w:rPr>
          <w:t xml:space="preserve"> Standards u armonizzazzjoni</w:t>
        </w:r>
      </w:hyperlink>
      <w:r>
        <w:rPr>
          <w:rFonts w:ascii="Arial" w:hAnsi="Arial"/>
        </w:rPr>
        <w:t xml:space="preserve">. </w:t>
      </w:r>
      <w:r>
        <w:rPr>
          <w:rStyle w:val="cf01"/>
          <w:rFonts w:ascii="Arial" w:hAnsi="Arial"/>
          <w:sz w:val="20"/>
        </w:rPr>
        <w:t>Dan l-istandard bħalissa qed jiġi rivedut, wara l-adozzjoni mill-Kummissjoni tal-mandat ta’ standardizzazzjoni M/587</w:t>
      </w:r>
      <w:r>
        <w:rPr>
          <w:rStyle w:val="cf11"/>
          <w:rFonts w:ascii="Arial" w:hAnsi="Arial"/>
          <w:sz w:val="20"/>
        </w:rPr>
        <w:t xml:space="preserve">(ID-DEĊIŻJONI TA’ IMPLIMENTAZZJONI TAL-KUMMISSJONI tal-14.9.2022 dwar </w:t>
      </w:r>
      <w:hyperlink r:id="rId105" w:history="1">
        <w:r>
          <w:rPr>
            <w:rStyle w:val="Hyperlink"/>
            <w:sz w:val="20"/>
          </w:rPr>
          <w:t>talba ta’ standardizzazzjoni lill-organizzazzjonijiet Ewropej tal-istandardizzazzjoni fir-rigward tar-rekwiżiti ta’ aċċessibbiltà tal-prodotti u s-servizzi b’appoġġ għad-Direttiva (UE) 2019/882 tal-Parlament Ewropew u tal-Kunsill</w:t>
        </w:r>
      </w:hyperlink>
      <w:r>
        <w:rPr>
          <w:rStyle w:val="cf01"/>
          <w:rFonts w:ascii="Arial" w:hAnsi="Arial"/>
          <w:sz w:val="20"/>
        </w:rPr>
        <w:t>, immirata biex tappoġġa l-implimentazzjoni tal-Att Ewropew dwar l-Aċċessibbiltà. L-iskadenza għall-adozzjoni tal-istandards riveduti hija l-15 ta’ Settembru 2025.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sz w:val="20"/>
          </w:rPr>
          <w:t>EN 17210:2021 jikkontribwixxi għal ambjent mibni aċċessibbli u li jista’ jintuża</w:t>
        </w:r>
      </w:hyperlink>
      <w:r>
        <w:rPr>
          <w:rStyle w:val="cf01"/>
          <w:rFonts w:ascii="Arial" w:hAnsi="Arial"/>
          <w:sz w:val="20"/>
        </w:rPr>
        <w:t>.</w:t>
      </w:r>
    </w:p>
  </w:footnote>
  <w:footnote w:id="114">
    <w:p w14:paraId="0C571F2B" w14:textId="660811F4"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It-tabella tħejjiet flimkien mal-Istati Membri u tirrifletti l-aħjar informazzjoni disponibbli fiż-żmien tal-pubblikazzjoni.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Rekwiżit li jiġu pprovduti mudelli magħrufa mod ieħor bħala stensils tal-mess.</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Rekwiżit li jiġu pprovduti lentijiet li jkabbru lill-votanti.</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Rekwiżit li jiġi pprovdut dawl adegwat fil-kabina tal-votazzjoni.</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Rekwiżit li jiġi żgurat li l-informazzjoni awdjo dwar il-kandidati tkun tista’ tiġi aċċessata mill-post tal-votazzjoni jew bl-użu ta’ apparat personali jew ta’ apparat ta’ assistenza pprovdut mill-uffiċjali elettorali.</w:t>
      </w:r>
    </w:p>
  </w:footnote>
  <w:footnote w:id="119">
    <w:p w14:paraId="4DFA2F3B" w14:textId="77777777" w:rsidR="00EE2BB3" w:rsidRPr="00166D0F"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166D0F">
        <w:rPr>
          <w:rFonts w:ascii="Arial" w:hAnsi="Arial"/>
          <w:lang w:val="fr-BE"/>
        </w:rPr>
        <w:t xml:space="preserve"> Rekwiżit li jsiru disponibbli karti stampati kbar tal-polza tal-votazzjoni jew tal-lista ta’ kandidati fil-post tal-votazzjoni.</w:t>
      </w:r>
    </w:p>
  </w:footnote>
  <w:footnote w:id="120">
    <w:p w14:paraId="62F6A374" w14:textId="77777777" w:rsidR="00EE2BB3" w:rsidRPr="00166D0F"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166D0F">
        <w:rPr>
          <w:rFonts w:ascii="Arial" w:hAnsi="Arial"/>
          <w:lang w:val="fr-BE"/>
        </w:rPr>
        <w:t xml:space="preserve"> Rekwiżit li jiġi żgurat li l-poloz tal-votazzjoni jinkludu wkoll informazzjoni f’format bil-Braille.</w:t>
      </w:r>
    </w:p>
  </w:footnote>
  <w:footnote w:id="121">
    <w:p w14:paraId="3736234F" w14:textId="77777777" w:rsidR="00EE2BB3" w:rsidRPr="00166D0F"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166D0F">
        <w:rPr>
          <w:rFonts w:ascii="Arial" w:hAnsi="Arial"/>
          <w:lang w:val="fr-BE"/>
        </w:rPr>
        <w:t xml:space="preserve"> Rekwiżit li jiġi żgurat li l-kabini tal-votazzjoni jsegwu l-istandards ta’ aċċessibbiltà.</w:t>
      </w:r>
    </w:p>
  </w:footnote>
  <w:footnote w:id="122">
    <w:p w14:paraId="7464538C" w14:textId="77777777" w:rsidR="00EE2BB3" w:rsidRPr="00166D0F" w:rsidRDefault="00EE2BB3" w:rsidP="002D36F0">
      <w:pPr>
        <w:pStyle w:val="FootnoteText"/>
        <w:spacing w:after="60" w:line="264" w:lineRule="auto"/>
        <w:ind w:left="280" w:hanging="280"/>
        <w:jc w:val="left"/>
        <w:rPr>
          <w:rFonts w:ascii="Arial" w:hAnsi="Arial" w:cs="Arial"/>
          <w:b/>
          <w:lang w:val="fr-BE"/>
        </w:rPr>
      </w:pPr>
      <w:r>
        <w:rPr>
          <w:rStyle w:val="FootnoteReference"/>
          <w:sz w:val="20"/>
        </w:rPr>
        <w:footnoteRef/>
      </w:r>
      <w:r w:rsidRPr="00166D0F">
        <w:rPr>
          <w:rFonts w:ascii="Arial" w:hAnsi="Arial"/>
          <w:lang w:val="fr-BE"/>
        </w:rPr>
        <w:t xml:space="preserve"> Rekwiżit li jiġi żgurat li l-aċċessibbiltà tal-kaxxi tal-voti tkun żgurata.</w:t>
      </w:r>
    </w:p>
  </w:footnote>
  <w:footnote w:id="123">
    <w:p w14:paraId="19F00BE7" w14:textId="77777777" w:rsidR="00C93552" w:rsidRPr="00166D0F" w:rsidRDefault="00C93552"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Il-lentijiet li jkabbru jiġu pprovduti f’ħafna postijiet tal-votazzjoni kif stabbilit mill-awtoritajiet lokali.</w:t>
      </w:r>
    </w:p>
  </w:footnote>
  <w:footnote w:id="124">
    <w:p w14:paraId="66CF7CEB" w14:textId="2B6C2EE5" w:rsidR="00C93552" w:rsidRPr="00166D0F" w:rsidRDefault="00C93552"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Il-poloz tal-votazzjoni bil-Braille għall-partiti politiċi ewlenin jistgħu jiġu ordnati minn qabel mill-votanti.</w:t>
      </w:r>
    </w:p>
  </w:footnote>
  <w:footnote w:id="125">
    <w:p w14:paraId="1C3D3C71" w14:textId="5EA59F0C" w:rsidR="00EE2BB3" w:rsidRPr="00166D0F"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166D0F">
        <w:rPr>
          <w:rFonts w:ascii="Arial" w:hAnsi="Arial"/>
          <w:lang w:val="fr-BE"/>
        </w:rPr>
        <w:t xml:space="preserve"> It-tabella tħejjiet flimkien mal-Istati Membri u tirrifletti l-aħjar informazzjoni disponibbli fiż-żmien tal-pubblikazzjoni. </w:t>
      </w:r>
    </w:p>
  </w:footnote>
  <w:footnote w:id="126">
    <w:p w14:paraId="35BA7CC2" w14:textId="77777777" w:rsidR="00EE2BB3" w:rsidRPr="00B50F49"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B50F49">
        <w:rPr>
          <w:rFonts w:ascii="Arial" w:hAnsi="Arial"/>
          <w:lang w:val="fr-BE"/>
        </w:rPr>
        <w:t xml:space="preserve"> Votazzjoni mid-dar, mill-isptarijiet jew minn ambjenti residenzjali.</w:t>
      </w:r>
    </w:p>
  </w:footnote>
  <w:footnote w:id="127">
    <w:p w14:paraId="33841BDD" w14:textId="77777777" w:rsidR="00EE2BB3" w:rsidRPr="00B50F49"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B50F49">
        <w:rPr>
          <w:rFonts w:ascii="Arial" w:hAnsi="Arial"/>
          <w:lang w:val="fr-BE"/>
        </w:rPr>
        <w:t xml:space="preserve"> Votazzjoni mill-viċinanza immedjata tal-post tal-votazzjoni</w:t>
      </w:r>
    </w:p>
  </w:footnote>
  <w:footnote w:id="128">
    <w:p w14:paraId="16AF3E9A" w14:textId="77777777" w:rsidR="00EE2BB3" w:rsidRPr="00B50F49"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B50F49">
        <w:rPr>
          <w:rFonts w:ascii="Arial" w:hAnsi="Arial"/>
          <w:lang w:val="fr-BE"/>
        </w:rPr>
        <w:t xml:space="preserve"> Il-possibbiltà li wieħed imur fi stazzjon tal-votazzjoni aċċessibbli, meta l-istazzjon tal-votazzjoni li għalih jiġi assenjat votant ma jkunx aċċessibbli.</w:t>
      </w:r>
    </w:p>
  </w:footnote>
  <w:footnote w:id="129">
    <w:p w14:paraId="1A2C5343" w14:textId="77777777" w:rsidR="00EE2BB3" w:rsidRPr="00B50F49"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B50F49">
        <w:rPr>
          <w:rFonts w:ascii="Arial" w:hAnsi="Arial"/>
          <w:lang w:val="fr-BE"/>
        </w:rPr>
        <w:t xml:space="preserve"> Votazzjoni bikrija għal persuni li ma jkunux jistgħu jmorru f’post tal-votazzjoni fil-jum tal-elezzjoni.</w:t>
      </w:r>
    </w:p>
  </w:footnote>
  <w:footnote w:id="130">
    <w:p w14:paraId="3E991CE2" w14:textId="77777777" w:rsidR="00EE2BB3" w:rsidRPr="00B50F49"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B50F49">
        <w:rPr>
          <w:rFonts w:ascii="Arial" w:hAnsi="Arial"/>
          <w:lang w:val="es-ES"/>
        </w:rPr>
        <w:t xml:space="preserve"> Tirreferi biss għall-votazzjoni bil-posta fil-pajjiż.</w:t>
      </w:r>
    </w:p>
  </w:footnote>
  <w:footnote w:id="131">
    <w:p w14:paraId="7200EDC3" w14:textId="77777777" w:rsidR="00EE2BB3" w:rsidRPr="00B50F49" w:rsidRDefault="00EE2BB3" w:rsidP="002D36F0">
      <w:pPr>
        <w:pStyle w:val="FootnoteText"/>
        <w:spacing w:after="60" w:line="264" w:lineRule="auto"/>
        <w:ind w:left="294" w:hanging="294"/>
        <w:jc w:val="left"/>
        <w:rPr>
          <w:rFonts w:ascii="Arial" w:hAnsi="Arial" w:cs="Arial"/>
          <w:lang w:val="es-ES"/>
        </w:rPr>
      </w:pPr>
      <w:r>
        <w:rPr>
          <w:rStyle w:val="FootnoteReference"/>
          <w:sz w:val="20"/>
        </w:rPr>
        <w:footnoteRef/>
      </w:r>
      <w:r w:rsidRPr="00B50F49">
        <w:rPr>
          <w:rFonts w:ascii="Arial" w:hAnsi="Arial"/>
          <w:lang w:val="es-ES"/>
        </w:rPr>
        <w:t xml:space="preserve"> Il-possibbiltà li wieħed jirċievi assistenza fil-votazzjoni mingħand persuna oħra.</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Il-possibbiltà li jiġi ddelegat id-dritt tal-vot lil persuna oħra.</w:t>
      </w:r>
    </w:p>
  </w:footnote>
  <w:footnote w:id="133">
    <w:p w14:paraId="376757F8" w14:textId="77777777" w:rsidR="00EE2BB3" w:rsidRPr="00166D0F"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166D0F">
        <w:rPr>
          <w:rFonts w:ascii="Arial" w:hAnsi="Arial"/>
          <w:lang w:val="fr-BE"/>
        </w:rPr>
        <w:t xml:space="preserve"> Il-possibbiltà li wieħed jivvota permezz tal-internet.</w:t>
      </w:r>
    </w:p>
  </w:footnote>
  <w:footnote w:id="134">
    <w:p w14:paraId="2F12F741" w14:textId="77777777" w:rsidR="00EE2BB3" w:rsidRPr="00166D0F"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166D0F">
        <w:rPr>
          <w:rFonts w:ascii="Arial" w:hAnsi="Arial"/>
          <w:lang w:val="fr-BE"/>
        </w:rPr>
        <w:t xml:space="preserve"> Għaċ-ċittadini barra mill-pajjiż.</w:t>
      </w:r>
    </w:p>
  </w:footnote>
  <w:footnote w:id="135">
    <w:p w14:paraId="28D63C3F" w14:textId="77777777" w:rsidR="00EE2BB3" w:rsidRPr="00166D0F" w:rsidRDefault="00EE2BB3"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L-għażla libera ta’ assistent ma hijiex disponibbli.</w:t>
      </w:r>
    </w:p>
  </w:footnote>
  <w:footnote w:id="136">
    <w:p w14:paraId="0B6A4B68" w14:textId="77777777" w:rsidR="00203B22" w:rsidRPr="00166D0F" w:rsidRDefault="00203B22"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Għaċ-ċittadini barra mill-pajjiż.</w:t>
      </w:r>
    </w:p>
  </w:footnote>
  <w:footnote w:id="137">
    <w:p w14:paraId="5D66F74B" w14:textId="635B9669" w:rsidR="00402EFD" w:rsidRPr="00166D0F" w:rsidRDefault="00402EFD" w:rsidP="00D43BE1">
      <w:pPr>
        <w:pStyle w:val="FootnoteText"/>
        <w:rPr>
          <w:lang w:val="fr-BE"/>
        </w:rPr>
      </w:pPr>
      <w:r>
        <w:rPr>
          <w:rStyle w:val="FootnoteReference"/>
          <w:sz w:val="20"/>
        </w:rPr>
        <w:footnoteRef/>
      </w:r>
      <w:r w:rsidRPr="00166D0F">
        <w:rPr>
          <w:lang w:val="fr-BE"/>
        </w:rPr>
        <w:t xml:space="preserve"> </w:t>
      </w:r>
      <w:r w:rsidRPr="00166D0F">
        <w:rPr>
          <w:rFonts w:ascii="Arial" w:hAnsi="Arial"/>
          <w:lang w:val="fr-BE"/>
        </w:rPr>
        <w:t>Għaċ-ċittadini barra mill-pajjiż, il-votanti li qed jiskontaw sentenza ta’ ħabs u dawk f’faċilitajiet ta’ detenzjoni.</w:t>
      </w:r>
    </w:p>
  </w:footnote>
  <w:footnote w:id="138">
    <w:p w14:paraId="564A36FA" w14:textId="77777777" w:rsidR="00402EFD" w:rsidRPr="00166D0F" w:rsidRDefault="00402EFD"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Għaċ-ċittadini barra mill-pajjiż.</w:t>
      </w:r>
    </w:p>
  </w:footnote>
  <w:footnote w:id="139">
    <w:p w14:paraId="28AAD74C" w14:textId="77777777" w:rsidR="00402EFD" w:rsidRPr="00166D0F" w:rsidRDefault="00402EFD"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Għaċ-ċittadini barra mill-pajjiż.</w:t>
      </w:r>
    </w:p>
  </w:footnote>
  <w:footnote w:id="140">
    <w:p w14:paraId="3986B1B5" w14:textId="77777777" w:rsidR="00402EFD" w:rsidRPr="00166D0F" w:rsidRDefault="00402EFD"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L-għażla libera ta’ assistent ma hijiex disponibbli.</w:t>
      </w:r>
    </w:p>
  </w:footnote>
  <w:footnote w:id="141">
    <w:p w14:paraId="4F744910" w14:textId="77777777" w:rsidR="00402EFD" w:rsidRPr="00166D0F" w:rsidRDefault="00402EFD"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Għaċ-ċittadini barra mill-pajjiż.</w:t>
      </w:r>
    </w:p>
  </w:footnote>
  <w:footnote w:id="142">
    <w:p w14:paraId="785D5F0F" w14:textId="77777777" w:rsidR="00402EFD" w:rsidRPr="00166D0F" w:rsidRDefault="00402EFD" w:rsidP="0034629E">
      <w:pPr>
        <w:pStyle w:val="FootnoteText"/>
        <w:spacing w:after="60" w:line="264" w:lineRule="auto"/>
        <w:jc w:val="left"/>
        <w:rPr>
          <w:rFonts w:ascii="Arial" w:hAnsi="Arial" w:cs="Arial"/>
          <w:lang w:val="fr-BE"/>
        </w:rPr>
      </w:pPr>
      <w:r>
        <w:rPr>
          <w:rStyle w:val="FootnoteReference"/>
          <w:sz w:val="20"/>
        </w:rPr>
        <w:footnoteRef/>
      </w:r>
      <w:r w:rsidRPr="00166D0F">
        <w:rPr>
          <w:rFonts w:ascii="Arial" w:hAnsi="Arial"/>
          <w:lang w:val="fr-BE"/>
        </w:rPr>
        <w:t xml:space="preserve"> Għaċ-ċittadini barra mill-pajjiż.</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BC46E" w14:textId="77777777" w:rsidR="00C03814" w:rsidRPr="00C03814" w:rsidRDefault="00C03814" w:rsidP="00C03814">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2F0F5" w14:textId="77777777" w:rsidR="00C03814" w:rsidRPr="00C03814" w:rsidRDefault="00C03814" w:rsidP="00C03814">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47D14A" w14:textId="77777777" w:rsidR="00C03814" w:rsidRPr="00C03814" w:rsidRDefault="00C03814" w:rsidP="00C03814">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Aċċess għall-post tal-votazzjoni</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Aċċess għall-post tal-votazzjoni</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7D943201-0251-4738-A3D6-F46B294C0D4D"/>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ssell, "/>
    <w:docVar w:name="LW_EMISSION_SUFFIX" w:val=" "/>
    <w:docVar w:name="LW_ID_DOCTYPE_NONLW" w:val="CP-024"/>
    <w:docVar w:name="LW_LANGUE" w:val="MT"/>
    <w:docVar w:name="LW_LEVEL_OF_SENSITIVITY" w:val="Standard treatment"/>
    <w:docVar w:name="LW_NOM.INST" w:val="IL-KUMMISSJONI EWROPE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wida ta' prassi elettorali tajba fl-Istati Membri li tindirizza sehem i\u267?-\u267?ittadini b'di\u380?abilità fil-pro\u267?ess elettorali&lt;/FMT&gt;"/>
    <w:docVar w:name="LW_TYPE.DOC.CP" w:val="DOKUMENT TA\u8217? \u294?IDMA TAL-PERSUNAL TAL-KUMMISSJONI"/>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9F"/>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6D0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706"/>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5F1"/>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0505"/>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0F49"/>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3814"/>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B50F49"/>
    <w:pPr>
      <w:tabs>
        <w:tab w:val="left" w:pos="440"/>
        <w:tab w:val="right" w:leader="dot" w:pos="9060"/>
      </w:tabs>
      <w:spacing w:after="100"/>
      <w:ind w:left="1288" w:hanging="1288"/>
    </w:pPr>
    <w:rPr>
      <w:noProof/>
      <w:lang w:val="fr-BE"/>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MT/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MT/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MT/TXT/?uri=CELEX%3A01976X1008%2801%29-20020923" TargetMode="External"/><Relationship Id="rId37" Type="http://schemas.openxmlformats.org/officeDocument/2006/relationships/hyperlink" Target="https://eur-lex.europa.eu/legal-content/MT/TXT/?uri=CELEX%3A01994L0080-20130701" TargetMode="External"/><Relationship Id="rId40" Type="http://schemas.openxmlformats.org/officeDocument/2006/relationships/hyperlink" Target="https://eur-lex.europa.eu/legal-content/MT/TXT/?uri=celex%3A32019L0882" TargetMode="External"/><Relationship Id="rId45" Type="http://schemas.openxmlformats.org/officeDocument/2006/relationships/hyperlink" Target="https://eur-lex.europa.eu/legal-content/MT/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MT/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MT/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MT/TXT/?uri=CELEX:62012CJ0356" TargetMode="External"/><Relationship Id="rId35" Type="http://schemas.openxmlformats.org/officeDocument/2006/relationships/hyperlink" Target="https://eur-lex.europa.eu/legal-content/MT/TXT/?uri=CELEX%3A01993L0109-20130127" TargetMode="External"/><Relationship Id="rId43" Type="http://schemas.openxmlformats.org/officeDocument/2006/relationships/hyperlink" Target="https://eur-lex.europa.eu/legal-content/MT/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mt/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MT/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MT/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MT/TXT/?uri=COM%3A2020%3A790%3AFIN&amp;qid=1607079662423" TargetMode="External"/><Relationship Id="rId33" Type="http://schemas.openxmlformats.org/officeDocument/2006/relationships/hyperlink" Target="https://eur-lex.europa.eu/legal-content/MT/TXT/PDF/?uri=CONSIL:ST_9333_2022_INIT" TargetMode="External"/><Relationship Id="rId38" Type="http://schemas.openxmlformats.org/officeDocument/2006/relationships/hyperlink" Target="https://commission.europa.eu/strategy-and-policy/policies/justice-and-fundamental-rights/eu-citizenship/democracy-and-electoral-rights_mt"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mt/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MT/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MT/TXT/?uri=CELEX%3A02014L0024-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MT/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MT/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mt-n.pdf" TargetMode="External"/><Relationship Id="rId31" Type="http://schemas.openxmlformats.org/officeDocument/2006/relationships/hyperlink" Target="https://eur-lex.europa.eu/legal-content/MT/TXT/?uri=CELEX%3A01976X1008%2801%29-20020923" TargetMode="External"/><Relationship Id="rId44" Type="http://schemas.openxmlformats.org/officeDocument/2006/relationships/hyperlink" Target="https://eur-lex.europa.eu/legal-content/MT/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MT/TXT/?uri=CELEX%3A02010L0013-20181218" TargetMode="External"/><Relationship Id="rId101" Type="http://schemas.openxmlformats.org/officeDocument/2006/relationships/hyperlink" Target="https://digital-strategy.ec.europa.eu/mt/policies/web-accessibility-directive-standards-and-harmonisation" TargetMode="External"/><Relationship Id="rId4" Type="http://schemas.openxmlformats.org/officeDocument/2006/relationships/hyperlink" Target="https://eur-lex.europa.eu/legal-content/MT/TXT/?uri=CELEX:52020DC0252" TargetMode="External"/><Relationship Id="rId9" Type="http://schemas.openxmlformats.org/officeDocument/2006/relationships/hyperlink" Target="https://eur-lex.europa.eu/legal-content/MT/TXT/?uri=CELEX%3A52023AP0037&amp;qid=1695896629476" TargetMode="External"/><Relationship Id="rId13" Type="http://schemas.openxmlformats.org/officeDocument/2006/relationships/hyperlink" Target="https://eur-lex.europa.eu/legal-content/MT/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MT/TXT/?uri=CELEX%3A52021PC0731" TargetMode="External"/><Relationship Id="rId34" Type="http://schemas.openxmlformats.org/officeDocument/2006/relationships/hyperlink" Target="https://eur-lex.europa.eu/legal-content/MT/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MT/TXT/?uri=CELEX%3A02014L0025-20220101" TargetMode="External"/><Relationship Id="rId104" Type="http://schemas.openxmlformats.org/officeDocument/2006/relationships/hyperlink" Target="https://digital-strategy.ec.europa.eu/mt/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34231A-3FE1-4257-AA2B-6C5D1DE25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18570</Words>
  <Characters>105852</Characters>
  <Application>Microsoft Office Word</Application>
  <DocSecurity>0</DocSecurity>
  <Lines>882</Lines>
  <Paragraphs>248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124174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