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CC339E" w14:textId="4DD9D843" w:rsidR="00BB79A4" w:rsidRPr="001F2BA3" w:rsidRDefault="00DE591E" w:rsidP="00DE591E">
      <w:pPr>
        <w:pStyle w:val="Pagedecouverture"/>
        <w:rPr>
          <w:noProof/>
          <w:lang w:val="lv-LV"/>
        </w:rPr>
      </w:pPr>
      <w:bookmarkStart w:id="0" w:name="LW_BM_COVERPAGE"/>
      <w:r>
        <w:rPr>
          <w:noProof/>
          <w:lang w:val="lv-LV"/>
        </w:rPr>
        <w:pict w14:anchorId="6BB4B8C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C8992FA6-A9BA-44FD-BC02-41F7D6F8FD33" style="width:455.15pt;height:310.45pt">
            <v:imagedata r:id="rId8" o:title=""/>
          </v:shape>
        </w:pict>
      </w:r>
    </w:p>
    <w:bookmarkEnd w:id="0"/>
    <w:p w14:paraId="7528B035" w14:textId="77777777" w:rsidR="004329BF" w:rsidRPr="001F2BA3" w:rsidRDefault="004329BF" w:rsidP="00B42AEB">
      <w:pPr>
        <w:rPr>
          <w:noProof/>
          <w:lang w:val="lv-LV"/>
        </w:rPr>
        <w:sectPr w:rsidR="004329BF" w:rsidRPr="001F2BA3" w:rsidSect="00DE591E">
          <w:headerReference w:type="even" r:id="rId9"/>
          <w:headerReference w:type="default" r:id="rId10"/>
          <w:footerReference w:type="even" r:id="rId11"/>
          <w:footerReference w:type="default" r:id="rId12"/>
          <w:headerReference w:type="first" r:id="rId13"/>
          <w:footerReference w:type="first" r:id="rId14"/>
          <w:pgSz w:w="11906" w:h="16838"/>
          <w:pgMar w:top="1134" w:right="1417" w:bottom="1134" w:left="1417" w:header="709" w:footer="709" w:gutter="0"/>
          <w:pgNumType w:start="0"/>
          <w:cols w:space="720"/>
          <w:docGrid w:linePitch="360"/>
        </w:sectPr>
      </w:pPr>
    </w:p>
    <w:p w14:paraId="477E1589" w14:textId="695643CB" w:rsidR="001D7F27" w:rsidRPr="001F2BA3" w:rsidRDefault="001D7F27" w:rsidP="00860D52">
      <w:pPr>
        <w:pStyle w:val="Heading1"/>
        <w:spacing w:before="0" w:after="240" w:line="288" w:lineRule="auto"/>
        <w:jc w:val="center"/>
        <w:rPr>
          <w:noProof/>
          <w:lang w:val="lv-LV"/>
        </w:rPr>
      </w:pPr>
      <w:bookmarkStart w:id="1" w:name="_Hlk141981557"/>
      <w:bookmarkStart w:id="2" w:name="_Hlk142502404"/>
      <w:bookmarkStart w:id="3" w:name="_Toc158022306"/>
      <w:bookmarkStart w:id="4" w:name="_GoBack"/>
      <w:bookmarkEnd w:id="1"/>
      <w:bookmarkEnd w:id="2"/>
      <w:bookmarkEnd w:id="4"/>
      <w:r w:rsidRPr="001F2BA3">
        <w:rPr>
          <w:noProof/>
          <w:lang w:val="lv-LV"/>
        </w:rPr>
        <w:lastRenderedPageBreak/>
        <w:t>Satura rādītājs</w:t>
      </w:r>
      <w:bookmarkEnd w:id="3"/>
    </w:p>
    <w:sdt>
      <w:sdtPr>
        <w:rPr>
          <w:noProof/>
          <w:lang w:val="lv-LV"/>
        </w:rPr>
        <w:id w:val="-2143641472"/>
        <w:docPartObj>
          <w:docPartGallery w:val="Table of Contents"/>
          <w:docPartUnique/>
        </w:docPartObj>
      </w:sdtPr>
      <w:sdtEndPr/>
      <w:sdtContent>
        <w:p w14:paraId="05B4D0C3" w14:textId="15D5F4A2" w:rsidR="00A90743" w:rsidRPr="001F2BA3" w:rsidRDefault="00A11876">
          <w:pPr>
            <w:pStyle w:val="TOC1"/>
            <w:rPr>
              <w:rFonts w:asciiTheme="minorHAnsi" w:eastAsiaTheme="minorEastAsia" w:hAnsiTheme="minorHAnsi" w:cs="Arial Unicode MS"/>
              <w:noProof/>
              <w:kern w:val="2"/>
              <w:sz w:val="22"/>
              <w:szCs w:val="22"/>
              <w:lang w:val="lv-LV"/>
              <w14:ligatures w14:val="standardContextual"/>
            </w:rPr>
          </w:pPr>
          <w:r w:rsidRPr="001F2BA3">
            <w:rPr>
              <w:noProof/>
              <w:lang w:val="lv-LV"/>
            </w:rPr>
            <w:fldChar w:fldCharType="begin"/>
          </w:r>
          <w:r w:rsidRPr="001F2BA3">
            <w:rPr>
              <w:noProof/>
              <w:lang w:val="lv-LV"/>
            </w:rPr>
            <w:instrText xml:space="preserve"> TOC \o "1-3" \h \z \u </w:instrText>
          </w:r>
          <w:r w:rsidRPr="001F2BA3">
            <w:rPr>
              <w:noProof/>
              <w:lang w:val="lv-LV"/>
            </w:rPr>
            <w:fldChar w:fldCharType="separate"/>
          </w:r>
          <w:hyperlink w:anchor="_Toc158022306" w:history="1">
            <w:r w:rsidR="00A90743" w:rsidRPr="001F2BA3">
              <w:rPr>
                <w:rStyle w:val="Hyperlink"/>
                <w:noProof/>
                <w:lang w:val="lv-LV"/>
              </w:rPr>
              <w:t>Satura rādītājs</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_Toc158022306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1</w:t>
            </w:r>
            <w:r w:rsidR="00A90743" w:rsidRPr="001F2BA3">
              <w:rPr>
                <w:noProof/>
                <w:webHidden/>
                <w:lang w:val="lv-LV"/>
              </w:rPr>
              <w:fldChar w:fldCharType="end"/>
            </w:r>
          </w:hyperlink>
        </w:p>
        <w:p w14:paraId="04B976ED" w14:textId="44408864" w:rsidR="00A90743" w:rsidRPr="001F2BA3" w:rsidRDefault="00DE591E">
          <w:pPr>
            <w:pStyle w:val="TOC1"/>
            <w:rPr>
              <w:rFonts w:asciiTheme="minorHAnsi" w:eastAsiaTheme="minorEastAsia" w:hAnsiTheme="minorHAnsi" w:cs="Arial Unicode MS"/>
              <w:noProof/>
              <w:kern w:val="2"/>
              <w:sz w:val="22"/>
              <w:szCs w:val="22"/>
              <w:lang w:val="lv-LV"/>
              <w14:ligatures w14:val="standardContextual"/>
            </w:rPr>
          </w:pPr>
          <w:hyperlink w:anchor="_Toc158022307" w:history="1">
            <w:r w:rsidR="00A90743" w:rsidRPr="001F2BA3">
              <w:rPr>
                <w:rStyle w:val="Hyperlink"/>
                <w:noProof/>
                <w:lang w:val="lv-LV"/>
              </w:rPr>
              <w:t>1.</w:t>
            </w:r>
            <w:r w:rsidR="00A90743" w:rsidRPr="001F2BA3">
              <w:rPr>
                <w:rFonts w:asciiTheme="minorHAnsi" w:eastAsiaTheme="minorEastAsia" w:hAnsiTheme="minorHAnsi" w:cs="Arial Unicode MS"/>
                <w:noProof/>
                <w:kern w:val="2"/>
                <w:sz w:val="22"/>
                <w:szCs w:val="22"/>
                <w:lang w:val="lv-LV"/>
                <w14:ligatures w14:val="standardContextual"/>
              </w:rPr>
              <w:tab/>
            </w:r>
            <w:r w:rsidR="00A90743" w:rsidRPr="001F2BA3">
              <w:rPr>
                <w:rStyle w:val="Hyperlink"/>
                <w:noProof/>
                <w:lang w:val="lv-LV"/>
              </w:rPr>
              <w:t>Ievads</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_Toc158022307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3</w:t>
            </w:r>
            <w:r w:rsidR="00A90743" w:rsidRPr="001F2BA3">
              <w:rPr>
                <w:noProof/>
                <w:webHidden/>
                <w:lang w:val="lv-LV"/>
              </w:rPr>
              <w:fldChar w:fldCharType="end"/>
            </w:r>
          </w:hyperlink>
        </w:p>
        <w:p w14:paraId="5A140A68" w14:textId="7D434478" w:rsidR="00A90743" w:rsidRPr="001F2BA3" w:rsidRDefault="00DE591E">
          <w:pPr>
            <w:pStyle w:val="TOC1"/>
            <w:rPr>
              <w:rFonts w:asciiTheme="minorHAnsi" w:eastAsiaTheme="minorEastAsia" w:hAnsiTheme="minorHAnsi" w:cs="Arial Unicode MS"/>
              <w:noProof/>
              <w:kern w:val="2"/>
              <w:sz w:val="22"/>
              <w:szCs w:val="22"/>
              <w:lang w:val="lv-LV"/>
              <w14:ligatures w14:val="standardContextual"/>
            </w:rPr>
          </w:pPr>
          <w:hyperlink w:anchor="_Toc158022308" w:history="1">
            <w:r w:rsidR="00A90743" w:rsidRPr="001F2BA3">
              <w:rPr>
                <w:rStyle w:val="Hyperlink"/>
                <w:noProof/>
                <w:lang w:val="lv-LV"/>
              </w:rPr>
              <w:t>2.</w:t>
            </w:r>
            <w:r w:rsidR="00A90743" w:rsidRPr="001F2BA3">
              <w:rPr>
                <w:rFonts w:asciiTheme="minorHAnsi" w:eastAsiaTheme="minorEastAsia" w:hAnsiTheme="minorHAnsi" w:cs="Arial Unicode MS"/>
                <w:noProof/>
                <w:kern w:val="2"/>
                <w:sz w:val="22"/>
                <w:szCs w:val="22"/>
                <w:lang w:val="lv-LV"/>
                <w14:ligatures w14:val="standardContextual"/>
              </w:rPr>
              <w:tab/>
            </w:r>
            <w:r w:rsidR="00A90743" w:rsidRPr="001F2BA3">
              <w:rPr>
                <w:rStyle w:val="Hyperlink"/>
                <w:noProof/>
                <w:lang w:val="lv-LV"/>
              </w:rPr>
              <w:t>Galvenās problēmas, ar ko saskaras personas ar invaliditāti</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_Toc158022308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8</w:t>
            </w:r>
            <w:r w:rsidR="00A90743" w:rsidRPr="001F2BA3">
              <w:rPr>
                <w:noProof/>
                <w:webHidden/>
                <w:lang w:val="lv-LV"/>
              </w:rPr>
              <w:fldChar w:fldCharType="end"/>
            </w:r>
          </w:hyperlink>
        </w:p>
        <w:p w14:paraId="4DE02D58" w14:textId="79D4DE62" w:rsidR="00A90743" w:rsidRPr="001F2BA3" w:rsidRDefault="00DE591E">
          <w:pPr>
            <w:pStyle w:val="TOC1"/>
            <w:rPr>
              <w:rFonts w:asciiTheme="minorHAnsi" w:eastAsiaTheme="minorEastAsia" w:hAnsiTheme="minorHAnsi" w:cs="Arial Unicode MS"/>
              <w:noProof/>
              <w:kern w:val="2"/>
              <w:sz w:val="22"/>
              <w:szCs w:val="22"/>
              <w:lang w:val="lv-LV"/>
              <w14:ligatures w14:val="standardContextual"/>
            </w:rPr>
          </w:pPr>
          <w:hyperlink w:anchor="_Toc158022309" w:history="1">
            <w:r w:rsidR="00A90743" w:rsidRPr="001F2BA3">
              <w:rPr>
                <w:rStyle w:val="Hyperlink"/>
                <w:noProof/>
                <w:lang w:val="lv-LV"/>
              </w:rPr>
              <w:t>3.</w:t>
            </w:r>
            <w:r w:rsidR="00A90743" w:rsidRPr="001F2BA3">
              <w:rPr>
                <w:rFonts w:asciiTheme="minorHAnsi" w:eastAsiaTheme="minorEastAsia" w:hAnsiTheme="minorHAnsi" w:cs="Arial Unicode MS"/>
                <w:noProof/>
                <w:kern w:val="2"/>
                <w:sz w:val="22"/>
                <w:szCs w:val="22"/>
                <w:lang w:val="lv-LV"/>
                <w14:ligatures w14:val="standardContextual"/>
              </w:rPr>
              <w:tab/>
            </w:r>
            <w:r w:rsidR="00A90743" w:rsidRPr="001F2BA3">
              <w:rPr>
                <w:rStyle w:val="Hyperlink"/>
                <w:noProof/>
                <w:lang w:val="lv-LV"/>
              </w:rPr>
              <w:t>ES regulējums</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_Toc158022309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9</w:t>
            </w:r>
            <w:r w:rsidR="00A90743" w:rsidRPr="001F2BA3">
              <w:rPr>
                <w:noProof/>
                <w:webHidden/>
                <w:lang w:val="lv-LV"/>
              </w:rPr>
              <w:fldChar w:fldCharType="end"/>
            </w:r>
          </w:hyperlink>
        </w:p>
        <w:p w14:paraId="2C386296" w14:textId="4CD24599" w:rsidR="00A90743" w:rsidRPr="001F2BA3" w:rsidRDefault="00DE591E">
          <w:pPr>
            <w:pStyle w:val="TOC2"/>
            <w:rPr>
              <w:rFonts w:asciiTheme="minorHAnsi" w:eastAsiaTheme="minorEastAsia" w:hAnsiTheme="minorHAnsi" w:cs="Arial Unicode MS"/>
              <w:noProof/>
              <w:kern w:val="2"/>
              <w:sz w:val="22"/>
              <w:szCs w:val="22"/>
              <w:lang w:val="lv-LV"/>
              <w14:ligatures w14:val="standardContextual"/>
            </w:rPr>
          </w:pPr>
          <w:hyperlink w:anchor="_Toc158022310" w:history="1">
            <w:r w:rsidR="00A90743" w:rsidRPr="001F2BA3">
              <w:rPr>
                <w:rStyle w:val="Hyperlink"/>
                <w:noProof/>
                <w:lang w:val="lv-LV"/>
              </w:rPr>
              <w:t>3.1.</w:t>
            </w:r>
            <w:r w:rsidR="00A90743" w:rsidRPr="001F2BA3">
              <w:rPr>
                <w:rFonts w:asciiTheme="minorHAnsi" w:eastAsiaTheme="minorEastAsia" w:hAnsiTheme="minorHAnsi" w:cs="Arial Unicode MS"/>
                <w:noProof/>
                <w:kern w:val="2"/>
                <w:sz w:val="22"/>
                <w:szCs w:val="22"/>
                <w:lang w:val="lv-LV"/>
                <w14:ligatures w14:val="standardContextual"/>
              </w:rPr>
              <w:tab/>
            </w:r>
            <w:r w:rsidR="00A90743" w:rsidRPr="001F2BA3">
              <w:rPr>
                <w:rStyle w:val="Hyperlink"/>
                <w:noProof/>
                <w:lang w:val="lv-LV"/>
              </w:rPr>
              <w:t>Līgumi</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_Toc158022310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9</w:t>
            </w:r>
            <w:r w:rsidR="00A90743" w:rsidRPr="001F2BA3">
              <w:rPr>
                <w:noProof/>
                <w:webHidden/>
                <w:lang w:val="lv-LV"/>
              </w:rPr>
              <w:fldChar w:fldCharType="end"/>
            </w:r>
          </w:hyperlink>
        </w:p>
        <w:p w14:paraId="0A2AD143" w14:textId="1B85FCA1" w:rsidR="00A90743" w:rsidRPr="001F2BA3" w:rsidRDefault="00DE591E">
          <w:pPr>
            <w:pStyle w:val="TOC2"/>
            <w:rPr>
              <w:rFonts w:asciiTheme="minorHAnsi" w:eastAsiaTheme="minorEastAsia" w:hAnsiTheme="minorHAnsi" w:cs="Arial Unicode MS"/>
              <w:noProof/>
              <w:kern w:val="2"/>
              <w:sz w:val="22"/>
              <w:szCs w:val="22"/>
              <w:lang w:val="lv-LV"/>
              <w14:ligatures w14:val="standardContextual"/>
            </w:rPr>
          </w:pPr>
          <w:hyperlink w:anchor="_Toc158022311" w:history="1">
            <w:r w:rsidR="00A90743" w:rsidRPr="001F2BA3">
              <w:rPr>
                <w:rStyle w:val="Hyperlink"/>
                <w:noProof/>
                <w:lang w:val="lv-LV"/>
              </w:rPr>
              <w:t>3.2.</w:t>
            </w:r>
            <w:r w:rsidR="00A90743" w:rsidRPr="001F2BA3">
              <w:rPr>
                <w:rFonts w:asciiTheme="minorHAnsi" w:eastAsiaTheme="minorEastAsia" w:hAnsiTheme="minorHAnsi" w:cs="Arial Unicode MS"/>
                <w:noProof/>
                <w:kern w:val="2"/>
                <w:sz w:val="22"/>
                <w:szCs w:val="22"/>
                <w:lang w:val="lv-LV"/>
                <w14:ligatures w14:val="standardContextual"/>
              </w:rPr>
              <w:tab/>
            </w:r>
            <w:r w:rsidR="00A90743" w:rsidRPr="001F2BA3">
              <w:rPr>
                <w:rStyle w:val="Hyperlink"/>
                <w:noProof/>
                <w:lang w:val="lv-LV"/>
              </w:rPr>
              <w:t>Apvienoto Nāciju Organizācijas Konvencija par personu ar invaliditāti tiesībām</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_Toc158022311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9</w:t>
            </w:r>
            <w:r w:rsidR="00A90743" w:rsidRPr="001F2BA3">
              <w:rPr>
                <w:noProof/>
                <w:webHidden/>
                <w:lang w:val="lv-LV"/>
              </w:rPr>
              <w:fldChar w:fldCharType="end"/>
            </w:r>
          </w:hyperlink>
        </w:p>
        <w:p w14:paraId="27AAB6BB" w14:textId="7D480689" w:rsidR="00A90743" w:rsidRPr="001F2BA3" w:rsidRDefault="00DE591E">
          <w:pPr>
            <w:pStyle w:val="TOC2"/>
            <w:rPr>
              <w:rFonts w:asciiTheme="minorHAnsi" w:eastAsiaTheme="minorEastAsia" w:hAnsiTheme="minorHAnsi" w:cs="Arial Unicode MS"/>
              <w:noProof/>
              <w:kern w:val="2"/>
              <w:sz w:val="22"/>
              <w:szCs w:val="22"/>
              <w:lang w:val="lv-LV"/>
              <w14:ligatures w14:val="standardContextual"/>
            </w:rPr>
          </w:pPr>
          <w:hyperlink w:anchor="_Toc158022312" w:history="1">
            <w:r w:rsidR="00A90743" w:rsidRPr="001F2BA3">
              <w:rPr>
                <w:rStyle w:val="Hyperlink"/>
                <w:noProof/>
                <w:lang w:val="lv-LV"/>
              </w:rPr>
              <w:t>3.3.</w:t>
            </w:r>
            <w:r w:rsidR="00A90743" w:rsidRPr="001F2BA3">
              <w:rPr>
                <w:rFonts w:asciiTheme="minorHAnsi" w:eastAsiaTheme="minorEastAsia" w:hAnsiTheme="minorHAnsi" w:cs="Arial Unicode MS"/>
                <w:noProof/>
                <w:kern w:val="2"/>
                <w:sz w:val="22"/>
                <w:szCs w:val="22"/>
                <w:lang w:val="lv-LV"/>
                <w14:ligatures w14:val="standardContextual"/>
              </w:rPr>
              <w:tab/>
            </w:r>
            <w:r w:rsidR="00A90743" w:rsidRPr="001F2BA3">
              <w:rPr>
                <w:rStyle w:val="Hyperlink"/>
                <w:noProof/>
                <w:lang w:val="lv-LV"/>
              </w:rPr>
              <w:t>ES Pamattiesību harta</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_Toc158022312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10</w:t>
            </w:r>
            <w:r w:rsidR="00A90743" w:rsidRPr="001F2BA3">
              <w:rPr>
                <w:noProof/>
                <w:webHidden/>
                <w:lang w:val="lv-LV"/>
              </w:rPr>
              <w:fldChar w:fldCharType="end"/>
            </w:r>
          </w:hyperlink>
        </w:p>
        <w:p w14:paraId="5B30F109" w14:textId="35EDF3B0" w:rsidR="00A90743" w:rsidRPr="001F2BA3" w:rsidRDefault="00DE591E">
          <w:pPr>
            <w:pStyle w:val="TOC2"/>
            <w:rPr>
              <w:rFonts w:asciiTheme="minorHAnsi" w:eastAsiaTheme="minorEastAsia" w:hAnsiTheme="minorHAnsi" w:cs="Arial Unicode MS"/>
              <w:noProof/>
              <w:kern w:val="2"/>
              <w:sz w:val="22"/>
              <w:szCs w:val="22"/>
              <w:lang w:val="lv-LV"/>
              <w14:ligatures w14:val="standardContextual"/>
            </w:rPr>
          </w:pPr>
          <w:hyperlink w:anchor="_Toc158022313" w:history="1">
            <w:r w:rsidR="00A90743" w:rsidRPr="001F2BA3">
              <w:rPr>
                <w:rStyle w:val="Hyperlink"/>
                <w:noProof/>
                <w:lang w:val="lv-LV"/>
              </w:rPr>
              <w:t>3.4.</w:t>
            </w:r>
            <w:r w:rsidR="00A90743" w:rsidRPr="001F2BA3">
              <w:rPr>
                <w:rFonts w:asciiTheme="minorHAnsi" w:eastAsiaTheme="minorEastAsia" w:hAnsiTheme="minorHAnsi" w:cs="Arial Unicode MS"/>
                <w:noProof/>
                <w:kern w:val="2"/>
                <w:sz w:val="22"/>
                <w:szCs w:val="22"/>
                <w:lang w:val="lv-LV"/>
                <w14:ligatures w14:val="standardContextual"/>
              </w:rPr>
              <w:tab/>
            </w:r>
            <w:r w:rsidR="00A90743" w:rsidRPr="001F2BA3">
              <w:rPr>
                <w:rStyle w:val="Hyperlink"/>
                <w:noProof/>
                <w:lang w:val="lv-LV"/>
              </w:rPr>
              <w:t>ES vēlēšanu tiesības</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_Toc158022313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10</w:t>
            </w:r>
            <w:r w:rsidR="00A90743" w:rsidRPr="001F2BA3">
              <w:rPr>
                <w:noProof/>
                <w:webHidden/>
                <w:lang w:val="lv-LV"/>
              </w:rPr>
              <w:fldChar w:fldCharType="end"/>
            </w:r>
          </w:hyperlink>
        </w:p>
        <w:p w14:paraId="7F9BBC95" w14:textId="798DA20F" w:rsidR="00A90743" w:rsidRPr="001F2BA3" w:rsidRDefault="00DE591E">
          <w:pPr>
            <w:pStyle w:val="TOC2"/>
            <w:rPr>
              <w:rFonts w:asciiTheme="minorHAnsi" w:eastAsiaTheme="minorEastAsia" w:hAnsiTheme="minorHAnsi" w:cs="Arial Unicode MS"/>
              <w:noProof/>
              <w:kern w:val="2"/>
              <w:sz w:val="22"/>
              <w:szCs w:val="22"/>
              <w:lang w:val="lv-LV"/>
              <w14:ligatures w14:val="standardContextual"/>
            </w:rPr>
          </w:pPr>
          <w:hyperlink w:anchor="_Toc158022314" w:history="1">
            <w:r w:rsidR="00A90743" w:rsidRPr="001F2BA3">
              <w:rPr>
                <w:rStyle w:val="Hyperlink"/>
                <w:noProof/>
                <w:lang w:val="lv-LV"/>
              </w:rPr>
              <w:t>3.5.</w:t>
            </w:r>
            <w:r w:rsidR="00A90743" w:rsidRPr="001F2BA3">
              <w:rPr>
                <w:rFonts w:asciiTheme="minorHAnsi" w:eastAsiaTheme="minorEastAsia" w:hAnsiTheme="minorHAnsi" w:cs="Arial Unicode MS"/>
                <w:noProof/>
                <w:kern w:val="2"/>
                <w:sz w:val="22"/>
                <w:szCs w:val="22"/>
                <w:lang w:val="lv-LV"/>
                <w14:ligatures w14:val="standardContextual"/>
              </w:rPr>
              <w:tab/>
            </w:r>
            <w:r w:rsidR="00A90743" w:rsidRPr="001F2BA3">
              <w:rPr>
                <w:rStyle w:val="Hyperlink"/>
                <w:noProof/>
                <w:lang w:val="lv-LV"/>
              </w:rPr>
              <w:t>Mobilo ES pilsoņu tiesības balsot</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_Toc158022314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11</w:t>
            </w:r>
            <w:r w:rsidR="00A90743" w:rsidRPr="001F2BA3">
              <w:rPr>
                <w:noProof/>
                <w:webHidden/>
                <w:lang w:val="lv-LV"/>
              </w:rPr>
              <w:fldChar w:fldCharType="end"/>
            </w:r>
          </w:hyperlink>
        </w:p>
        <w:p w14:paraId="149EA9ED" w14:textId="78C95CA0" w:rsidR="00A90743" w:rsidRPr="001F2BA3" w:rsidRDefault="00DE591E">
          <w:pPr>
            <w:pStyle w:val="TOC2"/>
            <w:rPr>
              <w:rFonts w:asciiTheme="minorHAnsi" w:eastAsiaTheme="minorEastAsia" w:hAnsiTheme="minorHAnsi" w:cs="Arial Unicode MS"/>
              <w:noProof/>
              <w:kern w:val="2"/>
              <w:sz w:val="22"/>
              <w:szCs w:val="22"/>
              <w:lang w:val="lv-LV"/>
              <w14:ligatures w14:val="standardContextual"/>
            </w:rPr>
          </w:pPr>
          <w:hyperlink w:anchor="_Toc158022315" w:history="1">
            <w:r w:rsidR="00A90743" w:rsidRPr="001F2BA3">
              <w:rPr>
                <w:rStyle w:val="Hyperlink"/>
                <w:noProof/>
                <w:lang w:val="lv-LV"/>
              </w:rPr>
              <w:t>3.6.</w:t>
            </w:r>
            <w:r w:rsidR="00A90743" w:rsidRPr="001F2BA3">
              <w:rPr>
                <w:rFonts w:asciiTheme="minorHAnsi" w:eastAsiaTheme="minorEastAsia" w:hAnsiTheme="minorHAnsi" w:cs="Arial Unicode MS"/>
                <w:noProof/>
                <w:kern w:val="2"/>
                <w:sz w:val="22"/>
                <w:szCs w:val="22"/>
                <w:lang w:val="lv-LV"/>
                <w14:ligatures w14:val="standardContextual"/>
              </w:rPr>
              <w:tab/>
            </w:r>
            <w:r w:rsidR="00A90743" w:rsidRPr="001F2BA3">
              <w:rPr>
                <w:rStyle w:val="Hyperlink"/>
                <w:noProof/>
                <w:lang w:val="lv-LV"/>
              </w:rPr>
              <w:t>Politiskās reklāmas pārredzamība</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_Toc158022315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12</w:t>
            </w:r>
            <w:r w:rsidR="00A90743" w:rsidRPr="001F2BA3">
              <w:rPr>
                <w:noProof/>
                <w:webHidden/>
                <w:lang w:val="lv-LV"/>
              </w:rPr>
              <w:fldChar w:fldCharType="end"/>
            </w:r>
          </w:hyperlink>
        </w:p>
        <w:p w14:paraId="25E99E13" w14:textId="59821ED9" w:rsidR="00A90743" w:rsidRPr="001F2BA3" w:rsidRDefault="00DE591E">
          <w:pPr>
            <w:pStyle w:val="TOC2"/>
            <w:rPr>
              <w:rFonts w:asciiTheme="minorHAnsi" w:eastAsiaTheme="minorEastAsia" w:hAnsiTheme="minorHAnsi" w:cs="Arial Unicode MS"/>
              <w:noProof/>
              <w:kern w:val="2"/>
              <w:sz w:val="22"/>
              <w:szCs w:val="22"/>
              <w:lang w:val="lv-LV"/>
              <w14:ligatures w14:val="standardContextual"/>
            </w:rPr>
          </w:pPr>
          <w:hyperlink w:anchor="_Toc158022316" w:history="1">
            <w:r w:rsidR="00A90743" w:rsidRPr="001F2BA3">
              <w:rPr>
                <w:rStyle w:val="Hyperlink"/>
                <w:noProof/>
                <w:lang w:val="lv-LV"/>
              </w:rPr>
              <w:t>3.7.</w:t>
            </w:r>
            <w:r w:rsidR="00A90743" w:rsidRPr="001F2BA3">
              <w:rPr>
                <w:rFonts w:asciiTheme="minorHAnsi" w:eastAsiaTheme="minorEastAsia" w:hAnsiTheme="minorHAnsi" w:cs="Arial Unicode MS"/>
                <w:noProof/>
                <w:kern w:val="2"/>
                <w:sz w:val="22"/>
                <w:szCs w:val="22"/>
                <w:lang w:val="lv-LV"/>
                <w14:ligatures w14:val="standardContextual"/>
              </w:rPr>
              <w:tab/>
            </w:r>
            <w:r w:rsidR="00A90743" w:rsidRPr="001F2BA3">
              <w:rPr>
                <w:rStyle w:val="Hyperlink"/>
                <w:noProof/>
                <w:lang w:val="lv-LV"/>
              </w:rPr>
              <w:t>Citi ES tiesību aktu teksti</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_Toc158022316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12</w:t>
            </w:r>
            <w:r w:rsidR="00A90743" w:rsidRPr="001F2BA3">
              <w:rPr>
                <w:noProof/>
                <w:webHidden/>
                <w:lang w:val="lv-LV"/>
              </w:rPr>
              <w:fldChar w:fldCharType="end"/>
            </w:r>
          </w:hyperlink>
        </w:p>
        <w:p w14:paraId="0E62027E" w14:textId="6640D5D1" w:rsidR="00A90743" w:rsidRPr="001F2BA3" w:rsidRDefault="00DE591E">
          <w:pPr>
            <w:pStyle w:val="TOC1"/>
            <w:rPr>
              <w:rFonts w:asciiTheme="minorHAnsi" w:eastAsiaTheme="minorEastAsia" w:hAnsiTheme="minorHAnsi" w:cs="Arial Unicode MS"/>
              <w:noProof/>
              <w:kern w:val="2"/>
              <w:sz w:val="22"/>
              <w:szCs w:val="22"/>
              <w:lang w:val="lv-LV"/>
              <w14:ligatures w14:val="standardContextual"/>
            </w:rPr>
          </w:pPr>
          <w:hyperlink w:anchor="_Toc158022317" w:history="1">
            <w:r w:rsidR="00A90743" w:rsidRPr="001F2BA3">
              <w:rPr>
                <w:rStyle w:val="Hyperlink"/>
                <w:noProof/>
                <w:lang w:val="lv-LV"/>
              </w:rPr>
              <w:t>4. ES dalībvalstīm piemērojamie starptautiskie standarti</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_Toc158022317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13</w:t>
            </w:r>
            <w:r w:rsidR="00A90743" w:rsidRPr="001F2BA3">
              <w:rPr>
                <w:noProof/>
                <w:webHidden/>
                <w:lang w:val="lv-LV"/>
              </w:rPr>
              <w:fldChar w:fldCharType="end"/>
            </w:r>
          </w:hyperlink>
        </w:p>
        <w:p w14:paraId="6106491A" w14:textId="575AB408" w:rsidR="00A90743" w:rsidRPr="001F2BA3" w:rsidRDefault="00DE591E">
          <w:pPr>
            <w:pStyle w:val="TOC1"/>
            <w:rPr>
              <w:rFonts w:asciiTheme="minorHAnsi" w:eastAsiaTheme="minorEastAsia" w:hAnsiTheme="minorHAnsi" w:cs="Arial Unicode MS"/>
              <w:noProof/>
              <w:kern w:val="2"/>
              <w:sz w:val="22"/>
              <w:szCs w:val="22"/>
              <w:lang w:val="lv-LV"/>
              <w14:ligatures w14:val="standardContextual"/>
            </w:rPr>
          </w:pPr>
          <w:hyperlink w:anchor="_Toc158022318" w:history="1">
            <w:r w:rsidR="00A90743" w:rsidRPr="001F2BA3">
              <w:rPr>
                <w:rStyle w:val="Hyperlink"/>
                <w:noProof/>
                <w:lang w:val="lv-LV"/>
              </w:rPr>
              <w:t>5. Vide, kas atbalsta līdzdalību vēlēšanās</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_Toc158022318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14</w:t>
            </w:r>
            <w:r w:rsidR="00A90743" w:rsidRPr="001F2BA3">
              <w:rPr>
                <w:noProof/>
                <w:webHidden/>
                <w:lang w:val="lv-LV"/>
              </w:rPr>
              <w:fldChar w:fldCharType="end"/>
            </w:r>
          </w:hyperlink>
        </w:p>
        <w:p w14:paraId="492F6687" w14:textId="045A7B0D" w:rsidR="00A90743" w:rsidRPr="001F2BA3" w:rsidRDefault="00DE591E">
          <w:pPr>
            <w:pStyle w:val="TOC2"/>
            <w:rPr>
              <w:rFonts w:asciiTheme="minorHAnsi" w:eastAsiaTheme="minorEastAsia" w:hAnsiTheme="minorHAnsi" w:cs="Arial Unicode MS"/>
              <w:noProof/>
              <w:kern w:val="2"/>
              <w:sz w:val="22"/>
              <w:szCs w:val="22"/>
              <w:lang w:val="lv-LV"/>
              <w14:ligatures w14:val="standardContextual"/>
            </w:rPr>
          </w:pPr>
          <w:hyperlink w:anchor="_Toc158022319" w:history="1">
            <w:r w:rsidR="00A90743" w:rsidRPr="001F2BA3">
              <w:rPr>
                <w:rStyle w:val="Hyperlink"/>
                <w:noProof/>
                <w:lang w:val="lv-LV"/>
              </w:rPr>
              <w:t>5.1. Īpašu politiku izstrāde</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_Toc158022319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14</w:t>
            </w:r>
            <w:r w:rsidR="00A90743" w:rsidRPr="001F2BA3">
              <w:rPr>
                <w:noProof/>
                <w:webHidden/>
                <w:lang w:val="lv-LV"/>
              </w:rPr>
              <w:fldChar w:fldCharType="end"/>
            </w:r>
          </w:hyperlink>
        </w:p>
        <w:p w14:paraId="3A7D1B17" w14:textId="38642DE2" w:rsidR="00A90743" w:rsidRPr="001F2BA3" w:rsidRDefault="00DE591E">
          <w:pPr>
            <w:pStyle w:val="TOC2"/>
            <w:rPr>
              <w:rFonts w:asciiTheme="minorHAnsi" w:eastAsiaTheme="minorEastAsia" w:hAnsiTheme="minorHAnsi" w:cs="Arial Unicode MS"/>
              <w:noProof/>
              <w:kern w:val="2"/>
              <w:sz w:val="22"/>
              <w:szCs w:val="22"/>
              <w:lang w:val="lv-LV"/>
              <w14:ligatures w14:val="standardContextual"/>
            </w:rPr>
          </w:pPr>
          <w:hyperlink w:anchor="_Toc158022320" w:history="1">
            <w:r w:rsidR="00A90743" w:rsidRPr="001F2BA3">
              <w:rPr>
                <w:rStyle w:val="Hyperlink"/>
                <w:noProof/>
                <w:lang w:val="lv-LV"/>
              </w:rPr>
              <w:t>5.2. Informētības uzlabošana un attieksmes maiņa</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_Toc158022320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15</w:t>
            </w:r>
            <w:r w:rsidR="00A90743" w:rsidRPr="001F2BA3">
              <w:rPr>
                <w:noProof/>
                <w:webHidden/>
                <w:lang w:val="lv-LV"/>
              </w:rPr>
              <w:fldChar w:fldCharType="end"/>
            </w:r>
          </w:hyperlink>
        </w:p>
        <w:p w14:paraId="6C851739" w14:textId="3CA7DAF7" w:rsidR="00A90743" w:rsidRPr="001F2BA3" w:rsidRDefault="00DE591E">
          <w:pPr>
            <w:pStyle w:val="TOC2"/>
            <w:rPr>
              <w:rFonts w:asciiTheme="minorHAnsi" w:eastAsiaTheme="minorEastAsia" w:hAnsiTheme="minorHAnsi" w:cs="Arial Unicode MS"/>
              <w:noProof/>
              <w:kern w:val="2"/>
              <w:sz w:val="22"/>
              <w:szCs w:val="22"/>
              <w:lang w:val="lv-LV"/>
              <w14:ligatures w14:val="standardContextual"/>
            </w:rPr>
          </w:pPr>
          <w:hyperlink w:anchor="_Toc158022321" w:history="1">
            <w:r w:rsidR="00A90743" w:rsidRPr="001F2BA3">
              <w:rPr>
                <w:rStyle w:val="Hyperlink"/>
                <w:noProof/>
                <w:lang w:val="lv-LV"/>
              </w:rPr>
              <w:t>5.3. Sadarbība ar organizācijām, kas atbalsta personu ar invaliditāti tiesības.</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_Toc158022321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16</w:t>
            </w:r>
            <w:r w:rsidR="00A90743" w:rsidRPr="001F2BA3">
              <w:rPr>
                <w:noProof/>
                <w:webHidden/>
                <w:lang w:val="lv-LV"/>
              </w:rPr>
              <w:fldChar w:fldCharType="end"/>
            </w:r>
          </w:hyperlink>
        </w:p>
        <w:p w14:paraId="48D8C5B1" w14:textId="5AF81647" w:rsidR="00A90743" w:rsidRPr="001F2BA3" w:rsidRDefault="00DE591E">
          <w:pPr>
            <w:pStyle w:val="TOC2"/>
            <w:rPr>
              <w:rFonts w:asciiTheme="minorHAnsi" w:eastAsiaTheme="minorEastAsia" w:hAnsiTheme="minorHAnsi" w:cs="Arial Unicode MS"/>
              <w:noProof/>
              <w:kern w:val="2"/>
              <w:sz w:val="22"/>
              <w:szCs w:val="22"/>
              <w:lang w:val="lv-LV"/>
              <w14:ligatures w14:val="standardContextual"/>
            </w:rPr>
          </w:pPr>
          <w:hyperlink w:anchor="_Toc158022322" w:history="1">
            <w:r w:rsidR="00A90743" w:rsidRPr="001F2BA3">
              <w:rPr>
                <w:rStyle w:val="Hyperlink"/>
                <w:noProof/>
                <w:lang w:val="lv-LV"/>
              </w:rPr>
              <w:t>5.4. Ēku piekļūstamības un izmantojamības uzlabošana</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_Toc158022322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17</w:t>
            </w:r>
            <w:r w:rsidR="00A90743" w:rsidRPr="001F2BA3">
              <w:rPr>
                <w:noProof/>
                <w:webHidden/>
                <w:lang w:val="lv-LV"/>
              </w:rPr>
              <w:fldChar w:fldCharType="end"/>
            </w:r>
          </w:hyperlink>
        </w:p>
        <w:p w14:paraId="3F24E500" w14:textId="35E3F0DC" w:rsidR="00A90743" w:rsidRPr="001F2BA3" w:rsidRDefault="00DE591E">
          <w:pPr>
            <w:pStyle w:val="TOC2"/>
            <w:rPr>
              <w:rFonts w:asciiTheme="minorHAnsi" w:eastAsiaTheme="minorEastAsia" w:hAnsiTheme="minorHAnsi" w:cs="Arial Unicode MS"/>
              <w:noProof/>
              <w:kern w:val="2"/>
              <w:sz w:val="22"/>
              <w:szCs w:val="22"/>
              <w:lang w:val="lv-LV"/>
              <w14:ligatures w14:val="standardContextual"/>
            </w:rPr>
          </w:pPr>
          <w:hyperlink w:anchor="_Toc158022323" w:history="1">
            <w:r w:rsidR="00A90743" w:rsidRPr="001F2BA3">
              <w:rPr>
                <w:rStyle w:val="Hyperlink"/>
                <w:noProof/>
                <w:lang w:val="lv-LV"/>
              </w:rPr>
              <w:t>5.5. Mācības un īpašs atbalsts vēlēšanu amatpersonām</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_Toc158022323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17</w:t>
            </w:r>
            <w:r w:rsidR="00A90743" w:rsidRPr="001F2BA3">
              <w:rPr>
                <w:noProof/>
                <w:webHidden/>
                <w:lang w:val="lv-LV"/>
              </w:rPr>
              <w:fldChar w:fldCharType="end"/>
            </w:r>
          </w:hyperlink>
        </w:p>
        <w:p w14:paraId="057218B4" w14:textId="7FEA39BB" w:rsidR="00A90743" w:rsidRPr="001F2BA3" w:rsidRDefault="00DE591E">
          <w:pPr>
            <w:pStyle w:val="TOC1"/>
            <w:rPr>
              <w:rFonts w:asciiTheme="minorHAnsi" w:eastAsiaTheme="minorEastAsia" w:hAnsiTheme="minorHAnsi" w:cs="Arial Unicode MS"/>
              <w:noProof/>
              <w:kern w:val="2"/>
              <w:sz w:val="22"/>
              <w:szCs w:val="22"/>
              <w:lang w:val="lv-LV"/>
              <w14:ligatures w14:val="standardContextual"/>
            </w:rPr>
          </w:pPr>
          <w:hyperlink w:anchor="_Toc158022324" w:history="1">
            <w:r w:rsidR="00A90743" w:rsidRPr="001F2BA3">
              <w:rPr>
                <w:rStyle w:val="Hyperlink"/>
                <w:noProof/>
                <w:lang w:val="lv-LV"/>
              </w:rPr>
              <w:t>6. Darbs ar personām ar invaliditāti vēlēšanu cikla laikā</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_Toc158022324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18</w:t>
            </w:r>
            <w:r w:rsidR="00A90743" w:rsidRPr="001F2BA3">
              <w:rPr>
                <w:noProof/>
                <w:webHidden/>
                <w:lang w:val="lv-LV"/>
              </w:rPr>
              <w:fldChar w:fldCharType="end"/>
            </w:r>
          </w:hyperlink>
        </w:p>
        <w:p w14:paraId="052A73DB" w14:textId="03A559D2" w:rsidR="00A90743" w:rsidRPr="001F2BA3" w:rsidRDefault="00DE591E">
          <w:pPr>
            <w:pStyle w:val="TOC2"/>
            <w:rPr>
              <w:rFonts w:asciiTheme="minorHAnsi" w:eastAsiaTheme="minorEastAsia" w:hAnsiTheme="minorHAnsi" w:cs="Arial Unicode MS"/>
              <w:noProof/>
              <w:kern w:val="2"/>
              <w:sz w:val="22"/>
              <w:szCs w:val="22"/>
              <w:lang w:val="lv-LV"/>
              <w14:ligatures w14:val="standardContextual"/>
            </w:rPr>
          </w:pPr>
          <w:hyperlink w:anchor="_Toc158022325" w:history="1">
            <w:r w:rsidR="00A90743" w:rsidRPr="001F2BA3">
              <w:rPr>
                <w:rStyle w:val="Hyperlink"/>
                <w:noProof/>
                <w:lang w:val="lv-LV"/>
              </w:rPr>
              <w:t>6.1. Oficiālo paziņojumu piekļūstamība</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_Toc158022325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18</w:t>
            </w:r>
            <w:r w:rsidR="00A90743" w:rsidRPr="001F2BA3">
              <w:rPr>
                <w:noProof/>
                <w:webHidden/>
                <w:lang w:val="lv-LV"/>
              </w:rPr>
              <w:fldChar w:fldCharType="end"/>
            </w:r>
          </w:hyperlink>
        </w:p>
        <w:p w14:paraId="48AB5074" w14:textId="271B0BD8" w:rsidR="00A90743" w:rsidRPr="001F2BA3" w:rsidRDefault="00DE591E">
          <w:pPr>
            <w:pStyle w:val="TOC2"/>
            <w:rPr>
              <w:rFonts w:asciiTheme="minorHAnsi" w:eastAsiaTheme="minorEastAsia" w:hAnsiTheme="minorHAnsi" w:cs="Arial Unicode MS"/>
              <w:noProof/>
              <w:kern w:val="2"/>
              <w:sz w:val="22"/>
              <w:szCs w:val="22"/>
              <w:lang w:val="lv-LV"/>
              <w14:ligatures w14:val="standardContextual"/>
            </w:rPr>
          </w:pPr>
          <w:hyperlink w:anchor="_Toc158022326" w:history="1">
            <w:r w:rsidR="00A90743" w:rsidRPr="001F2BA3">
              <w:rPr>
                <w:rStyle w:val="Hyperlink"/>
                <w:noProof/>
                <w:lang w:val="lv-LV"/>
              </w:rPr>
              <w:t>6.2. Politiskās reklāmas piekļūstamība</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_Toc158022326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21</w:t>
            </w:r>
            <w:r w:rsidR="00A90743" w:rsidRPr="001F2BA3">
              <w:rPr>
                <w:noProof/>
                <w:webHidden/>
                <w:lang w:val="lv-LV"/>
              </w:rPr>
              <w:fldChar w:fldCharType="end"/>
            </w:r>
          </w:hyperlink>
        </w:p>
        <w:p w14:paraId="6F3A5F4F" w14:textId="74972431" w:rsidR="00A90743" w:rsidRPr="001F2BA3" w:rsidRDefault="00DE591E">
          <w:pPr>
            <w:pStyle w:val="TOC1"/>
            <w:rPr>
              <w:rFonts w:asciiTheme="minorHAnsi" w:eastAsiaTheme="minorEastAsia" w:hAnsiTheme="minorHAnsi" w:cs="Arial Unicode MS"/>
              <w:noProof/>
              <w:kern w:val="2"/>
              <w:sz w:val="22"/>
              <w:szCs w:val="22"/>
              <w:lang w:val="lv-LV"/>
              <w14:ligatures w14:val="standardContextual"/>
            </w:rPr>
          </w:pPr>
          <w:hyperlink w:anchor="_Toc158022327" w:history="1">
            <w:r w:rsidR="00A90743" w:rsidRPr="001F2BA3">
              <w:rPr>
                <w:rStyle w:val="Hyperlink"/>
                <w:noProof/>
                <w:lang w:val="lv-LV"/>
              </w:rPr>
              <w:t>7. Universāls dizains un saprātīgi pielāgojumi vēlēšanu ciklā — procedūras, telpas un materiāli</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_Toc158022327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21</w:t>
            </w:r>
            <w:r w:rsidR="00A90743" w:rsidRPr="001F2BA3">
              <w:rPr>
                <w:noProof/>
                <w:webHidden/>
                <w:lang w:val="lv-LV"/>
              </w:rPr>
              <w:fldChar w:fldCharType="end"/>
            </w:r>
          </w:hyperlink>
        </w:p>
        <w:p w14:paraId="2D674C7E" w14:textId="07E7D5F8" w:rsidR="00A90743" w:rsidRPr="001F2BA3" w:rsidRDefault="00DE591E">
          <w:pPr>
            <w:pStyle w:val="TOC2"/>
            <w:rPr>
              <w:rFonts w:asciiTheme="minorHAnsi" w:eastAsiaTheme="minorEastAsia" w:hAnsiTheme="minorHAnsi" w:cs="Arial Unicode MS"/>
              <w:noProof/>
              <w:kern w:val="2"/>
              <w:sz w:val="22"/>
              <w:szCs w:val="22"/>
              <w:lang w:val="lv-LV"/>
              <w14:ligatures w14:val="standardContextual"/>
            </w:rPr>
          </w:pPr>
          <w:hyperlink w:anchor="_Toc158022328" w:history="1">
            <w:r w:rsidR="00A90743" w:rsidRPr="001F2BA3">
              <w:rPr>
                <w:rStyle w:val="Hyperlink"/>
                <w:noProof/>
                <w:lang w:val="lv-LV"/>
              </w:rPr>
              <w:t>7.1. Reģistrācijas procedūras</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_Toc158022328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21</w:t>
            </w:r>
            <w:r w:rsidR="00A90743" w:rsidRPr="001F2BA3">
              <w:rPr>
                <w:noProof/>
                <w:webHidden/>
                <w:lang w:val="lv-LV"/>
              </w:rPr>
              <w:fldChar w:fldCharType="end"/>
            </w:r>
          </w:hyperlink>
        </w:p>
        <w:p w14:paraId="6EEE3BBD" w14:textId="7D869370" w:rsidR="00A90743" w:rsidRPr="001F2BA3" w:rsidRDefault="00DE591E">
          <w:pPr>
            <w:pStyle w:val="TOC2"/>
            <w:rPr>
              <w:rFonts w:asciiTheme="minorHAnsi" w:eastAsiaTheme="minorEastAsia" w:hAnsiTheme="minorHAnsi" w:cs="Arial Unicode MS"/>
              <w:noProof/>
              <w:kern w:val="2"/>
              <w:sz w:val="22"/>
              <w:szCs w:val="22"/>
              <w:lang w:val="lv-LV"/>
              <w14:ligatures w14:val="standardContextual"/>
            </w:rPr>
          </w:pPr>
          <w:hyperlink w:anchor="_Toc158022329" w:history="1">
            <w:r w:rsidR="00A90743" w:rsidRPr="001F2BA3">
              <w:rPr>
                <w:rStyle w:val="Hyperlink"/>
                <w:noProof/>
                <w:lang w:val="lv-LV"/>
              </w:rPr>
              <w:t>7.2. Vēlēšanu iecirkņu, vēlēšanu kabīņu un vēlēšanu kastu piekļūstamības palielināšana</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_Toc158022329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22</w:t>
            </w:r>
            <w:r w:rsidR="00A90743" w:rsidRPr="001F2BA3">
              <w:rPr>
                <w:noProof/>
                <w:webHidden/>
                <w:lang w:val="lv-LV"/>
              </w:rPr>
              <w:fldChar w:fldCharType="end"/>
            </w:r>
          </w:hyperlink>
        </w:p>
        <w:p w14:paraId="4476A3D1" w14:textId="71CBB189" w:rsidR="00A90743" w:rsidRPr="001F2BA3" w:rsidRDefault="00DE591E">
          <w:pPr>
            <w:pStyle w:val="TOC2"/>
            <w:rPr>
              <w:rFonts w:asciiTheme="minorHAnsi" w:eastAsiaTheme="minorEastAsia" w:hAnsiTheme="minorHAnsi" w:cs="Arial Unicode MS"/>
              <w:noProof/>
              <w:kern w:val="2"/>
              <w:sz w:val="22"/>
              <w:szCs w:val="22"/>
              <w:lang w:val="lv-LV"/>
              <w14:ligatures w14:val="standardContextual"/>
            </w:rPr>
          </w:pPr>
          <w:hyperlink w:anchor="_Toc158022330" w:history="1">
            <w:r w:rsidR="00A90743" w:rsidRPr="001F2BA3">
              <w:rPr>
                <w:rStyle w:val="Hyperlink"/>
                <w:noProof/>
                <w:lang w:val="lv-LV"/>
              </w:rPr>
              <w:t>7.3. Papīra vēlēšanu zīmju piekļūstamības palielināšana</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_Toc158022330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24</w:t>
            </w:r>
            <w:r w:rsidR="00A90743" w:rsidRPr="001F2BA3">
              <w:rPr>
                <w:noProof/>
                <w:webHidden/>
                <w:lang w:val="lv-LV"/>
              </w:rPr>
              <w:fldChar w:fldCharType="end"/>
            </w:r>
          </w:hyperlink>
        </w:p>
        <w:p w14:paraId="167760F8" w14:textId="2A46B12D" w:rsidR="00A90743" w:rsidRPr="001F2BA3" w:rsidRDefault="00DE591E">
          <w:pPr>
            <w:pStyle w:val="TOC2"/>
            <w:rPr>
              <w:rFonts w:asciiTheme="minorHAnsi" w:eastAsiaTheme="minorEastAsia" w:hAnsiTheme="minorHAnsi" w:cs="Arial Unicode MS"/>
              <w:noProof/>
              <w:kern w:val="2"/>
              <w:sz w:val="22"/>
              <w:szCs w:val="22"/>
              <w:lang w:val="lv-LV"/>
              <w14:ligatures w14:val="standardContextual"/>
            </w:rPr>
          </w:pPr>
          <w:hyperlink w:anchor="_Toc158022331" w:history="1">
            <w:r w:rsidR="00A90743" w:rsidRPr="001F2BA3">
              <w:rPr>
                <w:rStyle w:val="Hyperlink"/>
                <w:noProof/>
                <w:lang w:val="lv-LV"/>
              </w:rPr>
              <w:t>7.4. Balsošanas iekārtu piekļūstamības palielināšana</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_Toc158022331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26</w:t>
            </w:r>
            <w:r w:rsidR="00A90743" w:rsidRPr="001F2BA3">
              <w:rPr>
                <w:noProof/>
                <w:webHidden/>
                <w:lang w:val="lv-LV"/>
              </w:rPr>
              <w:fldChar w:fldCharType="end"/>
            </w:r>
          </w:hyperlink>
        </w:p>
        <w:p w14:paraId="7CCFCDFA" w14:textId="43308236" w:rsidR="00A90743" w:rsidRPr="001F2BA3" w:rsidRDefault="00DE591E">
          <w:pPr>
            <w:pStyle w:val="TOC2"/>
            <w:rPr>
              <w:rFonts w:asciiTheme="minorHAnsi" w:eastAsiaTheme="minorEastAsia" w:hAnsiTheme="minorHAnsi" w:cs="Arial Unicode MS"/>
              <w:noProof/>
              <w:kern w:val="2"/>
              <w:sz w:val="22"/>
              <w:szCs w:val="22"/>
              <w:lang w:val="lv-LV"/>
              <w14:ligatures w14:val="standardContextual"/>
            </w:rPr>
          </w:pPr>
          <w:hyperlink w:anchor="_Toc158022332" w:history="1">
            <w:r w:rsidR="00A90743" w:rsidRPr="001F2BA3">
              <w:rPr>
                <w:rStyle w:val="Hyperlink"/>
                <w:noProof/>
                <w:lang w:val="lv-LV"/>
              </w:rPr>
              <w:t>7.5. Papildu balsošanas metodes</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_Toc158022332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26</w:t>
            </w:r>
            <w:r w:rsidR="00A90743" w:rsidRPr="001F2BA3">
              <w:rPr>
                <w:noProof/>
                <w:webHidden/>
                <w:lang w:val="lv-LV"/>
              </w:rPr>
              <w:fldChar w:fldCharType="end"/>
            </w:r>
          </w:hyperlink>
        </w:p>
        <w:p w14:paraId="4B1DDF63" w14:textId="13135CFB" w:rsidR="00A90743" w:rsidRPr="001F2BA3" w:rsidRDefault="00DE591E">
          <w:pPr>
            <w:pStyle w:val="TOC2"/>
            <w:rPr>
              <w:rFonts w:asciiTheme="minorHAnsi" w:eastAsiaTheme="minorEastAsia" w:hAnsiTheme="minorHAnsi" w:cs="Arial Unicode MS"/>
              <w:noProof/>
              <w:kern w:val="2"/>
              <w:sz w:val="22"/>
              <w:szCs w:val="22"/>
              <w:lang w:val="lv-LV"/>
              <w14:ligatures w14:val="standardContextual"/>
            </w:rPr>
          </w:pPr>
          <w:hyperlink w:anchor="_Toc158022333" w:history="1">
            <w:r w:rsidR="00A90743" w:rsidRPr="001F2BA3">
              <w:rPr>
                <w:rStyle w:val="Hyperlink"/>
                <w:noProof/>
                <w:lang w:val="lv-LV"/>
              </w:rPr>
              <w:t>7.6. Piekļuve vēlēšanu strīdu izšķiršanai</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_Toc158022333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28</w:t>
            </w:r>
            <w:r w:rsidR="00A90743" w:rsidRPr="001F2BA3">
              <w:rPr>
                <w:noProof/>
                <w:webHidden/>
                <w:lang w:val="lv-LV"/>
              </w:rPr>
              <w:fldChar w:fldCharType="end"/>
            </w:r>
          </w:hyperlink>
        </w:p>
        <w:p w14:paraId="540FC4A3" w14:textId="6E721EB3" w:rsidR="00A90743" w:rsidRPr="001F2BA3" w:rsidRDefault="00DE591E">
          <w:pPr>
            <w:pStyle w:val="TOC2"/>
            <w:rPr>
              <w:rFonts w:asciiTheme="minorHAnsi" w:eastAsiaTheme="minorEastAsia" w:hAnsiTheme="minorHAnsi" w:cs="Arial Unicode MS"/>
              <w:noProof/>
              <w:kern w:val="2"/>
              <w:sz w:val="22"/>
              <w:szCs w:val="22"/>
              <w:lang w:val="lv-LV"/>
              <w14:ligatures w14:val="standardContextual"/>
            </w:rPr>
          </w:pPr>
          <w:hyperlink w:anchor="_Toc158022334" w:history="1">
            <w:r w:rsidR="00A90743" w:rsidRPr="001F2BA3">
              <w:rPr>
                <w:rStyle w:val="Hyperlink"/>
                <w:noProof/>
                <w:lang w:val="lv-LV"/>
              </w:rPr>
              <w:t>7.7. Datu vākšana par personu ar invaliditāti dalību vēlēšanās</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_Toc158022334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28</w:t>
            </w:r>
            <w:r w:rsidR="00A90743" w:rsidRPr="001F2BA3">
              <w:rPr>
                <w:noProof/>
                <w:webHidden/>
                <w:lang w:val="lv-LV"/>
              </w:rPr>
              <w:fldChar w:fldCharType="end"/>
            </w:r>
          </w:hyperlink>
        </w:p>
        <w:p w14:paraId="7BF77BBA" w14:textId="60B472C6" w:rsidR="00A90743" w:rsidRPr="001F2BA3" w:rsidRDefault="00DE591E">
          <w:pPr>
            <w:pStyle w:val="TOC2"/>
            <w:rPr>
              <w:rFonts w:asciiTheme="minorHAnsi" w:eastAsiaTheme="minorEastAsia" w:hAnsiTheme="minorHAnsi" w:cs="Arial Unicode MS"/>
              <w:noProof/>
              <w:kern w:val="2"/>
              <w:sz w:val="22"/>
              <w:szCs w:val="22"/>
              <w:lang w:val="lv-LV"/>
              <w14:ligatures w14:val="standardContextual"/>
            </w:rPr>
          </w:pPr>
          <w:hyperlink w:anchor="_Toc158022335" w:history="1">
            <w:r w:rsidR="00A90743" w:rsidRPr="001F2BA3">
              <w:rPr>
                <w:rStyle w:val="Hyperlink"/>
                <w:noProof/>
                <w:lang w:val="lv-LV"/>
              </w:rPr>
              <w:t>7.8. Vēlēšanu piekļūstamības uzraudzība un novērtēšana</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_Toc158022335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30</w:t>
            </w:r>
            <w:r w:rsidR="00A90743" w:rsidRPr="001F2BA3">
              <w:rPr>
                <w:noProof/>
                <w:webHidden/>
                <w:lang w:val="lv-LV"/>
              </w:rPr>
              <w:fldChar w:fldCharType="end"/>
            </w:r>
          </w:hyperlink>
        </w:p>
        <w:p w14:paraId="60527898" w14:textId="78997065" w:rsidR="00A90743" w:rsidRPr="001F2BA3" w:rsidRDefault="00DE591E">
          <w:pPr>
            <w:pStyle w:val="TOC1"/>
            <w:rPr>
              <w:rFonts w:asciiTheme="minorHAnsi" w:eastAsiaTheme="minorEastAsia" w:hAnsiTheme="minorHAnsi" w:cs="Arial Unicode MS"/>
              <w:noProof/>
              <w:kern w:val="2"/>
              <w:sz w:val="22"/>
              <w:szCs w:val="22"/>
              <w:lang w:val="lv-LV"/>
              <w14:ligatures w14:val="standardContextual"/>
            </w:rPr>
          </w:pPr>
          <w:hyperlink w:anchor="_Toc158022336" w:history="1">
            <w:r w:rsidR="00A90743" w:rsidRPr="001F2BA3">
              <w:rPr>
                <w:rStyle w:val="Hyperlink"/>
                <w:noProof/>
                <w:lang w:val="lv-LV"/>
              </w:rPr>
              <w:t>8. Nobeiguma apsvērumi</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_Toc158022336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31</w:t>
            </w:r>
            <w:r w:rsidR="00A90743" w:rsidRPr="001F2BA3">
              <w:rPr>
                <w:noProof/>
                <w:webHidden/>
                <w:lang w:val="lv-LV"/>
              </w:rPr>
              <w:fldChar w:fldCharType="end"/>
            </w:r>
          </w:hyperlink>
        </w:p>
        <w:p w14:paraId="56E939F5" w14:textId="3E238C9A" w:rsidR="00A90743" w:rsidRPr="001F2BA3" w:rsidRDefault="00DE591E">
          <w:pPr>
            <w:pStyle w:val="TOC1"/>
            <w:rPr>
              <w:rFonts w:asciiTheme="minorHAnsi" w:eastAsiaTheme="minorEastAsia" w:hAnsiTheme="minorHAnsi" w:cs="Arial Unicode MS"/>
              <w:noProof/>
              <w:kern w:val="2"/>
              <w:sz w:val="22"/>
              <w:szCs w:val="22"/>
              <w:lang w:val="lv-LV"/>
              <w14:ligatures w14:val="standardContextual"/>
            </w:rPr>
          </w:pPr>
          <w:hyperlink w:anchor="_Toc158022337" w:history="1">
            <w:r w:rsidR="00A90743" w:rsidRPr="001F2BA3">
              <w:rPr>
                <w:rStyle w:val="Hyperlink"/>
                <w:noProof/>
                <w:lang w:val="lv-LV"/>
              </w:rPr>
              <w:t>1. pielikums. Pamatprincipi, kā personām ar invaliditāti nodrošināt piekļuvi vēlēšanām</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_Toc158022337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34</w:t>
            </w:r>
            <w:r w:rsidR="00A90743" w:rsidRPr="001F2BA3">
              <w:rPr>
                <w:noProof/>
                <w:webHidden/>
                <w:lang w:val="lv-LV"/>
              </w:rPr>
              <w:fldChar w:fldCharType="end"/>
            </w:r>
          </w:hyperlink>
        </w:p>
        <w:p w14:paraId="4C614492" w14:textId="06FA70FA" w:rsidR="00A90743" w:rsidRPr="001F2BA3" w:rsidRDefault="00DE591E">
          <w:pPr>
            <w:pStyle w:val="TOC1"/>
            <w:rPr>
              <w:rFonts w:asciiTheme="minorHAnsi" w:eastAsiaTheme="minorEastAsia" w:hAnsiTheme="minorHAnsi" w:cs="Arial Unicode MS"/>
              <w:noProof/>
              <w:kern w:val="2"/>
              <w:sz w:val="22"/>
              <w:szCs w:val="22"/>
              <w:lang w:val="lv-LV"/>
              <w14:ligatures w14:val="standardContextual"/>
            </w:rPr>
          </w:pPr>
          <w:hyperlink w:anchor="_Toc158022338" w:history="1">
            <w:r w:rsidR="00A90743" w:rsidRPr="001F2BA3">
              <w:rPr>
                <w:rStyle w:val="Hyperlink"/>
                <w:noProof/>
                <w:lang w:val="lv-LV"/>
              </w:rPr>
              <w:t>2. pielikums. Kontrolsaraksta piemēri vēlēšanu iecirkņu piekļūstamības novērtēšanai</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_Toc158022338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35</w:t>
            </w:r>
            <w:r w:rsidR="00A90743" w:rsidRPr="001F2BA3">
              <w:rPr>
                <w:noProof/>
                <w:webHidden/>
                <w:lang w:val="lv-LV"/>
              </w:rPr>
              <w:fldChar w:fldCharType="end"/>
            </w:r>
          </w:hyperlink>
        </w:p>
        <w:p w14:paraId="4A906357" w14:textId="54AA42E8" w:rsidR="00A90743" w:rsidRPr="001F2BA3" w:rsidRDefault="00DE591E">
          <w:pPr>
            <w:pStyle w:val="TOC1"/>
            <w:rPr>
              <w:rFonts w:asciiTheme="minorHAnsi" w:eastAsiaTheme="minorEastAsia" w:hAnsiTheme="minorHAnsi" w:cs="Arial Unicode MS"/>
              <w:noProof/>
              <w:kern w:val="2"/>
              <w:sz w:val="22"/>
              <w:szCs w:val="22"/>
              <w:lang w:val="lv-LV"/>
              <w14:ligatures w14:val="standardContextual"/>
            </w:rPr>
          </w:pPr>
          <w:hyperlink w:anchor="_Toc158022339" w:history="1">
            <w:r w:rsidR="00A90743" w:rsidRPr="001F2BA3">
              <w:rPr>
                <w:rStyle w:val="Hyperlink"/>
                <w:noProof/>
                <w:lang w:val="lv-LV"/>
              </w:rPr>
              <w:t>3. pielikums. Vispārīgu ieteikumu piemērs vēlēšanu iecirkņu amatpersonām</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_Toc158022339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37</w:t>
            </w:r>
            <w:r w:rsidR="00A90743" w:rsidRPr="001F2BA3">
              <w:rPr>
                <w:noProof/>
                <w:webHidden/>
                <w:lang w:val="lv-LV"/>
              </w:rPr>
              <w:fldChar w:fldCharType="end"/>
            </w:r>
          </w:hyperlink>
        </w:p>
        <w:p w14:paraId="203FD354" w14:textId="04F7C8F7" w:rsidR="00A90743" w:rsidRPr="001F2BA3" w:rsidRDefault="00DE591E">
          <w:pPr>
            <w:pStyle w:val="TOC1"/>
            <w:rPr>
              <w:rFonts w:asciiTheme="minorHAnsi" w:eastAsiaTheme="minorEastAsia" w:hAnsiTheme="minorHAnsi" w:cs="Arial Unicode MS"/>
              <w:noProof/>
              <w:kern w:val="2"/>
              <w:sz w:val="22"/>
              <w:szCs w:val="22"/>
              <w:lang w:val="lv-LV"/>
              <w14:ligatures w14:val="standardContextual"/>
            </w:rPr>
          </w:pPr>
          <w:hyperlink w:anchor="_Toc158022340" w:history="1">
            <w:r w:rsidR="00A90743" w:rsidRPr="001F2BA3">
              <w:rPr>
                <w:rStyle w:val="Hyperlink"/>
                <w:noProof/>
                <w:lang w:val="lv-LV"/>
              </w:rPr>
              <w:t>4. pielikums. Piemērs, kā nodrošināt piekļuvi vēlēšanu iecirkņa telpām</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_Toc158022340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38</w:t>
            </w:r>
            <w:r w:rsidR="00A90743" w:rsidRPr="001F2BA3">
              <w:rPr>
                <w:noProof/>
                <w:webHidden/>
                <w:lang w:val="lv-LV"/>
              </w:rPr>
              <w:fldChar w:fldCharType="end"/>
            </w:r>
          </w:hyperlink>
        </w:p>
        <w:p w14:paraId="4B9B055F" w14:textId="0B340F15" w:rsidR="00A90743" w:rsidRPr="001F2BA3" w:rsidRDefault="00DE591E">
          <w:pPr>
            <w:pStyle w:val="TOC1"/>
            <w:rPr>
              <w:rFonts w:asciiTheme="minorHAnsi" w:eastAsiaTheme="minorEastAsia" w:hAnsiTheme="minorHAnsi" w:cs="Arial Unicode MS"/>
              <w:noProof/>
              <w:kern w:val="2"/>
              <w:sz w:val="22"/>
              <w:szCs w:val="22"/>
              <w:lang w:val="lv-LV"/>
              <w14:ligatures w14:val="standardContextual"/>
            </w:rPr>
          </w:pPr>
          <w:hyperlink w:anchor="_Toc158022341" w:history="1">
            <w:r w:rsidR="00A90743" w:rsidRPr="001F2BA3">
              <w:rPr>
                <w:rStyle w:val="Hyperlink"/>
                <w:noProof/>
                <w:lang w:val="lv-LV"/>
              </w:rPr>
              <w:t>5. pielikums. Piemērs, kā izveidot pieejamu vēlēšanu iecirkni</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_Toc158022341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39</w:t>
            </w:r>
            <w:r w:rsidR="00A90743" w:rsidRPr="001F2BA3">
              <w:rPr>
                <w:noProof/>
                <w:webHidden/>
                <w:lang w:val="lv-LV"/>
              </w:rPr>
              <w:fldChar w:fldCharType="end"/>
            </w:r>
          </w:hyperlink>
        </w:p>
        <w:p w14:paraId="1529EEC6" w14:textId="5DDF0B00" w:rsidR="00A90743" w:rsidRPr="001F2BA3" w:rsidRDefault="00DE591E">
          <w:pPr>
            <w:pStyle w:val="TOC1"/>
            <w:rPr>
              <w:rFonts w:asciiTheme="minorHAnsi" w:eastAsiaTheme="minorEastAsia" w:hAnsiTheme="minorHAnsi" w:cs="Arial Unicode MS"/>
              <w:noProof/>
              <w:kern w:val="2"/>
              <w:sz w:val="22"/>
              <w:szCs w:val="22"/>
              <w:lang w:val="lv-LV"/>
              <w14:ligatures w14:val="standardContextual"/>
            </w:rPr>
          </w:pPr>
          <w:hyperlink w:anchor="_Toc158022342" w:history="1">
            <w:r w:rsidR="00A90743" w:rsidRPr="001F2BA3">
              <w:rPr>
                <w:rStyle w:val="Hyperlink"/>
                <w:noProof/>
                <w:lang w:val="lv-LV"/>
              </w:rPr>
              <w:t>6. pielikums. Pielāgotu vēlēšanu kabīņu piemēri</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_Toc158022342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39</w:t>
            </w:r>
            <w:r w:rsidR="00A90743" w:rsidRPr="001F2BA3">
              <w:rPr>
                <w:noProof/>
                <w:webHidden/>
                <w:lang w:val="lv-LV"/>
              </w:rPr>
              <w:fldChar w:fldCharType="end"/>
            </w:r>
          </w:hyperlink>
        </w:p>
        <w:p w14:paraId="04B9CC91" w14:textId="3BCFA940" w:rsidR="00A90743" w:rsidRPr="001F2BA3" w:rsidRDefault="00DE591E">
          <w:pPr>
            <w:pStyle w:val="TOC1"/>
            <w:rPr>
              <w:rFonts w:asciiTheme="minorHAnsi" w:eastAsiaTheme="minorEastAsia" w:hAnsiTheme="minorHAnsi" w:cs="Arial Unicode MS"/>
              <w:noProof/>
              <w:kern w:val="2"/>
              <w:sz w:val="22"/>
              <w:szCs w:val="22"/>
              <w:lang w:val="lv-LV"/>
              <w14:ligatures w14:val="standardContextual"/>
            </w:rPr>
          </w:pPr>
          <w:hyperlink w:anchor="_Toc158022343" w:history="1">
            <w:r w:rsidR="00A90743" w:rsidRPr="001F2BA3">
              <w:rPr>
                <w:rStyle w:val="Hyperlink"/>
                <w:noProof/>
                <w:lang w:val="lv-LV"/>
              </w:rPr>
              <w:t>7. pielikums. Invaliditātes jēdziens, ko dalībvalstis izmanto saistībā ar vēlēšanām</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_Toc158022343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40</w:t>
            </w:r>
            <w:r w:rsidR="00A90743" w:rsidRPr="001F2BA3">
              <w:rPr>
                <w:noProof/>
                <w:webHidden/>
                <w:lang w:val="lv-LV"/>
              </w:rPr>
              <w:fldChar w:fldCharType="end"/>
            </w:r>
          </w:hyperlink>
        </w:p>
        <w:p w14:paraId="66E997B6" w14:textId="4385C794" w:rsidR="00A90743" w:rsidRPr="001F2BA3" w:rsidRDefault="00DE591E">
          <w:pPr>
            <w:pStyle w:val="TOC1"/>
            <w:rPr>
              <w:rFonts w:asciiTheme="minorHAnsi" w:eastAsiaTheme="minorEastAsia" w:hAnsiTheme="minorHAnsi" w:cs="Arial Unicode MS"/>
              <w:noProof/>
              <w:kern w:val="2"/>
              <w:sz w:val="22"/>
              <w:szCs w:val="22"/>
              <w:lang w:val="lv-LV"/>
              <w14:ligatures w14:val="standardContextual"/>
            </w:rPr>
          </w:pPr>
          <w:hyperlink w:anchor="_Toc158022344" w:history="1">
            <w:r w:rsidR="00A90743" w:rsidRPr="001F2BA3">
              <w:rPr>
                <w:rStyle w:val="Hyperlink"/>
                <w:noProof/>
                <w:lang w:val="lv-LV"/>
              </w:rPr>
              <w:t>8. pielikums. ES tiesību akti un ES standarti, kas attiecas uz vēlēšanu piekļūstamības nodrošināšanu personām ar invaliditāti</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_Toc158022344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42</w:t>
            </w:r>
            <w:r w:rsidR="00A90743" w:rsidRPr="001F2BA3">
              <w:rPr>
                <w:noProof/>
                <w:webHidden/>
                <w:lang w:val="lv-LV"/>
              </w:rPr>
              <w:fldChar w:fldCharType="end"/>
            </w:r>
          </w:hyperlink>
        </w:p>
        <w:p w14:paraId="2A6E146F" w14:textId="02311614" w:rsidR="00A90743" w:rsidRPr="001F2BA3" w:rsidRDefault="00DE591E">
          <w:pPr>
            <w:pStyle w:val="TOC1"/>
            <w:rPr>
              <w:rFonts w:asciiTheme="minorHAnsi" w:eastAsiaTheme="minorEastAsia" w:hAnsiTheme="minorHAnsi" w:cs="Arial Unicode MS"/>
              <w:noProof/>
              <w:kern w:val="2"/>
              <w:sz w:val="22"/>
              <w:szCs w:val="22"/>
              <w:lang w:val="lv-LV"/>
              <w14:ligatures w14:val="standardContextual"/>
            </w:rPr>
          </w:pPr>
          <w:hyperlink w:anchor="_Toc158022345" w:history="1">
            <w:r w:rsidR="00A90743" w:rsidRPr="001F2BA3">
              <w:rPr>
                <w:rStyle w:val="Hyperlink"/>
                <w:noProof/>
                <w:lang w:val="lv-LV"/>
              </w:rPr>
              <w:t>9. pielikums. Rezultāti, kas gūti 2023</w:t>
            </w:r>
            <w:r w:rsidR="001F2BA3">
              <w:rPr>
                <w:rStyle w:val="Hyperlink"/>
                <w:noProof/>
                <w:lang w:val="lv-LV"/>
              </w:rPr>
              <w:t>. gad</w:t>
            </w:r>
            <w:r w:rsidR="00A90743" w:rsidRPr="001F2BA3">
              <w:rPr>
                <w:rStyle w:val="Hyperlink"/>
                <w:noProof/>
                <w:lang w:val="lv-LV"/>
              </w:rPr>
              <w:t>a 7. septembrī Komisijas organizētajā mērķgrupā par vēlēšanu piekļūstamības nodrošināšanu personām ar invaliditāti</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_Toc158022345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46</w:t>
            </w:r>
            <w:r w:rsidR="00A90743" w:rsidRPr="001F2BA3">
              <w:rPr>
                <w:noProof/>
                <w:webHidden/>
                <w:lang w:val="lv-LV"/>
              </w:rPr>
              <w:fldChar w:fldCharType="end"/>
            </w:r>
          </w:hyperlink>
        </w:p>
        <w:p w14:paraId="5C12AEB4" w14:textId="014F7F01" w:rsidR="00A90743" w:rsidRPr="001F2BA3" w:rsidRDefault="00DE591E">
          <w:pPr>
            <w:pStyle w:val="TOC1"/>
            <w:rPr>
              <w:rFonts w:asciiTheme="minorHAnsi" w:eastAsiaTheme="minorEastAsia" w:hAnsiTheme="minorHAnsi" w:cs="Arial Unicode MS"/>
              <w:noProof/>
              <w:kern w:val="2"/>
              <w:sz w:val="22"/>
              <w:szCs w:val="22"/>
              <w:lang w:val="lv-LV"/>
              <w14:ligatures w14:val="standardContextual"/>
            </w:rPr>
          </w:pPr>
          <w:hyperlink w:anchor="_Toc158022346" w:history="1">
            <w:r w:rsidR="00A90743" w:rsidRPr="001F2BA3">
              <w:rPr>
                <w:rStyle w:val="Hyperlink"/>
                <w:noProof/>
                <w:lang w:val="lv-LV"/>
              </w:rPr>
              <w:t>10. pielikums. Palīglīdzekļu, pieejamu vēlēšanu kabīņu un vēlēšanu kastu nodrošinājums</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_Toc158022346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47</w:t>
            </w:r>
            <w:r w:rsidR="00A90743" w:rsidRPr="001F2BA3">
              <w:rPr>
                <w:noProof/>
                <w:webHidden/>
                <w:lang w:val="lv-LV"/>
              </w:rPr>
              <w:fldChar w:fldCharType="end"/>
            </w:r>
          </w:hyperlink>
        </w:p>
        <w:p w14:paraId="53C51B10" w14:textId="7393C7DC" w:rsidR="00A90743" w:rsidRPr="001F2BA3" w:rsidRDefault="00DE591E">
          <w:pPr>
            <w:pStyle w:val="TOC1"/>
            <w:rPr>
              <w:rFonts w:asciiTheme="minorHAnsi" w:eastAsiaTheme="minorEastAsia" w:hAnsiTheme="minorHAnsi" w:cs="Arial Unicode MS"/>
              <w:noProof/>
              <w:kern w:val="2"/>
              <w:sz w:val="22"/>
              <w:szCs w:val="22"/>
              <w:lang w:val="lv-LV"/>
              <w14:ligatures w14:val="standardContextual"/>
            </w:rPr>
          </w:pPr>
          <w:hyperlink w:anchor="_Toc158022347" w:history="1">
            <w:r w:rsidR="00A90743" w:rsidRPr="001F2BA3">
              <w:rPr>
                <w:rStyle w:val="Hyperlink"/>
                <w:noProof/>
                <w:lang w:val="lv-LV"/>
              </w:rPr>
              <w:t>11. pielikums. Papildu balsošanas iespējas personām ar invaliditāti ES dalībvalstīs</w:t>
            </w:r>
            <w:r w:rsidR="00A90743" w:rsidRPr="001F2BA3">
              <w:rPr>
                <w:noProof/>
                <w:webHidden/>
                <w:lang w:val="lv-LV"/>
              </w:rPr>
              <w:tab/>
            </w:r>
            <w:r w:rsidR="00A90743" w:rsidRPr="001F2BA3">
              <w:rPr>
                <w:noProof/>
                <w:webHidden/>
                <w:lang w:val="lv-LV"/>
              </w:rPr>
              <w:fldChar w:fldCharType="begin"/>
            </w:r>
            <w:r w:rsidR="00A90743" w:rsidRPr="001F2BA3">
              <w:rPr>
                <w:noProof/>
                <w:webHidden/>
                <w:lang w:val="lv-LV"/>
              </w:rPr>
              <w:instrText xml:space="preserve"> PAGEREF _Toc158022347 \h </w:instrText>
            </w:r>
            <w:r w:rsidR="00A90743" w:rsidRPr="001F2BA3">
              <w:rPr>
                <w:noProof/>
                <w:webHidden/>
                <w:lang w:val="lv-LV"/>
              </w:rPr>
            </w:r>
            <w:r w:rsidR="00A90743" w:rsidRPr="001F2BA3">
              <w:rPr>
                <w:noProof/>
                <w:webHidden/>
                <w:lang w:val="lv-LV"/>
              </w:rPr>
              <w:fldChar w:fldCharType="separate"/>
            </w:r>
            <w:r w:rsidR="00A90743" w:rsidRPr="001F2BA3">
              <w:rPr>
                <w:noProof/>
                <w:webHidden/>
                <w:lang w:val="lv-LV"/>
              </w:rPr>
              <w:t>49</w:t>
            </w:r>
            <w:r w:rsidR="00A90743" w:rsidRPr="001F2BA3">
              <w:rPr>
                <w:noProof/>
                <w:webHidden/>
                <w:lang w:val="lv-LV"/>
              </w:rPr>
              <w:fldChar w:fldCharType="end"/>
            </w:r>
          </w:hyperlink>
        </w:p>
        <w:p w14:paraId="3A48D0F8" w14:textId="4BAC0F53" w:rsidR="00A11876" w:rsidRPr="001F2BA3" w:rsidRDefault="00A11876" w:rsidP="003F797B">
          <w:pPr>
            <w:rPr>
              <w:noProof/>
              <w:lang w:val="lv-LV"/>
            </w:rPr>
          </w:pPr>
          <w:r w:rsidRPr="001F2BA3">
            <w:rPr>
              <w:noProof/>
              <w:lang w:val="lv-LV"/>
            </w:rPr>
            <w:fldChar w:fldCharType="end"/>
          </w:r>
          <w:r w:rsidRPr="001F2BA3">
            <w:rPr>
              <w:noProof/>
              <w:lang w:val="lv-LV"/>
            </w:rPr>
            <w:tab/>
          </w:r>
        </w:p>
      </w:sdtContent>
    </w:sdt>
    <w:p w14:paraId="4152E7A7" w14:textId="7A221B55" w:rsidR="00B42AEB" w:rsidRPr="001F2BA3" w:rsidRDefault="00B42AEB" w:rsidP="00B42AEB">
      <w:pPr>
        <w:rPr>
          <w:noProof/>
          <w:lang w:val="lv-LV"/>
        </w:rPr>
      </w:pPr>
      <w:r w:rsidRPr="001F2BA3">
        <w:rPr>
          <w:noProof/>
          <w:lang w:val="lv-LV"/>
        </w:rPr>
        <w:br w:type="page"/>
      </w:r>
    </w:p>
    <w:p w14:paraId="3ED83566" w14:textId="1B7AB8FF" w:rsidR="0040253E" w:rsidRPr="001F2BA3" w:rsidRDefault="00090D1B" w:rsidP="006B02A7">
      <w:pPr>
        <w:pStyle w:val="Heading1"/>
        <w:numPr>
          <w:ilvl w:val="0"/>
          <w:numId w:val="1"/>
        </w:numPr>
        <w:spacing w:before="0" w:after="240" w:line="288" w:lineRule="auto"/>
        <w:ind w:left="357" w:hanging="357"/>
        <w:rPr>
          <w:noProof/>
          <w:lang w:val="lv-LV"/>
        </w:rPr>
      </w:pPr>
      <w:bookmarkStart w:id="5" w:name="_Toc148534964"/>
      <w:bookmarkStart w:id="6" w:name="_Toc148534965"/>
      <w:bookmarkStart w:id="7" w:name="_Toc148517836"/>
      <w:bookmarkStart w:id="8" w:name="_Toc148517837"/>
      <w:bookmarkStart w:id="9" w:name="_Toc148718574"/>
      <w:bookmarkStart w:id="10" w:name="_Toc158022307"/>
      <w:bookmarkEnd w:id="5"/>
      <w:bookmarkEnd w:id="6"/>
      <w:bookmarkEnd w:id="7"/>
      <w:bookmarkEnd w:id="8"/>
      <w:r w:rsidRPr="001F2BA3">
        <w:rPr>
          <w:noProof/>
          <w:lang w:val="lv-LV"/>
        </w:rPr>
        <w:t>Ievads</w:t>
      </w:r>
      <w:bookmarkEnd w:id="9"/>
      <w:bookmarkEnd w:id="10"/>
    </w:p>
    <w:p w14:paraId="4FB845FE" w14:textId="4D65AA3A" w:rsidR="00F06738" w:rsidRPr="001F2BA3" w:rsidRDefault="00A96911" w:rsidP="00B42AEB">
      <w:pPr>
        <w:rPr>
          <w:noProof/>
          <w:lang w:val="lv-LV"/>
        </w:rPr>
      </w:pPr>
      <w:r w:rsidRPr="001F2BA3">
        <w:rPr>
          <w:noProof/>
          <w:lang w:val="lv-LV"/>
        </w:rPr>
        <w:t>Eiropas Komisijas priekšsēdētāja fon der Leiena, stājoties amatā, paziņoja, ka viena no galvenajām Komisijas prioritātēm būs tādas Savienības izveide, kurā valda līdztiesība.</w:t>
      </w:r>
      <w:r w:rsidRPr="001F2BA3">
        <w:rPr>
          <w:rStyle w:val="FootnoteReference"/>
          <w:noProof/>
          <w:lang w:val="lv-LV"/>
        </w:rPr>
        <w:t>(</w:t>
      </w:r>
      <w:r w:rsidRPr="001F2BA3">
        <w:rPr>
          <w:rStyle w:val="FootnoteReference"/>
          <w:noProof/>
          <w:lang w:val="lv-LV"/>
        </w:rPr>
        <w:footnoteReference w:id="2"/>
      </w:r>
      <w:r w:rsidRPr="001F2BA3">
        <w:rPr>
          <w:rStyle w:val="FootnoteReference"/>
          <w:noProof/>
          <w:lang w:val="lv-LV"/>
        </w:rPr>
        <w:t>))</w:t>
      </w:r>
    </w:p>
    <w:p w14:paraId="74B96FFE" w14:textId="0A0BA016" w:rsidR="00BF5544" w:rsidRPr="001F2BA3" w:rsidRDefault="00EF5AB9" w:rsidP="00B42AEB">
      <w:pPr>
        <w:rPr>
          <w:noProof/>
          <w:lang w:val="lv-LV"/>
        </w:rPr>
      </w:pPr>
      <w:r w:rsidRPr="001F2BA3">
        <w:rPr>
          <w:noProof/>
          <w:lang w:val="lv-LV"/>
        </w:rPr>
        <w:t>Iespēja piedalīties vēlēšanās ir ārkārtīgi svarīga dinamiskai demokrātijai. Tas ir kas vairāk nekā tikai tiesības balsot; tas nozīmē arī iespēju kandidēt, iestāties politiskā partijā, iesaistīties vēlēšanu procesā kā vēlēšanu amatpersonai vai vēlēšanu novērotājam un piekļūt informācijai. Tas ietver iespēju brīvi un godīgi veikt vēlēšanu izvēles, ievērojot pilnīgu slepenību. Visiem iedzīvotājiem jābūt iespējai efektīvi piedalīties ES politiskajā dzīvē. Katrai balsij ir nozīme. Tomēr līdzdalība politiskajā dzīvē daudziem joprojām ir izaicinājums.</w:t>
      </w:r>
    </w:p>
    <w:p w14:paraId="60452DE3" w14:textId="1ADDCE09" w:rsidR="00A54759" w:rsidRPr="001F2BA3" w:rsidRDefault="1A7BFF85" w:rsidP="00B42AEB">
      <w:pPr>
        <w:rPr>
          <w:noProof/>
          <w:lang w:val="lv-LV"/>
        </w:rPr>
      </w:pPr>
      <w:r w:rsidRPr="001F2BA3">
        <w:rPr>
          <w:noProof/>
          <w:lang w:val="lv-LV"/>
        </w:rPr>
        <w:t>Eiropas Savienībā personas ar invaliditāti joprojām saskaras ar grūtībām izmantot vēlēšanu tiesības. Aptuveni 27</w:t>
      </w:r>
      <w:r w:rsidR="001F2BA3">
        <w:rPr>
          <w:noProof/>
          <w:lang w:val="lv-LV"/>
        </w:rPr>
        <w:t> %</w:t>
      </w:r>
      <w:r w:rsidRPr="001F2BA3">
        <w:rPr>
          <w:noProof/>
          <w:lang w:val="lv-LV"/>
        </w:rPr>
        <w:t xml:space="preserve"> ES iedzīvotāju ir kāda veida invaliditāte.</w:t>
      </w:r>
      <w:r w:rsidRPr="001F2BA3">
        <w:rPr>
          <w:noProof/>
          <w:vertAlign w:val="superscript"/>
          <w:lang w:val="lv-LV"/>
        </w:rPr>
        <w:t>(</w:t>
      </w:r>
      <w:r w:rsidRPr="001F2BA3">
        <w:rPr>
          <w:noProof/>
          <w:vertAlign w:val="superscript"/>
          <w:lang w:val="lv-LV"/>
        </w:rPr>
        <w:footnoteReference w:id="3"/>
      </w:r>
      <w:r w:rsidRPr="001F2BA3">
        <w:rPr>
          <w:noProof/>
          <w:vertAlign w:val="superscript"/>
          <w:lang w:val="lv-LV"/>
        </w:rPr>
        <w:t>)</w:t>
      </w:r>
      <w:r w:rsidRPr="001F2BA3">
        <w:rPr>
          <w:noProof/>
          <w:lang w:val="lv-LV"/>
        </w:rPr>
        <w:t xml:space="preserve"> Tas ietver personas, kurām ir ilgstoši fiziski, garīgi, intelektuāli vai maņu traucējumi, kas mijiedarbībā ar dažādiem šķēršļiem var apgrūtināt viņu pilnvērtīgu un efektīvu līdzdalību sabiedrības dzīvē vienlīdzīgi ar citiem. </w:t>
      </w:r>
    </w:p>
    <w:p w14:paraId="3FD5B7BF" w14:textId="38B21CF3" w:rsidR="00C24C52" w:rsidRPr="001F2BA3" w:rsidRDefault="00E86740" w:rsidP="00B42AEB">
      <w:pPr>
        <w:rPr>
          <w:noProof/>
          <w:lang w:val="lv-LV"/>
        </w:rPr>
      </w:pPr>
      <w:r w:rsidRPr="001F2BA3">
        <w:rPr>
          <w:noProof/>
          <w:lang w:val="lv-LV"/>
        </w:rPr>
        <w:t>Dalībvalstis ir atbildīgas par valsts vēlēšanu organizēšanu saskaņā ar starptautiskajām saistībām. Komisija cita starpā atbalsta labās prakses apmaiņu, tostarp par pieejamām balsošanas iekārtām un īpašiem pielāgojumiem, kā arī par to, kā nodrošināt iespējas vēlētājiem ar invaliditāti. ES arī finansē personu ar invaliditāti organizācijas ES līmenī, lai uzlabotu informētību un aizstāvētu tiesības un lai uzlabotu to dalīborganizāciju spējas.</w:t>
      </w:r>
    </w:p>
    <w:p w14:paraId="00221810" w14:textId="11229F13" w:rsidR="005F5A33" w:rsidRPr="001F2BA3" w:rsidRDefault="00ED1FD7" w:rsidP="00B42AEB">
      <w:pPr>
        <w:rPr>
          <w:noProof/>
          <w:lang w:val="lv-LV"/>
        </w:rPr>
      </w:pPr>
      <w:r w:rsidRPr="001F2BA3">
        <w:rPr>
          <w:noProof/>
          <w:lang w:val="lv-LV"/>
        </w:rPr>
        <w:t xml:space="preserve">Komisijas izdotajā ziņojumā </w:t>
      </w:r>
      <w:r w:rsidRPr="001F2BA3">
        <w:rPr>
          <w:rStyle w:val="FootnoteReference"/>
          <w:noProof/>
          <w:lang w:val="lv-LV"/>
        </w:rPr>
        <w:t>(</w:t>
      </w:r>
      <w:r w:rsidRPr="001F2BA3">
        <w:rPr>
          <w:rStyle w:val="FootnoteReference"/>
          <w:noProof/>
          <w:lang w:val="lv-LV"/>
        </w:rPr>
        <w:footnoteReference w:id="4"/>
      </w:r>
      <w:r w:rsidRPr="001F2BA3">
        <w:rPr>
          <w:rStyle w:val="FootnoteReference"/>
          <w:noProof/>
          <w:lang w:val="lv-LV"/>
        </w:rPr>
        <w:t>))</w:t>
      </w:r>
      <w:r w:rsidRPr="001F2BA3">
        <w:rPr>
          <w:noProof/>
          <w:lang w:val="lv-LV"/>
        </w:rPr>
        <w:t xml:space="preserve"> par 2019</w:t>
      </w:r>
      <w:r w:rsidR="001F2BA3">
        <w:rPr>
          <w:noProof/>
          <w:lang w:val="lv-LV"/>
        </w:rPr>
        <w:t>. gad</w:t>
      </w:r>
      <w:r w:rsidRPr="001F2BA3">
        <w:rPr>
          <w:noProof/>
          <w:lang w:val="lv-LV"/>
        </w:rPr>
        <w:t>a Eiropas Parlamenta vēlēšanām ir uzsvērts, ka pilsoņi ar invaliditāti saskaras ar papildu šķēršļiem vēlēšanu tiesību izmantošanā.</w:t>
      </w:r>
      <w:r w:rsidRPr="001F2BA3">
        <w:rPr>
          <w:rStyle w:val="FootnoteReference"/>
          <w:noProof/>
          <w:lang w:val="lv-LV"/>
        </w:rPr>
        <w:t>(</w:t>
      </w:r>
      <w:r w:rsidRPr="001F2BA3">
        <w:rPr>
          <w:rStyle w:val="FootnoteReference"/>
          <w:noProof/>
          <w:lang w:val="lv-LV"/>
        </w:rPr>
        <w:footnoteReference w:id="5"/>
      </w:r>
      <w:r w:rsidRPr="001F2BA3">
        <w:rPr>
          <w:rStyle w:val="FootnoteReference"/>
          <w:noProof/>
          <w:lang w:val="lv-LV"/>
        </w:rPr>
        <w:t>))</w:t>
      </w:r>
      <w:r w:rsidRPr="001F2BA3">
        <w:rPr>
          <w:noProof/>
          <w:lang w:val="lv-LV"/>
        </w:rPr>
        <w:t xml:space="preserve"> Ziņojumā uzsvērts, cik svarīgi ir novērst šos šķēršļus, ņemot vērā nākamās Eiropas Parlamenta vēlēšanas.</w:t>
      </w:r>
    </w:p>
    <w:p w14:paraId="4E2F3A83" w14:textId="4AB81893" w:rsidR="00B25AC6" w:rsidRPr="001F2BA3" w:rsidRDefault="00B25AC6" w:rsidP="00B42AEB">
      <w:pPr>
        <w:rPr>
          <w:noProof/>
          <w:lang w:val="lv-LV"/>
        </w:rPr>
      </w:pPr>
      <w:r w:rsidRPr="001F2BA3">
        <w:rPr>
          <w:noProof/>
          <w:lang w:val="lv-LV"/>
        </w:rPr>
        <w:t>Eiropas Parlaments ir uzsvēris, cik svarīgi ir atbalstīt personu ar invaliditāti tiesības balsot. 2020</w:t>
      </w:r>
      <w:r w:rsidR="001F2BA3">
        <w:rPr>
          <w:noProof/>
          <w:lang w:val="lv-LV"/>
        </w:rPr>
        <w:t>. gad</w:t>
      </w:r>
      <w:r w:rsidRPr="001F2BA3">
        <w:rPr>
          <w:noProof/>
          <w:lang w:val="lv-LV"/>
        </w:rPr>
        <w:t>a 26. novembra rezolūcijā par Eiropas vēlēšanu rezultātu apkopošanu tas aicināja dalībvalstis pastiprināt paraugprakses apmaiņu, lai uzlabotu vēlēšanu iecirkņu pieejamību personām ar invaliditāti. Eiropas Parlaments norādīja, ka vēlētājiem ar invaliditāti praktiska balsošanas organizācija ir tikpat svarīga kā piekļuve informācijai vai vēlēšanu iecirkņiem. Savā 2022</w:t>
      </w:r>
      <w:r w:rsidR="001F2BA3">
        <w:rPr>
          <w:noProof/>
          <w:lang w:val="lv-LV"/>
        </w:rPr>
        <w:t>. gad</w:t>
      </w:r>
      <w:r w:rsidRPr="001F2BA3">
        <w:rPr>
          <w:noProof/>
          <w:lang w:val="lv-LV"/>
        </w:rPr>
        <w:t>a 10. marta rezolūcijā par 2020</w:t>
      </w:r>
      <w:r w:rsidR="001F2BA3">
        <w:rPr>
          <w:noProof/>
          <w:lang w:val="lv-LV"/>
        </w:rPr>
        <w:t>. gad</w:t>
      </w:r>
      <w:r w:rsidRPr="001F2BA3">
        <w:rPr>
          <w:noProof/>
          <w:lang w:val="lv-LV"/>
        </w:rPr>
        <w:t>a ziņojumu par ES pilsonību Parlaments aicināja Komisiju un dalībvalstis Eiropas vēlēšanu sadarbības tīklā</w:t>
      </w:r>
      <w:r w:rsidRPr="001F2BA3">
        <w:rPr>
          <w:rStyle w:val="FootnoteReference"/>
          <w:noProof/>
          <w:lang w:val="lv-LV"/>
        </w:rPr>
        <w:t>(</w:t>
      </w:r>
      <w:r w:rsidRPr="001F2BA3">
        <w:rPr>
          <w:rStyle w:val="FootnoteReference"/>
          <w:noProof/>
          <w:lang w:val="lv-LV"/>
        </w:rPr>
        <w:footnoteReference w:id="6"/>
      </w:r>
      <w:r w:rsidRPr="001F2BA3">
        <w:rPr>
          <w:rStyle w:val="FootnoteReference"/>
          <w:noProof/>
          <w:lang w:val="lv-LV"/>
        </w:rPr>
        <w:t>))</w:t>
      </w:r>
      <w:r w:rsidRPr="001F2BA3">
        <w:rPr>
          <w:noProof/>
          <w:lang w:val="lv-LV"/>
        </w:rPr>
        <w:t xml:space="preserve"> apmainīties ar paraugpraksi par to, kā risināt nelabvēlīgā situācijā esošu pilsoņu grupu īpašās vēlēšanu vajadzības nolūkā palielināt viņu dalību vēlēšanās un nodrošināt, ka viņi spēj efektīvi izmantot savas balsstiesības nākamajās Eiropas Parlamenta vēlēšanās.</w:t>
      </w:r>
    </w:p>
    <w:p w14:paraId="04E49DFE" w14:textId="2E5B1372" w:rsidR="00B25AC6" w:rsidRPr="001F2BA3" w:rsidRDefault="0043426B" w:rsidP="00B42AEB">
      <w:pPr>
        <w:rPr>
          <w:noProof/>
          <w:lang w:val="lv-LV"/>
        </w:rPr>
      </w:pPr>
      <w:r w:rsidRPr="001F2BA3">
        <w:rPr>
          <w:noProof/>
          <w:lang w:val="lv-LV"/>
        </w:rPr>
        <w:t>Normatīvajā rezolūcijā par priekšlikumu Padomes regulai par Eiropas Parlamenta deputātu ievēlēšanu tiešās vispārējās vēlēšanās</w:t>
      </w:r>
      <w:r w:rsidRPr="001F2BA3">
        <w:rPr>
          <w:noProof/>
          <w:vertAlign w:val="superscript"/>
          <w:lang w:val="lv-LV"/>
        </w:rPr>
        <w:t>(</w:t>
      </w:r>
      <w:r w:rsidRPr="001F2BA3">
        <w:rPr>
          <w:noProof/>
          <w:vertAlign w:val="superscript"/>
          <w:lang w:val="lv-LV"/>
        </w:rPr>
        <w:footnoteReference w:id="7"/>
      </w:r>
      <w:r w:rsidRPr="001F2BA3">
        <w:rPr>
          <w:noProof/>
          <w:vertAlign w:val="superscript"/>
          <w:lang w:val="lv-LV"/>
        </w:rPr>
        <w:t>)</w:t>
      </w:r>
      <w:r w:rsidRPr="001F2BA3">
        <w:rPr>
          <w:noProof/>
          <w:lang w:val="lv-LV"/>
        </w:rPr>
        <w:t xml:space="preserve"> Eiropas Parlaments aicināja dalībvalstis nodrošināt visiem pilsoņiem, tostarp personām ar invaliditāti, vienlīdzīgu piekļuvi informācijai un balsošanai. Tas ietver, piemēram, pielāgotu telpu īri, ja sabiedriskās struktūras nav pielāgotas.</w:t>
      </w:r>
      <w:r w:rsidRPr="001F2BA3">
        <w:rPr>
          <w:noProof/>
          <w:vertAlign w:val="superscript"/>
          <w:lang w:val="lv-LV"/>
        </w:rPr>
        <w:t>(</w:t>
      </w:r>
      <w:r w:rsidRPr="001F2BA3">
        <w:rPr>
          <w:noProof/>
          <w:vertAlign w:val="superscript"/>
          <w:lang w:val="lv-LV"/>
        </w:rPr>
        <w:footnoteReference w:id="8"/>
      </w:r>
      <w:r w:rsidRPr="001F2BA3">
        <w:rPr>
          <w:noProof/>
          <w:vertAlign w:val="superscript"/>
          <w:lang w:val="lv-LV"/>
        </w:rPr>
        <w:t>)</w:t>
      </w:r>
    </w:p>
    <w:p w14:paraId="1B39E2C0" w14:textId="207BF06C" w:rsidR="001418CF" w:rsidRPr="001F2BA3" w:rsidRDefault="0043426B" w:rsidP="00B42AEB">
      <w:pPr>
        <w:rPr>
          <w:noProof/>
          <w:lang w:val="lv-LV"/>
        </w:rPr>
      </w:pPr>
      <w:r w:rsidRPr="001F2BA3">
        <w:rPr>
          <w:noProof/>
          <w:lang w:val="lv-LV"/>
        </w:rPr>
        <w:t>Pavisam nesen Eiropas Parlaments 2022</w:t>
      </w:r>
      <w:r w:rsidR="001F2BA3">
        <w:rPr>
          <w:noProof/>
          <w:lang w:val="lv-LV"/>
        </w:rPr>
        <w:t>. gad</w:t>
      </w:r>
      <w:r w:rsidRPr="001F2BA3">
        <w:rPr>
          <w:noProof/>
          <w:lang w:val="lv-LV"/>
        </w:rPr>
        <w:t>a 13. decembra Rezolūcijā par personu ar invaliditāti vienlīdzīgām tiesībām</w:t>
      </w:r>
      <w:r w:rsidRPr="001F2BA3">
        <w:rPr>
          <w:rStyle w:val="FootnoteReference"/>
          <w:noProof/>
          <w:lang w:val="lv-LV"/>
        </w:rPr>
        <w:t>(</w:t>
      </w:r>
      <w:r w:rsidRPr="001F2BA3">
        <w:rPr>
          <w:rStyle w:val="FootnoteReference"/>
          <w:noProof/>
          <w:lang w:val="lv-LV"/>
        </w:rPr>
        <w:footnoteReference w:id="9"/>
      </w:r>
      <w:r w:rsidRPr="001F2BA3">
        <w:rPr>
          <w:rStyle w:val="FootnoteReference"/>
          <w:noProof/>
          <w:lang w:val="lv-LV"/>
        </w:rPr>
        <w:t>))</w:t>
      </w:r>
      <w:r w:rsidRPr="001F2BA3">
        <w:rPr>
          <w:noProof/>
          <w:lang w:val="lv-LV"/>
        </w:rPr>
        <w:t xml:space="preserve"> aicināja veikt grozījumus Eiropas Vēlēšanu likumā un visos attiecīgajos valsts tiesību aktos, lai nodrošinātu, ka visas personas ar invaliditāti var balsot un kandidēt vēlēšanās vienlīdzīgi ar citiem. Parlaments uzsvēra, ka izcelsmes dalībvalsts pieņemtie lēmumi par rīcībspējas atņemšanu invaliditātes dēļ neliedz ES pilsoņiem tiesības savā dzīvesvietas dalībvalstī, ja attiecīgās dalībvalsts tiesību aktos tiesības balsot bez ierobežojumiem ir nostiprinātas visām personām ar invaliditāti.</w:t>
      </w:r>
      <w:r w:rsidRPr="001F2BA3">
        <w:rPr>
          <w:rStyle w:val="FootnoteReference"/>
          <w:noProof/>
          <w:lang w:val="lv-LV"/>
        </w:rPr>
        <w:t>(</w:t>
      </w:r>
      <w:r w:rsidRPr="001F2BA3">
        <w:rPr>
          <w:rStyle w:val="FootnoteReference"/>
          <w:noProof/>
          <w:lang w:val="lv-LV"/>
        </w:rPr>
        <w:footnoteReference w:id="10"/>
      </w:r>
      <w:r w:rsidRPr="001F2BA3">
        <w:rPr>
          <w:rStyle w:val="FootnoteReference"/>
          <w:noProof/>
          <w:lang w:val="lv-LV"/>
        </w:rPr>
        <w:t>))</w:t>
      </w:r>
      <w:r w:rsidRPr="001F2BA3">
        <w:rPr>
          <w:noProof/>
          <w:lang w:val="lv-LV"/>
        </w:rPr>
        <w:t xml:space="preserve"> </w:t>
      </w:r>
    </w:p>
    <w:p w14:paraId="6295BB90" w14:textId="30A71ED5" w:rsidR="001418CF" w:rsidRPr="001F2BA3" w:rsidRDefault="00A14C18" w:rsidP="00B42AEB">
      <w:pPr>
        <w:rPr>
          <w:noProof/>
          <w:lang w:val="lv-LV"/>
        </w:rPr>
      </w:pPr>
      <w:r w:rsidRPr="001F2BA3">
        <w:rPr>
          <w:noProof/>
          <w:lang w:val="lv-LV"/>
        </w:rPr>
        <w:t>Jautājums par tiesībām balsot personām ar invaliditāti tika izvirzīts arī saistībā ar Eiropas Parlamenta atzinumu par vēlēšanu direktīvām, kas reglamentē mobilo ES pilsoņu tiesības balsot. Tas ietvēra vēlēšanu informācijas piekļūstamības nodrošināšanu personām ar invaliditāti, piemērojot Eiropas Parlamenta un Padomes Direktīvas (ES) 2019/882 I pielikumā noteiktās piekļūstamības prasības un izmantojot saziņas līdzekļus, veidus un formātus, kas var palīdzēt personām ar invaliditāti, piemēram, zīmju valodu, Braila rakstu vai viegli lasāmu formātu.</w:t>
      </w:r>
      <w:r w:rsidRPr="001F2BA3">
        <w:rPr>
          <w:rStyle w:val="FootnoteReference"/>
          <w:noProof/>
          <w:lang w:val="lv-LV"/>
        </w:rPr>
        <w:t>(</w:t>
      </w:r>
      <w:r w:rsidRPr="001F2BA3">
        <w:rPr>
          <w:rStyle w:val="FootnoteReference"/>
          <w:noProof/>
          <w:lang w:val="lv-LV"/>
        </w:rPr>
        <w:footnoteReference w:id="11"/>
      </w:r>
      <w:r w:rsidRPr="001F2BA3">
        <w:rPr>
          <w:rStyle w:val="FootnoteReference"/>
          <w:noProof/>
          <w:lang w:val="lv-LV"/>
        </w:rPr>
        <w:t>))</w:t>
      </w:r>
      <w:r w:rsidRPr="001F2BA3">
        <w:rPr>
          <w:noProof/>
          <w:lang w:val="lv-LV"/>
        </w:rPr>
        <w:t xml:space="preserve"> </w:t>
      </w:r>
    </w:p>
    <w:p w14:paraId="518DCA0D" w14:textId="32F79C0C" w:rsidR="00B25AC6" w:rsidRPr="001F2BA3" w:rsidRDefault="00DF59AA" w:rsidP="00B42AEB">
      <w:pPr>
        <w:rPr>
          <w:noProof/>
          <w:lang w:val="lv-LV"/>
        </w:rPr>
      </w:pPr>
      <w:r w:rsidRPr="001F2BA3">
        <w:rPr>
          <w:noProof/>
          <w:lang w:val="lv-LV"/>
        </w:rPr>
        <w:t>Šajā atzinumā Eiropas Parlaments aicināja dalībvalstis veikt valsts balsošanas procedūrām pielāgotus pasākumus, lai palīdzētu balsot pilsoņiem ar invaliditāti, piemēram, dot viņiem iespēju izvēlēties vēlēšanu iecirkņus, izveidot slēgtus vēlēšanu iecirkņus būtiskās vietās un izmantot palīgtehnoloģijas, formātus un paņēmienus, piemēram, Braila rakstu, lielizmēra druku, audiovizuālu informāciju, taustes trafaretus, viegli lasāmu informāciju un saziņu zīmju valodā. Parlaments arī aicināja dalībvalstis apsvērt iespēju izmantot papildu instrumentus balsošanas atvieglošanai, piemēram, iepriekšēju nobalsošanu vēlēšanu iecirknī un balsošanu ar pilnvarojumu, balsošanu elektroniski un tiešsaistē.</w:t>
      </w:r>
    </w:p>
    <w:p w14:paraId="0AD2DD61" w14:textId="51AB8B07" w:rsidR="002428CE" w:rsidRPr="001F2BA3" w:rsidRDefault="00177336" w:rsidP="00B42AEB">
      <w:pPr>
        <w:rPr>
          <w:noProof/>
          <w:lang w:val="lv-LV"/>
        </w:rPr>
      </w:pPr>
      <w:r w:rsidRPr="001F2BA3">
        <w:rPr>
          <w:noProof/>
          <w:lang w:val="lv-LV"/>
        </w:rPr>
        <w:t>Eiropas Ekonomikas un sociālo lietu komiteja 2019</w:t>
      </w:r>
      <w:r w:rsidR="001F2BA3">
        <w:rPr>
          <w:noProof/>
          <w:lang w:val="lv-LV"/>
        </w:rPr>
        <w:t>. gad</w:t>
      </w:r>
      <w:r w:rsidRPr="001F2BA3">
        <w:rPr>
          <w:noProof/>
          <w:lang w:val="lv-LV"/>
        </w:rPr>
        <w:t>a 20. martā pieņēma ziņojumu</w:t>
      </w:r>
      <w:r w:rsidRPr="001F2BA3">
        <w:rPr>
          <w:rStyle w:val="FootnoteReference"/>
          <w:noProof/>
          <w:lang w:val="lv-LV"/>
        </w:rPr>
        <w:t>(</w:t>
      </w:r>
      <w:r w:rsidRPr="001F2BA3">
        <w:rPr>
          <w:rStyle w:val="FootnoteReference"/>
          <w:noProof/>
          <w:lang w:val="lv-LV"/>
        </w:rPr>
        <w:footnoteReference w:id="12"/>
      </w:r>
      <w:r w:rsidRPr="001F2BA3">
        <w:rPr>
          <w:rStyle w:val="FootnoteReference"/>
          <w:noProof/>
          <w:lang w:val="lv-LV"/>
        </w:rPr>
        <w:t>))</w:t>
      </w:r>
      <w:r w:rsidRPr="001F2BA3">
        <w:rPr>
          <w:noProof/>
          <w:lang w:val="lv-LV"/>
        </w:rPr>
        <w:t>, kurā izklāstīts pašreizējais stāvoklis attiecībā uz ES pilsoņu ar invaliditāti tiesību piedalīties Eiropas Parlamenta vēlēšanās īstenošanu. Ziņojumā norādīti vairāki šķēršļi, ar kuriem personas ar invaliditāti saskaras, izmantojot vēlēšanu tiesības. Tajā izklāstīta labā prakse</w:t>
      </w:r>
      <w:r w:rsidRPr="001F2BA3">
        <w:rPr>
          <w:rStyle w:val="FootnoteReference"/>
          <w:noProof/>
          <w:lang w:val="lv-LV"/>
        </w:rPr>
        <w:t>(</w:t>
      </w:r>
      <w:r w:rsidRPr="001F2BA3">
        <w:rPr>
          <w:rStyle w:val="FootnoteReference"/>
          <w:noProof/>
          <w:lang w:val="lv-LV"/>
        </w:rPr>
        <w:footnoteReference w:id="13"/>
      </w:r>
      <w:r w:rsidRPr="001F2BA3">
        <w:rPr>
          <w:rStyle w:val="FootnoteReference"/>
          <w:noProof/>
          <w:lang w:val="lv-LV"/>
        </w:rPr>
        <w:t>))</w:t>
      </w:r>
      <w:r w:rsidRPr="001F2BA3">
        <w:rPr>
          <w:noProof/>
          <w:lang w:val="lv-LV"/>
        </w:rPr>
        <w:t xml:space="preserve"> attiecībā uz informācijas pieejamības uzlabošanu priekšvēlēšanu periodā, balsošanas organizēšanu “parastajos” vēlēšanu iecirkņos, vēlēšanu zīmēm un to piekļūstamību. Tajā aprakstīti arī dažās dalībvalstīs izmantotie risinājumi, piemēram, iepriekšēja balsošana noteiktos vēlēšanu iecirkņos, balsošana pa pastu, balsošana, kas notiek, izmantojot pārvietojamas vēlēšanu kastes, balsošana ar pilnvarojumu un elektroniskā balsošana. Visbeidzot, tajā aprakstīta kārtība, kā nodrošināt iespēju balsot personām, kas atrodas slimnīcās un ilgtermiņa aprūpes iestādēs, personu ar invaliditāti tiesības balsot valstīs, kurās balsošana ir obligāta, kā arī procedūras gadījumos, kad personas ar invaliditāti pastāvīgā dzīvesvieta atrodas dalībvalstī, kura nav šīs personas izcelsmes valsts.</w:t>
      </w:r>
    </w:p>
    <w:p w14:paraId="57AC243C" w14:textId="03A68E8C" w:rsidR="00407A29" w:rsidRPr="001F2BA3" w:rsidRDefault="00BB4CF0" w:rsidP="00B42AEB">
      <w:pPr>
        <w:rPr>
          <w:noProof/>
          <w:lang w:val="lv-LV"/>
        </w:rPr>
      </w:pPr>
      <w:r w:rsidRPr="001F2BA3">
        <w:rPr>
          <w:noProof/>
          <w:lang w:val="lv-LV"/>
        </w:rPr>
        <w:t>ANO Personu ar invaliditāti tiesību komiteja ieteica ES sadarbībā ar dalībvalstīm un personu ar invaliditāti pārstāvības organizācijām veikt nepieciešamos pasākumus, lai ikvienam cilvēkam ar jebkāda veida invaliditāti dotu iespēju izmantot tiesības balsot un kandidēt vēlēšanās</w:t>
      </w:r>
      <w:r w:rsidRPr="001F2BA3">
        <w:rPr>
          <w:rStyle w:val="FootnoteReference"/>
          <w:noProof/>
          <w:lang w:val="lv-LV"/>
        </w:rPr>
        <w:t>(</w:t>
      </w:r>
      <w:r w:rsidRPr="001F2BA3">
        <w:rPr>
          <w:rStyle w:val="FootnoteReference"/>
          <w:noProof/>
          <w:lang w:val="lv-LV"/>
        </w:rPr>
        <w:footnoteReference w:id="14"/>
      </w:r>
      <w:r w:rsidRPr="001F2BA3">
        <w:rPr>
          <w:rStyle w:val="FootnoteReference"/>
          <w:noProof/>
          <w:lang w:val="lv-LV"/>
        </w:rPr>
        <w:t>))</w:t>
      </w:r>
      <w:r w:rsidRPr="001F2BA3">
        <w:rPr>
          <w:noProof/>
          <w:lang w:val="lv-LV"/>
        </w:rPr>
        <w:t>.</w:t>
      </w:r>
    </w:p>
    <w:p w14:paraId="6C2DCB59" w14:textId="50B3EF1B" w:rsidR="00ED61D7" w:rsidRPr="001F2BA3" w:rsidRDefault="00ED61D7" w:rsidP="00B42AEB">
      <w:pPr>
        <w:rPr>
          <w:noProof/>
          <w:lang w:val="lv-LV"/>
        </w:rPr>
      </w:pPr>
      <w:r w:rsidRPr="001F2BA3">
        <w:rPr>
          <w:noProof/>
          <w:lang w:val="lv-LV"/>
        </w:rPr>
        <w:t>Personu ar invaliditāti tiesību stratēģijā 2021.–2030</w:t>
      </w:r>
      <w:r w:rsidR="001F2BA3">
        <w:rPr>
          <w:noProof/>
          <w:lang w:val="lv-LV"/>
        </w:rPr>
        <w:t>. gad</w:t>
      </w:r>
      <w:r w:rsidRPr="001F2BA3">
        <w:rPr>
          <w:noProof/>
          <w:lang w:val="lv-LV"/>
        </w:rPr>
        <w:t>am</w:t>
      </w:r>
      <w:r w:rsidRPr="001F2BA3">
        <w:rPr>
          <w:rStyle w:val="FootnoteReference"/>
          <w:noProof/>
          <w:lang w:val="lv-LV"/>
        </w:rPr>
        <w:t>(</w:t>
      </w:r>
      <w:r w:rsidRPr="001F2BA3">
        <w:rPr>
          <w:rStyle w:val="FootnoteReference"/>
          <w:noProof/>
          <w:lang w:val="lv-LV"/>
        </w:rPr>
        <w:footnoteReference w:id="15"/>
      </w:r>
      <w:r w:rsidRPr="001F2BA3">
        <w:rPr>
          <w:rStyle w:val="FootnoteReference"/>
          <w:noProof/>
          <w:lang w:val="lv-LV"/>
        </w:rPr>
        <w:t>))</w:t>
      </w:r>
      <w:r w:rsidRPr="001F2BA3">
        <w:rPr>
          <w:noProof/>
          <w:lang w:val="lv-LV"/>
        </w:rPr>
        <w:t xml:space="preserve"> Komisija paziņoja, ka tā sagatavos labas vēlēšanu prakses ceļvedi, kurā tiks aplūkota iedzīvotāju ar invaliditāti līdzdalība vēlēšanu procesā. Šis ceļvedis ir sagatavots ciešā sadarbībā ar dalībvalstīm Eiropas vēlēšanu sadarbības tīklā. Tā pamatā ir diskusijas, kas notika augsta līmeņa pasākumā par vēlēšanām, kuru Komisija organizēja 2023</w:t>
      </w:r>
      <w:r w:rsidR="001F2BA3">
        <w:rPr>
          <w:noProof/>
          <w:lang w:val="lv-LV"/>
        </w:rPr>
        <w:t>. gad</w:t>
      </w:r>
      <w:r w:rsidRPr="001F2BA3">
        <w:rPr>
          <w:noProof/>
          <w:lang w:val="lv-LV"/>
        </w:rPr>
        <w:t>a 23. un 24. oktobrī</w:t>
      </w:r>
      <w:r w:rsidRPr="001F2BA3">
        <w:rPr>
          <w:rStyle w:val="FootnoteReference"/>
          <w:noProof/>
          <w:lang w:val="lv-LV"/>
        </w:rPr>
        <w:t>(</w:t>
      </w:r>
      <w:r w:rsidRPr="001F2BA3">
        <w:rPr>
          <w:rStyle w:val="FootnoteReference"/>
          <w:noProof/>
          <w:lang w:val="lv-LV"/>
        </w:rPr>
        <w:footnoteReference w:id="16"/>
      </w:r>
      <w:r w:rsidRPr="001F2BA3">
        <w:rPr>
          <w:rStyle w:val="FootnoteReference"/>
          <w:noProof/>
          <w:lang w:val="lv-LV"/>
        </w:rPr>
        <w:t>))</w:t>
      </w:r>
      <w:r w:rsidRPr="001F2BA3">
        <w:rPr>
          <w:noProof/>
          <w:lang w:val="lv-LV"/>
        </w:rPr>
        <w:t>.</w:t>
      </w:r>
    </w:p>
    <w:p w14:paraId="1F77BC31" w14:textId="6063F90A" w:rsidR="00475D7E" w:rsidRPr="001F2BA3" w:rsidRDefault="00475D7E" w:rsidP="00B42AEB">
      <w:pPr>
        <w:rPr>
          <w:noProof/>
          <w:lang w:val="lv-LV"/>
        </w:rPr>
      </w:pPr>
      <w:r w:rsidRPr="001F2BA3">
        <w:rPr>
          <w:noProof/>
          <w:lang w:val="lv-LV"/>
        </w:rPr>
        <w:t>Komisija stratēģijā par personu ar invaliditāti tiesībām pauda savu nodomu:</w:t>
      </w:r>
    </w:p>
    <w:p w14:paraId="4F7B58C7" w14:textId="602A349A" w:rsidR="00475D7E" w:rsidRPr="001F2BA3" w:rsidRDefault="00475D7E" w:rsidP="00860D52">
      <w:pPr>
        <w:pStyle w:val="ListBullet2"/>
        <w:spacing w:after="120" w:line="288" w:lineRule="auto"/>
        <w:jc w:val="left"/>
        <w:rPr>
          <w:rFonts w:ascii="Arial" w:hAnsi="Arial" w:cs="Arial"/>
          <w:noProof/>
          <w:lang w:val="lv-LV"/>
        </w:rPr>
      </w:pPr>
      <w:r w:rsidRPr="001F2BA3">
        <w:rPr>
          <w:rFonts w:ascii="Arial" w:hAnsi="Arial"/>
          <w:b/>
          <w:bCs/>
          <w:noProof/>
          <w:lang w:val="lv-LV"/>
        </w:rPr>
        <w:t>sadarboties</w:t>
      </w:r>
      <w:r w:rsidRPr="001F2BA3">
        <w:rPr>
          <w:rFonts w:ascii="Arial" w:hAnsi="Arial"/>
          <w:noProof/>
          <w:lang w:val="lv-LV"/>
        </w:rPr>
        <w:t xml:space="preserve"> ar dalībvalstīm, tostarp organizēt īpašas diskusijas Eiropas sadarbības tīklā vēlēšanu jautājumos un Eiropas Parlamentā, lai garantētu personām ar invaliditāti vienlīdzīgas politiskās tiesības ar citām personām;</w:t>
      </w:r>
    </w:p>
    <w:p w14:paraId="4A09A4E2" w14:textId="77C42CB0" w:rsidR="00475D7E" w:rsidRPr="001F2BA3" w:rsidRDefault="00475D7E" w:rsidP="00860D52">
      <w:pPr>
        <w:pStyle w:val="ListBullet2"/>
        <w:spacing w:after="120" w:line="288" w:lineRule="auto"/>
        <w:jc w:val="left"/>
        <w:rPr>
          <w:rFonts w:ascii="Arial" w:hAnsi="Arial" w:cs="Arial"/>
          <w:noProof/>
          <w:lang w:val="lv-LV"/>
        </w:rPr>
      </w:pPr>
      <w:r w:rsidRPr="001F2BA3">
        <w:rPr>
          <w:rFonts w:ascii="Arial" w:hAnsi="Arial"/>
          <w:noProof/>
          <w:lang w:val="lv-LV"/>
        </w:rPr>
        <w:t>Eiropas Demokrātijas rīcības plānā (kas notika 2023</w:t>
      </w:r>
      <w:r w:rsidR="001F2BA3">
        <w:rPr>
          <w:rFonts w:ascii="Arial" w:hAnsi="Arial"/>
          <w:noProof/>
          <w:lang w:val="lv-LV"/>
        </w:rPr>
        <w:t>. gad</w:t>
      </w:r>
      <w:r w:rsidRPr="001F2BA3">
        <w:rPr>
          <w:rFonts w:ascii="Arial" w:hAnsi="Arial"/>
          <w:noProof/>
          <w:lang w:val="lv-LV"/>
        </w:rPr>
        <w:t xml:space="preserve">a 23. un 24. oktobrī) izsludinātajā augsta līmeņa pasākumā par vēlēšanām </w:t>
      </w:r>
      <w:r w:rsidRPr="001F2BA3">
        <w:rPr>
          <w:rFonts w:ascii="Arial" w:hAnsi="Arial"/>
          <w:b/>
          <w:bCs/>
          <w:noProof/>
          <w:lang w:val="lv-LV"/>
        </w:rPr>
        <w:t>apspriest</w:t>
      </w:r>
      <w:r w:rsidRPr="001F2BA3">
        <w:rPr>
          <w:rFonts w:ascii="Arial" w:hAnsi="Arial"/>
          <w:noProof/>
          <w:lang w:val="lv-LV"/>
        </w:rPr>
        <w:t xml:space="preserve"> iekļaujošas demokrātijas praksi ar mērķi, lai kandidātu saraksti atspoguļotu mūsu sabiedrības daudzveidību;</w:t>
      </w:r>
    </w:p>
    <w:p w14:paraId="03B1A87B" w14:textId="70E2628B" w:rsidR="00475D7E" w:rsidRPr="001F2BA3" w:rsidRDefault="00475D7E" w:rsidP="00860D52">
      <w:pPr>
        <w:pStyle w:val="ListBullet2"/>
        <w:spacing w:after="120" w:line="288" w:lineRule="auto"/>
        <w:jc w:val="left"/>
        <w:rPr>
          <w:rFonts w:ascii="Arial" w:hAnsi="Arial" w:cs="Arial"/>
          <w:noProof/>
          <w:lang w:val="lv-LV"/>
        </w:rPr>
      </w:pPr>
      <w:r w:rsidRPr="001F2BA3">
        <w:rPr>
          <w:rFonts w:ascii="Arial" w:hAnsi="Arial"/>
          <w:b/>
          <w:noProof/>
          <w:lang w:val="lv-LV"/>
        </w:rPr>
        <w:t xml:space="preserve">atbalstīt </w:t>
      </w:r>
      <w:r w:rsidRPr="001F2BA3">
        <w:rPr>
          <w:rFonts w:ascii="Arial" w:hAnsi="Arial"/>
          <w:noProof/>
          <w:lang w:val="lv-LV"/>
        </w:rPr>
        <w:t>iekļaujošu demokrātisko līdzdalību, tostarp personām ar invaliditāti, īstenojot jauno programmu “Pilsoņi, vienlīdzība, tiesības un vērtības” (</w:t>
      </w:r>
      <w:r w:rsidRPr="001F2BA3">
        <w:rPr>
          <w:rFonts w:ascii="Arial" w:hAnsi="Arial"/>
          <w:i/>
          <w:iCs/>
          <w:noProof/>
          <w:lang w:val="lv-LV"/>
        </w:rPr>
        <w:t>CERV</w:t>
      </w:r>
      <w:r w:rsidRPr="001F2BA3">
        <w:rPr>
          <w:rFonts w:ascii="Arial" w:hAnsi="Arial"/>
          <w:noProof/>
          <w:lang w:val="lv-LV"/>
        </w:rPr>
        <w:t>)</w:t>
      </w:r>
      <w:r w:rsidRPr="001F2BA3">
        <w:rPr>
          <w:rStyle w:val="FootnoteReference"/>
          <w:noProof/>
          <w:lang w:val="lv-LV"/>
        </w:rPr>
        <w:t>(</w:t>
      </w:r>
      <w:r w:rsidRPr="001F2BA3">
        <w:rPr>
          <w:rStyle w:val="FootnoteReference"/>
          <w:noProof/>
          <w:lang w:val="lv-LV"/>
        </w:rPr>
        <w:footnoteReference w:id="17"/>
      </w:r>
      <w:r w:rsidRPr="001F2BA3">
        <w:rPr>
          <w:rStyle w:val="FootnoteReference"/>
          <w:noProof/>
          <w:lang w:val="lv-LV"/>
        </w:rPr>
        <w:t>))</w:t>
      </w:r>
      <w:r w:rsidRPr="001F2BA3">
        <w:rPr>
          <w:rFonts w:ascii="Arial" w:hAnsi="Arial"/>
          <w:noProof/>
          <w:lang w:val="lv-LV"/>
        </w:rPr>
        <w:t>.</w:t>
      </w:r>
    </w:p>
    <w:p w14:paraId="4AD0AA7C" w14:textId="49F03D86" w:rsidR="0008772F" w:rsidRPr="001F2BA3" w:rsidRDefault="0088209D" w:rsidP="00B42AEB">
      <w:pPr>
        <w:rPr>
          <w:noProof/>
          <w:lang w:val="lv-LV"/>
        </w:rPr>
      </w:pPr>
      <w:r w:rsidRPr="001F2BA3">
        <w:rPr>
          <w:noProof/>
          <w:lang w:val="lv-LV"/>
        </w:rPr>
        <w:t>Sagatavojot šo ceļvedi, ir izmantots Pamattiesību aģentūras (</w:t>
      </w:r>
      <w:r w:rsidRPr="001F2BA3">
        <w:rPr>
          <w:i/>
          <w:iCs/>
          <w:noProof/>
          <w:lang w:val="lv-LV"/>
        </w:rPr>
        <w:t>Fundamental Rights Agency</w:t>
      </w:r>
      <w:r w:rsidRPr="001F2BA3">
        <w:rPr>
          <w:noProof/>
          <w:lang w:val="lv-LV"/>
        </w:rPr>
        <w:t xml:space="preserve">, </w:t>
      </w:r>
      <w:r w:rsidRPr="001F2BA3">
        <w:rPr>
          <w:i/>
          <w:iCs/>
          <w:noProof/>
          <w:lang w:val="lv-LV"/>
        </w:rPr>
        <w:t>FRA</w:t>
      </w:r>
      <w:r w:rsidRPr="001F2BA3">
        <w:rPr>
          <w:noProof/>
          <w:lang w:val="lv-LV"/>
        </w:rPr>
        <w:t>) paveiktais</w:t>
      </w:r>
      <w:r w:rsidRPr="001F2BA3">
        <w:rPr>
          <w:rStyle w:val="FootnoteReference"/>
          <w:noProof/>
          <w:lang w:val="lv-LV"/>
        </w:rPr>
        <w:t>(</w:t>
      </w:r>
      <w:r w:rsidRPr="001F2BA3">
        <w:rPr>
          <w:rStyle w:val="FootnoteReference"/>
          <w:noProof/>
          <w:lang w:val="lv-LV"/>
        </w:rPr>
        <w:footnoteReference w:id="18"/>
      </w:r>
      <w:r w:rsidRPr="001F2BA3">
        <w:rPr>
          <w:rStyle w:val="FootnoteReference"/>
          <w:noProof/>
          <w:lang w:val="lv-LV"/>
        </w:rPr>
        <w:t>))</w:t>
      </w:r>
      <w:r w:rsidRPr="001F2BA3">
        <w:rPr>
          <w:noProof/>
          <w:lang w:val="lv-LV"/>
        </w:rPr>
        <w:t xml:space="preserve"> ciešā sadarbībā ar </w:t>
      </w:r>
      <w:bookmarkStart w:id="11" w:name="_Hlk141276234"/>
      <w:r w:rsidRPr="001F2BA3">
        <w:rPr>
          <w:noProof/>
          <w:lang w:val="lv-LV"/>
        </w:rPr>
        <w:t>Eiropas Komisiju un Eiropas Invaliditātes ekspertu akadēmisko tīklu</w:t>
      </w:r>
      <w:bookmarkEnd w:id="11"/>
      <w:r w:rsidRPr="001F2BA3">
        <w:rPr>
          <w:noProof/>
          <w:lang w:val="lv-LV"/>
        </w:rPr>
        <w:t xml:space="preserve">. Tīkls ir izstrādājis </w:t>
      </w:r>
      <w:hyperlink r:id="rId15" w:history="1">
        <w:r w:rsidRPr="001F2BA3">
          <w:rPr>
            <w:rStyle w:val="Hyperlink"/>
            <w:noProof/>
            <w:lang w:val="lv-LV"/>
          </w:rPr>
          <w:t>28 cilvēktiesību rādītājus</w:t>
        </w:r>
      </w:hyperlink>
      <w:r w:rsidRPr="001F2BA3">
        <w:rPr>
          <w:noProof/>
          <w:lang w:val="lv-LV"/>
        </w:rPr>
        <w:t xml:space="preserve">, lai novērtētu personu ar invaliditāti politisko līdzdalību ES. Dati ir sagrupēti četrās galvenajās tēmās: 1) juridisko un administratīvo šķēršļu atcelšana; 2) informētības par tiesībām uzlabošana; 3) politiskās līdzdalības pieejamības uzlabošana; 4) līdzdalības iespēju paplašināšana. </w:t>
      </w:r>
    </w:p>
    <w:p w14:paraId="22C5DBAA" w14:textId="387FBF17" w:rsidR="0026573B" w:rsidRPr="001F2BA3" w:rsidRDefault="00736B50" w:rsidP="00B42AEB">
      <w:pPr>
        <w:rPr>
          <w:noProof/>
          <w:lang w:val="lv-LV"/>
        </w:rPr>
      </w:pPr>
      <w:r w:rsidRPr="001F2BA3">
        <w:rPr>
          <w:noProof/>
          <w:lang w:val="lv-LV"/>
        </w:rPr>
        <w:t>Eiropas sadarbības tīkls vēlēšanu jautājumos ir cieši iesaistījies šā ceļveža sagatavošanā, tostarp īpašajā apakšgrupā. Vēlēšanu prakse, kas izstrādāta, lai apmierinātu personu ar invaliditāti vajadzības, ir vairākkārt apskatīta dalībvalstu diskusijās šajā tīklā un ir bijusi neatņemama Komisijas centienu daļa, tiecoties palīdzēt personām ar invaliditāti izmantot vēlēšanu tiesības</w:t>
      </w:r>
      <w:r w:rsidRPr="001F2BA3">
        <w:rPr>
          <w:rStyle w:val="FootnoteReference"/>
          <w:noProof/>
          <w:lang w:val="lv-LV"/>
        </w:rPr>
        <w:t>(</w:t>
      </w:r>
      <w:r w:rsidRPr="001F2BA3">
        <w:rPr>
          <w:rStyle w:val="FootnoteReference"/>
          <w:noProof/>
          <w:lang w:val="lv-LV"/>
        </w:rPr>
        <w:footnoteReference w:id="19"/>
      </w:r>
      <w:r w:rsidRPr="001F2BA3">
        <w:rPr>
          <w:rStyle w:val="FootnoteReference"/>
          <w:noProof/>
          <w:lang w:val="lv-LV"/>
        </w:rPr>
        <w:t>))</w:t>
      </w:r>
      <w:r w:rsidRPr="001F2BA3">
        <w:rPr>
          <w:noProof/>
          <w:lang w:val="lv-LV"/>
        </w:rPr>
        <w:t>.</w:t>
      </w:r>
    </w:p>
    <w:p w14:paraId="2D946BC5" w14:textId="082245C4" w:rsidR="00090D1B" w:rsidRPr="001F2BA3" w:rsidRDefault="00666F5C" w:rsidP="00B42AEB">
      <w:pPr>
        <w:rPr>
          <w:noProof/>
          <w:lang w:val="lv-LV"/>
        </w:rPr>
      </w:pPr>
      <w:r w:rsidRPr="001F2BA3">
        <w:rPr>
          <w:noProof/>
          <w:lang w:val="lv-LV"/>
        </w:rPr>
        <w:t>Šajā kontekstā 22 dalībvalstis iesūtīja informāciju par vēlēšanu regulējumu un praksi attiecībā uz personu ar invaliditāti dalību vēlēšanās. Aptaujā atklājās, ka ir daudz prakšu, kas palīdz nodrošināt vēlēšanu pieejamību ikvienam.</w:t>
      </w:r>
    </w:p>
    <w:p w14:paraId="1A1EE013" w14:textId="5FD951A6" w:rsidR="00573F10" w:rsidRPr="001F2BA3" w:rsidRDefault="005D1899" w:rsidP="00B42AEB">
      <w:pPr>
        <w:rPr>
          <w:noProof/>
          <w:lang w:val="lv-LV"/>
        </w:rPr>
      </w:pPr>
      <w:r w:rsidRPr="001F2BA3">
        <w:rPr>
          <w:noProof/>
          <w:lang w:val="lv-LV"/>
        </w:rPr>
        <w:t>Lai atbalstītu šā ceļveža izstrādi, akadēmiskais tīkls pilsonības jomā sagatavoja pētījumu par pilsoņu ar invaliditāti līdzdalību vēlēšanās.</w:t>
      </w:r>
      <w:r w:rsidRPr="001F2BA3">
        <w:rPr>
          <w:rStyle w:val="FootnoteReference"/>
          <w:noProof/>
          <w:lang w:val="lv-LV"/>
        </w:rPr>
        <w:t>(</w:t>
      </w:r>
      <w:r w:rsidRPr="001F2BA3">
        <w:rPr>
          <w:rStyle w:val="FootnoteReference"/>
          <w:noProof/>
          <w:lang w:val="lv-LV"/>
        </w:rPr>
        <w:footnoteReference w:id="20"/>
      </w:r>
      <w:r w:rsidRPr="001F2BA3">
        <w:rPr>
          <w:rStyle w:val="FootnoteReference"/>
          <w:noProof/>
          <w:lang w:val="lv-LV"/>
        </w:rPr>
        <w:t>))</w:t>
      </w:r>
      <w:r w:rsidRPr="001F2BA3">
        <w:rPr>
          <w:noProof/>
          <w:lang w:val="lv-LV"/>
        </w:rPr>
        <w:t xml:space="preserve"> Šā ceļveža pamatā ir arī pētījums par personu ar invaliditāti politisko līdzdalību</w:t>
      </w:r>
      <w:r w:rsidRPr="001F2BA3">
        <w:rPr>
          <w:noProof/>
          <w:vertAlign w:val="superscript"/>
          <w:lang w:val="lv-LV"/>
        </w:rPr>
        <w:t>(</w:t>
      </w:r>
      <w:r w:rsidRPr="001F2BA3">
        <w:rPr>
          <w:noProof/>
          <w:vertAlign w:val="superscript"/>
          <w:lang w:val="lv-LV"/>
        </w:rPr>
        <w:footnoteReference w:id="21"/>
      </w:r>
      <w:r w:rsidRPr="001F2BA3">
        <w:rPr>
          <w:noProof/>
          <w:vertAlign w:val="superscript"/>
          <w:lang w:val="lv-LV"/>
        </w:rPr>
        <w:t>)</w:t>
      </w:r>
      <w:r w:rsidRPr="001F2BA3">
        <w:rPr>
          <w:noProof/>
          <w:lang w:val="lv-LV"/>
        </w:rPr>
        <w:t>, ko 2018</w:t>
      </w:r>
      <w:r w:rsidR="001F2BA3">
        <w:rPr>
          <w:noProof/>
          <w:lang w:val="lv-LV"/>
        </w:rPr>
        <w:t>. gad</w:t>
      </w:r>
      <w:r w:rsidRPr="001F2BA3">
        <w:rPr>
          <w:noProof/>
          <w:lang w:val="lv-LV"/>
        </w:rPr>
        <w:t>ā sagatavoja un 2021</w:t>
      </w:r>
      <w:r w:rsidR="001F2BA3">
        <w:rPr>
          <w:noProof/>
          <w:lang w:val="lv-LV"/>
        </w:rPr>
        <w:t>. gad</w:t>
      </w:r>
      <w:r w:rsidRPr="001F2BA3">
        <w:rPr>
          <w:noProof/>
          <w:lang w:val="lv-LV"/>
        </w:rPr>
        <w:t>ā atjaunināja</w:t>
      </w:r>
      <w:r w:rsidRPr="001F2BA3">
        <w:rPr>
          <w:rStyle w:val="FootnoteReference"/>
          <w:noProof/>
          <w:lang w:val="lv-LV"/>
        </w:rPr>
        <w:t>(</w:t>
      </w:r>
      <w:r w:rsidRPr="001F2BA3">
        <w:rPr>
          <w:rStyle w:val="FootnoteReference"/>
          <w:noProof/>
          <w:lang w:val="lv-LV"/>
        </w:rPr>
        <w:footnoteReference w:id="22"/>
      </w:r>
      <w:r w:rsidRPr="001F2BA3">
        <w:rPr>
          <w:rStyle w:val="FootnoteReference"/>
          <w:noProof/>
          <w:lang w:val="lv-LV"/>
        </w:rPr>
        <w:t>))</w:t>
      </w:r>
      <w:r w:rsidRPr="001F2BA3">
        <w:rPr>
          <w:noProof/>
          <w:lang w:val="lv-LV"/>
        </w:rPr>
        <w:t xml:space="preserve"> Eiropas pilsoņu tiesību akadēmiskais tīkls (</w:t>
      </w:r>
      <w:r w:rsidRPr="001F2BA3">
        <w:rPr>
          <w:i/>
          <w:iCs/>
          <w:noProof/>
          <w:lang w:val="lv-LV"/>
        </w:rPr>
        <w:t>Academic Network on European Citizenship Rights</w:t>
      </w:r>
      <w:r w:rsidRPr="001F2BA3">
        <w:rPr>
          <w:noProof/>
          <w:lang w:val="lv-LV"/>
        </w:rPr>
        <w:t>).</w:t>
      </w:r>
    </w:p>
    <w:p w14:paraId="7C9E0D75" w14:textId="7785B0FC" w:rsidR="006A58FF" w:rsidRPr="001F2BA3" w:rsidRDefault="006A58FF" w:rsidP="006B02A7">
      <w:pPr>
        <w:rPr>
          <w:noProof/>
          <w:lang w:val="lv-LV"/>
        </w:rPr>
      </w:pPr>
      <w:r w:rsidRPr="001F2BA3">
        <w:rPr>
          <w:noProof/>
          <w:lang w:val="lv-LV"/>
        </w:rPr>
        <w:t xml:space="preserve">Komisija rīkoja arī </w:t>
      </w:r>
      <w:r w:rsidRPr="001F2BA3">
        <w:rPr>
          <w:i/>
          <w:iCs/>
          <w:noProof/>
          <w:lang w:val="lv-LV"/>
        </w:rPr>
        <w:t>ad hoc</w:t>
      </w:r>
      <w:r w:rsidRPr="001F2BA3">
        <w:rPr>
          <w:noProof/>
          <w:lang w:val="lv-LV"/>
        </w:rPr>
        <w:t xml:space="preserve"> apspriedes ar grupām, kas atbalsta iedzīvotāju ar invaliditāti līdzdalību.</w:t>
      </w:r>
      <w:r w:rsidRPr="001F2BA3">
        <w:rPr>
          <w:rStyle w:val="FootnoteReference"/>
          <w:noProof/>
          <w:lang w:val="lv-LV"/>
        </w:rPr>
        <w:t>(</w:t>
      </w:r>
      <w:r w:rsidRPr="001F2BA3">
        <w:rPr>
          <w:rStyle w:val="FootnoteReference"/>
          <w:noProof/>
          <w:lang w:val="lv-LV"/>
        </w:rPr>
        <w:footnoteReference w:id="23"/>
      </w:r>
      <w:r w:rsidRPr="001F2BA3">
        <w:rPr>
          <w:rStyle w:val="FootnoteReference"/>
          <w:noProof/>
          <w:lang w:val="lv-LV"/>
        </w:rPr>
        <w:t>))</w:t>
      </w:r>
    </w:p>
    <w:p w14:paraId="21997086" w14:textId="395576B5" w:rsidR="00DC4711" w:rsidRPr="001F2BA3" w:rsidRDefault="00DC4711" w:rsidP="00B42AEB">
      <w:pPr>
        <w:rPr>
          <w:noProof/>
          <w:lang w:val="lv-LV"/>
        </w:rPr>
      </w:pPr>
      <w:r w:rsidRPr="001F2BA3">
        <w:rPr>
          <w:noProof/>
          <w:lang w:val="lv-LV"/>
        </w:rPr>
        <w:t>Līdztekus šim ceļvedim Komisija ir sagatavojusi e-balsošanas prakses apkopojumu, kā paziņots Eiropas Demokrātijas rīcības plānā</w:t>
      </w:r>
      <w:r w:rsidRPr="001F2BA3">
        <w:rPr>
          <w:rStyle w:val="FootnoteReference"/>
          <w:noProof/>
          <w:lang w:val="lv-LV"/>
        </w:rPr>
        <w:t>(</w:t>
      </w:r>
      <w:r w:rsidRPr="001F2BA3">
        <w:rPr>
          <w:rStyle w:val="FootnoteReference"/>
          <w:noProof/>
          <w:lang w:val="lv-LV"/>
        </w:rPr>
        <w:footnoteReference w:id="24"/>
      </w:r>
      <w:r w:rsidRPr="001F2BA3">
        <w:rPr>
          <w:rStyle w:val="FootnoteReference"/>
          <w:noProof/>
          <w:lang w:val="lv-LV"/>
        </w:rPr>
        <w:t>))</w:t>
      </w:r>
      <w:r w:rsidRPr="001F2BA3">
        <w:rPr>
          <w:noProof/>
          <w:lang w:val="lv-LV"/>
        </w:rPr>
        <w:t xml:space="preserve"> un stratēģijā par personu ar invaliditāti tiesībām. Konkrētāk, apkopojumā</w:t>
      </w:r>
      <w:r w:rsidRPr="001F2BA3">
        <w:rPr>
          <w:rStyle w:val="FootnoteReference"/>
          <w:noProof/>
          <w:lang w:val="lv-LV"/>
        </w:rPr>
        <w:t>(</w:t>
      </w:r>
      <w:r w:rsidRPr="001F2BA3">
        <w:rPr>
          <w:rStyle w:val="FootnoteReference"/>
          <w:noProof/>
          <w:lang w:val="lv-LV"/>
        </w:rPr>
        <w:footnoteReference w:id="25"/>
      </w:r>
      <w:r w:rsidRPr="001F2BA3">
        <w:rPr>
          <w:rStyle w:val="FootnoteReference"/>
          <w:noProof/>
          <w:lang w:val="lv-LV"/>
        </w:rPr>
        <w:t>))</w:t>
      </w:r>
      <w:r w:rsidRPr="001F2BA3">
        <w:rPr>
          <w:noProof/>
          <w:lang w:val="lv-LV"/>
        </w:rPr>
        <w:t xml:space="preserve"> aplūkoti jautājumi par vēlēšanu iecirkņos izmantoto balsošanas iekārtu piekļūstamības nodrošināšanu vēlētājiem, kā arī par tiešsaistes balsošanas saskarni, kas arī ir noderīga balsošanas metode personām ar invaliditāti.</w:t>
      </w:r>
    </w:p>
    <w:p w14:paraId="3030EB9B" w14:textId="36E84B9B" w:rsidR="009C383D" w:rsidRPr="001F2BA3" w:rsidRDefault="006B42E9" w:rsidP="006B02A7">
      <w:pPr>
        <w:pStyle w:val="Heading1"/>
        <w:numPr>
          <w:ilvl w:val="0"/>
          <w:numId w:val="1"/>
        </w:numPr>
        <w:spacing w:before="360" w:after="240" w:line="288" w:lineRule="auto"/>
        <w:ind w:left="357" w:hanging="357"/>
        <w:rPr>
          <w:noProof/>
          <w:lang w:val="lv-LV"/>
        </w:rPr>
      </w:pPr>
      <w:bookmarkStart w:id="12" w:name="_Toc148718575"/>
      <w:bookmarkStart w:id="13" w:name="_Toc158022308"/>
      <w:r w:rsidRPr="001F2BA3">
        <w:rPr>
          <w:noProof/>
          <w:lang w:val="lv-LV"/>
        </w:rPr>
        <w:t>Galvenās problēmas, ar ko saskaras personas ar invaliditāti</w:t>
      </w:r>
      <w:bookmarkEnd w:id="12"/>
      <w:bookmarkEnd w:id="13"/>
    </w:p>
    <w:p w14:paraId="1994D7F6" w14:textId="17A106AC" w:rsidR="00573F10" w:rsidRPr="001F2BA3" w:rsidRDefault="00FF640F" w:rsidP="00B42AEB">
      <w:pPr>
        <w:rPr>
          <w:noProof/>
          <w:lang w:val="lv-LV"/>
        </w:rPr>
      </w:pPr>
      <w:r w:rsidRPr="001F2BA3">
        <w:rPr>
          <w:noProof/>
          <w:lang w:val="lv-LV"/>
        </w:rPr>
        <w:t>Dalībvalstu pienākums ir noteikt atbilstības kritērijus un novērtēšanas procedūras, lai atzītu invaliditātes statusu. Tās ir atbildīgas arī par to, lai saskaņā ar ES tiesību aktiem un attiecīgajiem starptautiskajiem standartiem noteiktu, kam ir tiesības balsot un kandidēt vēlēšanās. Pilsoņi ar invaliditāti saskaras ar daudziem juridiskiem, administratīviem un institucionāliem šķēršļiem, kas traucē tiem aktīvi iesaistīties demokrātiskajā dzīvē. Pilsoņi ar intelektuālās attīstības traucējumiem saskaras ar īpaši būtiskiem šķēršļiem politisko tiesību īstenošanā, jo pastāv virkne juridisku un administratīvu šķēršļu. Pilsoņu ar invaliditāti politiskās līdzdalības līmeni ietekmē arī citi raksturlielumi, piemēram, vecums un dzimums, kā arī tādi faktori kā sociālekonomiskais statuss un zemi ekonomiskie līdzekļi. Lai gan dažādos līmeņos ir ieguldītas vērā ņemamas pūles šo jautājumu risināšanā, piemēram, tiesiskā regulējuma pārskatīšana, vēlēšanu materiālu un balsošanas iekārtu piekļūstamības palielināšana, vēl ir daudz darāmā, lai atbalstītu pilsoņu ar invaliditāti demokrātisko un vēlēšanu tiesību īstenošanu</w:t>
      </w:r>
      <w:r w:rsidRPr="001F2BA3">
        <w:rPr>
          <w:rStyle w:val="FootnoteReference"/>
          <w:noProof/>
          <w:lang w:val="lv-LV"/>
        </w:rPr>
        <w:t>(</w:t>
      </w:r>
      <w:r w:rsidRPr="001F2BA3">
        <w:rPr>
          <w:rStyle w:val="FootnoteReference"/>
          <w:noProof/>
          <w:lang w:val="lv-LV"/>
        </w:rPr>
        <w:footnoteReference w:id="26"/>
      </w:r>
      <w:r w:rsidRPr="001F2BA3">
        <w:rPr>
          <w:rStyle w:val="FootnoteReference"/>
          <w:noProof/>
          <w:lang w:val="lv-LV"/>
        </w:rPr>
        <w:t>))</w:t>
      </w:r>
      <w:r w:rsidRPr="001F2BA3">
        <w:rPr>
          <w:noProof/>
          <w:lang w:val="lv-LV"/>
        </w:rPr>
        <w:t>.</w:t>
      </w:r>
    </w:p>
    <w:p w14:paraId="398F79D2" w14:textId="3472DC09" w:rsidR="003E706D" w:rsidRPr="001F2BA3" w:rsidRDefault="002C5F2D" w:rsidP="00B42AEB">
      <w:pPr>
        <w:rPr>
          <w:noProof/>
          <w:lang w:val="lv-LV"/>
        </w:rPr>
      </w:pPr>
      <w:r w:rsidRPr="001F2BA3">
        <w:rPr>
          <w:noProof/>
          <w:lang w:val="lv-LV"/>
        </w:rPr>
        <w:t xml:space="preserve">Galvenās bažas, kas atspoguļotas literatūrā </w:t>
      </w:r>
      <w:bookmarkStart w:id="14" w:name="_Hlk151654247"/>
      <w:r w:rsidRPr="001F2BA3">
        <w:rPr>
          <w:noProof/>
          <w:lang w:val="lv-LV"/>
        </w:rPr>
        <w:t>un ieinteresēto personu viedokļos</w:t>
      </w:r>
      <w:bookmarkEnd w:id="14"/>
      <w:r w:rsidRPr="001F2BA3">
        <w:rPr>
          <w:noProof/>
          <w:lang w:val="lv-LV"/>
        </w:rPr>
        <w:t>, ir saistītas ar šādiem šķēršļiem:</w:t>
      </w:r>
    </w:p>
    <w:p w14:paraId="037C713B" w14:textId="789DD85F" w:rsidR="003E706D" w:rsidRPr="001F2BA3" w:rsidRDefault="003E706D" w:rsidP="002D36F0">
      <w:pPr>
        <w:pStyle w:val="ListParagraph"/>
        <w:numPr>
          <w:ilvl w:val="0"/>
          <w:numId w:val="5"/>
        </w:numPr>
        <w:spacing w:after="120" w:line="288" w:lineRule="auto"/>
        <w:rPr>
          <w:noProof/>
          <w:lang w:val="lv-LV"/>
        </w:rPr>
      </w:pPr>
      <w:r w:rsidRPr="001F2BA3">
        <w:rPr>
          <w:b/>
          <w:bCs/>
          <w:noProof/>
          <w:lang w:val="lv-LV"/>
        </w:rPr>
        <w:t>fiziski šķēršļi</w:t>
      </w:r>
      <w:r w:rsidRPr="001F2BA3">
        <w:rPr>
          <w:noProof/>
          <w:lang w:val="lv-LV"/>
        </w:rPr>
        <w:t xml:space="preserve"> (tostarp nepieejami vēlēšanu iecirkņi, nepietiekamas balsošanas iespējas personām, kas dzīvo pansionātos vai ilgtermiņa aprūpes iestādēs, slimnīcās, vai personām, kuras nevar atstāt mājas, pārvietošanās šķēršļi un nepieejami vēlēšanās izmantotie materiāli, piemēram, vēlēšanu zīmes, vēlēšanu kabīnes vai balsošanas iekārtas, ierobežotas balsošanas iespējas);</w:t>
      </w:r>
    </w:p>
    <w:p w14:paraId="581097C2" w14:textId="0A8C504D" w:rsidR="003E706D" w:rsidRPr="001F2BA3" w:rsidRDefault="003E706D" w:rsidP="002D36F0">
      <w:pPr>
        <w:pStyle w:val="ListParagraph"/>
        <w:numPr>
          <w:ilvl w:val="0"/>
          <w:numId w:val="5"/>
        </w:numPr>
        <w:spacing w:after="120" w:line="288" w:lineRule="auto"/>
        <w:rPr>
          <w:noProof/>
          <w:lang w:val="lv-LV"/>
        </w:rPr>
      </w:pPr>
      <w:r w:rsidRPr="001F2BA3">
        <w:rPr>
          <w:b/>
          <w:bCs/>
          <w:noProof/>
          <w:lang w:val="lv-LV"/>
        </w:rPr>
        <w:t>informācijas šķēršļi</w:t>
      </w:r>
      <w:r w:rsidRPr="001F2BA3">
        <w:rPr>
          <w:noProof/>
          <w:lang w:val="lv-LV"/>
        </w:rPr>
        <w:t xml:space="preserve"> (tostarp piekļuves trūkums politiskajiem kandidātiem un partiju informācijai, zināšanu trūkums par vēlēšanu procesu — kur, kad un kā balsot);</w:t>
      </w:r>
    </w:p>
    <w:p w14:paraId="0F9AD794" w14:textId="124EAE79" w:rsidR="003E706D" w:rsidRPr="001F2BA3" w:rsidRDefault="003E706D" w:rsidP="002D36F0">
      <w:pPr>
        <w:pStyle w:val="ListParagraph"/>
        <w:numPr>
          <w:ilvl w:val="0"/>
          <w:numId w:val="5"/>
        </w:numPr>
        <w:spacing w:after="120" w:line="288" w:lineRule="auto"/>
        <w:ind w:left="1434" w:hanging="357"/>
        <w:rPr>
          <w:noProof/>
          <w:lang w:val="lv-LV"/>
        </w:rPr>
      </w:pPr>
      <w:r w:rsidRPr="001F2BA3">
        <w:rPr>
          <w:b/>
          <w:bCs/>
          <w:noProof/>
          <w:lang w:val="lv-LV"/>
        </w:rPr>
        <w:t>palīdzības šķēršļi</w:t>
      </w:r>
      <w:r w:rsidRPr="001F2BA3">
        <w:rPr>
          <w:noProof/>
          <w:lang w:val="lv-LV"/>
        </w:rPr>
        <w:t xml:space="preserve"> (tostarp ierobežota palīdzība balsošanā, vēlēšanu iecirkņu darbinieku mācību trūkums par to, kā sniegt palīdzību, un ierobežojumi attiecībā uz to, kam tiek sniegta palīdzība);</w:t>
      </w:r>
    </w:p>
    <w:p w14:paraId="424D0409" w14:textId="4E04FDEA" w:rsidR="003E706D" w:rsidRPr="001F2BA3" w:rsidRDefault="003E706D" w:rsidP="002D36F0">
      <w:pPr>
        <w:pStyle w:val="ListParagraph"/>
        <w:numPr>
          <w:ilvl w:val="0"/>
          <w:numId w:val="5"/>
        </w:numPr>
        <w:spacing w:after="120" w:line="288" w:lineRule="auto"/>
        <w:rPr>
          <w:noProof/>
          <w:lang w:val="lv-LV"/>
        </w:rPr>
      </w:pPr>
      <w:r w:rsidRPr="001F2BA3">
        <w:rPr>
          <w:b/>
          <w:bCs/>
          <w:noProof/>
          <w:lang w:val="lv-LV"/>
        </w:rPr>
        <w:t>sabiedrības šķēršļi</w:t>
      </w:r>
      <w:r w:rsidRPr="001F2BA3">
        <w:rPr>
          <w:noProof/>
          <w:lang w:val="lv-LV"/>
        </w:rPr>
        <w:t xml:space="preserve"> (tostarp stereotipi par iedzīvotājiem ar invaliditāti, aprūpētāju/asistentu attieksme un viedokļi, kā arī problēmas saistībā ar atbalsta tīklu pieejamību un piekļuvi tiem).</w:t>
      </w:r>
      <w:r w:rsidRPr="001F2BA3">
        <w:rPr>
          <w:rStyle w:val="FootnoteReference"/>
          <w:noProof/>
          <w:lang w:val="lv-LV"/>
        </w:rPr>
        <w:t>(</w:t>
      </w:r>
      <w:r w:rsidRPr="001F2BA3">
        <w:rPr>
          <w:rStyle w:val="FootnoteReference"/>
          <w:noProof/>
          <w:lang w:val="lv-LV"/>
        </w:rPr>
        <w:footnoteReference w:id="27"/>
      </w:r>
      <w:r w:rsidRPr="001F2BA3">
        <w:rPr>
          <w:rStyle w:val="FootnoteReference"/>
          <w:noProof/>
          <w:lang w:val="lv-LV"/>
        </w:rPr>
        <w:t>))</w:t>
      </w:r>
    </w:p>
    <w:p w14:paraId="529F43C4" w14:textId="2B008DE2" w:rsidR="00E7243F" w:rsidRPr="001F2BA3" w:rsidRDefault="00E7243F" w:rsidP="006B02A7">
      <w:pPr>
        <w:pStyle w:val="Heading1"/>
        <w:numPr>
          <w:ilvl w:val="0"/>
          <w:numId w:val="1"/>
        </w:numPr>
        <w:spacing w:before="360" w:after="240" w:line="288" w:lineRule="auto"/>
        <w:ind w:left="357" w:hanging="357"/>
        <w:rPr>
          <w:noProof/>
          <w:lang w:val="lv-LV"/>
        </w:rPr>
      </w:pPr>
      <w:bookmarkStart w:id="15" w:name="_Toc148718576"/>
      <w:bookmarkStart w:id="16" w:name="_Toc158022309"/>
      <w:r w:rsidRPr="001F2BA3">
        <w:rPr>
          <w:noProof/>
          <w:lang w:val="lv-LV"/>
        </w:rPr>
        <w:t>ES regulējums</w:t>
      </w:r>
      <w:bookmarkEnd w:id="15"/>
      <w:bookmarkEnd w:id="16"/>
    </w:p>
    <w:p w14:paraId="01B25BAC" w14:textId="2581B0CE" w:rsidR="0069065F" w:rsidRPr="001F2BA3" w:rsidRDefault="0069065F" w:rsidP="006B02A7">
      <w:pPr>
        <w:pStyle w:val="Heading2"/>
        <w:numPr>
          <w:ilvl w:val="1"/>
          <w:numId w:val="1"/>
        </w:numPr>
        <w:spacing w:before="0" w:after="240"/>
        <w:rPr>
          <w:noProof/>
          <w:lang w:val="lv-LV"/>
        </w:rPr>
      </w:pPr>
      <w:bookmarkStart w:id="17" w:name="_Toc148718577"/>
      <w:bookmarkStart w:id="18" w:name="_Toc158022310"/>
      <w:r w:rsidRPr="001F2BA3">
        <w:rPr>
          <w:noProof/>
          <w:lang w:val="lv-LV"/>
        </w:rPr>
        <w:t>Līgumi</w:t>
      </w:r>
      <w:bookmarkEnd w:id="17"/>
      <w:bookmarkEnd w:id="18"/>
    </w:p>
    <w:p w14:paraId="22F239CA" w14:textId="4C6CF697" w:rsidR="0024514D" w:rsidRPr="001F2BA3" w:rsidRDefault="0069065F" w:rsidP="00B42AEB">
      <w:pPr>
        <w:rPr>
          <w:noProof/>
          <w:lang w:val="lv-LV"/>
        </w:rPr>
      </w:pPr>
      <w:r w:rsidRPr="001F2BA3">
        <w:rPr>
          <w:noProof/>
          <w:lang w:val="lv-LV"/>
        </w:rPr>
        <w:t>Līguma par Eiropas Savienības darbību (LESD) 10. pantā noteikts, ka, “nosakot un īstenojot savu politiku un darbības, Savienība tiecas apkarot diskrimināciju (..) invaliditātes (..) dēļ”.</w:t>
      </w:r>
    </w:p>
    <w:p w14:paraId="5095E76E" w14:textId="2E8565CD" w:rsidR="00271CAD" w:rsidRPr="001F2BA3" w:rsidRDefault="00271CAD" w:rsidP="00B42AEB">
      <w:pPr>
        <w:rPr>
          <w:noProof/>
          <w:lang w:val="lv-LV"/>
        </w:rPr>
      </w:pPr>
      <w:r w:rsidRPr="001F2BA3">
        <w:rPr>
          <w:noProof/>
          <w:lang w:val="lv-LV"/>
        </w:rPr>
        <w:t xml:space="preserve">Saskaņā ar LESD 19. panta 1. punktu “neskarot pārējos Līgumu noteikumus un nepārsniedzot pilnvaras, ko Savienībai piešķir Līgumi, Padome saskaņā ar īpašu likumdošanas procedūru, saņēmusi Eiropas Parlamenta piekrišanu, ar vienprātīgu lēmumu var paredzēt attiecīgus pasākumus, lai cīnītos pret diskrimināciju (..) invaliditātes (..) dēļ”. </w:t>
      </w:r>
    </w:p>
    <w:p w14:paraId="32738849" w14:textId="4E9F4303" w:rsidR="0069065F" w:rsidRPr="001F2BA3" w:rsidRDefault="0069065F" w:rsidP="00B42AEB">
      <w:pPr>
        <w:rPr>
          <w:noProof/>
          <w:lang w:val="lv-LV"/>
        </w:rPr>
      </w:pPr>
      <w:r w:rsidRPr="001F2BA3">
        <w:rPr>
          <w:noProof/>
          <w:lang w:val="lv-LV"/>
        </w:rPr>
        <w:t>Saskaņā ar LESD 19. panta 2. punktu “(..) Eiropas Parlaments un Padome, lai atbalstītu dalībvalstu rīcību, kas vērsta uz 1. punktā minēto mērķu sasniegšanu, saskaņā ar parasto likumdošanas procedūru var pieņemt pamatprincipus Savienības veicināšanas pasākumiem, kas neietver (..) saskaņošanu”.</w:t>
      </w:r>
    </w:p>
    <w:p w14:paraId="61A67F60" w14:textId="13F383A9" w:rsidR="00F5599C" w:rsidRPr="001F2BA3" w:rsidRDefault="00850940" w:rsidP="006B02A7">
      <w:pPr>
        <w:pStyle w:val="Heading2"/>
        <w:numPr>
          <w:ilvl w:val="1"/>
          <w:numId w:val="1"/>
        </w:numPr>
        <w:spacing w:before="240" w:after="240"/>
        <w:rPr>
          <w:noProof/>
          <w:lang w:val="lv-LV"/>
        </w:rPr>
      </w:pPr>
      <w:bookmarkStart w:id="19" w:name="_Toc158022311"/>
      <w:r w:rsidRPr="001F2BA3">
        <w:rPr>
          <w:noProof/>
          <w:lang w:val="lv-LV"/>
        </w:rPr>
        <w:t>Apvienoto Nāciju Organizācijas Konvencija par personu ar invaliditāti tiesībām</w:t>
      </w:r>
      <w:bookmarkEnd w:id="19"/>
    </w:p>
    <w:p w14:paraId="7C3E267C" w14:textId="4A9A9364" w:rsidR="00850940" w:rsidRPr="001F2BA3" w:rsidRDefault="00F5599C" w:rsidP="00B42AEB">
      <w:pPr>
        <w:rPr>
          <w:noProof/>
          <w:lang w:val="lv-LV"/>
        </w:rPr>
      </w:pPr>
      <w:r w:rsidRPr="001F2BA3">
        <w:rPr>
          <w:noProof/>
          <w:lang w:val="lv-LV"/>
        </w:rPr>
        <w:t>ES ir viena no pusēm Apvienoto Nāciju Organizācijas Konvencijā par personu ar invaliditāti tiesībām (</w:t>
      </w:r>
      <w:r w:rsidRPr="001F2BA3">
        <w:rPr>
          <w:i/>
          <w:iCs/>
          <w:noProof/>
          <w:lang w:val="lv-LV"/>
        </w:rPr>
        <w:t>UNCRPD</w:t>
      </w:r>
      <w:r w:rsidRPr="001F2BA3">
        <w:rPr>
          <w:noProof/>
          <w:lang w:val="lv-LV"/>
        </w:rPr>
        <w:t>). Tādējādi Savienības kompetences jomā minētās konvencijas noteikumi ir neatņemama ES tiesību sistēmas daļa.</w:t>
      </w:r>
    </w:p>
    <w:p w14:paraId="750F94E7" w14:textId="77777777" w:rsidR="001D613C" w:rsidRPr="001F2BA3" w:rsidRDefault="00850940" w:rsidP="00B42AEB">
      <w:pPr>
        <w:rPr>
          <w:noProof/>
          <w:lang w:val="lv-LV"/>
        </w:rPr>
      </w:pPr>
      <w:r w:rsidRPr="001F2BA3">
        <w:rPr>
          <w:noProof/>
          <w:lang w:val="lv-LV"/>
        </w:rPr>
        <w:t xml:space="preserve">Saskaņā ar </w:t>
      </w:r>
      <w:r w:rsidRPr="001F2BA3">
        <w:rPr>
          <w:i/>
          <w:iCs/>
          <w:noProof/>
          <w:lang w:val="lv-LV"/>
        </w:rPr>
        <w:t>UNCRPD</w:t>
      </w:r>
      <w:r w:rsidRPr="001F2BA3">
        <w:rPr>
          <w:noProof/>
          <w:lang w:val="lv-LV"/>
        </w:rPr>
        <w:t xml:space="preserve"> 29. pantu valstīm, kas ir konvencijas puses, cita starpā jānodrošina, ka balsošanas procedūras, līdzekļi un materiāli ir piemēroti, pieejami, viegli saprotami un izmantojami. </w:t>
      </w:r>
    </w:p>
    <w:p w14:paraId="5D6B24E2" w14:textId="2970F945" w:rsidR="00850940" w:rsidRPr="001F2BA3" w:rsidRDefault="00850940" w:rsidP="00B42AEB">
      <w:pPr>
        <w:rPr>
          <w:noProof/>
          <w:lang w:val="lv-LV"/>
        </w:rPr>
      </w:pPr>
      <w:r w:rsidRPr="001F2BA3">
        <w:rPr>
          <w:i/>
          <w:iCs/>
          <w:noProof/>
          <w:lang w:val="lv-LV"/>
        </w:rPr>
        <w:t>UNCRPD</w:t>
      </w:r>
      <w:r w:rsidRPr="001F2BA3">
        <w:rPr>
          <w:noProof/>
          <w:lang w:val="lv-LV"/>
        </w:rPr>
        <w:t xml:space="preserve"> ir ietverti dalībvalstu pienākumi aizsargāt personu ar invaliditāti tiesības aizklāti balsot vēlēšanās un referendumos bez iebiedēšanas, kandidēt vēlēšanās, efektīvi ieņemt amatus un veikt visas publiskās funkcijas visos pārvaldes līmeņos, kā arī vajadzības gadījumā veicināt palīgtehnoloģiju un jauno tehnoloģiju izmantošanu. </w:t>
      </w:r>
    </w:p>
    <w:p w14:paraId="7272E26B" w14:textId="6E1792F2" w:rsidR="00850940" w:rsidRPr="001F2BA3" w:rsidRDefault="00850940" w:rsidP="00B42AEB">
      <w:pPr>
        <w:rPr>
          <w:noProof/>
          <w:lang w:val="lv-LV"/>
        </w:rPr>
      </w:pPr>
      <w:r w:rsidRPr="001F2BA3">
        <w:rPr>
          <w:noProof/>
          <w:lang w:val="lv-LV"/>
        </w:rPr>
        <w:t xml:space="preserve">Dalībvalstis tiek aicinātas arī nodrošināt, lai personas ar invaliditāti varētu brīvi paust gribu kā vēlētāji. Šim nolūkam un vajadzības gadījumā dalībvalstīm ir jāļauj balsstiesīgajiem pēc viņu pašu izvēles un pēc viņu lūguma sniegt palīdzību balsošanā. </w:t>
      </w:r>
    </w:p>
    <w:p w14:paraId="53D95EA0" w14:textId="6FC17ACB" w:rsidR="00F5599C" w:rsidRPr="001F2BA3" w:rsidRDefault="00850940" w:rsidP="00B42AEB">
      <w:pPr>
        <w:rPr>
          <w:noProof/>
          <w:lang w:val="lv-LV"/>
        </w:rPr>
      </w:pPr>
      <w:r w:rsidRPr="001F2BA3">
        <w:rPr>
          <w:rStyle w:val="sbb9ee52a"/>
          <w:noProof/>
          <w:lang w:val="lv-LV"/>
        </w:rPr>
        <w:t xml:space="preserve">Vispārējā piezīmē </w:t>
      </w:r>
      <w:r w:rsidR="001F2BA3">
        <w:rPr>
          <w:rStyle w:val="sbb9ee52a"/>
          <w:noProof/>
          <w:lang w:val="lv-LV"/>
        </w:rPr>
        <w:t>Nr. </w:t>
      </w:r>
      <w:r w:rsidRPr="001F2BA3">
        <w:rPr>
          <w:rStyle w:val="sbb9ee52a"/>
          <w:noProof/>
          <w:lang w:val="lv-LV"/>
        </w:rPr>
        <w:t>2 par Apvienoto Nāciju Organizācijas Konvencijas par personu ar invaliditāti tiesībām 9. pantu</w:t>
      </w:r>
      <w:r w:rsidRPr="001F2BA3">
        <w:rPr>
          <w:noProof/>
          <w:lang w:val="lv-LV"/>
        </w:rPr>
        <w:t xml:space="preserve">, ko </w:t>
      </w:r>
      <w:r w:rsidRPr="001F2BA3">
        <w:rPr>
          <w:rStyle w:val="sbb9ee52a"/>
          <w:noProof/>
          <w:lang w:val="lv-LV"/>
        </w:rPr>
        <w:t>2014</w:t>
      </w:r>
      <w:r w:rsidR="001F2BA3">
        <w:rPr>
          <w:rStyle w:val="sbb9ee52a"/>
          <w:noProof/>
          <w:lang w:val="lv-LV"/>
        </w:rPr>
        <w:t>. gad</w:t>
      </w:r>
      <w:r w:rsidRPr="001F2BA3">
        <w:rPr>
          <w:rStyle w:val="sbb9ee52a"/>
          <w:noProof/>
          <w:lang w:val="lv-LV"/>
        </w:rPr>
        <w:t>a 11. aprīlī</w:t>
      </w:r>
      <w:r w:rsidRPr="001F2BA3">
        <w:rPr>
          <w:noProof/>
          <w:lang w:val="lv-LV"/>
        </w:rPr>
        <w:t xml:space="preserve"> </w:t>
      </w:r>
      <w:r w:rsidRPr="001F2BA3">
        <w:rPr>
          <w:rStyle w:val="sbb9ee52a"/>
          <w:noProof/>
          <w:lang w:val="lv-LV"/>
        </w:rPr>
        <w:t>pieņēma Personu ar invaliditāti tiesību komiteja</w:t>
      </w:r>
      <w:r w:rsidRPr="001F2BA3">
        <w:rPr>
          <w:rStyle w:val="FootnoteReference"/>
          <w:noProof/>
          <w:lang w:val="lv-LV"/>
        </w:rPr>
        <w:t>(</w:t>
      </w:r>
      <w:r w:rsidRPr="001F2BA3">
        <w:rPr>
          <w:rStyle w:val="FootnoteReference"/>
          <w:noProof/>
          <w:lang w:val="lv-LV"/>
        </w:rPr>
        <w:footnoteReference w:id="28"/>
      </w:r>
      <w:r w:rsidRPr="001F2BA3">
        <w:rPr>
          <w:rStyle w:val="FootnoteReference"/>
          <w:noProof/>
          <w:lang w:val="lv-LV"/>
        </w:rPr>
        <w:t>))</w:t>
      </w:r>
      <w:r w:rsidRPr="001F2BA3">
        <w:rPr>
          <w:noProof/>
          <w:lang w:val="lv-LV"/>
        </w:rPr>
        <w:t xml:space="preserve">, teikts, ka </w:t>
      </w:r>
      <w:r w:rsidRPr="001F2BA3">
        <w:rPr>
          <w:rStyle w:val="sbb9ee52a"/>
          <w:noProof/>
          <w:lang w:val="lv-LV"/>
        </w:rPr>
        <w:t>ir svarīgi, lai politisko partiju un atsevišķu kandidātu, kas piedalās vēlēšanās, politiskās sanāksmes un izmantotie materiāli būtu pieejami.</w:t>
      </w:r>
    </w:p>
    <w:p w14:paraId="546C41CA" w14:textId="0273F616" w:rsidR="00846458" w:rsidRPr="001F2BA3" w:rsidRDefault="004801BB" w:rsidP="006B02A7">
      <w:pPr>
        <w:pStyle w:val="Heading2"/>
        <w:numPr>
          <w:ilvl w:val="1"/>
          <w:numId w:val="1"/>
        </w:numPr>
        <w:spacing w:before="240" w:after="240"/>
        <w:rPr>
          <w:noProof/>
          <w:lang w:val="lv-LV"/>
        </w:rPr>
      </w:pPr>
      <w:bookmarkStart w:id="20" w:name="_Toc148718578"/>
      <w:bookmarkStart w:id="21" w:name="_Toc158022312"/>
      <w:r w:rsidRPr="001F2BA3">
        <w:rPr>
          <w:noProof/>
          <w:lang w:val="lv-LV"/>
        </w:rPr>
        <w:t>ES Pamattiesību harta</w:t>
      </w:r>
      <w:bookmarkEnd w:id="20"/>
      <w:bookmarkEnd w:id="21"/>
    </w:p>
    <w:p w14:paraId="2A5B1C10" w14:textId="6E496CCB" w:rsidR="00271CAD" w:rsidRPr="001F2BA3" w:rsidRDefault="008E6A92" w:rsidP="00B42AEB">
      <w:pPr>
        <w:rPr>
          <w:noProof/>
          <w:lang w:val="lv-LV"/>
        </w:rPr>
      </w:pPr>
      <w:r w:rsidRPr="001F2BA3">
        <w:rPr>
          <w:noProof/>
          <w:lang w:val="lv-LV"/>
        </w:rPr>
        <w:t xml:space="preserve">ES Pamattiesību hartas (turpmāk — “Harta”) 21. pants aizliedz diskrimināciju jebkāda iemesla dēļ, tostarp invaliditātes dēļ. </w:t>
      </w:r>
    </w:p>
    <w:p w14:paraId="5824D6D2" w14:textId="7F1D748B" w:rsidR="00846458" w:rsidRPr="001F2BA3" w:rsidRDefault="00846458" w:rsidP="00B42AEB">
      <w:pPr>
        <w:rPr>
          <w:noProof/>
          <w:lang w:val="lv-LV"/>
        </w:rPr>
      </w:pPr>
      <w:r w:rsidRPr="001F2BA3">
        <w:rPr>
          <w:noProof/>
          <w:lang w:val="lv-LV"/>
        </w:rPr>
        <w:t xml:space="preserve">Hartas 26. pantā par personu ar invaliditāti integrāciju noteikts, ka ES atzīst un ievēro personu ar invaliditāti tiesības izmantot pasākumus, kas paredzēti, lai nodrošinātu viņu neatkarību, sociālo un profesionālo integrāciju un dalību sabiedrības dzīvē. Kā uzsvērts ES Tiesas spriedumā lietā </w:t>
      </w:r>
      <w:r w:rsidRPr="001F2BA3">
        <w:rPr>
          <w:i/>
          <w:noProof/>
          <w:lang w:val="lv-LV"/>
        </w:rPr>
        <w:t>Glatzel</w:t>
      </w:r>
      <w:r w:rsidRPr="001F2BA3">
        <w:rPr>
          <w:rStyle w:val="FootnoteReference"/>
          <w:noProof/>
          <w:lang w:val="lv-LV"/>
        </w:rPr>
        <w:t>(</w:t>
      </w:r>
      <w:r w:rsidRPr="001F2BA3">
        <w:rPr>
          <w:rStyle w:val="FootnoteReference"/>
          <w:noProof/>
          <w:lang w:val="lv-LV"/>
        </w:rPr>
        <w:footnoteReference w:id="29"/>
      </w:r>
      <w:r w:rsidRPr="001F2BA3">
        <w:rPr>
          <w:rStyle w:val="FootnoteReference"/>
          <w:noProof/>
          <w:lang w:val="lv-LV"/>
        </w:rPr>
        <w:t xml:space="preserve">) ) </w:t>
      </w:r>
      <w:r w:rsidRPr="001F2BA3">
        <w:rPr>
          <w:noProof/>
          <w:lang w:val="lv-LV"/>
        </w:rPr>
        <w:t>, Tiesā var iesniegt lietas, pamatojoties uz 26. pantu, lai interpretētu un pārbaudītu to ES tiesību aktu likumību, ar kuriem tiek īstenots minētajā pantā noteiktais princips, proti, personu ar invaliditāti integrācija.</w:t>
      </w:r>
    </w:p>
    <w:p w14:paraId="360C3401" w14:textId="737E3B47" w:rsidR="00C34E12" w:rsidRPr="001F2BA3" w:rsidRDefault="00C34E12" w:rsidP="00B42AEB">
      <w:pPr>
        <w:rPr>
          <w:noProof/>
          <w:lang w:val="lv-LV"/>
        </w:rPr>
      </w:pPr>
      <w:r w:rsidRPr="001F2BA3">
        <w:rPr>
          <w:noProof/>
          <w:lang w:val="lv-LV"/>
        </w:rPr>
        <w:t>Hartas 39. un 40. pants attiecas uz tiesībām balsot un kandidēt Eiropas Parlamenta un pašvaldību vēlēšanās.</w:t>
      </w:r>
    </w:p>
    <w:p w14:paraId="75C93C24" w14:textId="1585B005" w:rsidR="00BE5CB3" w:rsidRPr="001F2BA3" w:rsidRDefault="00FF3AD9" w:rsidP="00B42AEB">
      <w:pPr>
        <w:rPr>
          <w:noProof/>
          <w:lang w:val="lv-LV"/>
        </w:rPr>
      </w:pPr>
      <w:r w:rsidRPr="001F2BA3">
        <w:rPr>
          <w:noProof/>
          <w:lang w:val="lv-LV"/>
        </w:rPr>
        <w:t xml:space="preserve">Hartas 53. pantā noteikts, ka Hartā noteiktās tiesības interpretē saskaņā ar starptautiskajām tiesībām un starptautiskajiem nolīgumiem, kuru līgumslēdzējas puses ir Savienība vai visas dalībvalstis. Tas ietver Eiropas Cilvēktiesību konvenciju (ECTK) un </w:t>
      </w:r>
      <w:r w:rsidRPr="001F2BA3">
        <w:rPr>
          <w:i/>
          <w:iCs/>
          <w:noProof/>
          <w:lang w:val="lv-LV"/>
        </w:rPr>
        <w:t>UNCRPD</w:t>
      </w:r>
      <w:r w:rsidRPr="001F2BA3">
        <w:rPr>
          <w:noProof/>
          <w:lang w:val="lv-LV"/>
        </w:rPr>
        <w:t xml:space="preserve">. Proti, tiesības uz nediskrimināciju, kas nostiprinātas Hartas 21. pantā, būtu jāinterpretē, ņemot vērā Eiropas Cilvēktiesību tiesas judikatūru. </w:t>
      </w:r>
    </w:p>
    <w:p w14:paraId="4FF913F0" w14:textId="222AE85B" w:rsidR="00E7243F" w:rsidRPr="001F2BA3" w:rsidRDefault="00E7243F" w:rsidP="00524C0B">
      <w:pPr>
        <w:pStyle w:val="Heading2"/>
        <w:numPr>
          <w:ilvl w:val="1"/>
          <w:numId w:val="1"/>
        </w:numPr>
        <w:spacing w:before="240" w:after="240"/>
        <w:ind w:left="426" w:hanging="426"/>
        <w:rPr>
          <w:noProof/>
          <w:lang w:val="lv-LV"/>
        </w:rPr>
      </w:pPr>
      <w:bookmarkStart w:id="22" w:name="_Toc148718579"/>
      <w:bookmarkStart w:id="23" w:name="_Toc158022313"/>
      <w:r w:rsidRPr="001F2BA3">
        <w:rPr>
          <w:noProof/>
          <w:lang w:val="lv-LV"/>
        </w:rPr>
        <w:t>ES vēlēšanu tiesības</w:t>
      </w:r>
      <w:bookmarkEnd w:id="22"/>
      <w:bookmarkEnd w:id="23"/>
    </w:p>
    <w:p w14:paraId="5C2746D7" w14:textId="58C5B0F7" w:rsidR="004B299C" w:rsidRPr="001F2BA3" w:rsidRDefault="002E02A2" w:rsidP="00B42AEB">
      <w:pPr>
        <w:rPr>
          <w:noProof/>
          <w:lang w:val="lv-LV"/>
        </w:rPr>
      </w:pPr>
      <w:r w:rsidRPr="001F2BA3">
        <w:rPr>
          <w:noProof/>
          <w:lang w:val="lv-LV"/>
        </w:rPr>
        <w:t>Attiecībā uz Eiropas Parlamenta deputātu ievēlēšanas procedūru LESD 223. panta 1. punktā ir noteikts, ka, pirmkārt, Eiropas Parlaments izstrādā priekšlikumu noteikumiem, lai varētu tā deputātus ievēlēt tiešās vispārējās vēlēšanās saskaņā ar vienotu procedūru visās dalībvalstīs vai saskaņā ar visām dalībvalstīm kopīgiem principiem. Otrkārt, tajā precizēts, ka šo noteikumu pieņemšana ir ES Padomes kompetencē.</w:t>
      </w:r>
    </w:p>
    <w:p w14:paraId="002A177F" w14:textId="5AFD47BF" w:rsidR="00F37BF3" w:rsidRPr="001F2BA3" w:rsidRDefault="00F37BF3" w:rsidP="00B42AEB">
      <w:pPr>
        <w:rPr>
          <w:noProof/>
          <w:lang w:val="lv-LV"/>
        </w:rPr>
      </w:pPr>
      <w:r w:rsidRPr="001F2BA3">
        <w:rPr>
          <w:noProof/>
          <w:lang w:val="lv-LV"/>
        </w:rPr>
        <w:t>1976</w:t>
      </w:r>
      <w:r w:rsidR="001F2BA3">
        <w:rPr>
          <w:noProof/>
          <w:lang w:val="lv-LV"/>
        </w:rPr>
        <w:t>. gad</w:t>
      </w:r>
      <w:r w:rsidRPr="001F2BA3">
        <w:rPr>
          <w:noProof/>
          <w:lang w:val="lv-LV"/>
        </w:rPr>
        <w:t>a Vēlēšanu aktā</w:t>
      </w:r>
      <w:r w:rsidRPr="001F2BA3">
        <w:rPr>
          <w:rStyle w:val="FootnoteReference"/>
          <w:noProof/>
          <w:lang w:val="lv-LV"/>
        </w:rPr>
        <w:t>(</w:t>
      </w:r>
      <w:r w:rsidRPr="001F2BA3">
        <w:rPr>
          <w:rStyle w:val="FootnoteReference"/>
          <w:noProof/>
          <w:lang w:val="lv-LV"/>
        </w:rPr>
        <w:footnoteReference w:id="30"/>
      </w:r>
      <w:r w:rsidRPr="001F2BA3">
        <w:rPr>
          <w:rStyle w:val="FootnoteReference"/>
          <w:noProof/>
          <w:lang w:val="lv-LV"/>
        </w:rPr>
        <w:t>))</w:t>
      </w:r>
      <w:r w:rsidRPr="001F2BA3">
        <w:rPr>
          <w:noProof/>
          <w:lang w:val="lv-LV"/>
        </w:rPr>
        <w:t xml:space="preserve"> ir noteikti kopējie principi, kas piemērojami Eiropas Parlamenta deputātu ievēlēšanai tiešās vispārējās vēlēšanās.</w:t>
      </w:r>
    </w:p>
    <w:p w14:paraId="1544DEA1" w14:textId="07970F8B" w:rsidR="00A40202" w:rsidRPr="001F2BA3" w:rsidRDefault="00A40202" w:rsidP="00B42AEB">
      <w:pPr>
        <w:rPr>
          <w:noProof/>
          <w:lang w:val="lv-LV"/>
        </w:rPr>
      </w:pPr>
      <w:r w:rsidRPr="001F2BA3">
        <w:rPr>
          <w:noProof/>
          <w:lang w:val="lv-LV"/>
        </w:rPr>
        <w:t>Minētā akta 8. panta 1. punktā noteikts, ka, ievērojot citus noteikumus, “vēlēšanu procedūru katrā dalībvalstī reglamentē tās valsts noteikumi”.</w:t>
      </w:r>
    </w:p>
    <w:p w14:paraId="4AE87950" w14:textId="098689AF" w:rsidR="0026422C" w:rsidRPr="001F2BA3" w:rsidRDefault="0026422C" w:rsidP="00B42AEB">
      <w:pPr>
        <w:rPr>
          <w:noProof/>
          <w:bdr w:val="none" w:sz="0" w:space="0" w:color="auto" w:frame="1"/>
          <w:lang w:val="lv-LV"/>
        </w:rPr>
      </w:pPr>
      <w:r w:rsidRPr="001F2BA3">
        <w:rPr>
          <w:noProof/>
          <w:bdr w:val="none" w:sz="0" w:space="0" w:color="auto" w:frame="1"/>
          <w:lang w:val="lv-LV"/>
        </w:rPr>
        <w:t>2022</w:t>
      </w:r>
      <w:r w:rsidR="001F2BA3">
        <w:rPr>
          <w:noProof/>
          <w:bdr w:val="none" w:sz="0" w:space="0" w:color="auto" w:frame="1"/>
          <w:lang w:val="lv-LV"/>
        </w:rPr>
        <w:t>. gad</w:t>
      </w:r>
      <w:r w:rsidRPr="001F2BA3">
        <w:rPr>
          <w:noProof/>
          <w:bdr w:val="none" w:sz="0" w:space="0" w:color="auto" w:frame="1"/>
          <w:lang w:val="lv-LV"/>
        </w:rPr>
        <w:t>a 3. maijā Eiropas Parlaments pieņēma tiesību akta projektu, ar kuru tiktu atcelts Vēlēšanu akts un aizstāts ar jaunu Padomes regulu par Eiropas Parlamenta deputātu ievēlēšanu tiešās vispārējās vēlēšanās</w:t>
      </w:r>
      <w:r w:rsidRPr="001F2BA3">
        <w:rPr>
          <w:noProof/>
          <w:bdr w:val="none" w:sz="0" w:space="0" w:color="auto" w:frame="1"/>
          <w:vertAlign w:val="superscript"/>
          <w:lang w:val="lv-LV"/>
        </w:rPr>
        <w:t>(</w:t>
      </w:r>
      <w:r w:rsidRPr="001F2BA3">
        <w:rPr>
          <w:noProof/>
          <w:bdr w:val="none" w:sz="0" w:space="0" w:color="auto" w:frame="1"/>
          <w:vertAlign w:val="superscript"/>
          <w:lang w:val="lv-LV"/>
        </w:rPr>
        <w:footnoteReference w:id="31"/>
      </w:r>
      <w:r w:rsidRPr="001F2BA3">
        <w:rPr>
          <w:noProof/>
          <w:bdr w:val="none" w:sz="0" w:space="0" w:color="auto" w:frame="1"/>
          <w:vertAlign w:val="superscript"/>
          <w:lang w:val="lv-LV"/>
        </w:rPr>
        <w:t>)</w:t>
      </w:r>
      <w:r w:rsidRPr="001F2BA3">
        <w:rPr>
          <w:noProof/>
          <w:bdr w:val="none" w:sz="0" w:space="0" w:color="auto" w:frame="1"/>
          <w:lang w:val="lv-LV"/>
        </w:rPr>
        <w:t>. Tas ietvertu pasākumus, kas ļautu personām ar invaliditāti piedalīties vēlēšanu procesā vienlīdzīgi ar citām personām, tostarp personām, kurām atņemta tiesībspēja un rīcībspēja</w:t>
      </w:r>
      <w:r w:rsidRPr="001F2BA3">
        <w:rPr>
          <w:rStyle w:val="FootnoteReference"/>
          <w:noProof/>
          <w:bdr w:val="none" w:sz="0" w:space="0" w:color="auto" w:frame="1"/>
          <w:lang w:val="lv-LV"/>
        </w:rPr>
        <w:t>(</w:t>
      </w:r>
      <w:r w:rsidRPr="001F2BA3">
        <w:rPr>
          <w:rStyle w:val="FootnoteReference"/>
          <w:noProof/>
          <w:bdr w:val="none" w:sz="0" w:space="0" w:color="auto" w:frame="1"/>
          <w:lang w:val="lv-LV"/>
        </w:rPr>
        <w:footnoteReference w:id="32"/>
      </w:r>
      <w:r w:rsidRPr="001F2BA3">
        <w:rPr>
          <w:rStyle w:val="FootnoteReference"/>
          <w:noProof/>
          <w:bdr w:val="none" w:sz="0" w:space="0" w:color="auto" w:frame="1"/>
          <w:lang w:val="lv-LV"/>
        </w:rPr>
        <w:t>))</w:t>
      </w:r>
      <w:r w:rsidRPr="001F2BA3">
        <w:rPr>
          <w:noProof/>
          <w:bdr w:val="none" w:sz="0" w:space="0" w:color="auto" w:frame="1"/>
          <w:lang w:val="lv-LV"/>
        </w:rPr>
        <w:t xml:space="preserve">. </w:t>
      </w:r>
      <w:r w:rsidRPr="001F2BA3">
        <w:rPr>
          <w:noProof/>
          <w:lang w:val="lv-LV"/>
        </w:rPr>
        <w:t>Tā arī ierosināja noteikt dalībvalstīm pienākumu veikt atbilstošus pasākumus, lai palīdzētu personām ar invaliditāti izmantot tiesības balsot vai nu patstāvīgi un aizklāti, vai ar izvēlētās personas palīdzību.</w:t>
      </w:r>
    </w:p>
    <w:p w14:paraId="113D0B73" w14:textId="077C3ED0" w:rsidR="00EE13BB" w:rsidRPr="001F2BA3" w:rsidRDefault="00E47BA1" w:rsidP="00B42AEB">
      <w:pPr>
        <w:rPr>
          <w:noProof/>
          <w:bdr w:val="none" w:sz="0" w:space="0" w:color="auto" w:frame="1"/>
          <w:lang w:val="lv-LV"/>
        </w:rPr>
      </w:pPr>
      <w:r w:rsidRPr="001F2BA3">
        <w:rPr>
          <w:noProof/>
          <w:bdr w:val="none" w:sz="0" w:space="0" w:color="auto" w:frame="1"/>
          <w:lang w:val="lv-LV"/>
        </w:rPr>
        <w:t>Starpinstitūciju diskusijas par šo tekstu turpinās.</w:t>
      </w:r>
    </w:p>
    <w:p w14:paraId="42F7864D" w14:textId="34A93432" w:rsidR="00E7243F" w:rsidRPr="001F2BA3" w:rsidRDefault="00E7243F" w:rsidP="00524C0B">
      <w:pPr>
        <w:pStyle w:val="Heading2"/>
        <w:numPr>
          <w:ilvl w:val="1"/>
          <w:numId w:val="1"/>
        </w:numPr>
        <w:spacing w:before="240" w:after="240"/>
        <w:ind w:left="567" w:hanging="567"/>
        <w:rPr>
          <w:noProof/>
          <w:lang w:val="lv-LV"/>
        </w:rPr>
      </w:pPr>
      <w:bookmarkStart w:id="24" w:name="_Toc148718580"/>
      <w:bookmarkStart w:id="25" w:name="_Toc158022314"/>
      <w:r w:rsidRPr="001F2BA3">
        <w:rPr>
          <w:noProof/>
          <w:lang w:val="lv-LV"/>
        </w:rPr>
        <w:t>Mobilo ES pilsoņu tiesības balsot</w:t>
      </w:r>
      <w:bookmarkEnd w:id="24"/>
      <w:bookmarkEnd w:id="25"/>
    </w:p>
    <w:p w14:paraId="2CE8187B" w14:textId="4A8AF298" w:rsidR="00E7243F" w:rsidRPr="001F2BA3" w:rsidRDefault="00E7243F" w:rsidP="00B42AEB">
      <w:pPr>
        <w:rPr>
          <w:noProof/>
          <w:lang w:val="lv-LV"/>
        </w:rPr>
      </w:pPr>
      <w:r w:rsidRPr="001F2BA3">
        <w:rPr>
          <w:noProof/>
          <w:lang w:val="lv-LV"/>
        </w:rPr>
        <w:t>Saskaņā ar LESD 20. panta 2. punkta b) apakšpunktu un 22. pantu ES dalībvalstu pilsoņiem ir: a) tiesības balsot un tiesības kandidēt Eiropas Parlamenta vēlēšanās un dzīvesvietas dalībvalsts pašvaldību vēlēšanās ar tādiem pašiem nosacījumiem, kā attiecīgās valsts pilsoņiem, un b) ir tiesības balsot un kandidēt pašvaldību vēlēšanās savas dzīvesvietas dalībvalstī. Šīs divas tiesības ir piešķirtas arī saskaņā ar Hartu.</w:t>
      </w:r>
      <w:r w:rsidRPr="001F2BA3">
        <w:rPr>
          <w:noProof/>
          <w:vertAlign w:val="superscript"/>
          <w:lang w:val="lv-LV"/>
        </w:rPr>
        <w:t>(</w:t>
      </w:r>
      <w:r w:rsidRPr="001F2BA3">
        <w:rPr>
          <w:noProof/>
          <w:vertAlign w:val="superscript"/>
          <w:lang w:val="lv-LV"/>
        </w:rPr>
        <w:footnoteReference w:id="33"/>
      </w:r>
      <w:r w:rsidRPr="001F2BA3">
        <w:rPr>
          <w:noProof/>
          <w:vertAlign w:val="superscript"/>
          <w:lang w:val="lv-LV"/>
        </w:rPr>
        <w:t>)</w:t>
      </w:r>
    </w:p>
    <w:p w14:paraId="5EFFFEB9" w14:textId="601EA5A8" w:rsidR="00E7243F" w:rsidRPr="001F2BA3" w:rsidRDefault="00E7243F" w:rsidP="00B42AEB">
      <w:pPr>
        <w:rPr>
          <w:noProof/>
          <w:lang w:val="lv-LV"/>
        </w:rPr>
      </w:pPr>
      <w:r w:rsidRPr="001F2BA3">
        <w:rPr>
          <w:noProof/>
          <w:lang w:val="lv-LV"/>
        </w:rPr>
        <w:t>LESD 20. un 22. pants paredz, ka ES pilsoņi, kas dzīvo kādā dalībvalstī, bet nav tās pilsoņi (“mobilie” ES pilsoņi), var izmantot šīs tiesības ar tādiem pašiem nosacījumiem kā šīs valsts pilsoņi. Tādējādi valstu tiesību akti, kuros izklāstīti nosacījumi tiesību balsot izmantošanai tikai valsts mērogā, būtu jāpiemēro arī mobiliem ES pilsoņiem attiecībā uz pašvaldību un Eiropas Parlamenta vēlēšanām.</w:t>
      </w:r>
    </w:p>
    <w:p w14:paraId="1DDBE975" w14:textId="662400ED" w:rsidR="00E7243F" w:rsidRPr="001F2BA3" w:rsidRDefault="00E7243F" w:rsidP="00B42AEB">
      <w:pPr>
        <w:rPr>
          <w:noProof/>
          <w:lang w:val="lv-LV"/>
        </w:rPr>
      </w:pPr>
      <w:r w:rsidRPr="001F2BA3">
        <w:rPr>
          <w:noProof/>
          <w:lang w:val="lv-LV"/>
        </w:rPr>
        <w:t>Direktīva 93/109/EK</w:t>
      </w:r>
      <w:r w:rsidRPr="001F2BA3">
        <w:rPr>
          <w:rStyle w:val="FootnoteReference"/>
          <w:noProof/>
          <w:lang w:val="lv-LV"/>
        </w:rPr>
        <w:t>(</w:t>
      </w:r>
      <w:r w:rsidRPr="001F2BA3">
        <w:rPr>
          <w:rStyle w:val="FootnoteReference"/>
          <w:noProof/>
          <w:lang w:val="lv-LV"/>
        </w:rPr>
        <w:footnoteReference w:id="34"/>
      </w:r>
      <w:r w:rsidRPr="001F2BA3">
        <w:rPr>
          <w:rStyle w:val="FootnoteReference"/>
          <w:noProof/>
          <w:lang w:val="lv-LV"/>
        </w:rPr>
        <w:t>))</w:t>
      </w:r>
      <w:r w:rsidRPr="001F2BA3">
        <w:rPr>
          <w:noProof/>
          <w:lang w:val="lv-LV"/>
        </w:rPr>
        <w:t xml:space="preserve"> un Direktīva 94/80/EK</w:t>
      </w:r>
      <w:r w:rsidRPr="001F2BA3">
        <w:rPr>
          <w:rStyle w:val="FootnoteReference"/>
          <w:noProof/>
          <w:lang w:val="lv-LV"/>
        </w:rPr>
        <w:t>(</w:t>
      </w:r>
      <w:r w:rsidRPr="001F2BA3">
        <w:rPr>
          <w:rStyle w:val="FootnoteReference"/>
          <w:noProof/>
          <w:lang w:val="lv-LV"/>
        </w:rPr>
        <w:footnoteReference w:id="35"/>
      </w:r>
      <w:r w:rsidRPr="001F2BA3">
        <w:rPr>
          <w:rStyle w:val="FootnoteReference"/>
          <w:noProof/>
          <w:lang w:val="lv-LV"/>
        </w:rPr>
        <w:t>))</w:t>
      </w:r>
      <w:r w:rsidRPr="001F2BA3">
        <w:rPr>
          <w:noProof/>
          <w:lang w:val="lv-LV"/>
        </w:rPr>
        <w:t xml:space="preserve"> nosaka kārtību, kādā mobilajiem ES pilsoņiem ir tiesības balsot un kandidēt Eiropas Parlamenta vēlēšanās un pašvaldību vēlēšanās.</w:t>
      </w:r>
    </w:p>
    <w:p w14:paraId="0CBDF673" w14:textId="44F38536" w:rsidR="00181B90" w:rsidRPr="001F2BA3" w:rsidRDefault="00E7243F" w:rsidP="00B42AEB">
      <w:pPr>
        <w:rPr>
          <w:noProof/>
          <w:lang w:val="lv-LV"/>
        </w:rPr>
      </w:pPr>
      <w:r w:rsidRPr="001F2BA3">
        <w:rPr>
          <w:noProof/>
          <w:lang w:val="lv-LV"/>
        </w:rPr>
        <w:t>Komisija 2021</w:t>
      </w:r>
      <w:r w:rsidR="001F2BA3">
        <w:rPr>
          <w:noProof/>
          <w:lang w:val="lv-LV"/>
        </w:rPr>
        <w:t>. gad</w:t>
      </w:r>
      <w:r w:rsidRPr="001F2BA3">
        <w:rPr>
          <w:noProof/>
          <w:lang w:val="lv-LV"/>
        </w:rPr>
        <w:t>a 25. novembrī pieņēma pasākumu kopumu demokrātijas stiprināšanai un vēlēšanu integritātes aizsardzībai. Tas ietvēra divus pārstrādātus tiesību aktu priekšlikumus, kuros sīki izklāstīta kārtība attiecībā uz mobilo ES pilsoņu vēlēšanu tiesībām.</w:t>
      </w:r>
      <w:r w:rsidRPr="001F2BA3">
        <w:rPr>
          <w:rStyle w:val="FootnoteReference"/>
          <w:noProof/>
          <w:lang w:val="lv-LV"/>
        </w:rPr>
        <w:t>(</w:t>
      </w:r>
      <w:r w:rsidRPr="001F2BA3">
        <w:rPr>
          <w:rStyle w:val="FootnoteReference"/>
          <w:noProof/>
          <w:lang w:val="lv-LV"/>
        </w:rPr>
        <w:footnoteReference w:id="36"/>
      </w:r>
      <w:r w:rsidRPr="001F2BA3">
        <w:rPr>
          <w:rStyle w:val="FootnoteReference"/>
          <w:noProof/>
          <w:lang w:val="lv-LV"/>
        </w:rPr>
        <w:t>))</w:t>
      </w:r>
    </w:p>
    <w:p w14:paraId="18E0695B" w14:textId="32B224C5" w:rsidR="00E7243F" w:rsidRPr="001F2BA3" w:rsidRDefault="00E7243F" w:rsidP="00B42AEB">
      <w:pPr>
        <w:rPr>
          <w:noProof/>
          <w:lang w:val="lv-LV"/>
        </w:rPr>
      </w:pPr>
      <w:r w:rsidRPr="001F2BA3">
        <w:rPr>
          <w:noProof/>
          <w:lang w:val="lv-LV"/>
        </w:rPr>
        <w:t>Ar šīm iniciatīvām tiek atjaunināti, precizēti un pastiprināti noteikumi, lai risinātu grūtības, ar kurām saskaras mobilie ES pilsoņi, tostarp pilsoņi ar invaliditāti. Mērķis ir nodrošināt plašu un iekļaujošu dalību vēlēšanās, atbalstīt šīs personu grupas to tiesību īstenošanā un aizsargāt vēlēšanu integritāti. Šajās iniciatīvās dalībvalstis arī tiek aicinātas, izmantojot piemērotus saziņas līdzekļus, veidus un formātus, nodrošināt mobilajiem ES pilsoņiem ar invaliditāti piekļuvi vēlēšanu informācijai. Tās paredz, ka mobiliem ES pilsoņiem būs vienlīdzīga piekļuve attālinātās un elektroniskās balsošanas iespējām ar tādiem pašiem nosacījumiem kā attiecīgās dalībvalsts pilsoņiem. Starpinstitūciju diskusijas par šiem tekstiem turpinās.</w:t>
      </w:r>
    </w:p>
    <w:p w14:paraId="2556360B" w14:textId="4D3972EE" w:rsidR="00176DE7" w:rsidRPr="001F2BA3" w:rsidRDefault="00176DE7" w:rsidP="006B02A7">
      <w:pPr>
        <w:pStyle w:val="Heading2"/>
        <w:numPr>
          <w:ilvl w:val="1"/>
          <w:numId w:val="1"/>
        </w:numPr>
        <w:spacing w:before="240" w:after="240"/>
        <w:rPr>
          <w:noProof/>
          <w:lang w:val="lv-LV"/>
        </w:rPr>
      </w:pPr>
      <w:bookmarkStart w:id="26" w:name="_Toc148718581"/>
      <w:bookmarkStart w:id="27" w:name="_Toc158022315"/>
      <w:r w:rsidRPr="001F2BA3">
        <w:rPr>
          <w:noProof/>
          <w:lang w:val="lv-LV"/>
        </w:rPr>
        <w:t>Politiskās reklāmas pārredzamība</w:t>
      </w:r>
      <w:bookmarkEnd w:id="26"/>
      <w:bookmarkEnd w:id="27"/>
    </w:p>
    <w:p w14:paraId="683C934D" w14:textId="7F03E17E" w:rsidR="00E7243F" w:rsidRPr="001F2BA3" w:rsidRDefault="00E7243F" w:rsidP="00B42AEB">
      <w:pPr>
        <w:rPr>
          <w:noProof/>
          <w:lang w:val="lv-LV"/>
        </w:rPr>
      </w:pPr>
      <w:r w:rsidRPr="001F2BA3">
        <w:rPr>
          <w:noProof/>
          <w:lang w:val="lv-LV"/>
        </w:rPr>
        <w:t>Savā priekšlikumā par politiskās reklāmas pārredzamību un mērķtiecību</w:t>
      </w:r>
      <w:r w:rsidRPr="001F2BA3">
        <w:rPr>
          <w:rStyle w:val="FootnoteReference"/>
          <w:noProof/>
          <w:lang w:val="lv-LV"/>
        </w:rPr>
        <w:t>(</w:t>
      </w:r>
      <w:r w:rsidRPr="001F2BA3">
        <w:rPr>
          <w:rStyle w:val="FootnoteReference"/>
          <w:noProof/>
          <w:lang w:val="lv-LV"/>
        </w:rPr>
        <w:footnoteReference w:id="37"/>
      </w:r>
      <w:r w:rsidRPr="001F2BA3">
        <w:rPr>
          <w:rStyle w:val="FootnoteReference"/>
          <w:noProof/>
          <w:lang w:val="lv-LV"/>
        </w:rPr>
        <w:t>))</w:t>
      </w:r>
      <w:r w:rsidRPr="001F2BA3">
        <w:rPr>
          <w:noProof/>
          <w:lang w:val="lv-LV"/>
        </w:rPr>
        <w:t>, kas ir daļa no tās pašas tiesību aktu paketes, Komisija arī atgādināja par nepieciešamību padarīt pārredzamības paziņojumus, kas tiks pievienoti politiskajai reklāmai, pieejamus personām ar invaliditāti.</w:t>
      </w:r>
    </w:p>
    <w:p w14:paraId="315B1338" w14:textId="22858B3F" w:rsidR="00157E17" w:rsidRPr="001F2BA3" w:rsidRDefault="00A1581C" w:rsidP="00B42AEB">
      <w:pPr>
        <w:rPr>
          <w:noProof/>
          <w:u w:val="single"/>
          <w:lang w:val="lv-LV"/>
        </w:rPr>
      </w:pPr>
      <w:r w:rsidRPr="001F2BA3">
        <w:rPr>
          <w:noProof/>
          <w:lang w:val="lv-LV"/>
        </w:rPr>
        <w:t>Starpinstitūciju diskusijas par šo tekstu turpinās.</w:t>
      </w:r>
    </w:p>
    <w:p w14:paraId="38A09369" w14:textId="6A0C220B" w:rsidR="00EB4917" w:rsidRPr="001F2BA3" w:rsidRDefault="000C0387" w:rsidP="006B1A12">
      <w:pPr>
        <w:pStyle w:val="Heading2"/>
        <w:numPr>
          <w:ilvl w:val="1"/>
          <w:numId w:val="1"/>
        </w:numPr>
        <w:spacing w:before="240" w:after="240"/>
        <w:ind w:left="567" w:hanging="567"/>
        <w:rPr>
          <w:noProof/>
          <w:lang w:val="lv-LV"/>
        </w:rPr>
      </w:pPr>
      <w:bookmarkStart w:id="28" w:name="_Toc148718582"/>
      <w:bookmarkStart w:id="29" w:name="_Toc158022316"/>
      <w:r w:rsidRPr="001F2BA3">
        <w:rPr>
          <w:noProof/>
          <w:lang w:val="lv-LV"/>
        </w:rPr>
        <w:t>Citi ES tiesību aktu teksti</w:t>
      </w:r>
      <w:bookmarkEnd w:id="28"/>
      <w:bookmarkEnd w:id="29"/>
      <w:r w:rsidRPr="001F2BA3">
        <w:rPr>
          <w:noProof/>
          <w:lang w:val="lv-LV"/>
        </w:rPr>
        <w:t xml:space="preserve"> </w:t>
      </w:r>
    </w:p>
    <w:p w14:paraId="3B65A866" w14:textId="45FA2247" w:rsidR="003316F0" w:rsidRPr="001F2BA3" w:rsidRDefault="00EB4917" w:rsidP="00B42AEB">
      <w:pPr>
        <w:rPr>
          <w:noProof/>
          <w:lang w:val="lv-LV"/>
        </w:rPr>
      </w:pPr>
      <w:r w:rsidRPr="001F2BA3">
        <w:rPr>
          <w:noProof/>
          <w:lang w:val="lv-LV"/>
        </w:rPr>
        <w:t>Citi attiecīgie ES tiesību akti ir Eiropas Parlamenta un Padomes Direktīva (ES) 2019/882</w:t>
      </w:r>
      <w:r w:rsidRPr="001F2BA3">
        <w:rPr>
          <w:noProof/>
          <w:vertAlign w:val="superscript"/>
          <w:lang w:val="lv-LV"/>
        </w:rPr>
        <w:t>(</w:t>
      </w:r>
      <w:r w:rsidRPr="001F2BA3">
        <w:rPr>
          <w:noProof/>
          <w:vertAlign w:val="superscript"/>
          <w:lang w:val="lv-LV"/>
        </w:rPr>
        <w:footnoteReference w:id="38"/>
      </w:r>
      <w:r w:rsidRPr="001F2BA3">
        <w:rPr>
          <w:noProof/>
          <w:vertAlign w:val="superscript"/>
          <w:lang w:val="lv-LV"/>
        </w:rPr>
        <w:t>)</w:t>
      </w:r>
      <w:r w:rsidRPr="001F2BA3">
        <w:rPr>
          <w:noProof/>
          <w:lang w:val="lv-LV"/>
        </w:rPr>
        <w:t xml:space="preserve"> (Eiropas Piekļūstamības akts) par produktu un pakalpojumu piekļūstamības prasībām, Direktīvas 2014/24/ES</w:t>
      </w:r>
      <w:r w:rsidRPr="001F2BA3">
        <w:rPr>
          <w:noProof/>
          <w:vertAlign w:val="superscript"/>
          <w:lang w:val="lv-LV"/>
        </w:rPr>
        <w:t>(</w:t>
      </w:r>
      <w:r w:rsidRPr="001F2BA3">
        <w:rPr>
          <w:noProof/>
          <w:vertAlign w:val="superscript"/>
          <w:lang w:val="lv-LV"/>
        </w:rPr>
        <w:footnoteReference w:id="39"/>
      </w:r>
      <w:r w:rsidRPr="001F2BA3">
        <w:rPr>
          <w:noProof/>
          <w:vertAlign w:val="superscript"/>
          <w:lang w:val="lv-LV"/>
        </w:rPr>
        <w:t>)</w:t>
      </w:r>
      <w:r w:rsidRPr="001F2BA3">
        <w:rPr>
          <w:noProof/>
          <w:lang w:val="lv-LV"/>
        </w:rPr>
        <w:t xml:space="preserve"> un 2014/25/ES</w:t>
      </w:r>
      <w:r w:rsidRPr="001F2BA3">
        <w:rPr>
          <w:noProof/>
          <w:vertAlign w:val="superscript"/>
          <w:lang w:val="lv-LV"/>
        </w:rPr>
        <w:t>(</w:t>
      </w:r>
      <w:r w:rsidRPr="001F2BA3">
        <w:rPr>
          <w:noProof/>
          <w:vertAlign w:val="superscript"/>
          <w:lang w:val="lv-LV"/>
        </w:rPr>
        <w:footnoteReference w:id="40"/>
      </w:r>
      <w:r w:rsidRPr="001F2BA3">
        <w:rPr>
          <w:noProof/>
          <w:vertAlign w:val="superscript"/>
          <w:lang w:val="lv-LV"/>
        </w:rPr>
        <w:t>)</w:t>
      </w:r>
      <w:r w:rsidRPr="001F2BA3">
        <w:rPr>
          <w:noProof/>
          <w:lang w:val="lv-LV"/>
        </w:rPr>
        <w:t xml:space="preserve"> par publiskajiem iepirkumiem, Direktīva (ES) 2016/2102</w:t>
      </w:r>
      <w:r w:rsidRPr="001F2BA3">
        <w:rPr>
          <w:noProof/>
          <w:vertAlign w:val="superscript"/>
          <w:lang w:val="lv-LV"/>
        </w:rPr>
        <w:t>(</w:t>
      </w:r>
      <w:r w:rsidRPr="001F2BA3">
        <w:rPr>
          <w:noProof/>
          <w:vertAlign w:val="superscript"/>
          <w:lang w:val="lv-LV"/>
        </w:rPr>
        <w:footnoteReference w:id="41"/>
      </w:r>
      <w:r w:rsidRPr="001F2BA3">
        <w:rPr>
          <w:noProof/>
          <w:vertAlign w:val="superscript"/>
          <w:lang w:val="lv-LV"/>
        </w:rPr>
        <w:t>)</w:t>
      </w:r>
      <w:r w:rsidRPr="001F2BA3">
        <w:rPr>
          <w:noProof/>
          <w:lang w:val="lv-LV"/>
        </w:rPr>
        <w:t xml:space="preserve"> (Tīmekļa piekļūstamības direktīva) un Direktīva 2010/13/ES</w:t>
      </w:r>
      <w:r w:rsidRPr="001F2BA3">
        <w:rPr>
          <w:noProof/>
          <w:vertAlign w:val="superscript"/>
          <w:lang w:val="lv-LV"/>
        </w:rPr>
        <w:t>(</w:t>
      </w:r>
      <w:r w:rsidRPr="001F2BA3">
        <w:rPr>
          <w:noProof/>
          <w:vertAlign w:val="superscript"/>
          <w:lang w:val="lv-LV"/>
        </w:rPr>
        <w:footnoteReference w:id="42"/>
      </w:r>
      <w:r w:rsidRPr="001F2BA3">
        <w:rPr>
          <w:noProof/>
          <w:vertAlign w:val="superscript"/>
          <w:lang w:val="lv-LV"/>
        </w:rPr>
        <w:t>)</w:t>
      </w:r>
      <w:r w:rsidRPr="001F2BA3">
        <w:rPr>
          <w:noProof/>
          <w:lang w:val="lv-LV"/>
        </w:rPr>
        <w:t xml:space="preserve"> (Audiovizuālo mediju pakalpojumu direktīva).</w:t>
      </w:r>
    </w:p>
    <w:p w14:paraId="6AE2A251" w14:textId="1A2FAABF" w:rsidR="00912818" w:rsidRPr="001F2BA3" w:rsidRDefault="00912818" w:rsidP="00B42AEB">
      <w:pPr>
        <w:rPr>
          <w:noProof/>
          <w:shd w:val="clear" w:color="auto" w:fill="FFFFFF"/>
          <w:lang w:val="lv-LV"/>
        </w:rPr>
      </w:pPr>
      <w:r w:rsidRPr="001F2BA3">
        <w:rPr>
          <w:noProof/>
          <w:shd w:val="clear" w:color="auto" w:fill="FFFFFF"/>
          <w:lang w:val="lv-LV"/>
        </w:rPr>
        <w:t>Eiropas Piekļūstamības akta 3. panta 1. punktā noteikts, ka personas ar invaliditāti ir personas, kurām ir ilgstoši fiziski, garīgi, intelektuāli vai maņu traucējumi, kas mijiedarbībā ar dažādiem šķēršļiem var apgrūtināt viņu pilnvērtīgu un efektīvu līdzdalību sabiedrības dzīvē vienlīdzīgi ar citiem. Komisija ierosināja izmantot to pašu definīciju priekšlikumā par Eiropas invaliditātes karti un Eiropas invalīdu stāvvietas izmantošanas karti</w:t>
      </w:r>
      <w:r w:rsidRPr="001F2BA3">
        <w:rPr>
          <w:noProof/>
          <w:shd w:val="clear" w:color="auto" w:fill="FFFFFF"/>
          <w:vertAlign w:val="superscript"/>
          <w:lang w:val="lv-LV"/>
        </w:rPr>
        <w:t>(</w:t>
      </w:r>
      <w:r w:rsidRPr="001F2BA3">
        <w:rPr>
          <w:noProof/>
          <w:shd w:val="clear" w:color="auto" w:fill="FFFFFF"/>
          <w:vertAlign w:val="superscript"/>
          <w:lang w:val="lv-LV"/>
        </w:rPr>
        <w:footnoteReference w:id="43"/>
      </w:r>
      <w:r w:rsidRPr="001F2BA3">
        <w:rPr>
          <w:noProof/>
          <w:shd w:val="clear" w:color="auto" w:fill="FFFFFF"/>
          <w:vertAlign w:val="superscript"/>
          <w:lang w:val="lv-LV"/>
        </w:rPr>
        <w:t>)</w:t>
      </w:r>
      <w:r w:rsidRPr="001F2BA3">
        <w:rPr>
          <w:noProof/>
          <w:shd w:val="clear" w:color="auto" w:fill="FFFFFF"/>
          <w:lang w:val="lv-LV"/>
        </w:rPr>
        <w:t>.</w:t>
      </w:r>
    </w:p>
    <w:p w14:paraId="3F2A4BA7" w14:textId="747C0F00" w:rsidR="008D65A6" w:rsidRPr="001F2BA3" w:rsidRDefault="00E561C6" w:rsidP="006B02A7">
      <w:pPr>
        <w:pStyle w:val="Heading1"/>
        <w:spacing w:before="360" w:after="240" w:line="288" w:lineRule="auto"/>
        <w:rPr>
          <w:noProof/>
          <w:lang w:val="lv-LV"/>
        </w:rPr>
      </w:pPr>
      <w:bookmarkStart w:id="30" w:name="_Toc147135892"/>
      <w:bookmarkStart w:id="31" w:name="_Toc147136126"/>
      <w:bookmarkStart w:id="32" w:name="_Toc147155573"/>
      <w:bookmarkStart w:id="33" w:name="_Toc147155666"/>
      <w:bookmarkStart w:id="34" w:name="_Toc147156873"/>
      <w:bookmarkStart w:id="35" w:name="_Toc147156931"/>
      <w:bookmarkStart w:id="36" w:name="_Toc147157466"/>
      <w:bookmarkStart w:id="37" w:name="_Toc147157531"/>
      <w:bookmarkStart w:id="38" w:name="_Toc147157750"/>
      <w:bookmarkStart w:id="39" w:name="_Toc148718583"/>
      <w:bookmarkStart w:id="40" w:name="_Toc158022317"/>
      <w:bookmarkEnd w:id="30"/>
      <w:bookmarkEnd w:id="31"/>
      <w:bookmarkEnd w:id="32"/>
      <w:bookmarkEnd w:id="33"/>
      <w:bookmarkEnd w:id="34"/>
      <w:bookmarkEnd w:id="35"/>
      <w:bookmarkEnd w:id="36"/>
      <w:bookmarkEnd w:id="37"/>
      <w:bookmarkEnd w:id="38"/>
      <w:r w:rsidRPr="001F2BA3">
        <w:rPr>
          <w:noProof/>
          <w:lang w:val="lv-LV"/>
        </w:rPr>
        <w:t>4. ES dalībvalstīm piemērojamie starptautiskie standarti</w:t>
      </w:r>
      <w:bookmarkEnd w:id="39"/>
      <w:bookmarkEnd w:id="40"/>
    </w:p>
    <w:p w14:paraId="027134CE" w14:textId="554A217C" w:rsidR="007144EF" w:rsidRPr="001F2BA3" w:rsidRDefault="004801BB" w:rsidP="00B42AEB">
      <w:pPr>
        <w:rPr>
          <w:rStyle w:val="sbb9ee52a"/>
          <w:noProof/>
          <w:lang w:val="lv-LV"/>
        </w:rPr>
      </w:pPr>
      <w:r w:rsidRPr="001F2BA3">
        <w:rPr>
          <w:noProof/>
          <w:lang w:val="lv-LV"/>
        </w:rPr>
        <w:t xml:space="preserve">Papildus </w:t>
      </w:r>
      <w:r w:rsidRPr="001F2BA3">
        <w:rPr>
          <w:i/>
          <w:iCs/>
          <w:noProof/>
          <w:lang w:val="lv-LV"/>
        </w:rPr>
        <w:t>UNCRPD</w:t>
      </w:r>
      <w:r w:rsidRPr="001F2BA3">
        <w:rPr>
          <w:noProof/>
          <w:lang w:val="lv-LV"/>
        </w:rPr>
        <w:t xml:space="preserve">, kuras līgumslēdzējas puses ir gan ES, gan tās dalībvalstis, ES dalībvalstis ir apņēmušās ievērot vairākus starptautiskos standartus saistībā ar personu ar invaliditāti vēlēšanu tiesībām. </w:t>
      </w:r>
    </w:p>
    <w:p w14:paraId="0A4F2E0E" w14:textId="2C0A2013" w:rsidR="00F91223" w:rsidRPr="001F2BA3" w:rsidRDefault="008B438A" w:rsidP="00B42AEB">
      <w:pPr>
        <w:rPr>
          <w:noProof/>
          <w:lang w:val="lv-LV"/>
        </w:rPr>
      </w:pPr>
      <w:r w:rsidRPr="001F2BA3">
        <w:rPr>
          <w:noProof/>
          <w:lang w:val="lv-LV"/>
        </w:rPr>
        <w:t>Eiropas Cilvēktiesību un pamatbrīvību aizsardzības konvencija (turpmāk —“Konvencija”)</w:t>
      </w:r>
      <w:r w:rsidRPr="001F2BA3">
        <w:rPr>
          <w:rStyle w:val="FootnoteReference"/>
          <w:noProof/>
          <w:lang w:val="lv-LV"/>
        </w:rPr>
        <w:t>(</w:t>
      </w:r>
      <w:r w:rsidRPr="001F2BA3">
        <w:rPr>
          <w:rStyle w:val="FootnoteReference"/>
          <w:noProof/>
          <w:lang w:val="lv-LV"/>
        </w:rPr>
        <w:footnoteReference w:id="44"/>
      </w:r>
      <w:r w:rsidRPr="001F2BA3">
        <w:rPr>
          <w:rStyle w:val="FootnoteReference"/>
          <w:noProof/>
          <w:lang w:val="lv-LV"/>
        </w:rPr>
        <w:t>))</w:t>
      </w:r>
      <w:r w:rsidRPr="001F2BA3">
        <w:rPr>
          <w:noProof/>
          <w:lang w:val="lv-LV"/>
        </w:rPr>
        <w:t>, kurā nostiprinātas tiesības uz brīvām vēlēšanām, ir būtiska arī saistībā ar personu ar invaliditāti vēlēšanu tiesībām.</w:t>
      </w:r>
    </w:p>
    <w:p w14:paraId="6BAF844C" w14:textId="26767427" w:rsidR="00F15CB6" w:rsidRPr="001F2BA3" w:rsidRDefault="00E418CB" w:rsidP="00B42AEB">
      <w:pPr>
        <w:rPr>
          <w:noProof/>
          <w:lang w:val="lv-LV"/>
        </w:rPr>
      </w:pPr>
      <w:r w:rsidRPr="001F2BA3">
        <w:rPr>
          <w:noProof/>
          <w:lang w:val="lv-LV"/>
        </w:rPr>
        <w:t>Eiropas Padomes Parlamentārās asamblejas Rezolūcija 2155(2017) par personu ar invaliditāti politiskajām tiesībām aicina dalībvalstis veikt konkrētus un īpašus pasākumus, lai personām ar invaliditāti atvieglotu piekļuvi balsošanai un piedalīšanos vēlēšanās.</w:t>
      </w:r>
      <w:r w:rsidRPr="001F2BA3">
        <w:rPr>
          <w:rStyle w:val="FootnoteReference"/>
          <w:noProof/>
          <w:lang w:val="lv-LV"/>
        </w:rPr>
        <w:t>(</w:t>
      </w:r>
      <w:r w:rsidRPr="001F2BA3">
        <w:rPr>
          <w:rStyle w:val="FootnoteReference"/>
          <w:noProof/>
          <w:lang w:val="lv-LV"/>
        </w:rPr>
        <w:footnoteReference w:id="45"/>
      </w:r>
      <w:r w:rsidRPr="001F2BA3">
        <w:rPr>
          <w:rStyle w:val="FootnoteReference"/>
          <w:noProof/>
          <w:lang w:val="lv-LV"/>
        </w:rPr>
        <w:t>))</w:t>
      </w:r>
      <w:r w:rsidRPr="001F2BA3">
        <w:rPr>
          <w:noProof/>
          <w:lang w:val="lv-LV"/>
        </w:rPr>
        <w:t xml:space="preserve"> </w:t>
      </w:r>
    </w:p>
    <w:p w14:paraId="1E7EDD37" w14:textId="2415A066" w:rsidR="00BA7E91" w:rsidRPr="001F2BA3" w:rsidRDefault="00F15CB6" w:rsidP="00B42AEB">
      <w:pPr>
        <w:rPr>
          <w:b/>
          <w:noProof/>
          <w:lang w:val="lv-LV"/>
        </w:rPr>
      </w:pPr>
      <w:r w:rsidRPr="001F2BA3">
        <w:rPr>
          <w:noProof/>
          <w:lang w:val="lv-LV"/>
        </w:rPr>
        <w:t xml:space="preserve">Eiropas Cilvēktiesību tiesa (ECT) vairākās lietās izskatīja Eiropas Cilvēktiesību konvencijas noteikumu par vēlēšanām saderību ar aizbildnībā esošu personu tiesību atņemšanu. Lietā </w:t>
      </w:r>
      <w:r w:rsidRPr="001F2BA3">
        <w:rPr>
          <w:i/>
          <w:iCs/>
          <w:noProof/>
          <w:lang w:val="lv-LV"/>
        </w:rPr>
        <w:t>Alajos Kiss</w:t>
      </w:r>
      <w:r w:rsidRPr="001F2BA3">
        <w:rPr>
          <w:noProof/>
          <w:lang w:val="lv-LV"/>
        </w:rPr>
        <w:t xml:space="preserve"> pret Ungāriju</w:t>
      </w:r>
      <w:r w:rsidRPr="001F2BA3">
        <w:rPr>
          <w:rStyle w:val="FootnoteReference"/>
          <w:noProof/>
          <w:lang w:val="lv-LV"/>
        </w:rPr>
        <w:t>(</w:t>
      </w:r>
      <w:r w:rsidRPr="001F2BA3">
        <w:rPr>
          <w:rStyle w:val="FootnoteReference"/>
          <w:noProof/>
          <w:lang w:val="lv-LV"/>
        </w:rPr>
        <w:footnoteReference w:id="46"/>
      </w:r>
      <w:r w:rsidRPr="001F2BA3">
        <w:rPr>
          <w:rStyle w:val="FootnoteReference"/>
          <w:noProof/>
          <w:lang w:val="lv-LV"/>
        </w:rPr>
        <w:t>))</w:t>
      </w:r>
      <w:r w:rsidRPr="001F2BA3">
        <w:rPr>
          <w:noProof/>
          <w:lang w:val="lv-LV"/>
        </w:rPr>
        <w:t xml:space="preserve"> un vēl un nesenākajā lietā </w:t>
      </w:r>
      <w:r w:rsidRPr="001F2BA3">
        <w:rPr>
          <w:i/>
          <w:iCs/>
          <w:noProof/>
          <w:lang w:val="lv-LV"/>
        </w:rPr>
        <w:t>Anatoliy Marinov</w:t>
      </w:r>
      <w:r w:rsidRPr="001F2BA3">
        <w:rPr>
          <w:noProof/>
          <w:lang w:val="lv-LV"/>
        </w:rPr>
        <w:t xml:space="preserve"> pret Bulgāriju</w:t>
      </w:r>
      <w:r w:rsidRPr="001F2BA3">
        <w:rPr>
          <w:rStyle w:val="FootnoteReference"/>
          <w:noProof/>
          <w:lang w:val="lv-LV"/>
        </w:rPr>
        <w:t>(</w:t>
      </w:r>
      <w:r w:rsidRPr="001F2BA3">
        <w:rPr>
          <w:rStyle w:val="FootnoteReference"/>
          <w:noProof/>
          <w:lang w:val="lv-LV"/>
        </w:rPr>
        <w:footnoteReference w:id="47"/>
      </w:r>
      <w:r w:rsidRPr="001F2BA3">
        <w:rPr>
          <w:rStyle w:val="FootnoteReference"/>
          <w:noProof/>
          <w:lang w:val="lv-LV"/>
        </w:rPr>
        <w:t>))</w:t>
      </w:r>
      <w:r w:rsidRPr="001F2BA3">
        <w:rPr>
          <w:noProof/>
          <w:lang w:val="lv-LV"/>
        </w:rPr>
        <w:t xml:space="preserve"> ECT secināja, ka nekritiska balsstiesību atņemšana bez individualizēta tiesas novērtējuma un tikai pamatojoties uz garīgiem traucējumiem, kuru dēļ nepieciešama daļēja aizgādnība, nevar tikt uzskatīta par saderīgu ar likumīgo vēlēšanu tiesību ierobežošanas pamatojumu.  Tā nekonstatēja Konvencijas pārkāpumus lietās </w:t>
      </w:r>
      <w:r w:rsidRPr="001F2BA3">
        <w:rPr>
          <w:i/>
          <w:iCs/>
          <w:noProof/>
          <w:lang w:val="lv-LV"/>
        </w:rPr>
        <w:t>Strøbye</w:t>
      </w:r>
      <w:r w:rsidRPr="001F2BA3">
        <w:rPr>
          <w:noProof/>
          <w:lang w:val="lv-LV"/>
        </w:rPr>
        <w:t xml:space="preserve"> un </w:t>
      </w:r>
      <w:r w:rsidRPr="001F2BA3">
        <w:rPr>
          <w:i/>
          <w:iCs/>
          <w:noProof/>
          <w:lang w:val="lv-LV"/>
        </w:rPr>
        <w:t>Rosenlind</w:t>
      </w:r>
      <w:r w:rsidRPr="001F2BA3">
        <w:rPr>
          <w:noProof/>
          <w:lang w:val="lv-LV"/>
        </w:rPr>
        <w:t xml:space="preserve"> pret Dāniju</w:t>
      </w:r>
      <w:r w:rsidRPr="001F2BA3">
        <w:rPr>
          <w:rStyle w:val="FootnoteReference"/>
          <w:noProof/>
          <w:lang w:val="lv-LV"/>
        </w:rPr>
        <w:t>(</w:t>
      </w:r>
      <w:r w:rsidRPr="001F2BA3">
        <w:rPr>
          <w:rStyle w:val="FootnoteReference"/>
          <w:noProof/>
          <w:lang w:val="lv-LV"/>
        </w:rPr>
        <w:footnoteReference w:id="48"/>
      </w:r>
      <w:r w:rsidRPr="001F2BA3">
        <w:rPr>
          <w:rStyle w:val="FootnoteReference"/>
          <w:noProof/>
          <w:lang w:val="lv-LV"/>
        </w:rPr>
        <w:t>))</w:t>
      </w:r>
      <w:r w:rsidRPr="001F2BA3">
        <w:rPr>
          <w:noProof/>
          <w:lang w:val="lv-LV"/>
        </w:rPr>
        <w:t xml:space="preserve"> un </w:t>
      </w:r>
      <w:r w:rsidRPr="001F2BA3">
        <w:rPr>
          <w:i/>
          <w:iCs/>
          <w:noProof/>
          <w:lang w:val="lv-LV"/>
        </w:rPr>
        <w:t>Caamaño Valle</w:t>
      </w:r>
      <w:r w:rsidRPr="001F2BA3">
        <w:rPr>
          <w:noProof/>
          <w:lang w:val="lv-LV"/>
        </w:rPr>
        <w:t xml:space="preserve"> pret Spāniju</w:t>
      </w:r>
      <w:r w:rsidRPr="001F2BA3">
        <w:rPr>
          <w:rStyle w:val="FootnoteReference"/>
          <w:noProof/>
          <w:lang w:val="lv-LV"/>
        </w:rPr>
        <w:t>(</w:t>
      </w:r>
      <w:r w:rsidRPr="001F2BA3">
        <w:rPr>
          <w:rStyle w:val="FootnoteReference"/>
          <w:noProof/>
          <w:lang w:val="lv-LV"/>
        </w:rPr>
        <w:footnoteReference w:id="49"/>
      </w:r>
      <w:r w:rsidRPr="001F2BA3">
        <w:rPr>
          <w:rStyle w:val="FootnoteReference"/>
          <w:noProof/>
          <w:lang w:val="lv-LV"/>
        </w:rPr>
        <w:t>))</w:t>
      </w:r>
      <w:r w:rsidRPr="001F2BA3">
        <w:rPr>
          <w:noProof/>
          <w:lang w:val="lv-LV"/>
        </w:rPr>
        <w:t>, kurās aizgādnībā esošo personu balsstiesību atņemšana tika pamatota ar rūpīgu un individualizētu tiesas novērtējumu. ECT arī konstatēja, ka nevar izslēgt, ka iestāžu nespēja nodrošināt cilvēkiem ratiņkrēslos pienācīgu piekļuvi vēlēšanu iecirkņiem var ietekmēt viņu tiesības uz privātās un ģimenes dzīves neaizskaramību, kas nostiprinātas Konvencijas 8. pantā.</w:t>
      </w:r>
      <w:r w:rsidRPr="001F2BA3">
        <w:rPr>
          <w:rStyle w:val="FootnoteReference"/>
          <w:noProof/>
          <w:lang w:val="lv-LV"/>
        </w:rPr>
        <w:t>(</w:t>
      </w:r>
      <w:r w:rsidRPr="001F2BA3">
        <w:rPr>
          <w:rStyle w:val="FootnoteReference"/>
          <w:noProof/>
          <w:lang w:val="lv-LV"/>
        </w:rPr>
        <w:footnoteReference w:id="50"/>
      </w:r>
      <w:r w:rsidRPr="001F2BA3">
        <w:rPr>
          <w:rStyle w:val="FootnoteReference"/>
          <w:noProof/>
          <w:lang w:val="lv-LV"/>
        </w:rPr>
        <w:t>))</w:t>
      </w:r>
    </w:p>
    <w:p w14:paraId="083BEEB1" w14:textId="6479FFA5" w:rsidR="007144EF" w:rsidRPr="001F2BA3" w:rsidRDefault="00065DBE" w:rsidP="00B42AEB">
      <w:pPr>
        <w:rPr>
          <w:noProof/>
          <w:lang w:val="lv-LV"/>
        </w:rPr>
      </w:pPr>
      <w:r w:rsidRPr="001F2BA3">
        <w:rPr>
          <w:noProof/>
          <w:lang w:val="lv-LV"/>
        </w:rPr>
        <w:t>Venēcijas komisija publicēja pārskatīto Skaidrojošo deklarāciju, kas pievienota Labas prakses kodeksam vēlēšanu jautājumos, par personu ar invaliditāti līdzdalību vēlēšanās</w:t>
      </w:r>
      <w:r w:rsidRPr="001F2BA3">
        <w:rPr>
          <w:noProof/>
          <w:vertAlign w:val="superscript"/>
          <w:lang w:val="lv-LV"/>
        </w:rPr>
        <w:t>(</w:t>
      </w:r>
      <w:r w:rsidRPr="001F2BA3">
        <w:rPr>
          <w:noProof/>
          <w:vertAlign w:val="superscript"/>
          <w:lang w:val="lv-LV"/>
        </w:rPr>
        <w:footnoteReference w:id="51"/>
      </w:r>
      <w:r w:rsidRPr="001F2BA3">
        <w:rPr>
          <w:noProof/>
          <w:vertAlign w:val="superscript"/>
          <w:lang w:val="lv-LV"/>
        </w:rPr>
        <w:t>)</w:t>
      </w:r>
      <w:r w:rsidRPr="001F2BA3">
        <w:rPr>
          <w:noProof/>
          <w:lang w:val="lv-LV"/>
        </w:rPr>
        <w:t>. Šī deklarācija papildina piecus principus, kas ir Eiropas vēlēšanu mantojuma pamatā: vispārējas, vienlīdzīgas, brīvas, aizklātas un tiešas vēlēšanas, lai nodrošinātu, ka personas ar invaliditāti var izmantot tiesības balsot vienlīdzīgi ar citiem.</w:t>
      </w:r>
    </w:p>
    <w:p w14:paraId="6407A629" w14:textId="324DC868" w:rsidR="00453A34" w:rsidRPr="001F2BA3" w:rsidRDefault="00453A34" w:rsidP="00B42AEB">
      <w:pPr>
        <w:rPr>
          <w:noProof/>
          <w:lang w:val="lv-LV"/>
        </w:rPr>
      </w:pPr>
      <w:r w:rsidRPr="001F2BA3">
        <w:rPr>
          <w:noProof/>
          <w:lang w:val="lv-LV"/>
        </w:rPr>
        <w:t>Viens no Eiropas Drošības un sadarbības organizācijas (EDSO) Demokrātijas un cilvēktiesību biroja (</w:t>
      </w:r>
      <w:r w:rsidRPr="001F2BA3">
        <w:rPr>
          <w:i/>
          <w:iCs/>
          <w:noProof/>
          <w:lang w:val="lv-LV"/>
        </w:rPr>
        <w:t>ODHIR</w:t>
      </w:r>
      <w:r w:rsidRPr="001F2BA3">
        <w:rPr>
          <w:noProof/>
          <w:lang w:val="lv-LV"/>
        </w:rPr>
        <w:t xml:space="preserve">) pasākumiem ir vēlēšanu novērošana. </w:t>
      </w:r>
      <w:r w:rsidRPr="001F2BA3">
        <w:rPr>
          <w:i/>
          <w:iCs/>
          <w:noProof/>
          <w:lang w:val="lv-LV"/>
        </w:rPr>
        <w:t>ODHIR</w:t>
      </w:r>
      <w:r w:rsidRPr="001F2BA3">
        <w:rPr>
          <w:noProof/>
          <w:lang w:val="lv-LV"/>
        </w:rPr>
        <w:t xml:space="preserve"> vēlēšanu novērošanas misijas novērtē informācijas materiālu, kandidātu sarakstu, vēlēšanu zīmju un vēlēšanu iecirkņu piekļūstamību. Papildus EDSO Kopenhāgenas dokumentam un Eiropas Padomes standartiem, piemēram, Venēcijas komisijas izdotajam Labas prakses kodeksam vēlēšanu jautājumos un pārskatītajai Skaidrojošajai deklarācijai par personu ar invaliditāti līdzdalību vēlēšanās, </w:t>
      </w:r>
      <w:r w:rsidRPr="001F2BA3">
        <w:rPr>
          <w:i/>
          <w:iCs/>
          <w:noProof/>
          <w:lang w:val="lv-LV"/>
        </w:rPr>
        <w:t>ODHIR</w:t>
      </w:r>
      <w:r w:rsidRPr="001F2BA3">
        <w:rPr>
          <w:noProof/>
          <w:lang w:val="lv-LV"/>
        </w:rPr>
        <w:t xml:space="preserve"> vēlēšanu novērošanas ziņojumos arvien vairāk atsaucas uz </w:t>
      </w:r>
      <w:r w:rsidRPr="001F2BA3">
        <w:rPr>
          <w:i/>
          <w:iCs/>
          <w:noProof/>
          <w:lang w:val="lv-LV"/>
        </w:rPr>
        <w:t>UNCRPD</w:t>
      </w:r>
      <w:r w:rsidRPr="001F2BA3">
        <w:rPr>
          <w:noProof/>
          <w:lang w:val="lv-LV"/>
        </w:rPr>
        <w:t xml:space="preserve"> un uz ECT judikatūras ietekmi.</w:t>
      </w:r>
      <w:r w:rsidRPr="001F2BA3">
        <w:rPr>
          <w:rStyle w:val="FootnoteReference"/>
          <w:noProof/>
          <w:lang w:val="lv-LV"/>
        </w:rPr>
        <w:t>(</w:t>
      </w:r>
      <w:r w:rsidRPr="001F2BA3">
        <w:rPr>
          <w:rStyle w:val="FootnoteReference"/>
          <w:noProof/>
          <w:lang w:val="lv-LV"/>
        </w:rPr>
        <w:footnoteReference w:id="52"/>
      </w:r>
      <w:r w:rsidRPr="001F2BA3">
        <w:rPr>
          <w:rStyle w:val="FootnoteReference"/>
          <w:noProof/>
          <w:lang w:val="lv-LV"/>
        </w:rPr>
        <w:t>))</w:t>
      </w:r>
    </w:p>
    <w:p w14:paraId="17E933B8" w14:textId="5069FE3C" w:rsidR="008D65A6" w:rsidRPr="001F2BA3" w:rsidRDefault="005F4D4C" w:rsidP="006B02A7">
      <w:pPr>
        <w:pStyle w:val="Heading1"/>
        <w:spacing w:before="360" w:after="240" w:line="288" w:lineRule="auto"/>
        <w:rPr>
          <w:noProof/>
          <w:lang w:val="lv-LV"/>
        </w:rPr>
      </w:pPr>
      <w:bookmarkStart w:id="41" w:name="_Toc148718584"/>
      <w:bookmarkStart w:id="42" w:name="_Toc158022318"/>
      <w:r w:rsidRPr="001F2BA3">
        <w:rPr>
          <w:noProof/>
          <w:lang w:val="lv-LV"/>
        </w:rPr>
        <w:t>5. Vide, kas atbalsta līdzdalību vēlēšanās</w:t>
      </w:r>
      <w:bookmarkEnd w:id="41"/>
      <w:bookmarkEnd w:id="42"/>
      <w:r w:rsidRPr="001F2BA3">
        <w:rPr>
          <w:noProof/>
          <w:lang w:val="lv-LV"/>
        </w:rPr>
        <w:t xml:space="preserve"> </w:t>
      </w:r>
    </w:p>
    <w:p w14:paraId="737AFB17" w14:textId="62F799F6" w:rsidR="00A74464" w:rsidRPr="001F2BA3" w:rsidRDefault="009D30C1" w:rsidP="00B42AEB">
      <w:pPr>
        <w:rPr>
          <w:noProof/>
          <w:lang w:val="lv-LV"/>
        </w:rPr>
      </w:pPr>
      <w:bookmarkStart w:id="43" w:name="_Toc148715277"/>
      <w:r w:rsidRPr="001F2BA3">
        <w:rPr>
          <w:noProof/>
          <w:lang w:val="lv-LV"/>
        </w:rPr>
        <w:t>Lai atbalstītu personu ar invaliditāti līdzdalību vēlēšanās, ir nepieciešama daudzpusīga pieeja, lai nodrošinātu, ka personām ar invaliditāti ir vispārēji labāka piekļūstamība attiecīgajai videi, pakalpojumiem un informācijai.</w:t>
      </w:r>
      <w:bookmarkEnd w:id="43"/>
      <w:r w:rsidRPr="001F2BA3">
        <w:rPr>
          <w:noProof/>
          <w:lang w:val="lv-LV"/>
        </w:rPr>
        <w:t xml:space="preserve"> </w:t>
      </w:r>
    </w:p>
    <w:p w14:paraId="6114B8EC" w14:textId="3322E40D" w:rsidR="009D30C1" w:rsidRPr="001F2BA3" w:rsidRDefault="00500632" w:rsidP="00B42AEB">
      <w:pPr>
        <w:rPr>
          <w:noProof/>
          <w:lang w:val="lv-LV"/>
        </w:rPr>
      </w:pPr>
      <w:bookmarkStart w:id="44" w:name="_Toc148715278"/>
      <w:r w:rsidRPr="001F2BA3">
        <w:rPr>
          <w:noProof/>
          <w:lang w:val="lv-LV"/>
        </w:rPr>
        <w:t>Turpmākajos punktos izklāstīta dalībvalstu vēlēšanu labā prakse. I pielikumā, kas izstrādāts, pamatojoties uz šo labo praksi, sniegts praktisks kontrolsaraksts, kurā norādīti dažādi risināmie jautājumi.</w:t>
      </w:r>
      <w:bookmarkEnd w:id="44"/>
      <w:r w:rsidRPr="001F2BA3">
        <w:rPr>
          <w:noProof/>
          <w:lang w:val="lv-LV"/>
        </w:rPr>
        <w:t xml:space="preserve"> </w:t>
      </w:r>
    </w:p>
    <w:p w14:paraId="5C39848D" w14:textId="4DBFCFB7" w:rsidR="000421AB" w:rsidRPr="001F2BA3" w:rsidRDefault="0099175B" w:rsidP="006B02A7">
      <w:pPr>
        <w:pStyle w:val="Heading2"/>
        <w:spacing w:before="240" w:after="240"/>
        <w:rPr>
          <w:noProof/>
          <w:lang w:val="lv-LV"/>
        </w:rPr>
      </w:pPr>
      <w:bookmarkStart w:id="45" w:name="_Toc148718585"/>
      <w:bookmarkStart w:id="46" w:name="_Toc158022319"/>
      <w:r w:rsidRPr="001F2BA3">
        <w:rPr>
          <w:noProof/>
          <w:lang w:val="lv-LV"/>
        </w:rPr>
        <w:t>5.1. Īpašu politiku izstrāde</w:t>
      </w:r>
      <w:bookmarkEnd w:id="45"/>
      <w:bookmarkEnd w:id="46"/>
    </w:p>
    <w:p w14:paraId="4026B982" w14:textId="5C9384E9" w:rsidR="00671367" w:rsidRPr="001F2BA3" w:rsidRDefault="004E4D77" w:rsidP="00B42AEB">
      <w:pPr>
        <w:rPr>
          <w:noProof/>
          <w:lang w:val="lv-LV"/>
        </w:rPr>
      </w:pPr>
      <w:r w:rsidRPr="001F2BA3">
        <w:rPr>
          <w:noProof/>
          <w:lang w:val="lv-LV"/>
        </w:rPr>
        <w:t xml:space="preserve">Kopā ar dažādām iesaistītajām struktūrām, tostarp valsts, reģionālā un vietējā līmeņa kompetentajām iestādēm, līdztiesības iestādēm un vēlēšanu iestādēm, ir jāizstrādā īpaša politika. </w:t>
      </w:r>
    </w:p>
    <w:p w14:paraId="760931A2" w14:textId="36F81C40" w:rsidR="00A67DD6" w:rsidRPr="001F2BA3" w:rsidRDefault="007471B2" w:rsidP="00B42AEB">
      <w:pPr>
        <w:rPr>
          <w:noProof/>
          <w:lang w:val="lv-LV"/>
        </w:rPr>
      </w:pPr>
      <w:r w:rsidRPr="001F2BA3">
        <w:rPr>
          <w:noProof/>
          <w:lang w:val="lv-LV"/>
        </w:rPr>
        <w:t>Vairākas dalībvalstis ir izstrādājušas šādu politiku. Piemēram, Nīderlandē 2021. un 2022</w:t>
      </w:r>
      <w:r w:rsidR="001F2BA3">
        <w:rPr>
          <w:noProof/>
          <w:lang w:val="lv-LV"/>
        </w:rPr>
        <w:t>. gad</w:t>
      </w:r>
      <w:r w:rsidRPr="001F2BA3">
        <w:rPr>
          <w:noProof/>
          <w:lang w:val="lv-LV"/>
        </w:rPr>
        <w:t>ā Iekšlietu un karalistes attiecību ministrija sadarbībā ar invalīdu organizācijām un citām interešu grupām, Nīderlandes pašvaldību asociāciju, Nīderlandes Pilsoņu interešu asociāciju, Vēlēšanu padomi un Veselības, labklājības un sporta ministriju izstrādāja rīcības plānu par pieejamu balsošanu. Plāna mērķis bija uzlabot vēlēšanu iecirkņu piekļūstamību, sniegt ikvienam saprotamu informāciju par balsošanu, labāk informēt vēlēšanu iecirkņa darbiniekus par piekļūstamību un mudināt politiskās partijas savā vēlēšanu kampaņā runāt un rakstīt vienkāršā valodā.</w:t>
      </w:r>
    </w:p>
    <w:p w14:paraId="0A99A2D0" w14:textId="2655C104" w:rsidR="00182075" w:rsidRPr="001F2BA3" w:rsidRDefault="00182075" w:rsidP="00B42AEB">
      <w:pPr>
        <w:rPr>
          <w:noProof/>
          <w:lang w:val="lv-LV"/>
        </w:rPr>
      </w:pPr>
      <w:r w:rsidRPr="001F2BA3">
        <w:rPr>
          <w:noProof/>
          <w:lang w:val="lv-LV"/>
        </w:rPr>
        <w:t>Malta savā Nacionālajā stratēģijā par personu ar invaliditāti tiesībām 2021.–2030</w:t>
      </w:r>
      <w:r w:rsidR="001F2BA3">
        <w:rPr>
          <w:noProof/>
          <w:lang w:val="lv-LV"/>
        </w:rPr>
        <w:t>. gad</w:t>
      </w:r>
      <w:r w:rsidRPr="001F2BA3">
        <w:rPr>
          <w:noProof/>
          <w:lang w:val="lv-LV"/>
        </w:rPr>
        <w:t>am ir izklāstījusi pasākumus, lai atbalstītu kandidātus ar invaliditāti pašvaldību, valsts un ES vēlēšanās. Vēlēšanu komisijas, politisko partiju un kandidātu ar invaliditāti pārstāvji cieši sadarbojas ar Personu ar invaliditāti tiesību komiteju, lai līdz 2026</w:t>
      </w:r>
      <w:r w:rsidR="001F2BA3">
        <w:rPr>
          <w:noProof/>
          <w:lang w:val="lv-LV"/>
        </w:rPr>
        <w:t>. gad</w:t>
      </w:r>
      <w:r w:rsidRPr="001F2BA3">
        <w:rPr>
          <w:noProof/>
          <w:lang w:val="lv-LV"/>
        </w:rPr>
        <w:t>am izstrādātu un īstenotu atbalstošus likumdošanas un politikas pasākumus.</w:t>
      </w:r>
    </w:p>
    <w:p w14:paraId="5C014B9F" w14:textId="2DABCFCB" w:rsidR="00AB4623" w:rsidRPr="001F2BA3" w:rsidRDefault="00AB4623" w:rsidP="00B42AEB">
      <w:pPr>
        <w:rPr>
          <w:noProof/>
          <w:lang w:val="lv-LV"/>
        </w:rPr>
      </w:pPr>
      <w:r w:rsidRPr="001F2BA3">
        <w:rPr>
          <w:noProof/>
          <w:lang w:val="lv-LV"/>
        </w:rPr>
        <w:t xml:space="preserve">Liela daļa vēlēšanu iestāžu darba ir saistīta ar vēlēšanu plānošanas posmu. Izmantojot visaptverošu plānošanu un īpašu politiku un pasākumus, šīs iestādes var palīdzēt nodrošināt, ka vēlēšanas ir iekļaujošas, un palīdzēt palielināt personu ar invaliditāti līdzdalību, jo īpaši, ja tas ir transversāls mērķis, kas iekļauts vēlēšanu darbības plānos. </w:t>
      </w:r>
    </w:p>
    <w:p w14:paraId="5B8B9119" w14:textId="5E21A462" w:rsidR="008B7FC0" w:rsidRPr="001F2BA3" w:rsidRDefault="0099175B" w:rsidP="006B02A7">
      <w:pPr>
        <w:pStyle w:val="Heading2"/>
        <w:spacing w:before="240" w:after="240"/>
        <w:rPr>
          <w:noProof/>
          <w:lang w:val="lv-LV"/>
        </w:rPr>
      </w:pPr>
      <w:bookmarkStart w:id="47" w:name="_Toc148718586"/>
      <w:bookmarkStart w:id="48" w:name="_Toc158022320"/>
      <w:r w:rsidRPr="001F2BA3">
        <w:rPr>
          <w:noProof/>
          <w:lang w:val="lv-LV"/>
        </w:rPr>
        <w:t>5.2. Informētības uzlabošana un attieksmes maiņa</w:t>
      </w:r>
      <w:bookmarkEnd w:id="47"/>
      <w:bookmarkEnd w:id="48"/>
    </w:p>
    <w:p w14:paraId="3C165A4D" w14:textId="10F98B4F" w:rsidR="002D0F67" w:rsidRPr="001F2BA3" w:rsidRDefault="00AD2E4E" w:rsidP="00B42AEB">
      <w:pPr>
        <w:rPr>
          <w:noProof/>
          <w:lang w:val="lv-LV"/>
        </w:rPr>
      </w:pPr>
      <w:r w:rsidRPr="001F2BA3">
        <w:rPr>
          <w:noProof/>
          <w:lang w:val="lv-LV"/>
        </w:rPr>
        <w:t>Dalībvalstis ir izmantojušas dažādas pieejas, lai atbalstītu to personu ar invaliditāti vēlēšanu tiesības, kuras piedalās vēlēšanu procesā. Vairākās dalībvalstīs vairākas dažāda līmeņa iestādes, tostarp līdztiesības struktūras un vēlēšanu iestādes, strādā, lai palielinātu personu ar invaliditāti līdzdalību vēlēšanās un informētību par politiskajiem procesiem. Tas ietver sanāksmju organizēšanu, īpašu informācijas kampaņu vadīšanu, komunikācijas komplektu, izglītojošu lapu (lai palīdzētu sagatavoties vēlēšanām) un bukletu, kuri ir viegli lasāmā valodā un kuros iekļauti attēli un diagrammas, izstrādi.</w:t>
      </w:r>
    </w:p>
    <w:p w14:paraId="471F5993" w14:textId="6D271727" w:rsidR="00A132D3" w:rsidRPr="001F2BA3" w:rsidRDefault="00A132D3" w:rsidP="00B42AEB">
      <w:pPr>
        <w:rPr>
          <w:noProof/>
          <w:lang w:val="lv-LV"/>
        </w:rPr>
      </w:pPr>
      <w:r w:rsidRPr="001F2BA3">
        <w:rPr>
          <w:noProof/>
          <w:lang w:val="lv-LV"/>
        </w:rPr>
        <w:t xml:space="preserve">Valsts stratēģijā par personu ar invaliditāti tiesībām </w:t>
      </w:r>
      <w:r w:rsidRPr="001F2BA3">
        <w:rPr>
          <w:i/>
          <w:iCs/>
          <w:noProof/>
          <w:lang w:val="lv-LV"/>
        </w:rPr>
        <w:t>An Equitable Romania</w:t>
      </w:r>
      <w:r w:rsidRPr="001F2BA3">
        <w:rPr>
          <w:noProof/>
          <w:lang w:val="lv-LV"/>
        </w:rPr>
        <w:t>,</w:t>
      </w:r>
      <w:r w:rsidRPr="001F2BA3">
        <w:rPr>
          <w:i/>
          <w:iCs/>
          <w:noProof/>
          <w:lang w:val="lv-LV"/>
        </w:rPr>
        <w:t xml:space="preserve"> 2022-2027</w:t>
      </w:r>
      <w:r w:rsidRPr="001F2BA3">
        <w:rPr>
          <w:rStyle w:val="FootnoteReference"/>
          <w:noProof/>
          <w:lang w:val="lv-LV"/>
        </w:rPr>
        <w:t>(</w:t>
      </w:r>
      <w:r w:rsidRPr="001F2BA3">
        <w:rPr>
          <w:rStyle w:val="FootnoteReference"/>
          <w:noProof/>
          <w:lang w:val="lv-LV"/>
        </w:rPr>
        <w:footnoteReference w:id="53"/>
      </w:r>
      <w:r w:rsidRPr="001F2BA3">
        <w:rPr>
          <w:rStyle w:val="FootnoteReference"/>
          <w:noProof/>
          <w:lang w:val="lv-LV"/>
        </w:rPr>
        <w:t>))</w:t>
      </w:r>
      <w:r w:rsidRPr="001F2BA3">
        <w:rPr>
          <w:noProof/>
          <w:lang w:val="lv-LV"/>
        </w:rPr>
        <w:t xml:space="preserve"> Rumānija ir apņēmusies sadarbībā ar invalīdus pārstāvošām organizācijām īstenot informācijas kampaņu personām ar invaliditāti par piedalīšanos vēlēšanās un referendumos. Var būt lietderīgi uzlabot informētību, izmantojot videomateriālus, kas paredzēti personām ar invaliditāti, kā tas ir Somijā.</w:t>
      </w:r>
      <w:r w:rsidRPr="001F2BA3">
        <w:rPr>
          <w:rStyle w:val="FootnoteReference"/>
          <w:noProof/>
          <w:lang w:val="lv-LV"/>
        </w:rPr>
        <w:t>(</w:t>
      </w:r>
      <w:r w:rsidRPr="001F2BA3">
        <w:rPr>
          <w:rStyle w:val="FootnoteReference"/>
          <w:noProof/>
          <w:lang w:val="lv-LV"/>
        </w:rPr>
        <w:footnoteReference w:id="54"/>
      </w:r>
      <w:r w:rsidRPr="001F2BA3">
        <w:rPr>
          <w:rStyle w:val="FootnoteReference"/>
          <w:noProof/>
          <w:lang w:val="lv-LV"/>
        </w:rPr>
        <w:t>))</w:t>
      </w:r>
    </w:p>
    <w:p w14:paraId="1D89DF84" w14:textId="38421691" w:rsidR="009D07B8" w:rsidRPr="001F2BA3" w:rsidRDefault="009D07B8" w:rsidP="006B02A7">
      <w:pPr>
        <w:rPr>
          <w:noProof/>
          <w:lang w:val="lv-LV"/>
        </w:rPr>
      </w:pPr>
      <w:r w:rsidRPr="001F2BA3">
        <w:rPr>
          <w:noProof/>
          <w:lang w:val="lv-LV"/>
        </w:rPr>
        <w:t xml:space="preserve">Īrijas jaunizveidotajai Vēlēšanu komisijai ar nosaukumu </w:t>
      </w:r>
      <w:r w:rsidRPr="001F2BA3">
        <w:rPr>
          <w:i/>
          <w:iCs/>
          <w:noProof/>
          <w:lang w:val="lv-LV"/>
        </w:rPr>
        <w:t>An Coimisiún Toghcháin</w:t>
      </w:r>
      <w:r w:rsidRPr="001F2BA3">
        <w:rPr>
          <w:noProof/>
          <w:lang w:val="lv-LV"/>
        </w:rPr>
        <w:t xml:space="preserve"> ir jauna vēlētāju izglītošanas un informēšanas funkcija — strādāt, lai palielinātu līdzdalību Īrijas demokrātiskajos procesos un veicinātu izpratni par tiem. Saistībā ar sabiedrības iesaistīšanas uzdevumiem tā veicinās nepietiekami aptvertu grupu, piemēram, personu ar invaliditāti, līdzdalību vēlēšanās.</w:t>
      </w:r>
      <w:r w:rsidRPr="001F2BA3">
        <w:rPr>
          <w:rStyle w:val="FootnoteReference"/>
          <w:noProof/>
          <w:lang w:val="lv-LV"/>
        </w:rPr>
        <w:t>(</w:t>
      </w:r>
      <w:r w:rsidRPr="001F2BA3">
        <w:rPr>
          <w:rStyle w:val="FootnoteReference"/>
          <w:noProof/>
          <w:lang w:val="lv-LV"/>
        </w:rPr>
        <w:footnoteReference w:id="55"/>
      </w:r>
      <w:r w:rsidRPr="001F2BA3">
        <w:rPr>
          <w:rStyle w:val="FootnoteReference"/>
          <w:noProof/>
          <w:lang w:val="lv-LV"/>
        </w:rPr>
        <w:t>))</w:t>
      </w:r>
      <w:r w:rsidRPr="001F2BA3">
        <w:rPr>
          <w:noProof/>
          <w:lang w:val="lv-LV"/>
        </w:rPr>
        <w:t xml:space="preserve"> </w:t>
      </w:r>
    </w:p>
    <w:p w14:paraId="202DCA59" w14:textId="53157EFD" w:rsidR="00892F1F" w:rsidRPr="001F2BA3" w:rsidRDefault="00934A8A" w:rsidP="006B02A7">
      <w:pPr>
        <w:rPr>
          <w:noProof/>
          <w:lang w:val="lv-LV"/>
        </w:rPr>
      </w:pPr>
      <w:r w:rsidRPr="001F2BA3">
        <w:rPr>
          <w:noProof/>
          <w:lang w:val="lv-LV"/>
        </w:rPr>
        <w:t>Citas struktūras veic informētības uzlabošanas pasākumus. Piemēram, Eiropas Invaliditātes forums koordinē ES finansētu projektu “Invaliditātes tiesības Eiropas vēlēšanās” (</w:t>
      </w:r>
      <w:r w:rsidRPr="001F2BA3">
        <w:rPr>
          <w:i/>
          <w:iCs/>
          <w:noProof/>
          <w:lang w:val="lv-LV"/>
        </w:rPr>
        <w:t>Disability Rights in the European Elections, DREE</w:t>
      </w:r>
      <w:r w:rsidRPr="001F2BA3">
        <w:rPr>
          <w:noProof/>
          <w:lang w:val="lv-LV"/>
        </w:rPr>
        <w:t>), kura mērķis ir palielināt personu ar invaliditāti politisko līdzdalību 2024</w:t>
      </w:r>
      <w:r w:rsidR="001F2BA3">
        <w:rPr>
          <w:noProof/>
          <w:lang w:val="lv-LV"/>
        </w:rPr>
        <w:t>. gad</w:t>
      </w:r>
      <w:r w:rsidRPr="001F2BA3">
        <w:rPr>
          <w:noProof/>
          <w:lang w:val="lv-LV"/>
        </w:rPr>
        <w:t xml:space="preserve">a Eiropas vēlēšanās. Kopā ar septiņām nacionālajām asociācijām </w:t>
      </w:r>
      <w:r w:rsidRPr="001F2BA3">
        <w:rPr>
          <w:i/>
          <w:iCs/>
          <w:noProof/>
          <w:lang w:val="lv-LV"/>
        </w:rPr>
        <w:t>DREE</w:t>
      </w:r>
      <w:r w:rsidRPr="001F2BA3">
        <w:rPr>
          <w:noProof/>
          <w:lang w:val="lv-LV"/>
        </w:rPr>
        <w:t xml:space="preserve"> projekts pilnvaro un mobilizē personas ar invaliditāti kļūt par vēlētājiem, kandidātiem un atbalstītājiem.</w:t>
      </w:r>
      <w:r w:rsidRPr="001F2BA3">
        <w:rPr>
          <w:rStyle w:val="FootnoteReference"/>
          <w:noProof/>
          <w:lang w:val="lv-LV"/>
        </w:rPr>
        <w:t>(</w:t>
      </w:r>
      <w:r w:rsidRPr="001F2BA3">
        <w:rPr>
          <w:rStyle w:val="FootnoteReference"/>
          <w:noProof/>
          <w:lang w:val="lv-LV"/>
        </w:rPr>
        <w:footnoteReference w:id="56"/>
      </w:r>
      <w:r w:rsidRPr="001F2BA3">
        <w:rPr>
          <w:rStyle w:val="FootnoteReference"/>
          <w:noProof/>
          <w:lang w:val="lv-LV"/>
        </w:rPr>
        <w:t>))</w:t>
      </w:r>
    </w:p>
    <w:p w14:paraId="6A38201D" w14:textId="250FF2C8" w:rsidR="00B81268" w:rsidRPr="001F2BA3" w:rsidRDefault="00CB50DA" w:rsidP="006B02A7">
      <w:pPr>
        <w:rPr>
          <w:noProof/>
          <w:lang w:val="lv-LV"/>
        </w:rPr>
      </w:pPr>
      <w:r w:rsidRPr="001F2BA3">
        <w:rPr>
          <w:noProof/>
          <w:lang w:val="lv-LV"/>
        </w:rPr>
        <w:t>2011</w:t>
      </w:r>
      <w:r w:rsidR="001F2BA3">
        <w:rPr>
          <w:noProof/>
          <w:lang w:val="lv-LV"/>
        </w:rPr>
        <w:t>. gad</w:t>
      </w:r>
      <w:r w:rsidRPr="001F2BA3">
        <w:rPr>
          <w:noProof/>
          <w:lang w:val="lv-LV"/>
        </w:rPr>
        <w:t xml:space="preserve">ā </w:t>
      </w:r>
      <w:r w:rsidRPr="001F2BA3">
        <w:rPr>
          <w:i/>
          <w:iCs/>
          <w:noProof/>
          <w:lang w:val="lv-LV"/>
        </w:rPr>
        <w:t>Inclusion Europe</w:t>
      </w:r>
      <w:r w:rsidRPr="001F2BA3">
        <w:rPr>
          <w:noProof/>
          <w:lang w:val="lv-LV"/>
        </w:rPr>
        <w:t xml:space="preserve"> īstenoja projektu </w:t>
      </w:r>
      <w:r w:rsidRPr="001F2BA3">
        <w:rPr>
          <w:i/>
          <w:iCs/>
          <w:noProof/>
          <w:lang w:val="lv-LV"/>
        </w:rPr>
        <w:t>Accommodating Diversity for Active Participation in European Elections</w:t>
      </w:r>
      <w:r w:rsidRPr="001F2BA3">
        <w:rPr>
          <w:noProof/>
          <w:lang w:val="lv-LV"/>
        </w:rPr>
        <w:t xml:space="preserve">, ko finansēja no Pamattiesību un pilsonības programmas līdzekļiem un kas veicināja izpratni par šķēršļiem </w:t>
      </w:r>
      <w:r w:rsidRPr="001F2BA3">
        <w:rPr>
          <w:rStyle w:val="Strong"/>
          <w:b w:val="0"/>
          <w:noProof/>
          <w:lang w:val="lv-LV"/>
        </w:rPr>
        <w:t>vēlēšanu piekļūstamības nodrošināšanai personām ar invaliditāti Eiropā</w:t>
      </w:r>
      <w:r w:rsidRPr="001F2BA3">
        <w:rPr>
          <w:noProof/>
          <w:lang w:val="lv-LV"/>
        </w:rPr>
        <w:t>. Tā arī izstrādāja ceļvedi</w:t>
      </w:r>
      <w:r w:rsidRPr="001F2BA3">
        <w:rPr>
          <w:rStyle w:val="FootnoteReference"/>
          <w:noProof/>
          <w:lang w:val="lv-LV"/>
        </w:rPr>
        <w:t>(</w:t>
      </w:r>
      <w:r w:rsidRPr="001F2BA3">
        <w:rPr>
          <w:rStyle w:val="FootnoteReference"/>
          <w:noProof/>
          <w:lang w:val="lv-LV"/>
        </w:rPr>
        <w:footnoteReference w:id="57"/>
      </w:r>
      <w:r w:rsidRPr="001F2BA3">
        <w:rPr>
          <w:rStyle w:val="FootnoteReference"/>
          <w:noProof/>
          <w:lang w:val="lv-LV"/>
        </w:rPr>
        <w:t>))</w:t>
      </w:r>
      <w:r w:rsidRPr="001F2BA3">
        <w:rPr>
          <w:noProof/>
          <w:lang w:val="lv-LV"/>
        </w:rPr>
        <w:t xml:space="preserve"> ar nosaukumu </w:t>
      </w:r>
      <w:r w:rsidRPr="001F2BA3">
        <w:rPr>
          <w:i/>
          <w:noProof/>
          <w:lang w:val="lv-LV"/>
        </w:rPr>
        <w:t>Voting for All!</w:t>
      </w:r>
      <w:r w:rsidRPr="001F2BA3">
        <w:rPr>
          <w:noProof/>
          <w:lang w:val="lv-LV"/>
        </w:rPr>
        <w:t>,</w:t>
      </w:r>
      <w:r w:rsidRPr="001F2BA3">
        <w:rPr>
          <w:rStyle w:val="Hyperlink"/>
          <w:i/>
          <w:iCs/>
          <w:noProof/>
          <w:u w:val="none"/>
          <w:lang w:val="lv-LV"/>
        </w:rPr>
        <w:t>Recommendations for Accessible Elections in Europe</w:t>
      </w:r>
      <w:r w:rsidRPr="001F2BA3">
        <w:rPr>
          <w:rStyle w:val="FootnoteReference"/>
          <w:noProof/>
          <w:lang w:val="lv-LV"/>
        </w:rPr>
        <w:t>(</w:t>
      </w:r>
      <w:r w:rsidRPr="001F2BA3">
        <w:rPr>
          <w:rStyle w:val="FootnoteReference"/>
          <w:noProof/>
          <w:lang w:val="lv-LV"/>
        </w:rPr>
        <w:footnoteReference w:id="58"/>
      </w:r>
      <w:r w:rsidRPr="001F2BA3">
        <w:rPr>
          <w:rStyle w:val="FootnoteReference"/>
          <w:noProof/>
          <w:lang w:val="lv-LV"/>
        </w:rPr>
        <w:t>))</w:t>
      </w:r>
      <w:r w:rsidRPr="001F2BA3">
        <w:rPr>
          <w:rStyle w:val="Hyperlink"/>
          <w:noProof/>
          <w:u w:val="none"/>
          <w:lang w:val="lv-LV"/>
        </w:rPr>
        <w:t xml:space="preserve"> (Ieteikumi par pieejamām vēlēšanām Eiropā)</w:t>
      </w:r>
      <w:r w:rsidRPr="001F2BA3">
        <w:rPr>
          <w:noProof/>
          <w:lang w:val="lv-LV"/>
        </w:rPr>
        <w:t xml:space="preserve"> un labās prakses apkopojumu par pieejamām vēlēšanām Eiropā</w:t>
      </w:r>
      <w:hyperlink r:id="rId16" w:history="1">
        <w:r w:rsidRPr="001F2BA3">
          <w:rPr>
            <w:rStyle w:val="FootnoteReference"/>
            <w:noProof/>
            <w:lang w:val="lv-LV"/>
          </w:rPr>
          <w:t>(</w:t>
        </w:r>
        <w:r w:rsidRPr="001F2BA3">
          <w:rPr>
            <w:rStyle w:val="FootnoteReference"/>
            <w:noProof/>
            <w:lang w:val="lv-LV"/>
          </w:rPr>
          <w:footnoteReference w:id="59"/>
        </w:r>
        <w:r w:rsidRPr="001F2BA3">
          <w:rPr>
            <w:rStyle w:val="FootnoteReference"/>
            <w:noProof/>
            <w:lang w:val="lv-LV"/>
          </w:rPr>
          <w:t>))</w:t>
        </w:r>
        <w:r w:rsidRPr="001F2BA3">
          <w:rPr>
            <w:rStyle w:val="Hyperlink"/>
            <w:noProof/>
            <w:u w:val="none"/>
            <w:lang w:val="lv-LV"/>
          </w:rPr>
          <w:t xml:space="preserve"> </w:t>
        </w:r>
      </w:hyperlink>
      <w:r w:rsidRPr="001F2BA3">
        <w:rPr>
          <w:noProof/>
          <w:lang w:val="lv-LV"/>
        </w:rPr>
        <w:t xml:space="preserve">, kas publicēti angļu, franču un čehu valodā. Nākamajās Eiropas Parlamenta vēlēšanās </w:t>
      </w:r>
      <w:r w:rsidRPr="001F2BA3">
        <w:rPr>
          <w:i/>
          <w:iCs/>
          <w:noProof/>
          <w:lang w:val="lv-LV"/>
        </w:rPr>
        <w:t>Inclusion Europe</w:t>
      </w:r>
      <w:r w:rsidRPr="001F2BA3">
        <w:rPr>
          <w:noProof/>
          <w:lang w:val="lv-LV"/>
        </w:rPr>
        <w:t xml:space="preserve"> rīkos izpratnes veicināšanas kampaņu, pievēršot uzmanību sievietēm ar intelektuālās attīstības traucējumiem un politiskajai līdzdalībai. Kampaņa ietvers virkni interviju ar pašaizstāvības sievietēm ar invaliditāti politikā, lai uzklausītu viņu viedokļus par balsošanas un ievēlēšanas nozīmi sievietēm ar invaliditāti. Tā popularizēs videoklipus par balsošanu un aizbildnības jautājumiem un veicinās personu ar invaliditāti informētību par vēlēšanām, īstenojot saziņas kampaņu.</w:t>
      </w:r>
    </w:p>
    <w:p w14:paraId="72D47D9D" w14:textId="26EFCF48" w:rsidR="000C2E6C" w:rsidRPr="001F2BA3" w:rsidRDefault="0099175B" w:rsidP="006B02A7">
      <w:pPr>
        <w:pStyle w:val="Heading2"/>
        <w:spacing w:before="240" w:after="240"/>
        <w:rPr>
          <w:noProof/>
          <w:lang w:val="lv-LV"/>
        </w:rPr>
      </w:pPr>
      <w:bookmarkStart w:id="49" w:name="_Toc148718587"/>
      <w:bookmarkStart w:id="50" w:name="_Toc158022321"/>
      <w:r w:rsidRPr="001F2BA3">
        <w:rPr>
          <w:noProof/>
          <w:lang w:val="lv-LV"/>
        </w:rPr>
        <w:t>5.3. Sadarbība ar organizācijām, kas atbalsta personu ar invaliditāti tiesības.</w:t>
      </w:r>
      <w:bookmarkEnd w:id="49"/>
      <w:bookmarkEnd w:id="50"/>
    </w:p>
    <w:p w14:paraId="63D80D6C" w14:textId="3E1E80DE" w:rsidR="002B1D7A" w:rsidRPr="001F2BA3" w:rsidRDefault="00ED062E" w:rsidP="00B42AEB">
      <w:pPr>
        <w:rPr>
          <w:noProof/>
          <w:lang w:val="lv-LV"/>
        </w:rPr>
      </w:pPr>
      <w:r w:rsidRPr="001F2BA3">
        <w:rPr>
          <w:noProof/>
          <w:lang w:val="lv-LV"/>
        </w:rPr>
        <w:t xml:space="preserve">Lielākajā daļā dalībvalstu organizācijas, kas atbalsta personu ar invaliditāti tiesības, ir iesaistītas visos vēlēšanu cikla posmos, izmantojot ciešu dialogu un sadarbību ar attiecīgajām iestādēm. Piemēram, šīs organizācijas tiek iesaistītas jaunu noteikumu apspriešanas un izstrādes procesā attiecībā uz palīdzību balsošanā vai noteikumu par palīdzību saistībā ar konkrētām vēlēšanām novērtēšanā. </w:t>
      </w:r>
    </w:p>
    <w:p w14:paraId="277A3225" w14:textId="552ABE6C" w:rsidR="00DA420F" w:rsidRPr="001F2BA3" w:rsidRDefault="00E438AF" w:rsidP="00B42AEB">
      <w:pPr>
        <w:rPr>
          <w:noProof/>
          <w:lang w:val="lv-LV"/>
        </w:rPr>
      </w:pPr>
      <w:r w:rsidRPr="001F2BA3">
        <w:rPr>
          <w:noProof/>
          <w:lang w:val="lv-LV"/>
        </w:rPr>
        <w:t>Horvātijā un Spānijā invalīdu organizācijas ir iesaistījušās kopīgos projektos un veido kandidātu sarakstu skaņu ierakstus, lai atbalstītu vēlētājus ar redzes traucējumiem vai vēlētājus ar audiovizuāliem traucējumiem. Šādu atbalstu sniedz tulki, kas šos vēlētājus pavada no mājām līdz vēlēšanu iecirknim un atpakaļ, nodrošinot zīmju valodas tulkojumu vai citu īpašu tulkojumu, kā arī palīdzot aizpildīt vēlēšanu zīmes.</w:t>
      </w:r>
    </w:p>
    <w:p w14:paraId="35B98893" w14:textId="7F05D92A" w:rsidR="00063E3F" w:rsidRPr="001F2BA3" w:rsidRDefault="00D81741" w:rsidP="00B42AEB">
      <w:pPr>
        <w:rPr>
          <w:noProof/>
          <w:lang w:val="lv-LV"/>
        </w:rPr>
      </w:pPr>
      <w:r w:rsidRPr="001F2BA3">
        <w:rPr>
          <w:noProof/>
          <w:lang w:val="lv-LV"/>
        </w:rPr>
        <w:t xml:space="preserve">Invalīdu organizācijas var arī palīdzēt sagatavot oficiālos vēlēšanu materiālus un mācības, tostarp ar vēlēšanām saistītu informāciju vienkāršā valodā, kā tas ir Lietuvā, Luksemburgā un Portugālē, un viegli saprotamas vēlēšanu zīmes, kā tas ir Ungārijā. Tās īsteno arī savas iniciatīvas, lai veicinātu vēlēšanu piekļūstamību. Piemēram, tās izplata informāciju par vēlēšanu iecirkņu piekļūstamību un nodrošina vēlēšanu amatpersonām mācības par piekļūstamību. Somijas Tieslietu ministrija kopā ar Somijas Vājredzīgo federāciju atbalsta vēlēšanu informācijas sniegšanu cilvēkiem ar redzes traucējumiem. Spānijā pieejama balsošanas procedūra personām ar redzes traucējumiem, izmantojot Braila raksta lasīšanas un rakstīšanas sistēmu, tiek īstenota sadarbībā ar </w:t>
      </w:r>
      <w:r w:rsidRPr="001F2BA3">
        <w:rPr>
          <w:i/>
          <w:iCs/>
          <w:noProof/>
          <w:lang w:val="lv-LV"/>
        </w:rPr>
        <w:t>ONCE</w:t>
      </w:r>
      <w:r w:rsidRPr="001F2BA3">
        <w:rPr>
          <w:noProof/>
          <w:lang w:val="lv-LV"/>
        </w:rPr>
        <w:t xml:space="preserve"> (valsts organizācija Spānijas neredzīgajiem iedzīvotājiem</w:t>
      </w:r>
      <w:r w:rsidRPr="001F2BA3">
        <w:rPr>
          <w:rStyle w:val="FootnoteReference"/>
          <w:noProof/>
          <w:lang w:val="lv-LV"/>
        </w:rPr>
        <w:t>(</w:t>
      </w:r>
      <w:r w:rsidRPr="001F2BA3">
        <w:rPr>
          <w:rStyle w:val="FootnoteReference"/>
          <w:noProof/>
          <w:lang w:val="lv-LV"/>
        </w:rPr>
        <w:footnoteReference w:id="60"/>
      </w:r>
      <w:r w:rsidRPr="001F2BA3">
        <w:rPr>
          <w:rStyle w:val="FootnoteReference"/>
          <w:noProof/>
          <w:lang w:val="lv-LV"/>
        </w:rPr>
        <w:t>))</w:t>
      </w:r>
      <w:r w:rsidRPr="001F2BA3">
        <w:rPr>
          <w:noProof/>
          <w:lang w:val="lv-LV"/>
        </w:rPr>
        <w:t>). Spānijas iestāžu un invalīdu organizāciju sadarbība, lai novērstu šķēršļus, ar kuriem nākas saskarties vēlēšanu procesa laikā, ir arī ļāvusi vēlēšanu iecirkņos izmantot pieejamas norādes un viegli lasāmu rokasgrāmatu vēlēšanu iecirkņu darbiniekiem.</w:t>
      </w:r>
    </w:p>
    <w:p w14:paraId="315ADAA3" w14:textId="7528BDA4" w:rsidR="00C70372" w:rsidRPr="001F2BA3" w:rsidRDefault="00050F3E" w:rsidP="00B42AEB">
      <w:pPr>
        <w:rPr>
          <w:noProof/>
          <w:lang w:val="lv-LV"/>
        </w:rPr>
      </w:pPr>
      <w:r w:rsidRPr="001F2BA3">
        <w:rPr>
          <w:noProof/>
          <w:lang w:val="lv-LV"/>
        </w:rPr>
        <w:t>Vairākās dalībvalstīs vēlēšanu iecirkņu piekļūstamība tiek novērtēta, izmantojot kontrolsarakstus, ko kopīgi izveidojušas kompetentās iestādes un invalīdu organizācijas vai ko izstrādājušas pašas organizācijas. Šādas organizācijas var arī atbalstīt iestādes, sagatavojot aptaujas anketas, kā tas notiek Latvijā, pamatnostādnes, kā tas notiek Beļģijā un Rumānijā, kā arī sniedzot ieteikumus, vācot un iesniedzot atsauksmes par vēlēšanu iecirkņu un vēlēšanu materiālu piekļūstamību. Tās var iesaistīties arī vēlēšanu iecirkņu pārbaudēs, lai pārliecinātos, vai tie ir pieejami, kā tas tiek darīts Lietuvā.</w:t>
      </w:r>
    </w:p>
    <w:p w14:paraId="5595ACB4" w14:textId="18F59403" w:rsidR="00256917" w:rsidRPr="001F2BA3" w:rsidRDefault="00EA544A" w:rsidP="00B42AEB">
      <w:pPr>
        <w:rPr>
          <w:noProof/>
          <w:lang w:val="lv-LV"/>
        </w:rPr>
      </w:pPr>
      <w:r w:rsidRPr="001F2BA3">
        <w:rPr>
          <w:noProof/>
          <w:lang w:val="lv-LV"/>
        </w:rPr>
        <w:t>Citas dalībvalstis, piemēram, Horvātija, Īrija, Rumānija un Spānija, ir formalizējušas sadarbību ar invalīdu organizācijām, noslēdzot īpašus nolīgumus vai izveidojot darba grupas.</w:t>
      </w:r>
    </w:p>
    <w:p w14:paraId="31DD48CB" w14:textId="39BB635F" w:rsidR="009A02EB" w:rsidRPr="001F2BA3" w:rsidRDefault="009A02EB" w:rsidP="00B42AEB">
      <w:pPr>
        <w:rPr>
          <w:noProof/>
          <w:lang w:val="lv-LV"/>
        </w:rPr>
      </w:pPr>
      <w:r w:rsidRPr="001F2BA3">
        <w:rPr>
          <w:noProof/>
          <w:lang w:val="lv-LV"/>
        </w:rPr>
        <w:t>Saskaņā ar 2021</w:t>
      </w:r>
      <w:r w:rsidR="001F2BA3">
        <w:rPr>
          <w:noProof/>
          <w:lang w:val="lv-LV"/>
        </w:rPr>
        <w:t>. gad</w:t>
      </w:r>
      <w:r w:rsidRPr="001F2BA3">
        <w:rPr>
          <w:noProof/>
          <w:lang w:val="lv-LV"/>
        </w:rPr>
        <w:t xml:space="preserve">ā parakstīto vienošanos starp Spānijas Iekšlietu ministriju un asociāciju </w:t>
      </w:r>
      <w:r w:rsidRPr="001F2BA3">
        <w:rPr>
          <w:i/>
          <w:iCs/>
          <w:noProof/>
          <w:lang w:val="lv-LV"/>
        </w:rPr>
        <w:t>Plena Inclusión España</w:t>
      </w:r>
      <w:r w:rsidRPr="001F2BA3">
        <w:rPr>
          <w:noProof/>
          <w:lang w:val="lv-LV"/>
        </w:rPr>
        <w:t xml:space="preserve"> (Pilnīga iekļaušana Spānijā) pēdējo pašvaldību vēlēšanu laikā 2023</w:t>
      </w:r>
      <w:r w:rsidR="001F2BA3">
        <w:rPr>
          <w:noProof/>
          <w:lang w:val="lv-LV"/>
        </w:rPr>
        <w:t>. gad</w:t>
      </w:r>
      <w:r w:rsidRPr="001F2BA3">
        <w:rPr>
          <w:noProof/>
          <w:lang w:val="lv-LV"/>
        </w:rPr>
        <w:t>ā tika uzsākts izmēģinājuma projekts</w:t>
      </w:r>
      <w:r w:rsidRPr="001F2BA3">
        <w:rPr>
          <w:noProof/>
          <w:vertAlign w:val="superscript"/>
          <w:lang w:val="lv-LV"/>
        </w:rPr>
        <w:t>(</w:t>
      </w:r>
      <w:r w:rsidRPr="001F2BA3">
        <w:rPr>
          <w:noProof/>
          <w:vertAlign w:val="superscript"/>
          <w:lang w:val="lv-LV"/>
        </w:rPr>
        <w:footnoteReference w:id="61"/>
      </w:r>
      <w:r w:rsidRPr="001F2BA3">
        <w:rPr>
          <w:noProof/>
          <w:vertAlign w:val="superscript"/>
          <w:lang w:val="lv-LV"/>
        </w:rPr>
        <w:t>)</w:t>
      </w:r>
      <w:r w:rsidRPr="001F2BA3">
        <w:rPr>
          <w:noProof/>
          <w:lang w:val="lv-LV"/>
        </w:rPr>
        <w:t xml:space="preserve"> par pieejamām norādēm</w:t>
      </w:r>
      <w:r w:rsidRPr="001F2BA3">
        <w:rPr>
          <w:noProof/>
          <w:vertAlign w:val="superscript"/>
          <w:lang w:val="lv-LV"/>
        </w:rPr>
        <w:t>(</w:t>
      </w:r>
      <w:r w:rsidRPr="001F2BA3">
        <w:rPr>
          <w:noProof/>
          <w:vertAlign w:val="superscript"/>
          <w:lang w:val="lv-LV"/>
        </w:rPr>
        <w:footnoteReference w:id="62"/>
      </w:r>
      <w:r w:rsidRPr="001F2BA3">
        <w:rPr>
          <w:noProof/>
          <w:vertAlign w:val="superscript"/>
          <w:lang w:val="lv-LV"/>
        </w:rPr>
        <w:t>)</w:t>
      </w:r>
      <w:r w:rsidRPr="001F2BA3">
        <w:rPr>
          <w:noProof/>
          <w:lang w:val="lv-LV"/>
        </w:rPr>
        <w:t xml:space="preserve">. Tas ietvēra plakātu izplatīšanu, lai veicinātu kognitīvo piekļūstamību (personām ar intelektuālās attīstības traucējumiem un gados vecākiem cilvēkiem) vēlēšanu vietās Madrides pilsētā; šajā projektā sadarbojās arī valdības delegācija Madridē. Projekts, kas tika īstenots arī pēdējās parlamenta vēlēšanās, ietvēra septiņas piktogrammas, ko izstrādāja </w:t>
      </w:r>
      <w:r w:rsidRPr="001F2BA3">
        <w:rPr>
          <w:i/>
          <w:iCs/>
          <w:noProof/>
          <w:lang w:val="lv-LV"/>
        </w:rPr>
        <w:t>Plena Inclusión</w:t>
      </w:r>
      <w:r w:rsidRPr="001F2BA3">
        <w:rPr>
          <w:noProof/>
          <w:lang w:val="lv-LV"/>
        </w:rPr>
        <w:t>, lai atvieglotu piekļuvi vēlēšanu iecirknim, un ceļvedi</w:t>
      </w:r>
      <w:r w:rsidRPr="001F2BA3">
        <w:rPr>
          <w:noProof/>
          <w:vertAlign w:val="superscript"/>
          <w:lang w:val="lv-LV"/>
        </w:rPr>
        <w:t>(</w:t>
      </w:r>
      <w:r w:rsidRPr="001F2BA3">
        <w:rPr>
          <w:noProof/>
          <w:vertAlign w:val="superscript"/>
          <w:lang w:val="lv-LV"/>
        </w:rPr>
        <w:footnoteReference w:id="63"/>
      </w:r>
      <w:r w:rsidRPr="001F2BA3">
        <w:rPr>
          <w:noProof/>
          <w:vertAlign w:val="superscript"/>
          <w:lang w:val="lv-LV"/>
        </w:rPr>
        <w:t>)</w:t>
      </w:r>
      <w:r w:rsidRPr="001F2BA3">
        <w:rPr>
          <w:noProof/>
          <w:lang w:val="lv-LV"/>
        </w:rPr>
        <w:t>. Paredzēts, ka turpmākajos uzaicinājumos iesniegt priekšlikumus šis projekts tiks attiecināts arī uz citām pilsētām.</w:t>
      </w:r>
    </w:p>
    <w:p w14:paraId="7DBC5EDA" w14:textId="2C5AF618" w:rsidR="008B7FC0" w:rsidRPr="001F2BA3" w:rsidRDefault="0099175B" w:rsidP="006B02A7">
      <w:pPr>
        <w:pStyle w:val="Heading2"/>
        <w:spacing w:before="240" w:after="240"/>
        <w:rPr>
          <w:noProof/>
          <w:lang w:val="lv-LV"/>
        </w:rPr>
      </w:pPr>
      <w:bookmarkStart w:id="51" w:name="_Toc148718588"/>
      <w:bookmarkStart w:id="52" w:name="_Toc158022322"/>
      <w:r w:rsidRPr="001F2BA3">
        <w:rPr>
          <w:noProof/>
          <w:lang w:val="lv-LV"/>
        </w:rPr>
        <w:t>5.4. Ēku piekļūstamības un izmantojamības uzlabošana</w:t>
      </w:r>
      <w:bookmarkEnd w:id="51"/>
      <w:bookmarkEnd w:id="52"/>
    </w:p>
    <w:p w14:paraId="674CA5D0" w14:textId="65F2DCA3" w:rsidR="00907E91" w:rsidRPr="001F2BA3" w:rsidRDefault="00AB6108" w:rsidP="00B42AEB">
      <w:pPr>
        <w:rPr>
          <w:noProof/>
          <w:lang w:val="lv-LV"/>
        </w:rPr>
      </w:pPr>
      <w:r w:rsidRPr="001F2BA3">
        <w:rPr>
          <w:noProof/>
          <w:lang w:val="lv-LV"/>
        </w:rPr>
        <w:t>Lielākā daļa dalībvalstu ir pieņēmušas īpašas prasības, lai nodrošinātu, ka personas ar invaliditāti var piekļūt ēkām. Ēkām ir jābūt droši un bez šķēršļiem izmantojamām personām ar kustību traucējumiem. Piekļūstama ēka nozīmē, ka tā ir ērti, droši un patstāvīgi izmantojama ikvienam, tostarp personām ar invaliditāti vai grupām, kurām nepieciešami īpaši instrumenti vai tehniski pasākumi. Ēkās un infrastruktūrā jābūt vismaz vienam pieejamam ceļam, kas nodrošina drošu un ērtu piekļuvi personām ar kustību traucējumiem.</w:t>
      </w:r>
    </w:p>
    <w:p w14:paraId="33512755" w14:textId="07633403" w:rsidR="009612AC" w:rsidRPr="001F2BA3" w:rsidRDefault="0099175B" w:rsidP="006B02A7">
      <w:pPr>
        <w:pStyle w:val="Heading2"/>
        <w:spacing w:before="240" w:after="240"/>
        <w:rPr>
          <w:noProof/>
          <w:lang w:val="lv-LV"/>
        </w:rPr>
      </w:pPr>
      <w:bookmarkStart w:id="53" w:name="_Toc148718589"/>
      <w:bookmarkStart w:id="54" w:name="_Toc158022323"/>
      <w:r w:rsidRPr="001F2BA3">
        <w:rPr>
          <w:noProof/>
          <w:lang w:val="lv-LV"/>
        </w:rPr>
        <w:t>5.5. Mācības un īpašs atbalsts vēlēšanu amatpersonām</w:t>
      </w:r>
      <w:bookmarkEnd w:id="53"/>
      <w:bookmarkEnd w:id="54"/>
    </w:p>
    <w:p w14:paraId="7E4E2AC9" w14:textId="12B90AB5" w:rsidR="00C66196" w:rsidRPr="001F2BA3" w:rsidRDefault="00DF759A" w:rsidP="00B42AEB">
      <w:pPr>
        <w:rPr>
          <w:noProof/>
          <w:lang w:val="lv-LV"/>
        </w:rPr>
      </w:pPr>
      <w:r w:rsidRPr="001F2BA3">
        <w:rPr>
          <w:noProof/>
          <w:lang w:val="lv-LV"/>
        </w:rPr>
        <w:t>Vairākās dalībvalstīs pamatnostādnes un rokasgrāmatas — parasti sagatavotas sadarbībā ar invalīdu organizācijām — vēlēšanu iecirkņu amatpersonām sniedz informāciju par to, kā personām ar invaliditāti atvieglot balsošanu, tostarp, kā nodrošināt šādu vēlētāju reģistrāciju un sniegt viņiem palīdzību, kas pielāgota attiecīgajam invaliditātes veidam. Vēlēšanu iecirkņu amatpersonas tiek mācītas arī par to, kā sazināties ar personām ar invaliditāti un palīdzēt tām izmantot tiesības balsot patstāvīgi vai ar palīdzību.</w:t>
      </w:r>
      <w:r w:rsidRPr="001F2BA3">
        <w:rPr>
          <w:rStyle w:val="FootnoteReference"/>
          <w:noProof/>
          <w:lang w:val="lv-LV"/>
        </w:rPr>
        <w:t>(</w:t>
      </w:r>
      <w:r w:rsidRPr="001F2BA3">
        <w:rPr>
          <w:rStyle w:val="FootnoteReference"/>
          <w:noProof/>
          <w:lang w:val="lv-LV"/>
        </w:rPr>
        <w:footnoteReference w:id="64"/>
      </w:r>
      <w:r w:rsidRPr="001F2BA3">
        <w:rPr>
          <w:rStyle w:val="FootnoteReference"/>
          <w:noProof/>
          <w:lang w:val="lv-LV"/>
        </w:rPr>
        <w:t>))</w:t>
      </w:r>
      <w:r w:rsidRPr="001F2BA3">
        <w:rPr>
          <w:noProof/>
          <w:lang w:val="lv-LV"/>
        </w:rPr>
        <w:t xml:space="preserve"> Dānija sagatavo arī anketas ar jautājumiem vēlēšanu amatpersonām, lai pārbaudītu viņu zināšanas par to, kā palīdzēt vēlētājiem. Nīderlandē personas ar invaliditāti var kļūt par brīvprātīgajiem un vadīt vēlēšanu iecirkņus.</w:t>
      </w:r>
      <w:r w:rsidRPr="001F2BA3">
        <w:rPr>
          <w:rStyle w:val="FootnoteReference"/>
          <w:noProof/>
          <w:lang w:val="lv-LV"/>
        </w:rPr>
        <w:t>(</w:t>
      </w:r>
      <w:r w:rsidRPr="001F2BA3">
        <w:rPr>
          <w:rStyle w:val="FootnoteReference"/>
          <w:noProof/>
          <w:lang w:val="lv-LV"/>
        </w:rPr>
        <w:footnoteReference w:id="65"/>
      </w:r>
      <w:r w:rsidRPr="001F2BA3">
        <w:rPr>
          <w:rStyle w:val="FootnoteReference"/>
          <w:noProof/>
          <w:lang w:val="lv-LV"/>
        </w:rPr>
        <w:t>))</w:t>
      </w:r>
      <w:r w:rsidRPr="001F2BA3">
        <w:rPr>
          <w:noProof/>
          <w:lang w:val="lv-LV"/>
        </w:rPr>
        <w:t xml:space="preserve"> Horvātijā vēlēšanu amatpersonām tiek nodrošinātas mācības par to, kā palīdzēt vēlētājiem ar invaliditāti, un tiek publicēta īpaša informācija par balsošanas procedūrām personām ar invaliditāti, lai to izplatītu vēlēšanu komisijām.</w:t>
      </w:r>
    </w:p>
    <w:p w14:paraId="1E9282EE" w14:textId="17E8D9AB" w:rsidR="00927A12" w:rsidRPr="001F2BA3" w:rsidRDefault="00DF0F46" w:rsidP="00B42AEB">
      <w:pPr>
        <w:rPr>
          <w:noProof/>
          <w:lang w:val="lv-LV"/>
        </w:rPr>
      </w:pPr>
      <w:r w:rsidRPr="001F2BA3">
        <w:rPr>
          <w:noProof/>
          <w:lang w:val="lv-LV"/>
        </w:rPr>
        <w:t>Spānija nodrošina īpašu valsts finansētu atbalstu personām ar redzes, dzirdes vai intelektuālās attīstības traucējumiem. Šis atbalsts ietver viegli lasāmas rokasgrāmatas un bezmaksas magnētiskās indukcijas cilpas pakalpojumu vēlēšanu iecirknī personām, kam ir dzirdes traucējumi (dzirdes aparātu lietotājiem) un kas ir ieceltas par vēlēšanu iecirkņa locekļiem (gan pilntiesīgiem, gan aizstājējiem). Tas arī nodrošina bezmaksas zīmju valodas tulka pakalpojumus tādām personām ar dzirdes traucējumiem, kuras ieceltas par vēlēšanu iecirkņa amatpersonām, un personām ar redzes un kognitīviem traucējumiem pēc viņu pieprasījuma.</w:t>
      </w:r>
      <w:r w:rsidRPr="001F2BA3">
        <w:rPr>
          <w:rStyle w:val="FootnoteReference"/>
          <w:noProof/>
          <w:lang w:val="lv-LV"/>
        </w:rPr>
        <w:t>(</w:t>
      </w:r>
      <w:r w:rsidRPr="001F2BA3">
        <w:rPr>
          <w:rStyle w:val="FootnoteReference"/>
          <w:noProof/>
          <w:lang w:val="lv-LV"/>
        </w:rPr>
        <w:footnoteReference w:id="66"/>
      </w:r>
      <w:r w:rsidRPr="001F2BA3">
        <w:rPr>
          <w:rStyle w:val="FootnoteReference"/>
          <w:noProof/>
          <w:lang w:val="lv-LV"/>
        </w:rPr>
        <w:t>))</w:t>
      </w:r>
    </w:p>
    <w:p w14:paraId="0D2D0F44" w14:textId="7B6FDFD3" w:rsidR="008D65A6" w:rsidRPr="001F2BA3" w:rsidRDefault="00DE389B" w:rsidP="006B02A7">
      <w:pPr>
        <w:pStyle w:val="Heading1"/>
        <w:spacing w:before="360" w:after="240" w:line="288" w:lineRule="auto"/>
        <w:rPr>
          <w:noProof/>
          <w:lang w:val="lv-LV"/>
        </w:rPr>
      </w:pPr>
      <w:bookmarkStart w:id="55" w:name="_Toc148718590"/>
      <w:bookmarkStart w:id="56" w:name="_Toc158022324"/>
      <w:r w:rsidRPr="001F2BA3">
        <w:rPr>
          <w:noProof/>
          <w:lang w:val="lv-LV"/>
        </w:rPr>
        <w:t>6. Darbs ar personām ar invaliditāti vēlēšanu cikla laikā</w:t>
      </w:r>
      <w:bookmarkEnd w:id="55"/>
      <w:bookmarkEnd w:id="56"/>
    </w:p>
    <w:p w14:paraId="08003BA8" w14:textId="59F356E9" w:rsidR="008B7FC0" w:rsidRPr="001F2BA3" w:rsidRDefault="0099175B" w:rsidP="006B02A7">
      <w:pPr>
        <w:pStyle w:val="Heading2"/>
        <w:spacing w:before="0" w:after="240"/>
        <w:rPr>
          <w:noProof/>
          <w:lang w:val="lv-LV"/>
        </w:rPr>
      </w:pPr>
      <w:bookmarkStart w:id="57" w:name="_Toc148718591"/>
      <w:bookmarkStart w:id="58" w:name="_Toc158022325"/>
      <w:r w:rsidRPr="001F2BA3">
        <w:rPr>
          <w:noProof/>
          <w:lang w:val="lv-LV"/>
        </w:rPr>
        <w:t>6.1. Oficiālo paziņojumu piekļūstamība</w:t>
      </w:r>
      <w:bookmarkEnd w:id="57"/>
      <w:bookmarkEnd w:id="58"/>
    </w:p>
    <w:p w14:paraId="33BA5F03" w14:textId="55D84704" w:rsidR="00875B38" w:rsidRPr="001F2BA3" w:rsidRDefault="00622E27" w:rsidP="00B42AEB">
      <w:pPr>
        <w:rPr>
          <w:noProof/>
          <w:lang w:val="lv-LV"/>
        </w:rPr>
      </w:pPr>
      <w:r w:rsidRPr="001F2BA3">
        <w:rPr>
          <w:noProof/>
          <w:lang w:val="lv-LV"/>
        </w:rPr>
        <w:t>Lielākā daļa dalībvalstu (tostarp Austrija, Beļģija, Bulgārija, Čehija, Francija, Itālija, Īrija, Latvija, Lietuva, Luksemburga, Nīderlande, Portugāle, Rumānija, Spānija, Ungārija, Vācija, Zviedrija) sagatavo un izplata vēlētāju izglītošanas materiālus un sniedz informāciju par vēlēšanām, tostarp īpašām vēlētāju grupām, piemēram, personām ar invaliditāti. Tās sniedz informāciju par vēlēšanām dažādos formātos, piemēram, video, audio, lielizmēra drukā, bukletos, izdales materiālos un brošūrās viegli lasāmā valodā, Braila rakstā un lietotnes “DAISY” audiogrāmatās.</w:t>
      </w:r>
    </w:p>
    <w:p w14:paraId="774EC49E" w14:textId="640C7A77" w:rsidR="00571599" w:rsidRPr="001F2BA3" w:rsidRDefault="00786ACA" w:rsidP="00B42AEB">
      <w:pPr>
        <w:rPr>
          <w:noProof/>
          <w:lang w:val="lv-LV"/>
        </w:rPr>
      </w:pPr>
      <w:r w:rsidRPr="001F2BA3">
        <w:rPr>
          <w:noProof/>
          <w:lang w:val="lv-LV"/>
        </w:rPr>
        <w:t>Tīmekļvietnēm, kurās sniedz informāciju par vēlēšanām, jāatbilst starptautiskajām piekļūstamības prasībām, piemēram, Tīmekļa satura piekļūstamības pamatnostādnēm</w:t>
      </w:r>
      <w:r w:rsidRPr="001F2BA3">
        <w:rPr>
          <w:rStyle w:val="FootnoteReference"/>
          <w:noProof/>
          <w:lang w:val="lv-LV"/>
        </w:rPr>
        <w:t>(</w:t>
      </w:r>
      <w:r w:rsidRPr="001F2BA3">
        <w:rPr>
          <w:rStyle w:val="FootnoteReference"/>
          <w:noProof/>
          <w:lang w:val="lv-LV"/>
        </w:rPr>
        <w:footnoteReference w:id="67"/>
      </w:r>
      <w:r w:rsidRPr="001F2BA3">
        <w:rPr>
          <w:rStyle w:val="FootnoteReference"/>
          <w:noProof/>
          <w:lang w:val="lv-LV"/>
        </w:rPr>
        <w:t>))</w:t>
      </w:r>
      <w:r w:rsidRPr="001F2BA3">
        <w:rPr>
          <w:noProof/>
          <w:lang w:val="lv-LV"/>
        </w:rPr>
        <w:t>. Tīmekļvietnes pakāpeniski kļūst arvien pieejamākas visās dalībvalstīs. Dažos gadījumos vēlētāji var ziņot par šāda satura piekļūstamības trūkumiem, izmantojot saziņas veidlapu, piemēram, Vācijā.</w:t>
      </w:r>
    </w:p>
    <w:p w14:paraId="088F70CC" w14:textId="449ADD5C" w:rsidR="00DB46C5" w:rsidRPr="001F2BA3" w:rsidRDefault="002D7A8A" w:rsidP="00B42AEB">
      <w:pPr>
        <w:rPr>
          <w:noProof/>
          <w:lang w:val="lv-LV"/>
        </w:rPr>
      </w:pPr>
      <w:r w:rsidRPr="001F2BA3">
        <w:rPr>
          <w:noProof/>
          <w:lang w:val="lv-LV"/>
        </w:rPr>
        <w:t xml:space="preserve">Dažas dalībvalstis izstrādā arī īpašus digitālos formātus, piemēram, videoklipus un lietotnes, lai palīdzētu iesaistīt personas ar invaliditāti un novērstu šķēršļus. Citās valstīs, piemēram, Čehijā, bukletos ir iekļauti kvadrātkodi, kas ļauj piekļūt vēlēšanu zīmju paraugiem, un videoieraksti zīmju valodā cilvēkiem ar dzirdes traucējumiem. Somija pirms katrām vēlēšanām nodrošina palīdzības tālruni un lietotnes </w:t>
      </w:r>
      <w:r w:rsidRPr="001F2BA3">
        <w:rPr>
          <w:i/>
          <w:iCs/>
          <w:noProof/>
          <w:lang w:val="lv-LV"/>
        </w:rPr>
        <w:t>WhatsApp</w:t>
      </w:r>
      <w:r w:rsidRPr="001F2BA3">
        <w:rPr>
          <w:noProof/>
          <w:lang w:val="lv-LV"/>
        </w:rPr>
        <w:t xml:space="preserve"> pakalpojumu. Grieķija piedāvā tiešsaistes pakalpojumu “Zini, kur balsot” — vēlētāji var aizpildīt veidlapu ar personas pamatinformāciju un automātiski saņemt informāciju par vēlēšanu iecirkni, kurā viņi balsos, tostarp adresi un piekļuves karti vēlēšanu iecirknim. Lietuvā Centrālās vēlēšanu komisijas sagatavotie vai pasūtītie ar vēlēšanām saistītie videomateriāli tiek pārraidīti valsts televīzijas kanālos un ziņu portālos, kā arī tulkoti zīmju valodā.</w:t>
      </w:r>
    </w:p>
    <w:p w14:paraId="3C85D29C" w14:textId="125C5323" w:rsidR="00E2390C" w:rsidRPr="001F2BA3" w:rsidRDefault="004D2A71" w:rsidP="00B42AEB">
      <w:pPr>
        <w:rPr>
          <w:noProof/>
          <w:lang w:val="lv-LV"/>
        </w:rPr>
      </w:pPr>
      <w:r w:rsidRPr="001F2BA3">
        <w:rPr>
          <w:noProof/>
          <w:lang w:val="lv-LV"/>
        </w:rPr>
        <w:t>Vairākās dalībvalstīs, piemēram, Francijā un Grieķijā, plašsaziņas līdzekļu raidorganizācijas tiek mudinātas nodrošināt pieejamību visiem raidījumiem par vēlēšanām: TV ziņām, kandidātu debatēm, raidījumiem un dokumentālām filmām par vēlēšanu kampaņām un kandidātiem. Tie var nodrošināt piekļūstamību, pievienojot subtitrus (tiešraidēs — sinhronos) un tulkojumu zīmju valodā. Francijas plašsaziņas līdzekļu regulators publicēja ceļvedi ar konkrētiem piemēriem, lai uzlabotu tulkojuma zīmju valodā vizuālo kvalitāti.</w:t>
      </w:r>
      <w:r w:rsidRPr="001F2BA3">
        <w:rPr>
          <w:rStyle w:val="FootnoteReference"/>
          <w:noProof/>
          <w:lang w:val="lv-LV"/>
        </w:rPr>
        <w:t>(</w:t>
      </w:r>
      <w:r w:rsidRPr="001F2BA3">
        <w:rPr>
          <w:rStyle w:val="FootnoteReference"/>
          <w:noProof/>
          <w:lang w:val="lv-LV"/>
        </w:rPr>
        <w:footnoteReference w:id="68"/>
      </w:r>
      <w:r w:rsidRPr="001F2BA3">
        <w:rPr>
          <w:rStyle w:val="FootnoteReference"/>
          <w:noProof/>
          <w:lang w:val="lv-LV"/>
        </w:rPr>
        <w:t>))</w:t>
      </w:r>
      <w:r w:rsidRPr="001F2BA3">
        <w:rPr>
          <w:noProof/>
          <w:lang w:val="lv-LV"/>
        </w:rPr>
        <w:t xml:space="preserve"> Francijas televīzijas pakalpojumu sniedzējiem, kuru vidējā gada auditorija pārsniedz 2,5</w:t>
      </w:r>
      <w:r w:rsidR="001F2BA3">
        <w:rPr>
          <w:noProof/>
          <w:lang w:val="lv-LV"/>
        </w:rPr>
        <w:t> %</w:t>
      </w:r>
      <w:r w:rsidRPr="001F2BA3">
        <w:rPr>
          <w:noProof/>
          <w:lang w:val="lv-LV"/>
        </w:rPr>
        <w:t xml:space="preserve"> no kopējās auditorijas, ir pienākums nodrošināt personām ar dzirdes traucējumiem piekļuvi visiem vēlēšanu ziņu raidījumiem, nodrošinot subtitrus vai zīmju valodu. Attiecībā uz Francijas prezidenta vēlēšanām visiem kandidātiem ir jānodrošina pieejami televīzijas sižeti vismaz ar subtitriem, pat ja daži kandidāti nodrošina arī zīmju valodu.</w:t>
      </w:r>
      <w:r w:rsidRPr="001F2BA3">
        <w:rPr>
          <w:rStyle w:val="FootnoteReference"/>
          <w:noProof/>
          <w:lang w:val="lv-LV"/>
        </w:rPr>
        <w:t>(</w:t>
      </w:r>
      <w:r w:rsidRPr="001F2BA3">
        <w:rPr>
          <w:rStyle w:val="FootnoteReference"/>
          <w:noProof/>
          <w:lang w:val="lv-LV"/>
        </w:rPr>
        <w:footnoteReference w:id="69"/>
      </w:r>
      <w:r w:rsidRPr="001F2BA3">
        <w:rPr>
          <w:rStyle w:val="FootnoteReference"/>
          <w:noProof/>
          <w:lang w:val="lv-LV"/>
        </w:rPr>
        <w:t>))</w:t>
      </w:r>
      <w:r w:rsidRPr="001F2BA3">
        <w:rPr>
          <w:noProof/>
          <w:lang w:val="lv-LV"/>
        </w:rPr>
        <w:t xml:space="preserve"> Neatkarīga iestāde, kas atbildīga par kampaņas noteikumu noteikšanu plašsaziņas līdzekļos, pārbauda šā pienākuma izpildi.</w:t>
      </w:r>
      <w:r w:rsidRPr="001F2BA3">
        <w:rPr>
          <w:rStyle w:val="FootnoteReference"/>
          <w:noProof/>
          <w:lang w:val="lv-LV"/>
        </w:rPr>
        <w:t>(</w:t>
      </w:r>
      <w:r w:rsidRPr="001F2BA3">
        <w:rPr>
          <w:rStyle w:val="FootnoteReference"/>
          <w:noProof/>
          <w:lang w:val="lv-LV"/>
        </w:rPr>
        <w:footnoteReference w:id="70"/>
      </w:r>
      <w:r w:rsidRPr="001F2BA3">
        <w:rPr>
          <w:rStyle w:val="FootnoteReference"/>
          <w:noProof/>
          <w:lang w:val="lv-LV"/>
        </w:rPr>
        <w:t>))</w:t>
      </w:r>
      <w:r w:rsidRPr="001F2BA3">
        <w:rPr>
          <w:noProof/>
          <w:lang w:val="lv-LV"/>
        </w:rPr>
        <w:t xml:space="preserve"> Citiem Francijas televīzijas pakalpojumu sniedzējiem ir pienākums veicināt personām ar dzirdes traucējumiem piekļuvi (ar subtitriem vai zīmju valodu) galvenajām vēlēšanu ziņu programmām laikā, kad tās skatās maksimālais skatītāju skaits, un nodrošināt kandidātu debašu pieejamību. Kandidāti, kas uzaicināti uzstāties televīzijas platformās, var arī noskaidrot, vai televīzijas kanāli patiešām nodrošina šīs piekļūstamības iespējas.</w:t>
      </w:r>
      <w:r w:rsidRPr="001F2BA3">
        <w:rPr>
          <w:rStyle w:val="FootnoteReference"/>
          <w:noProof/>
          <w:lang w:val="lv-LV"/>
        </w:rPr>
        <w:t>(</w:t>
      </w:r>
      <w:r w:rsidRPr="001F2BA3">
        <w:rPr>
          <w:rStyle w:val="FootnoteReference"/>
          <w:noProof/>
          <w:lang w:val="lv-LV"/>
        </w:rPr>
        <w:footnoteReference w:id="71"/>
      </w:r>
      <w:r w:rsidRPr="001F2BA3">
        <w:rPr>
          <w:rStyle w:val="FootnoteReference"/>
          <w:noProof/>
          <w:lang w:val="lv-LV"/>
        </w:rPr>
        <w:t>))</w:t>
      </w:r>
    </w:p>
    <w:p w14:paraId="79703C3C" w14:textId="0055DD1D" w:rsidR="00B139EA" w:rsidRPr="001F2BA3" w:rsidRDefault="00B139EA" w:rsidP="00B42AEB">
      <w:pPr>
        <w:rPr>
          <w:noProof/>
          <w:lang w:val="lv-LV"/>
        </w:rPr>
      </w:pPr>
      <w:r w:rsidRPr="001F2BA3">
        <w:rPr>
          <w:noProof/>
          <w:lang w:val="lv-LV"/>
        </w:rPr>
        <w:t>Vairākas dalībvalstis (piemēram, Igaunija, Lietuva, Ungārija un Vācija) dalās ar informāciju par vēlēšanu iecirkņu piekļūstamību, izmantojot digitālo karšu lietojumprogrammas, vēlēšanu iestāžu tīmekļvietnēs vai vēlētājiem nosūtītajā paziņojumā par vēlēšanām.</w:t>
      </w:r>
    </w:p>
    <w:p w14:paraId="61C3C521" w14:textId="77777777" w:rsidR="00B139EA" w:rsidRPr="001F2BA3" w:rsidRDefault="00B139EA" w:rsidP="00B42AEB">
      <w:pPr>
        <w:rPr>
          <w:noProof/>
          <w:lang w:val="lv-LV"/>
        </w:rPr>
      </w:pPr>
      <w:r w:rsidRPr="001F2BA3">
        <w:rPr>
          <w:noProof/>
          <w:lang w:val="lv-LV"/>
        </w:rPr>
        <w:t>Vācijā vēlētājiem sniegtajā informācijā par vēlēšanu iecirkņu atrašanās vietu ir vairākas piktogrammas, kurās aprakstīts vēlēšanu iecirkņa izvietojums un norādīti tālruņa numuri.</w:t>
      </w:r>
    </w:p>
    <w:p w14:paraId="2E6E5C3B" w14:textId="7024B3FE" w:rsidR="00B139EA" w:rsidRPr="001F2BA3" w:rsidRDefault="004801BB" w:rsidP="00B42AEB">
      <w:pPr>
        <w:rPr>
          <w:noProof/>
          <w:lang w:val="lv-LV"/>
        </w:rPr>
      </w:pPr>
      <w:r w:rsidRPr="001F2BA3">
        <w:rPr>
          <w:noProof/>
          <w:lang w:val="lv-LV"/>
        </w:rPr>
        <w:t>Nīderlande nodrošina tiešsaistes rīku</w:t>
      </w:r>
      <w:r w:rsidRPr="001F2BA3">
        <w:rPr>
          <w:rStyle w:val="FootnoteReference"/>
          <w:noProof/>
          <w:lang w:val="lv-LV"/>
        </w:rPr>
        <w:t>(</w:t>
      </w:r>
      <w:r w:rsidRPr="001F2BA3">
        <w:rPr>
          <w:rStyle w:val="FootnoteReference"/>
          <w:noProof/>
          <w:lang w:val="lv-LV"/>
        </w:rPr>
        <w:footnoteReference w:id="72"/>
      </w:r>
      <w:r w:rsidRPr="001F2BA3">
        <w:rPr>
          <w:rStyle w:val="FootnoteReference"/>
          <w:noProof/>
          <w:lang w:val="lv-LV"/>
        </w:rPr>
        <w:t>))</w:t>
      </w:r>
      <w:r w:rsidRPr="001F2BA3">
        <w:rPr>
          <w:noProof/>
          <w:lang w:val="lv-LV"/>
        </w:rPr>
        <w:t>, kas ļauj atrast personām ar invaliditāti pieejamus vēlēšanu iecirkņus. Šajā rīkā ir dažādi meklēšanas kritēriji, tostarp vizuālie palīglīdzekļi, dzirdes palīglīdzekļi, dzirdes invalīdiem piemērota akustika un citas pieejamas telpas.</w:t>
      </w:r>
    </w:p>
    <w:p w14:paraId="1F40A8D4" w14:textId="7E4CF357" w:rsidR="00B139EA" w:rsidRPr="001F2BA3" w:rsidRDefault="00B139EA" w:rsidP="00B42AEB">
      <w:pPr>
        <w:rPr>
          <w:noProof/>
          <w:lang w:val="lv-LV"/>
        </w:rPr>
      </w:pPr>
      <w:r w:rsidRPr="001F2BA3">
        <w:rPr>
          <w:noProof/>
          <w:lang w:val="lv-LV"/>
        </w:rPr>
        <w:t>Francija vēlēšanu iecirkņu atrašanās vietas un darbalaika norādīšanai izmanto arī ārējos informācijas stendus, kuriem jāatbilst īpašām prasībām, lai nodrošinātu informācijas salasāmību un redzamību.</w:t>
      </w:r>
    </w:p>
    <w:p w14:paraId="0E997E06" w14:textId="3F9BD0DD" w:rsidR="00B139EA" w:rsidRPr="001F2BA3" w:rsidRDefault="00B139EA" w:rsidP="00B42AEB">
      <w:pPr>
        <w:rPr>
          <w:noProof/>
          <w:lang w:val="lv-LV"/>
        </w:rPr>
      </w:pPr>
      <w:r w:rsidRPr="001F2BA3">
        <w:rPr>
          <w:noProof/>
          <w:lang w:val="lv-LV"/>
        </w:rPr>
        <w:t>Spānijā vēlēšanu iecirkņiem jābūt pienācīgi marķētiem, tostarp norādēm par pieejamām telpām un darbalaiku.</w:t>
      </w:r>
    </w:p>
    <w:p w14:paraId="0D38607A" w14:textId="595E6DAA" w:rsidR="00256917" w:rsidRPr="001F2BA3" w:rsidRDefault="00825735" w:rsidP="00B42AEB">
      <w:pPr>
        <w:rPr>
          <w:noProof/>
          <w:lang w:val="lv-LV"/>
        </w:rPr>
      </w:pPr>
      <w:r w:rsidRPr="001F2BA3">
        <w:rPr>
          <w:noProof/>
          <w:lang w:val="lv-LV"/>
        </w:rPr>
        <w:t>Ungārijā vēlētāju informēšanas kampaņas ietver individuālus paziņojumus vēlētājiem un īpašus paziņojumus personām ar invaliditāti. Pēc vēlētāja pieprasījuma tās nodrošina balsošanas kartes viegli lasāmā valodā un pievienotu viegli lasāmu materiālu.</w:t>
      </w:r>
    </w:p>
    <w:p w14:paraId="01341A63" w14:textId="618AB543" w:rsidR="00742678" w:rsidRPr="001F2BA3" w:rsidRDefault="00B15B45" w:rsidP="00B42AEB">
      <w:pPr>
        <w:rPr>
          <w:noProof/>
          <w:lang w:val="lv-LV"/>
        </w:rPr>
      </w:pPr>
      <w:r w:rsidRPr="001F2BA3">
        <w:rPr>
          <w:noProof/>
          <w:lang w:val="lv-LV"/>
        </w:rPr>
        <w:t>Nīderlande nodrošina pašvaldībām un citiem partneriem digitālo rīku kopumu, kas ietver vairākus komunikācijas rīkus vēlētājiem ar invaliditāti. Tajā ir sniegta informācija par to, kādas iespējas ir pieejamas vēlēšanu iecirknī, lai vēlētāji varētu patstāvīgi nodot balsi. Tā arī sniedz informāciju par vēlēšanām pieejamā valodā un zīmju valodā īpašā tīmekļvietnē. Rīku kopumā ir iekļauta arī, piemēram, digitāli pieejama vēlēšanu zīmes versija. Visos komunikācijas materiālos par vēlēšanām uzsvars tiek likts uz vizuālo saziņu, cik vien iespējams, un skaidras valodas lietošanu. Sadarbībā ar interešu grupām ir izstrādāti un pieejami komunikācijas materiāli personām ar invaliditāti. Tas ietver norādījumus par to, kā balsot: balsošanas veidni, skrejlapu un vēlēšanu avīzi vēlētājiem ar (viegliem) kognitīviem traucējumiem, infografiku par palīglīdzekļiem vēlēšanu iecirknī, informatīvus videoklipus zīmju valodā, vēlēšanu zīmes digitāli pieejamu versiju un pilnvarojuma apliecinājumu, kas pieejams tiešsaistē, īpašā tīmekļvietnē informāciju par piekļūstamības iespējām vēlēšanu iecirkņos. Turklāt dažas pašvaldības pirms vēlēšanām organizē pārbaudes balsojumu, lai dotu vēlētājiem iespēju “izmēģināt” balsošanu un lai vēlēšanu dienā viņi varētu balsot patstāvīgi.</w:t>
      </w:r>
    </w:p>
    <w:p w14:paraId="548ECC0D" w14:textId="2158B2E5" w:rsidR="00C40F26" w:rsidRPr="001F2BA3" w:rsidRDefault="007E53A1" w:rsidP="00B42AEB">
      <w:pPr>
        <w:rPr>
          <w:noProof/>
          <w:lang w:val="lv-LV"/>
        </w:rPr>
      </w:pPr>
      <w:r w:rsidRPr="001F2BA3">
        <w:rPr>
          <w:noProof/>
          <w:lang w:val="lv-LV"/>
        </w:rPr>
        <w:t>Spānija nodrošina klientu bezmaksas apkalpošanas tālruņa numuru personām, kuras plāno izmantot pieejamu balsošanas procedūru, — lasīšanas un rakstīšanas sistēmu Braila rakstā. Šis tālruņa dienests sniedz arī informāciju par vēlēšanu kandidātiem un citiem balsošanas procedūras aspektiem.</w:t>
      </w:r>
    </w:p>
    <w:p w14:paraId="280F39DD" w14:textId="0A1B5C58" w:rsidR="00825735" w:rsidRPr="001F2BA3" w:rsidRDefault="007E53A1" w:rsidP="00B42AEB">
      <w:pPr>
        <w:rPr>
          <w:noProof/>
          <w:lang w:val="lv-LV"/>
        </w:rPr>
      </w:pPr>
      <w:r w:rsidRPr="001F2BA3">
        <w:rPr>
          <w:noProof/>
          <w:lang w:val="lv-LV"/>
        </w:rPr>
        <w:t>Zviedrija nodrošina “runājošu” tīmekļvietni personām ar redzes traucējumiem un personām, kurām ir grūtības lasīt tekstu (piemēram, personām ar disleksiju), lai tās varētu klausīties skaļi nolasītu informāciju.</w:t>
      </w:r>
    </w:p>
    <w:p w14:paraId="3239ABD7" w14:textId="7EF59031" w:rsidR="00AC3895" w:rsidRPr="001F2BA3" w:rsidRDefault="0099175B" w:rsidP="006B02A7">
      <w:pPr>
        <w:pStyle w:val="Heading2"/>
        <w:spacing w:before="240" w:after="240"/>
        <w:rPr>
          <w:noProof/>
          <w:lang w:val="lv-LV"/>
        </w:rPr>
      </w:pPr>
      <w:bookmarkStart w:id="59" w:name="_Toc148718592"/>
      <w:bookmarkStart w:id="60" w:name="_Toc158022326"/>
      <w:r w:rsidRPr="001F2BA3">
        <w:rPr>
          <w:noProof/>
          <w:lang w:val="lv-LV"/>
        </w:rPr>
        <w:t>6.2. Politiskās reklāmas piekļūstamība</w:t>
      </w:r>
      <w:bookmarkEnd w:id="59"/>
      <w:bookmarkEnd w:id="60"/>
    </w:p>
    <w:p w14:paraId="0FE306DC" w14:textId="00A6DBCE" w:rsidR="00C476EE" w:rsidRPr="001F2BA3" w:rsidRDefault="00C476EE" w:rsidP="00B42AEB">
      <w:pPr>
        <w:rPr>
          <w:noProof/>
          <w:lang w:val="lv-LV"/>
        </w:rPr>
      </w:pPr>
      <w:r w:rsidRPr="001F2BA3">
        <w:rPr>
          <w:noProof/>
          <w:lang w:val="lv-LV"/>
        </w:rPr>
        <w:t>Francijā kandidāti tiek aicināti visus vēlēšanu kampaņas dokumentus (piemēram, skrejlapas) vienlaicīgi darīt pieejamus drukātā papīra formā, tīmekļvietnē (kas atbilst juridiskajām piekļūstamības prasībām</w:t>
      </w:r>
      <w:r w:rsidRPr="001F2BA3">
        <w:rPr>
          <w:rStyle w:val="FootnoteReference"/>
          <w:noProof/>
          <w:lang w:val="lv-LV"/>
        </w:rPr>
        <w:t>(</w:t>
      </w:r>
      <w:r w:rsidRPr="001F2BA3">
        <w:rPr>
          <w:rStyle w:val="FootnoteReference"/>
          <w:noProof/>
          <w:lang w:val="lv-LV"/>
        </w:rPr>
        <w:footnoteReference w:id="73"/>
      </w:r>
      <w:r w:rsidRPr="001F2BA3">
        <w:rPr>
          <w:rStyle w:val="FootnoteReference"/>
          <w:noProof/>
          <w:lang w:val="lv-LV"/>
        </w:rPr>
        <w:t>))</w:t>
      </w:r>
      <w:r w:rsidRPr="001F2BA3">
        <w:rPr>
          <w:noProof/>
          <w:lang w:val="lv-LV"/>
        </w:rPr>
        <w:t>) un pieejamā formātā, kam ir pierādījuma vērtība, saskaņā ar 2005</w:t>
      </w:r>
      <w:r w:rsidR="001F2BA3">
        <w:rPr>
          <w:noProof/>
          <w:lang w:val="lv-LV"/>
        </w:rPr>
        <w:t>. gad</w:t>
      </w:r>
      <w:r w:rsidRPr="001F2BA3">
        <w:rPr>
          <w:noProof/>
          <w:lang w:val="lv-LV"/>
        </w:rPr>
        <w:t>a Likumā par vienlīdzīgām tiesībām un iespējām noteiktajiem piekļūstamības kritērijiem. Tiem jābūt pieejamiem arī viegli lasāmā un saprotamā versijā. Šim materiālam jābūt pieejamam no vēlēšanu kampaņas sākuma līdz vēlēšanu iecirkņu slēgšanai.</w:t>
      </w:r>
      <w:r w:rsidRPr="001F2BA3">
        <w:rPr>
          <w:rStyle w:val="FootnoteReference"/>
          <w:noProof/>
          <w:lang w:val="lv-LV"/>
        </w:rPr>
        <w:t>(</w:t>
      </w:r>
      <w:r w:rsidRPr="001F2BA3">
        <w:rPr>
          <w:rStyle w:val="FootnoteReference"/>
          <w:noProof/>
          <w:lang w:val="lv-LV"/>
        </w:rPr>
        <w:footnoteReference w:id="74"/>
      </w:r>
      <w:r w:rsidRPr="001F2BA3">
        <w:rPr>
          <w:rStyle w:val="FootnoteReference"/>
          <w:noProof/>
          <w:lang w:val="lv-LV"/>
        </w:rPr>
        <w:t>))</w:t>
      </w:r>
    </w:p>
    <w:p w14:paraId="5D5B2CA1" w14:textId="09104E53" w:rsidR="00C40F26" w:rsidRPr="001F2BA3" w:rsidRDefault="00742678" w:rsidP="00B42AEB">
      <w:pPr>
        <w:rPr>
          <w:noProof/>
          <w:lang w:val="lv-LV"/>
        </w:rPr>
      </w:pPr>
      <w:r w:rsidRPr="001F2BA3">
        <w:rPr>
          <w:noProof/>
          <w:lang w:val="lv-LV"/>
        </w:rPr>
        <w:t>Vairākās dalībvalstīs, piemēram, Ungārijā un Spānijā, sponsoriem ir jānodrošina politiskās reklāmas pieejamība. Lietuvā, sākot ar 2019</w:t>
      </w:r>
      <w:r w:rsidR="001F2BA3">
        <w:rPr>
          <w:noProof/>
          <w:lang w:val="lv-LV"/>
        </w:rPr>
        <w:t>. gad</w:t>
      </w:r>
      <w:r w:rsidRPr="001F2BA3">
        <w:rPr>
          <w:noProof/>
          <w:lang w:val="lv-LV"/>
        </w:rPr>
        <w:t xml:space="preserve">u, Centrālā vēlēšanu komisija informē kandidātus, ka, gatavojot vēlēšanu materiālus, viņiem jāņem vērā vēlētāju ar invaliditāti vajadzības. </w:t>
      </w:r>
    </w:p>
    <w:p w14:paraId="09D8B868" w14:textId="3F0BC82E" w:rsidR="00990F3C" w:rsidRPr="001F2BA3" w:rsidRDefault="00C40F26" w:rsidP="00B42AEB">
      <w:pPr>
        <w:rPr>
          <w:noProof/>
          <w:lang w:val="lv-LV"/>
        </w:rPr>
      </w:pPr>
      <w:r w:rsidRPr="001F2BA3">
        <w:rPr>
          <w:noProof/>
          <w:lang w:val="lv-LV"/>
        </w:rPr>
        <w:t>Spānijā politiskajām organizācijām ir jānodrošina, ka to publiskās aktivitātes ir pieejamas personām ar invaliditāti, un, kad vien iespējams, jāsniedz pieejama informācija. Tas ietver tīmekļvietnes, drukātos materiālus personām ar invaliditāti pieejamos formātos, palīdzības pakalpojumus pa tālruni un audiovizuālos formātus. Valstij piederošajām nacionālajām televīzijām un radiostacijām ir pienākums atvēlēt brīvu vietu tādu kandidātu, politisko partiju, federāciju, koalīciju un vēlētāju grupu politiskajai reklāmai, kas atbilst personu ar invaliditāti īpašām piekļūstamības vajadzībām.</w:t>
      </w:r>
    </w:p>
    <w:p w14:paraId="7F648CD6" w14:textId="0A5E5A42" w:rsidR="0073307C" w:rsidRPr="001F2BA3" w:rsidRDefault="00990F3C" w:rsidP="00B42AEB">
      <w:pPr>
        <w:rPr>
          <w:noProof/>
          <w:lang w:val="lv-LV"/>
        </w:rPr>
      </w:pPr>
      <w:r w:rsidRPr="001F2BA3">
        <w:rPr>
          <w:noProof/>
          <w:lang w:val="lv-LV"/>
        </w:rPr>
        <w:t>2019</w:t>
      </w:r>
      <w:r w:rsidR="001F2BA3">
        <w:rPr>
          <w:noProof/>
          <w:lang w:val="lv-LV"/>
        </w:rPr>
        <w:t>. gad</w:t>
      </w:r>
      <w:r w:rsidRPr="001F2BA3">
        <w:rPr>
          <w:noProof/>
          <w:lang w:val="lv-LV"/>
        </w:rPr>
        <w:t>a Eiropas Parlamenta vēlēšanām Vācijas Neredzīgo un vājredzīgo asociācija pārbaudīja vēlēšanu kampaņā izmantoto materiālu lietojamību un lasāmību ekrānlasītāju lietotājiem. Viņi sarindoja materiālus pēc noteiktiem kritērijiem un nosūtīja šā novērtējuma rezultātus politiskajām partijām, kas kandidēja vēlēšanās.</w:t>
      </w:r>
      <w:r w:rsidRPr="001F2BA3">
        <w:rPr>
          <w:rStyle w:val="FootnoteReference"/>
          <w:noProof/>
          <w:lang w:val="lv-LV"/>
        </w:rPr>
        <w:t>(</w:t>
      </w:r>
      <w:r w:rsidRPr="001F2BA3">
        <w:rPr>
          <w:rStyle w:val="FootnoteReference"/>
          <w:noProof/>
          <w:lang w:val="lv-LV"/>
        </w:rPr>
        <w:footnoteReference w:id="75"/>
      </w:r>
      <w:r w:rsidRPr="001F2BA3">
        <w:rPr>
          <w:rStyle w:val="FootnoteReference"/>
          <w:noProof/>
          <w:lang w:val="lv-LV"/>
        </w:rPr>
        <w:t>))</w:t>
      </w:r>
    </w:p>
    <w:p w14:paraId="29BAD056" w14:textId="3CB6C5C6" w:rsidR="008D65A6" w:rsidRPr="001F2BA3" w:rsidRDefault="00DE389B" w:rsidP="006B02A7">
      <w:pPr>
        <w:pStyle w:val="Heading1"/>
        <w:spacing w:before="360" w:after="240" w:line="288" w:lineRule="auto"/>
        <w:rPr>
          <w:noProof/>
          <w:lang w:val="lv-LV"/>
        </w:rPr>
      </w:pPr>
      <w:bookmarkStart w:id="61" w:name="_Toc148718593"/>
      <w:bookmarkStart w:id="62" w:name="_Toc158022327"/>
      <w:r w:rsidRPr="001F2BA3">
        <w:rPr>
          <w:noProof/>
          <w:lang w:val="lv-LV"/>
        </w:rPr>
        <w:t>7. Universāls dizains un saprātīgi pielāgojumi vēlēšanu ciklā — procedūras, telpas un materiāli</w:t>
      </w:r>
      <w:bookmarkEnd w:id="61"/>
      <w:bookmarkEnd w:id="62"/>
    </w:p>
    <w:p w14:paraId="6CBB9A35" w14:textId="64B70E21" w:rsidR="00E77382" w:rsidRPr="001F2BA3" w:rsidRDefault="0099175B" w:rsidP="006B02A7">
      <w:pPr>
        <w:pStyle w:val="Heading2"/>
        <w:spacing w:before="0" w:after="240"/>
        <w:rPr>
          <w:noProof/>
          <w:lang w:val="lv-LV"/>
        </w:rPr>
      </w:pPr>
      <w:bookmarkStart w:id="63" w:name="_Toc148718594"/>
      <w:bookmarkStart w:id="64" w:name="_Toc158022328"/>
      <w:r w:rsidRPr="001F2BA3">
        <w:rPr>
          <w:noProof/>
          <w:lang w:val="lv-LV"/>
        </w:rPr>
        <w:t xml:space="preserve">7.1. </w:t>
      </w:r>
      <w:bookmarkEnd w:id="63"/>
      <w:r w:rsidRPr="001F2BA3">
        <w:rPr>
          <w:noProof/>
          <w:lang w:val="lv-LV"/>
        </w:rPr>
        <w:t>Reģistrācijas procedūras</w:t>
      </w:r>
      <w:bookmarkEnd w:id="64"/>
    </w:p>
    <w:p w14:paraId="4EC47BED" w14:textId="15E12600" w:rsidR="001726FB" w:rsidRPr="001F2BA3" w:rsidRDefault="009E6BD5" w:rsidP="00B42AEB">
      <w:pPr>
        <w:rPr>
          <w:noProof/>
          <w:lang w:val="lv-LV"/>
        </w:rPr>
      </w:pPr>
      <w:r w:rsidRPr="001F2BA3">
        <w:rPr>
          <w:noProof/>
          <w:lang w:val="lv-LV"/>
        </w:rPr>
        <w:t>Reģistrācijas procedūru izmantošana vēlēšanu procesā — neatkarīgi no to mērķa — sniedz būtiskas iespējas atvieglot mijiedarbību starp personām ar invaliditāti un kompetentajām iestādēm, tostarp izmantojot dažādus pieejamus rīkus un līdzekļus, piemēram, pieejamas papīra un digitālās veidlapas. Ja reģistrācija notiek klātienē, īpaši svarīga ir norises vietu un informācijas piekļūstamība.</w:t>
      </w:r>
    </w:p>
    <w:p w14:paraId="79621768" w14:textId="3FFBBD8B" w:rsidR="00C64C88" w:rsidRPr="001F2BA3" w:rsidRDefault="00EF4A32" w:rsidP="00B42AEB">
      <w:pPr>
        <w:rPr>
          <w:noProof/>
          <w:lang w:val="lv-LV"/>
        </w:rPr>
      </w:pPr>
      <w:r w:rsidRPr="001F2BA3">
        <w:rPr>
          <w:noProof/>
          <w:lang w:val="lv-LV"/>
        </w:rPr>
        <w:t>Lielākajā daļā dalībvalstu vēlētāju reģistrācija valsts vēlēšanās ir automātiska. Divas dalībvalstis — Kipra un Īrija — izmanto aktīvu vēlētāju reģistrāciju, savukārt citas izmanto tiešsaistes rīkus, lai reģistrētu vēlētāju izvēli vai tiesības uz konkrētu balsošanas procedūru, piemēram, balsošanu pa pastu vai mobilo balsošanu. Lai atvieglotu šo rīku izmantošanu, dalībvalstis ir ieviesušas piekļūstamības prasības un nodrošinājušas, ka tiešsaistes saturs ir pieejams no dažādām ierīcēm. Tās ir izstrādājušas arī vienkāršotas veidlapas skaidrā un uz lietotāju orientētā valodā. Kiprā apgabalu administrāciju biroji, kas izskata pieteikumus par reģistrāciju vēlētāju sarakstos, ir pieejami personām ar invaliditāti. Lai atvieglotu šo procesu, ļoti svarīgi ir arī nodrošināt pieejamu informāciju par vēlētāju reģistrāciju, kā to dara vairākas dalībvalstis, piemēram, Luksemburga.</w:t>
      </w:r>
    </w:p>
    <w:p w14:paraId="719DA231" w14:textId="1B16D682" w:rsidR="008F291D" w:rsidRPr="001F2BA3" w:rsidRDefault="00F3686B" w:rsidP="00B42AEB">
      <w:pPr>
        <w:rPr>
          <w:noProof/>
          <w:lang w:val="lv-LV"/>
        </w:rPr>
      </w:pPr>
      <w:r w:rsidRPr="001F2BA3">
        <w:rPr>
          <w:noProof/>
          <w:lang w:val="lv-LV"/>
        </w:rPr>
        <w:t>Dažās dalībvalstīs kandidāti var saņemt īpašu atbalstu, piemēram, nelielas dotācijas tulkojumam zīmju valodā un transportam, kas var atvieglot dokumentu iesniegšanu, ja tas tiek darīts tikai klātienē. Citās dalībvalstīs, piemēram, Rumānijā</w:t>
      </w:r>
      <w:r w:rsidRPr="001F2BA3">
        <w:rPr>
          <w:rStyle w:val="FootnoteReference"/>
          <w:noProof/>
          <w:lang w:val="lv-LV"/>
        </w:rPr>
        <w:t>(</w:t>
      </w:r>
      <w:r w:rsidRPr="001F2BA3">
        <w:rPr>
          <w:rStyle w:val="FootnoteReference"/>
          <w:noProof/>
          <w:lang w:val="lv-LV"/>
        </w:rPr>
        <w:footnoteReference w:id="76"/>
      </w:r>
      <w:r w:rsidRPr="001F2BA3">
        <w:rPr>
          <w:rStyle w:val="FootnoteReference"/>
          <w:noProof/>
          <w:lang w:val="lv-LV"/>
        </w:rPr>
        <w:t>))</w:t>
      </w:r>
      <w:r w:rsidRPr="001F2BA3">
        <w:rPr>
          <w:noProof/>
          <w:lang w:val="lv-LV"/>
        </w:rPr>
        <w:t>, kandidāti atbalsta parakstus varēja vākt arī elektroniski.</w:t>
      </w:r>
    </w:p>
    <w:p w14:paraId="1A615D0A" w14:textId="728C572F" w:rsidR="00F42B95" w:rsidRPr="001F2BA3" w:rsidRDefault="0099175B" w:rsidP="006B02A7">
      <w:pPr>
        <w:pStyle w:val="Heading2"/>
        <w:spacing w:before="240" w:after="240"/>
        <w:rPr>
          <w:noProof/>
          <w:lang w:val="lv-LV"/>
        </w:rPr>
      </w:pPr>
      <w:bookmarkStart w:id="65" w:name="_Toc148715289"/>
      <w:bookmarkStart w:id="66" w:name="_Toc148718595"/>
      <w:bookmarkStart w:id="67" w:name="_Toc158022329"/>
      <w:r w:rsidRPr="001F2BA3">
        <w:rPr>
          <w:noProof/>
          <w:lang w:val="lv-LV"/>
        </w:rPr>
        <w:t>7.2. Vēlēšanu iecirkņu, vēlēšanu kabīņu un vēlēšanu kastu piekļūstamības palielināšana</w:t>
      </w:r>
      <w:bookmarkEnd w:id="65"/>
      <w:bookmarkEnd w:id="66"/>
      <w:bookmarkEnd w:id="67"/>
    </w:p>
    <w:p w14:paraId="71544D5C" w14:textId="05517545" w:rsidR="00626892" w:rsidRPr="001F2BA3" w:rsidRDefault="002B2D35" w:rsidP="00B42AEB">
      <w:pPr>
        <w:rPr>
          <w:noProof/>
          <w:lang w:val="lv-LV"/>
        </w:rPr>
      </w:pPr>
      <w:r w:rsidRPr="001F2BA3">
        <w:rPr>
          <w:noProof/>
          <w:lang w:val="lv-LV"/>
        </w:rPr>
        <w:t>Lielākā daļa dalībvalstu ir pieņēmušas vairākas prasības, lai nodrošinātu, ka personas ar invaliditāti var balsot vēlēšanu iecirknī. Prasības attiecas uz dažādiem balsošanas procesa aspektiem un mijiedarbību ar vēlētājiem ar invaliditāti balsošanas telpās, vēlēšanu materiāliem un vēlēšanu darbiniekiem</w:t>
      </w:r>
      <w:r w:rsidRPr="001F2BA3">
        <w:rPr>
          <w:rStyle w:val="FootnoteReference"/>
          <w:noProof/>
          <w:lang w:val="lv-LV"/>
        </w:rPr>
        <w:t>(</w:t>
      </w:r>
      <w:r w:rsidRPr="001F2BA3">
        <w:rPr>
          <w:rStyle w:val="FootnoteReference"/>
          <w:noProof/>
          <w:lang w:val="lv-LV"/>
        </w:rPr>
        <w:footnoteReference w:id="77"/>
      </w:r>
      <w:r w:rsidRPr="001F2BA3">
        <w:rPr>
          <w:rStyle w:val="FootnoteReference"/>
          <w:noProof/>
          <w:lang w:val="lv-LV"/>
        </w:rPr>
        <w:t>))</w:t>
      </w:r>
      <w:r w:rsidRPr="001F2BA3">
        <w:rPr>
          <w:noProof/>
          <w:lang w:val="lv-LV"/>
        </w:rPr>
        <w:t>. Tas ietver ierašanos vēlēšanu iecirknī un iekļūšanu tajā, vēlētāja identifikāciju, parakstīšanos vēlētāju sarakstā ar roku vai elektroniski, iekļūšanu vēlēšanu kabīnē, balsošanu ar vēlēšanu zīmēm papīra formā vai balsošanas iekārtām, vēlēšanu zīmes papīra formā ievietošanu vēlēšanu kastē un vēlēšanu iecirkņa pamešanu. Vairākas dalībvalstis ir sagatavojušas detalizētas pamatnostādnes un kontrolsarakstus, kas bieži izstrādāti kopā ar invalīdu organizācijām un aptver dažādus kritērijus, sākot no iespējām piekļūt ar sabiedrisko transportu un beidzot ar to, vai ir uzbrauktuves un politikas pasākumi balsošanai “bez rindas”. Piemēram, Malta atvieglo balsošanu personām ar invaliditāti, dodot tām priekšroku rindā (noteiktā laikā) attiecīgajā vēlēšanu iecirknī.</w:t>
      </w:r>
    </w:p>
    <w:p w14:paraId="25A72D5C" w14:textId="19DB6CA2" w:rsidR="002B44F6" w:rsidRPr="001F2BA3" w:rsidRDefault="002B44F6" w:rsidP="00B42AEB">
      <w:pPr>
        <w:rPr>
          <w:b/>
          <w:noProof/>
          <w:lang w:val="lv-LV"/>
        </w:rPr>
      </w:pPr>
      <w:r w:rsidRPr="001F2BA3">
        <w:rPr>
          <w:noProof/>
          <w:lang w:val="lv-LV"/>
        </w:rPr>
        <w:t>Dažās dalībvalstīs, piemēram, Austrijā</w:t>
      </w:r>
      <w:r w:rsidRPr="001F2BA3">
        <w:rPr>
          <w:rStyle w:val="FootnoteReference"/>
          <w:noProof/>
          <w:lang w:val="lv-LV"/>
        </w:rPr>
        <w:t>(</w:t>
      </w:r>
      <w:r w:rsidRPr="001F2BA3">
        <w:rPr>
          <w:rStyle w:val="FootnoteReference"/>
          <w:noProof/>
          <w:lang w:val="lv-LV"/>
        </w:rPr>
        <w:footnoteReference w:id="78"/>
      </w:r>
      <w:r w:rsidRPr="001F2BA3">
        <w:rPr>
          <w:rStyle w:val="FootnoteReference"/>
          <w:noProof/>
          <w:lang w:val="lv-LV"/>
        </w:rPr>
        <w:t>))</w:t>
      </w:r>
      <w:r w:rsidRPr="001F2BA3">
        <w:rPr>
          <w:noProof/>
          <w:lang w:val="lv-LV"/>
        </w:rPr>
        <w:t xml:space="preserve"> un Ungārijā, katrai pašvaldībai ir jānodrošina vismaz viens vēlēšanu iecirknis bez šķēršļiem. Citās dalībvalstīs, piemēram, Francijā, Nīderlandē, Spānijā un Slovēnijā, visiem vēlēšanu iecirkņiem ir jābūt obligāti pieejamiem. Citas dalībvalstis, piemēram, Grieķija, saskaņā ar Nacionālo rīcības plānu personām ar invaliditāti cenšas izveidot pašvaldību (pirmās pakāpes pašvaldību) līmenī pieejamu to ēku reģistru, kuras tiks izmantotas arī kā vēlēšanu iecirkņi. Citās dalībvalstīs, piemēram, Īrijā, vēlēšanu amatpersonām ir jāveic nepieciešamie pasākumi, lai nodrošinātu vēlēšanu iecirkņu piekļūstamību, tostarp katrā vēlēšanu iecirknī jānodrošina piemērots galds un krēsls, kas novietoti tā, lai nodrošinātu balsošanas slepenību un nodrošinātu ērtāku atrašanās vietu vēlētājiem, kuri pārvietojas ratiņkrēslos, kuriem ir fiziska invaliditāte, redzes traucējumi, vai gados vecāki vēlētājiem.</w:t>
      </w:r>
    </w:p>
    <w:p w14:paraId="3A607801" w14:textId="717FE1BA" w:rsidR="005C7F85" w:rsidRPr="001F2BA3" w:rsidRDefault="00EA3DF5" w:rsidP="00B42AEB">
      <w:pPr>
        <w:rPr>
          <w:noProof/>
          <w:lang w:val="lv-LV"/>
        </w:rPr>
      </w:pPr>
      <w:r w:rsidRPr="001F2BA3">
        <w:rPr>
          <w:noProof/>
          <w:lang w:val="lv-LV"/>
        </w:rPr>
        <w:t xml:space="preserve">Vairākās dalībvalstīs, piemēram, Beļģijā, Luksemburgā un Nīderlandē, stāvvietām pie vēlēšanu iecirkņiem jāatbilst stingrām prasībām attiecībā uz apzīmējumiem un segumu. Vēlēšanu iecirkņiem jābūt pieejamiem ar sabiedrisko transportu. Personām ar invaliditāti, tostarp personām ratiņkrēslos, jābūt iespējai iekļūt vēlēšanu iecirkņos, pārvietoties pa tiem un izkļūt no tiem normālos darba apstākļos, vajadzības gadījumā veicot pagaidu vai pastāvīgus pasākumus (kā Beļģijā, Dānijā, Francijā, Igaunijā, Īrijā, Lietuvā, Luksemburgā, Nīderlandē, Rumānijā, Slovēnijā, Somijā, Vācijā un Zviedrijā). Tas ietver vienstāva ēku prioritāru izmantošanu, plašas durvju atveres ar automātisku vai vieglu vadību, uzbrauktuves ar nelielu slīpumu, nepārtrauktas margas, plakanas manevrēšanas zonas pirms durvīm, pietiekami platus koridorus, netraucētus ceļus, piemērotu apgaismojumu, krēslus uzgaidāmajā zonā, pielāgotas norādes, celiņus, krāsu zīmes un citus piemērotus līdzekļus, kas vēlētājiem ar redzes traucējumiem palīdz saprast virzienu. Citas dalībvalstis, piemēram, Dānija, Francija, Luksemburga, Nīderlande un Spānija, atļauj personām ar invaliditāti iekļūt ar suņiem pavadoņiem. </w:t>
      </w:r>
    </w:p>
    <w:p w14:paraId="2169E13B" w14:textId="620C40F5" w:rsidR="005A2789" w:rsidRPr="001F2BA3" w:rsidRDefault="00722578" w:rsidP="00B42AEB">
      <w:pPr>
        <w:rPr>
          <w:noProof/>
          <w:lang w:val="lv-LV"/>
        </w:rPr>
      </w:pPr>
      <w:r w:rsidRPr="001F2BA3">
        <w:rPr>
          <w:noProof/>
          <w:lang w:val="lv-LV"/>
        </w:rPr>
        <w:t>Dažās dalībvalstīs, piemēram, Beļģijā, Spānijā</w:t>
      </w:r>
      <w:r w:rsidRPr="001F2BA3">
        <w:rPr>
          <w:noProof/>
          <w:vertAlign w:val="superscript"/>
          <w:lang w:val="lv-LV"/>
        </w:rPr>
        <w:t>(</w:t>
      </w:r>
      <w:r w:rsidRPr="001F2BA3">
        <w:rPr>
          <w:rStyle w:val="FootnoteReference"/>
          <w:noProof/>
          <w:lang w:val="lv-LV"/>
        </w:rPr>
        <w:footnoteReference w:id="79"/>
      </w:r>
      <w:r w:rsidRPr="001F2BA3">
        <w:rPr>
          <w:noProof/>
          <w:vertAlign w:val="superscript"/>
          <w:lang w:val="lv-LV"/>
        </w:rPr>
        <w:t>)</w:t>
      </w:r>
      <w:r w:rsidRPr="001F2BA3">
        <w:rPr>
          <w:noProof/>
          <w:lang w:val="lv-LV"/>
        </w:rPr>
        <w:t xml:space="preserve"> un Rumānijā</w:t>
      </w:r>
      <w:r w:rsidRPr="001F2BA3">
        <w:rPr>
          <w:rStyle w:val="FootnoteReference"/>
          <w:noProof/>
          <w:lang w:val="lv-LV"/>
        </w:rPr>
        <w:t>(</w:t>
      </w:r>
      <w:r w:rsidRPr="001F2BA3">
        <w:rPr>
          <w:rStyle w:val="FootnoteReference"/>
          <w:noProof/>
          <w:lang w:val="lv-LV"/>
        </w:rPr>
        <w:footnoteReference w:id="80"/>
      </w:r>
      <w:r w:rsidRPr="001F2BA3">
        <w:rPr>
          <w:rStyle w:val="FootnoteReference"/>
          <w:noProof/>
          <w:lang w:val="lv-LV"/>
        </w:rPr>
        <w:t>))</w:t>
      </w:r>
      <w:r w:rsidRPr="001F2BA3">
        <w:rPr>
          <w:noProof/>
          <w:lang w:val="lv-LV"/>
        </w:rPr>
        <w:t>, ar likumu nosaka vēlēšanu iecirkņu tehniskās specifikācijas. Vēlēšanu kabīnes ir jāveido tā, lai tās atbilstu personu ar invaliditāti, jo īpaši ratiņkrēslu lietotāju, vajadzībām. Piemēram, Luksemburgā, Francijā un Itālijā katrā vēlēšanu iecirknī viena no kabīnēm ir jāparedz invalīdu piekļuvei. Tas nozīmē, ka tām jābūt noteiktam minimālajam izmēram, izvietotām telpā, kurā ir pietiekami daudz vietas, lai veiktu pagriešanos, un aprīkotām ar īpašām funkcijām, piemēram, horizontāliem atbalsta stieņiem, galdiem vai plauktiem noteiktā augstumā vai regulējamiem ar pietiekamu vietu kājām, kā arī pietiekamu apgaismojumu. Dažās dalībvalstīs, piemēram, Nīderlandē, ir pieejamas arī lasīšanas lupas ar apgaismojumu. Citiem balsošanas rīkiem, piemēram, pildspalvām vai zīmuļiem, jābūt viegli pieejamiem personām ar invaliditāti.</w:t>
      </w:r>
    </w:p>
    <w:p w14:paraId="0AD2DFFB" w14:textId="7AD8ECED" w:rsidR="00F8466F" w:rsidRPr="001F2BA3" w:rsidRDefault="00E0730B" w:rsidP="00B42AEB">
      <w:pPr>
        <w:rPr>
          <w:noProof/>
          <w:lang w:val="lv-LV"/>
        </w:rPr>
      </w:pPr>
      <w:r w:rsidRPr="001F2BA3">
        <w:rPr>
          <w:noProof/>
          <w:lang w:val="lv-LV"/>
        </w:rPr>
        <w:t>Vēlēšanu kastu piekļūstamība ir svarīga arī tad, ja vēlētājiem ir pašiem jāievieto vēlēšanu zīme vēlēšanu kastē. Vēlēšanu kastei jābūt viegli atšķiramai un novietotai vietā, kas nodrošina netraucētu piekļuvi un pietiekamu vietu manevrēšanai. Vēlēšanu kastes atverei un elektronisko balsošanas iekārtu vadības ierīcēm jābūt novietotām noteiktā augstumā. Personām, kas nespēj aizsniegt vēlēšanu kastes atveri, ir jābūt pieejamam pakāpienam, vienlaikus ievērojot arī drošības prasības. Piemēram, Francijā likums paredz, ka katrā vēlēšanu iecirknī vēlēšanu kastei jābūt pieejamai arī cilvēkiem ratiņkrēslos.</w:t>
      </w:r>
    </w:p>
    <w:p w14:paraId="45D3DB32" w14:textId="71B1D0FB" w:rsidR="00005528" w:rsidRPr="001F2BA3" w:rsidRDefault="00005528" w:rsidP="00B42AEB">
      <w:pPr>
        <w:rPr>
          <w:noProof/>
          <w:lang w:val="lv-LV"/>
        </w:rPr>
      </w:pPr>
      <w:r w:rsidRPr="001F2BA3">
        <w:rPr>
          <w:noProof/>
          <w:lang w:val="lv-LV"/>
        </w:rPr>
        <w:t>Dažās dalībvalstīs (piemēram, Igaunijā) vēlēšanu iecirkņi ir aprīkoti ar galdiem un ekrāniem, kas ļauj vēlētājiem aizpildīt vēlēšanu zīmes sēdus vai ratiņkrēslā. Lai palīdzētu vēlētājiem aizpildīt vēlēšanu zīmi un izlasīt kandidātu sarakstu, tiek nodrošinātas lupas. Ir pieejami attālināti tulkošanas pakalpojumi zīmju valodā, kas ļauj balsotājiem, kuri runā zīmju valodā, vieglāk sazināties ar vēlēšanu apgabala komisijas locekļiem. Francijā, lai neredzīgas vai vājredzīgas personas varētu parakstīties pareizajā vietā vēlēšanu sarakstos vai apmeklējuma lapās, tiek ieteikts izmantot kontrastējošas krāsas paraksta palīglīdzekli (mazu plastikāta lineālu ar lodziņu).</w:t>
      </w:r>
    </w:p>
    <w:p w14:paraId="1ADEADA2" w14:textId="77777777" w:rsidR="00B42AEB" w:rsidRPr="001F2BA3" w:rsidRDefault="00C259CB" w:rsidP="007F0EBB">
      <w:pPr>
        <w:jc w:val="center"/>
        <w:rPr>
          <w:noProof/>
          <w:u w:val="single"/>
          <w:lang w:val="lv-LV"/>
        </w:rPr>
      </w:pPr>
      <w:bookmarkStart w:id="68" w:name="_Toc148715290"/>
      <w:bookmarkStart w:id="69" w:name="_Toc148718596"/>
      <w:r w:rsidRPr="001F2BA3">
        <w:rPr>
          <w:noProof/>
          <w:lang w:val="en-GB" w:eastAsia="en-GB" w:bidi="ar-SA"/>
        </w:rPr>
        <w:drawing>
          <wp:inline distT="0" distB="0" distL="0" distR="0" wp14:anchorId="4FA2C219" wp14:editId="235FE9DC">
            <wp:extent cx="2569210" cy="1926590"/>
            <wp:effectExtent l="0" t="0" r="0" b="0"/>
            <wp:docPr id="87" name="Picture 87" descr="Attēlā redzams Austrijā izmantotas vēlēšanu zīmes parau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The picture presents a ballot paper template used in Austri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69210" cy="1926590"/>
                    </a:xfrm>
                    <a:prstGeom prst="rect">
                      <a:avLst/>
                    </a:prstGeom>
                    <a:noFill/>
                    <a:ln>
                      <a:noFill/>
                    </a:ln>
                  </pic:spPr>
                </pic:pic>
              </a:graphicData>
            </a:graphic>
          </wp:inline>
        </w:drawing>
      </w:r>
    </w:p>
    <w:p w14:paraId="188CBDAF" w14:textId="499B4413" w:rsidR="00B42AEB" w:rsidRPr="001F2BA3" w:rsidRDefault="00B42AEB" w:rsidP="007F0EBB">
      <w:pPr>
        <w:pStyle w:val="Caption"/>
        <w:rPr>
          <w:noProof/>
          <w:lang w:val="lv-LV"/>
        </w:rPr>
      </w:pPr>
      <w:r w:rsidRPr="001F2BA3">
        <w:rPr>
          <w:noProof/>
          <w:lang w:val="lv-LV"/>
        </w:rPr>
        <w:t>Austrijā izmantotas vēlēšanu zīmes paraugs.</w:t>
      </w:r>
    </w:p>
    <w:p w14:paraId="5F247431" w14:textId="6BB7D2A7" w:rsidR="00F53BDC" w:rsidRPr="001F2BA3" w:rsidRDefault="002052F5" w:rsidP="006B02A7">
      <w:pPr>
        <w:pStyle w:val="Heading2"/>
        <w:spacing w:before="240" w:after="240"/>
        <w:rPr>
          <w:noProof/>
          <w:lang w:val="lv-LV"/>
        </w:rPr>
      </w:pPr>
      <w:bookmarkStart w:id="70" w:name="_Toc158022330"/>
      <w:r w:rsidRPr="001F2BA3">
        <w:rPr>
          <w:noProof/>
          <w:lang w:val="lv-LV"/>
        </w:rPr>
        <w:t>7.3. Papīra vēlēšanu zīmju piekļūstamības palielināšana</w:t>
      </w:r>
      <w:bookmarkEnd w:id="68"/>
      <w:bookmarkEnd w:id="69"/>
      <w:bookmarkEnd w:id="70"/>
    </w:p>
    <w:p w14:paraId="1A770A21" w14:textId="4EC8D530" w:rsidR="00B42AEB" w:rsidRPr="001F2BA3" w:rsidRDefault="00386D1A" w:rsidP="00B42AEB">
      <w:pPr>
        <w:rPr>
          <w:noProof/>
          <w:lang w:val="lv-LV"/>
        </w:rPr>
      </w:pPr>
      <w:r w:rsidRPr="001F2BA3">
        <w:rPr>
          <w:noProof/>
          <w:lang w:val="lv-LV"/>
        </w:rPr>
        <w:t>Austrijā, Dānijā</w:t>
      </w:r>
      <w:r w:rsidRPr="001F2BA3">
        <w:rPr>
          <w:rStyle w:val="FootnoteReference"/>
          <w:noProof/>
          <w:lang w:val="lv-LV"/>
        </w:rPr>
        <w:t>(</w:t>
      </w:r>
      <w:r w:rsidRPr="001F2BA3">
        <w:rPr>
          <w:rStyle w:val="FootnoteReference"/>
          <w:noProof/>
          <w:lang w:val="lv-LV"/>
        </w:rPr>
        <w:footnoteReference w:id="81"/>
      </w:r>
      <w:r w:rsidRPr="001F2BA3">
        <w:rPr>
          <w:rStyle w:val="FootnoteReference"/>
          <w:noProof/>
          <w:lang w:val="lv-LV"/>
        </w:rPr>
        <w:t>))</w:t>
      </w:r>
      <w:r w:rsidRPr="001F2BA3">
        <w:rPr>
          <w:noProof/>
          <w:lang w:val="lv-LV"/>
        </w:rPr>
        <w:t>, Ungārijā, Luksemburgā</w:t>
      </w:r>
      <w:r w:rsidRPr="001F2BA3">
        <w:rPr>
          <w:rStyle w:val="FootnoteReference"/>
          <w:noProof/>
          <w:lang w:val="lv-LV"/>
        </w:rPr>
        <w:t>(</w:t>
      </w:r>
      <w:r w:rsidRPr="001F2BA3">
        <w:rPr>
          <w:rStyle w:val="FootnoteReference"/>
          <w:noProof/>
          <w:lang w:val="lv-LV"/>
        </w:rPr>
        <w:footnoteReference w:id="82"/>
      </w:r>
      <w:r w:rsidRPr="001F2BA3">
        <w:rPr>
          <w:rStyle w:val="FootnoteReference"/>
          <w:noProof/>
          <w:lang w:val="lv-LV"/>
        </w:rPr>
        <w:t>))</w:t>
      </w:r>
      <w:r w:rsidRPr="001F2BA3">
        <w:rPr>
          <w:noProof/>
          <w:lang w:val="lv-LV"/>
        </w:rPr>
        <w:t>, Vācijā, Slovēnijā, Īrijā, Portugālē un Spānijā vēlēšanu iecirkņiem jābūt aprīkotiem ar speciālām veidnēm vēlēšanu zīmēm papīra formā, tostarp Braila rakstā. Nīderlandē un Maltā šīm veidnēm ir pievienots arī audio apraksts, bet Portugālē un Spānijā — skaidrojoša informācija rakstveidā, kurā paskaidrots, kā izmantot trafaretu, kā veidota vēlēšanu zīme, kuri kandidāti un partijas kandidē vēlēšanās un kurš trafareta atvērums jāizmanto katram kandidātam.</w:t>
      </w:r>
    </w:p>
    <w:p w14:paraId="3AD5F5C0" w14:textId="2396D488" w:rsidR="005B294B" w:rsidRPr="001F2BA3" w:rsidRDefault="00905FF2" w:rsidP="00B42AEB">
      <w:pPr>
        <w:rPr>
          <w:noProof/>
          <w:lang w:val="lv-LV"/>
        </w:rPr>
      </w:pPr>
      <w:r w:rsidRPr="001F2BA3">
        <w:rPr>
          <w:noProof/>
          <w:lang w:val="lv-LV"/>
        </w:rPr>
        <w:t>Īrijā Braila raksta veidlapas lietošanas atbalstam ir izveidota tālruņa līnija, uz kuru vēlētāji var zvanīt, lai uzzinātu vēlēšanu zīmes izkārtojumu un kandidātu secību. Pēc nesenajām likumdošanas izmaiņām Austrijā vēlēšanu zīme tika uzlabota, vienā pusē pievienojot slīpni, personām ar redzes traucējumiem, un tā arī plāno ieviest vēlēšanu zīmes veidni. Čehijā balsošanas instrukcijās, kas pievienotas pa pastu nosūtītajām vēlēšanu zīmēm, ir kvadrātkodi, kas ved uz videoierakstu zīmju valodā. Vairākās dalībvalstīs, piemēram, Beļģijā un Nīderlandē, vēlētājiem ar invaliditāti ir pieejami palīgrīki, piemēram, lupas lasīšanai.</w:t>
      </w:r>
    </w:p>
    <w:p w14:paraId="1A117F92" w14:textId="61635AD3" w:rsidR="00B77091" w:rsidRPr="001F2BA3" w:rsidRDefault="00B77091" w:rsidP="00B42AEB">
      <w:pPr>
        <w:rPr>
          <w:noProof/>
          <w:lang w:val="lv-LV"/>
        </w:rPr>
      </w:pPr>
      <w:r w:rsidRPr="001F2BA3">
        <w:rPr>
          <w:noProof/>
          <w:lang w:val="lv-LV"/>
        </w:rPr>
        <w:t xml:space="preserve">Dānijā vēlētāji, kuriem nepieciešama palīdzība, lai paši varētu nobalsot, var izmantot tehniskos palīglīdzekļus, piemēram, biezāku melnu pildspalvu, kas palīdz vēlētājam saskatīt, kur atzīmēt vēlēšanu zīmē, lupu, kas palielina vēlēšanu zīmes tekstu un padara to vieglāk salasāmu, un LED lampu labākai gaismai, kas ir noderīga cilvēkiem ar redzes traucējumiem. Vēlētājs var regulēt lampas spilgtumu, krāsu un gaismas jaudu. Šos rīkus papildina </w:t>
      </w:r>
      <w:r w:rsidRPr="001F2BA3">
        <w:rPr>
          <w:i/>
          <w:iCs/>
          <w:noProof/>
          <w:lang w:val="lv-LV"/>
        </w:rPr>
        <w:t>CCTV</w:t>
      </w:r>
      <w:r w:rsidRPr="001F2BA3">
        <w:rPr>
          <w:noProof/>
          <w:lang w:val="lv-LV"/>
        </w:rPr>
        <w:t xml:space="preserve"> (slēgtā tīkla televīzija), kas ir īpaša veida lupa, ar kuru palielina vēlēšanu zīmi uz ekrāna, un vēlētājs var regulēt palielinājumu un kontrastu. Turklāt ir jābūt regulējamam galdam, kas ļauj vēlēšanu zīmi aizpildīt vēlētājiem ratiņkrēslā.</w:t>
      </w:r>
    </w:p>
    <w:p w14:paraId="2976F852" w14:textId="77777777" w:rsidR="00B42AEB" w:rsidRPr="001F2BA3" w:rsidRDefault="0083071B" w:rsidP="007F0EBB">
      <w:pPr>
        <w:jc w:val="center"/>
        <w:rPr>
          <w:noProof/>
          <w:lang w:val="lv-LV"/>
        </w:rPr>
      </w:pPr>
      <w:r w:rsidRPr="001F2BA3">
        <w:rPr>
          <w:noProof/>
          <w:lang w:val="en-GB" w:eastAsia="en-GB" w:bidi="ar-SA"/>
        </w:rPr>
        <w:drawing>
          <wp:inline distT="0" distB="0" distL="0" distR="0" wp14:anchorId="540BEA6F" wp14:editId="287B9ED0">
            <wp:extent cx="2038350" cy="1527810"/>
            <wp:effectExtent l="0" t="0" r="0" b="0"/>
            <wp:docPr id="1" name="Picture 1" descr="Attēlā redzamas Lietuvā izmantotās vēlēšanu zīmju map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he picture presents ballot paper folders used in Lithuani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38350" cy="1527810"/>
                    </a:xfrm>
                    <a:prstGeom prst="rect">
                      <a:avLst/>
                    </a:prstGeom>
                    <a:noFill/>
                  </pic:spPr>
                </pic:pic>
              </a:graphicData>
            </a:graphic>
          </wp:inline>
        </w:drawing>
      </w:r>
    </w:p>
    <w:p w14:paraId="18ABF02A" w14:textId="6B5DBEB1" w:rsidR="00B42AEB" w:rsidRPr="001F2BA3" w:rsidRDefault="00B42AEB" w:rsidP="007F0EBB">
      <w:pPr>
        <w:pStyle w:val="Caption"/>
        <w:rPr>
          <w:noProof/>
          <w:lang w:val="lv-LV"/>
        </w:rPr>
      </w:pPr>
      <w:r w:rsidRPr="001F2BA3">
        <w:rPr>
          <w:noProof/>
          <w:lang w:val="lv-LV"/>
        </w:rPr>
        <w:t>Lietuvā izmantotās vēlēšanu zīmju mapes.</w:t>
      </w:r>
    </w:p>
    <w:p w14:paraId="3F2088A4" w14:textId="0A322D57" w:rsidR="00202542" w:rsidRPr="001F2BA3" w:rsidRDefault="0064747E" w:rsidP="00B42AEB">
      <w:pPr>
        <w:rPr>
          <w:noProof/>
          <w:lang w:val="lv-LV"/>
        </w:rPr>
      </w:pPr>
      <w:r w:rsidRPr="001F2BA3">
        <w:rPr>
          <w:noProof/>
          <w:lang w:val="lv-LV"/>
        </w:rPr>
        <w:t>Lietuvā ir pieejamas papīra mapes, kuras marķētas Braila rakstā un kurās vēlētāji var ievietot standarta vēlēšanu zīmes papīra formā. Maltā katrs vēlēšanu iecirknis ir aprīkots ar audio atskaņošanas ierīci, kas nolasa vēlēšanu zīmes saturu. Nīderlandē pilsoņi, kas balso no ārzemēm, izmanto saturiski vienkāršotas vēlēšanu zīmes. Viņi var izvēlēties, vai vēlēšanu zīmi vēlas saņemt pa pastu vai e-pastā. Kopā ar vēlēšanu zīmi tiek nosūtīts dokuments, kurā norādītas partijas un kandidāti. Visos vēlēšanu iecirkņos ir izvietoti kandidātu saraksti lielizdrukas formātā.</w:t>
      </w:r>
    </w:p>
    <w:p w14:paraId="3994C551" w14:textId="36ACE17A" w:rsidR="00E972D7" w:rsidRPr="001F2BA3" w:rsidRDefault="00A4693C" w:rsidP="00B42AEB">
      <w:pPr>
        <w:rPr>
          <w:noProof/>
          <w:lang w:val="lv-LV"/>
        </w:rPr>
      </w:pPr>
      <w:r w:rsidRPr="001F2BA3">
        <w:rPr>
          <w:noProof/>
          <w:lang w:val="lv-LV"/>
        </w:rPr>
        <w:t>Nīderlandē vēlētāji ar kognitīviem traucējumiem var saņemt (ārpus vēlēšanu kabīnes) skaidrojumu par to, kā lietojama vēlēšanu zīme. Daudzas pašvaldības un pilsoniskās sabiedrības organizācijas pirms vēlēšanām rīko mācību kursus par balsošanu. Turklāt vēlētāji ar kognitīviem traucējumiem var skatīt skaidrojumus tīmekļvietnē.</w:t>
      </w:r>
      <w:r w:rsidRPr="001F2BA3">
        <w:rPr>
          <w:rStyle w:val="FootnoteReference"/>
          <w:noProof/>
          <w:lang w:val="lv-LV"/>
        </w:rPr>
        <w:t>(</w:t>
      </w:r>
      <w:r w:rsidRPr="001F2BA3">
        <w:rPr>
          <w:rStyle w:val="FootnoteReference"/>
          <w:noProof/>
          <w:lang w:val="lv-LV"/>
        </w:rPr>
        <w:footnoteReference w:id="83"/>
      </w:r>
      <w:r w:rsidRPr="001F2BA3">
        <w:rPr>
          <w:rStyle w:val="FootnoteReference"/>
          <w:noProof/>
          <w:lang w:val="lv-LV"/>
        </w:rPr>
        <w:t>))</w:t>
      </w:r>
    </w:p>
    <w:p w14:paraId="218EB0B2" w14:textId="3450CDE2" w:rsidR="005F3847" w:rsidRPr="001F2BA3" w:rsidRDefault="005F3847" w:rsidP="00B42AEB">
      <w:pPr>
        <w:rPr>
          <w:noProof/>
          <w:lang w:val="lv-LV"/>
        </w:rPr>
      </w:pPr>
      <w:r w:rsidRPr="001F2BA3">
        <w:rPr>
          <w:noProof/>
          <w:lang w:val="lv-LV"/>
        </w:rPr>
        <w:t>Nīderlandē tiek izstrādāts jauna vēlēšanu zīme. Šī vēlēšanu zīme arī labāk atbildīs personu ar invaliditāti vajadzībām. Burtu šrifts ir lielāks un vieglāk salasāms. Ir pievienoti politisko partiju logotipi, lai partijas būtu labāk pamanāmas un atrodamas. Saistībā ar jauno vēlēšanu zīmi tiek izstrādāts arī universāls paraugs personām ar redzes traucējumiem. Mērķis ir panākt, lai pašvaldībā būtu vismaz viena veidne, kurai pievienota skaņas karte. Rumānija ir arī apsvērusi, kā vienkāršot vēlēšanu zīmes papīra formā, proti, samazināt tās līdz vienai lapai, jo tas varētu uzlabot vispārējo piekļūstamību, tostarp vēlētājiem ar redzes traucējumiem.</w:t>
      </w:r>
      <w:r w:rsidRPr="001F2BA3">
        <w:rPr>
          <w:rStyle w:val="FootnoteReference"/>
          <w:noProof/>
          <w:lang w:val="lv-LV"/>
        </w:rPr>
        <w:t>(</w:t>
      </w:r>
      <w:r w:rsidRPr="001F2BA3">
        <w:rPr>
          <w:rStyle w:val="FootnoteReference"/>
          <w:noProof/>
          <w:lang w:val="lv-LV"/>
        </w:rPr>
        <w:footnoteReference w:id="84"/>
      </w:r>
      <w:r w:rsidRPr="001F2BA3">
        <w:rPr>
          <w:rStyle w:val="FootnoteReference"/>
          <w:noProof/>
          <w:lang w:val="lv-LV"/>
        </w:rPr>
        <w:t>))</w:t>
      </w:r>
    </w:p>
    <w:p w14:paraId="18E8F280" w14:textId="63B5C58E" w:rsidR="00F53BDC" w:rsidRPr="001F2BA3" w:rsidRDefault="0099175B" w:rsidP="006B02A7">
      <w:pPr>
        <w:pStyle w:val="Heading2"/>
        <w:spacing w:before="240" w:after="240"/>
        <w:rPr>
          <w:noProof/>
          <w:lang w:val="lv-LV"/>
        </w:rPr>
      </w:pPr>
      <w:bookmarkStart w:id="71" w:name="_Toc148718597"/>
      <w:bookmarkStart w:id="72" w:name="_Toc158022331"/>
      <w:r w:rsidRPr="001F2BA3">
        <w:rPr>
          <w:noProof/>
          <w:lang w:val="lv-LV"/>
        </w:rPr>
        <w:t>7.4. Balsošanas iekārtu piekļūstamības palielināšana</w:t>
      </w:r>
      <w:bookmarkEnd w:id="71"/>
      <w:bookmarkEnd w:id="72"/>
    </w:p>
    <w:p w14:paraId="389A1358" w14:textId="1DD30C8C" w:rsidR="00353EE9" w:rsidRPr="001F2BA3" w:rsidRDefault="00353EE9" w:rsidP="00B42AEB">
      <w:pPr>
        <w:rPr>
          <w:noProof/>
          <w:bdr w:val="none" w:sz="0" w:space="0" w:color="auto" w:frame="1"/>
          <w:lang w:val="lv-LV"/>
        </w:rPr>
      </w:pPr>
      <w:r w:rsidRPr="001F2BA3">
        <w:rPr>
          <w:noProof/>
          <w:bdr w:val="none" w:sz="0" w:space="0" w:color="auto" w:frame="1"/>
          <w:lang w:val="lv-LV"/>
        </w:rPr>
        <w:t>Pašvaldību vēlēšanām 2018</w:t>
      </w:r>
      <w:r w:rsidR="001F2BA3">
        <w:rPr>
          <w:noProof/>
          <w:bdr w:val="none" w:sz="0" w:space="0" w:color="auto" w:frame="1"/>
          <w:lang w:val="lv-LV"/>
        </w:rPr>
        <w:t>. gad</w:t>
      </w:r>
      <w:r w:rsidRPr="001F2BA3">
        <w:rPr>
          <w:noProof/>
          <w:bdr w:val="none" w:sz="0" w:space="0" w:color="auto" w:frame="1"/>
          <w:lang w:val="lv-LV"/>
        </w:rPr>
        <w:t>ā un federālajām vēlēšanām 2019</w:t>
      </w:r>
      <w:r w:rsidR="001F2BA3">
        <w:rPr>
          <w:noProof/>
          <w:bdr w:val="none" w:sz="0" w:space="0" w:color="auto" w:frame="1"/>
          <w:lang w:val="lv-LV"/>
        </w:rPr>
        <w:t>. gad</w:t>
      </w:r>
      <w:r w:rsidRPr="001F2BA3">
        <w:rPr>
          <w:noProof/>
          <w:bdr w:val="none" w:sz="0" w:space="0" w:color="auto" w:frame="1"/>
          <w:lang w:val="lv-LV"/>
        </w:rPr>
        <w:t>ā Beļģija izstrādāja izmēģinājuma projektu, lai papildinātu elektroniskos balsošanas datorus ar audiomoduli, lai personas ar redzes traucējumiem varētu patstāvīgi balsot. Šis izmēģinājuma projekts tika izstrādāts ciešā sadarbībā ar invalīdu organizācijām un apvienībām, kas pārstāv redzes invalīdus. Loģistikas apsvērumu dēļ šo projektu nevarēja īstenot plašā mērogā.</w:t>
      </w:r>
    </w:p>
    <w:p w14:paraId="1CF6307E" w14:textId="38F06BD7" w:rsidR="00DA1AB1" w:rsidRPr="001F2BA3" w:rsidRDefault="00DA1AB1" w:rsidP="00B42AEB">
      <w:pPr>
        <w:rPr>
          <w:noProof/>
          <w:bdr w:val="none" w:sz="0" w:space="0" w:color="auto" w:frame="1"/>
          <w:lang w:val="lv-LV"/>
        </w:rPr>
      </w:pPr>
      <w:r w:rsidRPr="001F2BA3">
        <w:rPr>
          <w:noProof/>
          <w:lang w:val="lv-LV"/>
        </w:rPr>
        <w:t>Bulgārijā balsošanas iekārtas ir kļuvušas obligātas vēlēšanu iecirkņos valstī un katrā ārvalstī, kurā ir vismaz 300 vēlētāju. Saskarni veido skārienekrāns. Pēc tam, kad vēlētājs ir nobalsojis, ierīce izdrukā papīra lapu kā pierādījumu, ko vēlētājs var pārbaudīt. Tas ļauj arī manuāli saskaitīt balsis gadījumā, ja elektroniski saglabātās balsis tiek pazaudētas. Bulgārijas vēlēšanu kodekss paredz, ka balsošanas iekārtas tiek projektētas, ieviestas un uzturētas tā, lai cita starpā nodrošinātu vieglu un saprotamu piekļuvi balsošanas iekārtu mehānismiem un metodēm, tostarp vienkāršotu piekļuvi vēlētājiem ar redzes vai kustību traucējumiem.</w:t>
      </w:r>
    </w:p>
    <w:p w14:paraId="2B6B6BE4" w14:textId="258C2D7A" w:rsidR="00357AEF" w:rsidRPr="001F2BA3" w:rsidRDefault="00357AEF" w:rsidP="00B42AEB">
      <w:pPr>
        <w:rPr>
          <w:noProof/>
          <w:lang w:val="lv-LV"/>
        </w:rPr>
      </w:pPr>
      <w:r w:rsidRPr="001F2BA3">
        <w:rPr>
          <w:noProof/>
          <w:lang w:val="lv-LV"/>
        </w:rPr>
        <w:t>Kopš 2017</w:t>
      </w:r>
      <w:r w:rsidR="001F2BA3">
        <w:rPr>
          <w:noProof/>
          <w:lang w:val="lv-LV"/>
        </w:rPr>
        <w:t>. gad</w:t>
      </w:r>
      <w:r w:rsidRPr="001F2BA3">
        <w:rPr>
          <w:noProof/>
          <w:lang w:val="lv-LV"/>
        </w:rPr>
        <w:t xml:space="preserve">a 20. maija, kad stājās spēkā grozījumu likums </w:t>
      </w:r>
      <w:r w:rsidRPr="001F2BA3">
        <w:rPr>
          <w:i/>
          <w:iCs/>
          <w:noProof/>
          <w:lang w:val="lv-LV"/>
        </w:rPr>
        <w:t>ZVDZ-C</w:t>
      </w:r>
      <w:r w:rsidRPr="001F2BA3">
        <w:rPr>
          <w:noProof/>
          <w:lang w:val="lv-LV"/>
        </w:rPr>
        <w:t>, Slovēnijā vēlēšanās un referendumos vairs neizmanto balsošanas iekārtas, kas paredzētas vēlētājiem ar invaliditāti.</w:t>
      </w:r>
      <w:r w:rsidRPr="001F2BA3">
        <w:rPr>
          <w:rStyle w:val="FootnoteReference"/>
          <w:noProof/>
          <w:lang w:val="lv-LV"/>
        </w:rPr>
        <w:t>(</w:t>
      </w:r>
      <w:r w:rsidRPr="001F2BA3">
        <w:rPr>
          <w:rStyle w:val="FootnoteReference"/>
          <w:noProof/>
          <w:lang w:val="lv-LV"/>
        </w:rPr>
        <w:footnoteReference w:id="85"/>
      </w:r>
      <w:r w:rsidRPr="001F2BA3">
        <w:rPr>
          <w:rStyle w:val="FootnoteReference"/>
          <w:noProof/>
          <w:lang w:val="lv-LV"/>
        </w:rPr>
        <w:t>))</w:t>
      </w:r>
      <w:r w:rsidRPr="001F2BA3">
        <w:rPr>
          <w:noProof/>
          <w:lang w:val="lv-LV"/>
        </w:rPr>
        <w:t xml:space="preserve"> Tiesību akti tika grozīti, lai nodrošinātu, ka visi vēlēšanu iecirkņi ir pilnībā pieejami personām ar invaliditāti. Turklāt likumdevējs sekoja citu valstu piemēriem</w:t>
      </w:r>
      <w:r w:rsidRPr="001F2BA3">
        <w:rPr>
          <w:rStyle w:val="FootnoteReference"/>
          <w:noProof/>
          <w:lang w:val="lv-LV"/>
        </w:rPr>
        <w:t>(</w:t>
      </w:r>
      <w:r w:rsidRPr="001F2BA3">
        <w:rPr>
          <w:rStyle w:val="FootnoteReference"/>
          <w:noProof/>
          <w:lang w:val="lv-LV"/>
        </w:rPr>
        <w:footnoteReference w:id="86"/>
      </w:r>
      <w:r w:rsidRPr="001F2BA3">
        <w:rPr>
          <w:rStyle w:val="FootnoteReference"/>
          <w:noProof/>
          <w:lang w:val="lv-LV"/>
        </w:rPr>
        <w:t>))</w:t>
      </w:r>
      <w:r w:rsidRPr="001F2BA3">
        <w:rPr>
          <w:noProof/>
          <w:lang w:val="lv-LV"/>
        </w:rPr>
        <w:t xml:space="preserve"> un deva iespēju personām ar invaliditāti papildus balsošanai vēlēšanu iecirkņos balsot arī pa pastu.</w:t>
      </w:r>
    </w:p>
    <w:p w14:paraId="68D7323C" w14:textId="1FD244B7" w:rsidR="00F1598C" w:rsidRPr="001F2BA3" w:rsidRDefault="0099175B" w:rsidP="006B02A7">
      <w:pPr>
        <w:pStyle w:val="Heading2"/>
        <w:spacing w:before="240" w:after="240"/>
        <w:rPr>
          <w:noProof/>
          <w:lang w:val="lv-LV"/>
        </w:rPr>
      </w:pPr>
      <w:bookmarkStart w:id="73" w:name="_Toc148718598"/>
      <w:bookmarkStart w:id="74" w:name="_Toc158022332"/>
      <w:r w:rsidRPr="001F2BA3">
        <w:rPr>
          <w:noProof/>
          <w:lang w:val="lv-LV"/>
        </w:rPr>
        <w:t>7.5. Papildu balsošanas metodes</w:t>
      </w:r>
      <w:bookmarkEnd w:id="73"/>
      <w:bookmarkEnd w:id="74"/>
    </w:p>
    <w:p w14:paraId="124E64A4" w14:textId="282862A9" w:rsidR="00F1598C" w:rsidRPr="001F2BA3" w:rsidRDefault="00FF48B0" w:rsidP="00B42AEB">
      <w:pPr>
        <w:rPr>
          <w:noProof/>
          <w:lang w:val="lv-LV"/>
        </w:rPr>
      </w:pPr>
      <w:r w:rsidRPr="001F2BA3">
        <w:rPr>
          <w:noProof/>
          <w:lang w:val="lv-LV"/>
        </w:rPr>
        <w:t>Vairākas dalībvalstis ļauj vēlētājiem, kuri vēlēšanu dienā nevar ierasties vēlēšanu iecirknī, balsot iepriekš — no mājām, slimnīcā (Dānijā, Maltā un Portugālē) vai vēlēšanu iecirknī, kas atvērts pirms vēlēšanu dienas (Austrijā, Dānijā, Igaunijā, Latvijā, Lietuvā, Maltā, Portugālē, Slovēnijā, Somijā, Vācijā un Zviedrijā).</w:t>
      </w:r>
    </w:p>
    <w:p w14:paraId="63FE761A" w14:textId="1F1D16BD" w:rsidR="00FE4F70" w:rsidRPr="001F2BA3" w:rsidRDefault="004E4D77" w:rsidP="00B42AEB">
      <w:pPr>
        <w:rPr>
          <w:noProof/>
          <w:lang w:val="lv-LV"/>
        </w:rPr>
      </w:pPr>
      <w:r w:rsidRPr="001F2BA3">
        <w:rPr>
          <w:noProof/>
          <w:lang w:val="lv-LV"/>
        </w:rPr>
        <w:t>Vairākās dalībvalstīs, piemēram, Austrijā, Beļģijā, Dānijā, Itālijā, Īrijā, Latvijā, Lietuvā, Rumānijā, Ungārijā un Vācijā, personām ar invaliditāti ir iespēja balsot pieejamā vēlēšanu iecirknī</w:t>
      </w:r>
      <w:r w:rsidRPr="001F2BA3">
        <w:rPr>
          <w:rStyle w:val="FootnoteReference"/>
          <w:noProof/>
          <w:lang w:val="lv-LV"/>
        </w:rPr>
        <w:t>(</w:t>
      </w:r>
      <w:r w:rsidRPr="001F2BA3">
        <w:rPr>
          <w:rStyle w:val="FootnoteReference"/>
          <w:noProof/>
          <w:lang w:val="lv-LV"/>
        </w:rPr>
        <w:footnoteReference w:id="87"/>
      </w:r>
      <w:r w:rsidRPr="001F2BA3">
        <w:rPr>
          <w:rStyle w:val="FootnoteReference"/>
          <w:noProof/>
          <w:lang w:val="lv-LV"/>
        </w:rPr>
        <w:t>))</w:t>
      </w:r>
      <w:r w:rsidRPr="001F2BA3">
        <w:rPr>
          <w:noProof/>
          <w:lang w:val="lv-LV"/>
        </w:rPr>
        <w:t xml:space="preserve">. Nīderlandē vēlētāji nav piesaistīti vēlēšanu iecirkņiem. Ar balsošanas caurlaidi viņi var balsot jebkurā vēlēšanu iecirknī savā pašvaldībā. Dalībvalstīs, piemēram, Horvātijā, Igaunijā, Īrijā, Maltā un Nīderlandē, slimnīcās un/vai citās aprūpes iestādēs ir izveidoti īpaši vēlēšanu iecirkņi. </w:t>
      </w:r>
    </w:p>
    <w:p w14:paraId="662BA159" w14:textId="38B438C1" w:rsidR="001D73C2" w:rsidRPr="001F2BA3" w:rsidRDefault="00475B8D" w:rsidP="00B42AEB">
      <w:pPr>
        <w:rPr>
          <w:noProof/>
          <w:lang w:val="lv-LV"/>
        </w:rPr>
      </w:pPr>
      <w:r w:rsidRPr="001F2BA3">
        <w:rPr>
          <w:noProof/>
          <w:lang w:val="lv-LV"/>
        </w:rPr>
        <w:t xml:space="preserve">Dažās dalībvalstīs (piemēram, Čehijā, Dānijā, Horvātijā, Slovēnijā un Zviedrijā) ir pieejama balsošana ārpus vēlēšanu iecirkņa, proti, balsošana no vēlēšanu iecirkņa pirmā stāva vai no ieejas vēlēšanu iecirknī. </w:t>
      </w:r>
    </w:p>
    <w:p w14:paraId="579CDE2D" w14:textId="3A16FC16" w:rsidR="00637F9E" w:rsidRPr="001F2BA3" w:rsidRDefault="00637F9E" w:rsidP="00B42AEB">
      <w:pPr>
        <w:rPr>
          <w:noProof/>
          <w:lang w:val="lv-LV"/>
        </w:rPr>
      </w:pPr>
      <w:r w:rsidRPr="001F2BA3">
        <w:rPr>
          <w:noProof/>
          <w:lang w:val="lv-LV"/>
        </w:rPr>
        <w:t>Vairākās dalībvalstīs (piemēram, Austrijā, Bulgārijā, Čehijā, Dānijā, Horvātijā, Igaunijā, Itālijā, Īrijā, Latvijā, Lietuvā, Portugālē, Rumānijā, Slovēnijā, Ungārijā un Zviedrijā) tiek izmantota mobilā balsošana, kas nozīmē, ka vēlēšanu kastes uz vēlētāja atrašanās vietu (mājām, slimnīcu vai citu vietu) nogādā par vēlēšanu organizēšanu atbildīgās iestādes amatpersona. Dažas dalībvalstis, tostarp Itālija (dažas pašvaldības), Luksemburga</w:t>
      </w:r>
      <w:r w:rsidRPr="001F2BA3">
        <w:rPr>
          <w:rStyle w:val="FootnoteReference"/>
          <w:noProof/>
          <w:lang w:val="lv-LV"/>
        </w:rPr>
        <w:t>(</w:t>
      </w:r>
      <w:r w:rsidRPr="001F2BA3">
        <w:rPr>
          <w:rStyle w:val="FootnoteReference"/>
          <w:noProof/>
          <w:lang w:val="lv-LV"/>
        </w:rPr>
        <w:footnoteReference w:id="88"/>
      </w:r>
      <w:r w:rsidRPr="001F2BA3">
        <w:rPr>
          <w:rStyle w:val="FootnoteReference"/>
          <w:noProof/>
          <w:lang w:val="lv-LV"/>
        </w:rPr>
        <w:t>))</w:t>
      </w:r>
      <w:r w:rsidRPr="001F2BA3">
        <w:rPr>
          <w:noProof/>
          <w:lang w:val="lv-LV"/>
        </w:rPr>
        <w:t>, Polija, Portugāle un Somija, pat nodrošina vēlētājiem, tostarp personām ar invaliditāti, bezmaksas transportu uz vēlēšanu iecirkņiem, ievērojot īpašus nosacījumus. Beļģija arī nodrošina transportu uz vēlēšanu iecirkņiem.</w:t>
      </w:r>
    </w:p>
    <w:p w14:paraId="667B739F" w14:textId="1EEB0EF0" w:rsidR="00E53CB9" w:rsidRPr="001F2BA3" w:rsidRDefault="004E4D77" w:rsidP="00B42AEB">
      <w:pPr>
        <w:rPr>
          <w:noProof/>
          <w:lang w:val="lv-LV"/>
        </w:rPr>
      </w:pPr>
      <w:r w:rsidRPr="001F2BA3">
        <w:rPr>
          <w:noProof/>
          <w:lang w:val="lv-LV"/>
        </w:rPr>
        <w:t xml:space="preserve">Personas ar invaliditāti var saņemt palīdzību balsošanas procesā visās dalībvalstīs. Pastāv dažas atšķirības attiecībā uz to, kas palīdz vēlētājam, un nosacījumiem, kas vēlētājam jāizpilda. Lielākajā daļā dalībvalstu, piemēram, Austrijā, Beļģijā, Dānijā, Slovēnijā, Spānijā, Vācijā, Ungārijā un Zviedrijā, vēlētājiem ar invaliditāti bez ierobežojumiem var palīdzēt jebkura persona, kurai viņi uzticas. </w:t>
      </w:r>
    </w:p>
    <w:p w14:paraId="197C46A5" w14:textId="2259223A" w:rsidR="00F1598C" w:rsidRPr="001F2BA3" w:rsidRDefault="00953CBA" w:rsidP="00B42AEB">
      <w:pPr>
        <w:rPr>
          <w:noProof/>
          <w:lang w:val="lv-LV"/>
        </w:rPr>
      </w:pPr>
      <w:r w:rsidRPr="001F2BA3">
        <w:rPr>
          <w:noProof/>
          <w:lang w:val="lv-LV"/>
        </w:rPr>
        <w:t>Balsošana pa pastu valstī vai no ārvalstīm ir pieejama 20 dalībvalstīs. Balsošanas pa pastu prakse dažādās ES valstīs ir atšķirīga. Tikai dažas dalībvalstis, piemēram, Vācija un Spānija, ļauj visiem vēlētājiem balsot pa pastu. Tādās dalībvalstīs kā Austrija, Īrija, Lietuva, Nīderlande un Slovēnija šī metode attiecas tikai uz īpašām grupām, piemēram, vēlētājiem ar invaliditāti vai vēlētājiem ārvalstīs.</w:t>
      </w:r>
    </w:p>
    <w:p w14:paraId="3FA774EC" w14:textId="4472BFE9" w:rsidR="004F42CB" w:rsidRPr="001F2BA3" w:rsidRDefault="00786ACA" w:rsidP="00B42AEB">
      <w:pPr>
        <w:rPr>
          <w:noProof/>
          <w:lang w:val="lv-LV"/>
        </w:rPr>
      </w:pPr>
      <w:r w:rsidRPr="001F2BA3">
        <w:rPr>
          <w:noProof/>
          <w:lang w:val="lv-LV"/>
        </w:rPr>
        <w:t>Igaunijā ir pieejama balsošana tiešsaistē — vēlētāji var izvēlēties, vai vēlēšanu dienā doties uz vēlēšanu iecirkni vai vēlēšanu laikā nodot balsi tīmekļvietnē. Igaunijas Vēlēšanu likums noteic, ka balsošanas lietojumprogrammai ir jānodrošina atbalsts personām ar redzes traucējumiem. Šī prasība tiek izpildīta praksē, ļaujot šai grupai izmantot tiesības balsot bez palīdzības.</w:t>
      </w:r>
    </w:p>
    <w:p w14:paraId="48204868" w14:textId="1ACE7E16" w:rsidR="004F42CB" w:rsidRPr="001F2BA3" w:rsidRDefault="004F42CB" w:rsidP="00B42AEB">
      <w:pPr>
        <w:rPr>
          <w:noProof/>
          <w:lang w:val="lv-LV"/>
        </w:rPr>
      </w:pPr>
      <w:r w:rsidRPr="001F2BA3">
        <w:rPr>
          <w:noProof/>
          <w:lang w:val="lv-LV"/>
        </w:rPr>
        <w:t>Francijā balsošanu tiešsaistē izmanto, lai ievēlētu ārvalstīs dzīvojošo Francijas pilsoņu pārstāvjus likumdevēju vēlēšanu un konsulāro vēlēšanu laikā. Lai varētu balsot tiešsaistē, Francijas vēlētājiem ir jābūt oficiāli reģistrētiem ārvalstīs un reģistrētiem konsulārajā vēlētāju sarakstā. Viņiem arī jābūt sarakstā ar derīgu e-pasta adresi un tālruņa numuru, lai saņemtu lietotājvārdu (pa e-pastu) un paroli (īsziņā). Citas formalitātes nav nepieciešamas.</w:t>
      </w:r>
      <w:r w:rsidRPr="001F2BA3">
        <w:rPr>
          <w:rStyle w:val="FootnoteReference"/>
          <w:noProof/>
          <w:lang w:val="lv-LV"/>
        </w:rPr>
        <w:t>(</w:t>
      </w:r>
      <w:r w:rsidRPr="001F2BA3">
        <w:rPr>
          <w:rStyle w:val="FootnoteReference"/>
          <w:noProof/>
          <w:lang w:val="lv-LV"/>
        </w:rPr>
        <w:footnoteReference w:id="89"/>
      </w:r>
      <w:r w:rsidRPr="001F2BA3">
        <w:rPr>
          <w:rStyle w:val="FootnoteReference"/>
          <w:noProof/>
          <w:lang w:val="lv-LV"/>
        </w:rPr>
        <w:t>))</w:t>
      </w:r>
      <w:r w:rsidRPr="001F2BA3">
        <w:rPr>
          <w:noProof/>
          <w:lang w:val="lv-LV"/>
        </w:rPr>
        <w:t xml:space="preserve"> 2022</w:t>
      </w:r>
      <w:r w:rsidR="001F2BA3">
        <w:rPr>
          <w:noProof/>
          <w:lang w:val="lv-LV"/>
        </w:rPr>
        <w:t>. gad</w:t>
      </w:r>
      <w:r w:rsidRPr="001F2BA3">
        <w:rPr>
          <w:noProof/>
          <w:lang w:val="lv-LV"/>
        </w:rPr>
        <w:t>a prezidenta vēlēšanās Francijas vēlētāji ārvalstīs varēja balsot tiešsaistē piecas dienas pēc kārtas.  Eiropas un ārlietu ministrijas tīmekļvietnē ir publicēta virkne jautājumu un atbilžu, kas īpaši attiecas uz balsošanu tiešsaistē.</w:t>
      </w:r>
    </w:p>
    <w:p w14:paraId="198691A1" w14:textId="508AC2CB" w:rsidR="004F42CB" w:rsidRPr="001F2BA3" w:rsidRDefault="004F42CB" w:rsidP="00B42AEB">
      <w:pPr>
        <w:rPr>
          <w:noProof/>
          <w:lang w:val="lv-LV"/>
        </w:rPr>
      </w:pPr>
      <w:r w:rsidRPr="001F2BA3">
        <w:rPr>
          <w:noProof/>
          <w:lang w:val="lv-LV"/>
        </w:rPr>
        <w:t>2023</w:t>
      </w:r>
      <w:r w:rsidR="001F2BA3">
        <w:rPr>
          <w:noProof/>
          <w:lang w:val="lv-LV"/>
        </w:rPr>
        <w:t>. gad</w:t>
      </w:r>
      <w:r w:rsidRPr="001F2BA3">
        <w:rPr>
          <w:noProof/>
          <w:lang w:val="lv-LV"/>
        </w:rPr>
        <w:t>ā Vācija izmantoja tiešsaistes balsošanu sociālās politikas vēlēšanās, lai ievēlētu padomi, kas pārrauga valsts veselības un pensiju apdrošināšanas fondus. Aptuveni 22,3 miljoniem bija iespēja 51 dienu ilgā balsošanas periodā balsot tiešsaistē vai tradicionāli pa pastu.</w:t>
      </w:r>
      <w:r w:rsidRPr="001F2BA3">
        <w:rPr>
          <w:rStyle w:val="FootnoteReference"/>
          <w:noProof/>
          <w:lang w:val="lv-LV"/>
        </w:rPr>
        <w:t>(</w:t>
      </w:r>
      <w:r w:rsidRPr="001F2BA3">
        <w:rPr>
          <w:rStyle w:val="FootnoteReference"/>
          <w:noProof/>
          <w:lang w:val="lv-LV"/>
        </w:rPr>
        <w:footnoteReference w:id="90"/>
      </w:r>
      <w:r w:rsidRPr="001F2BA3">
        <w:rPr>
          <w:rStyle w:val="FootnoteReference"/>
          <w:noProof/>
          <w:lang w:val="lv-LV"/>
        </w:rPr>
        <w:t>))</w:t>
      </w:r>
    </w:p>
    <w:p w14:paraId="295D8D84" w14:textId="44C84434" w:rsidR="007E642B" w:rsidRPr="001F2BA3" w:rsidRDefault="007E642B" w:rsidP="00B42AEB">
      <w:pPr>
        <w:rPr>
          <w:noProof/>
          <w:lang w:val="lv-LV"/>
        </w:rPr>
      </w:pPr>
      <w:r w:rsidRPr="001F2BA3">
        <w:rPr>
          <w:noProof/>
          <w:lang w:val="lv-LV"/>
        </w:rPr>
        <w:t xml:space="preserve">Beļģijā, Francijā, Nīderlandē un Polijā izmanto balsošanu ar pilnvarojumu. Beļģijā un Polijā balsošana ar pilnvarojumu ir pieejama vēlētājiem, kuri nevar nokļūt vēlēšanu iecirknī noteiktu slimību vai veselības traucējumu, slikta veselības stāvokļa vai vecuma dēļ, tostarp personām ar invaliditāti. Francijā un Nīderlandē visi vēlētāji var balsot ar pilnvarojumu. Zviedrijas vēlētāji var balsot ar kurjera starpniecību, proti, cita persona nogādā vēlētāja sagatavoto vēlēšanu zīmi vēlēšanu iecirknī. </w:t>
      </w:r>
    </w:p>
    <w:p w14:paraId="37B80A00" w14:textId="748CCF3F" w:rsidR="00E77382" w:rsidRPr="001F2BA3" w:rsidRDefault="0099175B" w:rsidP="006B02A7">
      <w:pPr>
        <w:pStyle w:val="Heading2"/>
        <w:spacing w:before="240" w:after="240"/>
        <w:rPr>
          <w:noProof/>
          <w:lang w:val="lv-LV"/>
        </w:rPr>
      </w:pPr>
      <w:bookmarkStart w:id="75" w:name="_Toc148718599"/>
      <w:bookmarkStart w:id="76" w:name="_Toc158022333"/>
      <w:r w:rsidRPr="001F2BA3">
        <w:rPr>
          <w:noProof/>
          <w:lang w:val="lv-LV"/>
        </w:rPr>
        <w:t>7.6. Piekļuve vēlēšanu strīdu izšķiršanai</w:t>
      </w:r>
      <w:bookmarkEnd w:id="75"/>
      <w:bookmarkEnd w:id="76"/>
    </w:p>
    <w:p w14:paraId="5D48DAF1" w14:textId="13457737" w:rsidR="00F25CDA" w:rsidRPr="001F2BA3" w:rsidRDefault="009F7081" w:rsidP="00B42AEB">
      <w:pPr>
        <w:rPr>
          <w:noProof/>
          <w:lang w:val="lv-LV"/>
        </w:rPr>
      </w:pPr>
      <w:r w:rsidRPr="001F2BA3">
        <w:rPr>
          <w:noProof/>
          <w:lang w:val="lv-LV"/>
        </w:rPr>
        <w:t>Vairākas dalībvalstis ir veikušas īpašus pasākumus, lai personas ar invaliditāti varētu piekļūt tiesu sistēmai, piemēram, nodrošinot informāciju pieejamos formātos vai padarot pieejamus īpašus formātus, tostarp digitālās metodes sūdzību iesniegšanai.</w:t>
      </w:r>
      <w:r w:rsidRPr="001F2BA3">
        <w:rPr>
          <w:rStyle w:val="FootnoteReference"/>
          <w:noProof/>
          <w:lang w:val="lv-LV"/>
        </w:rPr>
        <w:t>(</w:t>
      </w:r>
      <w:r w:rsidRPr="001F2BA3">
        <w:rPr>
          <w:rStyle w:val="FootnoteReference"/>
          <w:noProof/>
          <w:lang w:val="lv-LV"/>
        </w:rPr>
        <w:footnoteReference w:id="91"/>
      </w:r>
      <w:r w:rsidRPr="001F2BA3">
        <w:rPr>
          <w:rStyle w:val="FootnoteReference"/>
          <w:noProof/>
          <w:lang w:val="lv-LV"/>
        </w:rPr>
        <w:t>))</w:t>
      </w:r>
      <w:r w:rsidRPr="001F2BA3">
        <w:rPr>
          <w:noProof/>
          <w:lang w:val="lv-LV"/>
        </w:rPr>
        <w:t xml:space="preserve"> Piekļuve vēlēšanu strīdu izšķiršanai ietver arī sūdzību iesniegšanas mehānismu pieejamību un to, ka ir pieejamas arī sūdzību izskatīšanas vai lēmumu pieņemšanas vietas.</w:t>
      </w:r>
    </w:p>
    <w:p w14:paraId="5CE2F746" w14:textId="25A0AF32" w:rsidR="001559C0" w:rsidRPr="001F2BA3" w:rsidRDefault="00D54ADA" w:rsidP="00B42AEB">
      <w:pPr>
        <w:rPr>
          <w:noProof/>
          <w:lang w:val="lv-LV"/>
        </w:rPr>
      </w:pPr>
      <w:r w:rsidRPr="001F2BA3">
        <w:rPr>
          <w:noProof/>
          <w:lang w:val="lv-LV"/>
        </w:rPr>
        <w:t xml:space="preserve">Valsts stratēģijā par personu ar invaliditāti tiesībām Rumānija ir apņēmusies iekļaut prasību publicēt veidnes pieejamos formātos pieprasījumiem un sūdzībām saistībā ar vēlēšanu tiesībām. Lietuva ieviesa pieejamu informācijas sistēmu vēlēšanu strīdu risināšanai, ko vēlētāji var izmantot, lai iesniegtu sūdzības. Spānijā vēlētāji var iesniegt sūdzības par vēlēšanu iecirkņiem, kas neatbilst likumā noteiktajām piekļūstamības prasībām. Īrijā vēlēšanu iecirkņu atbildīgie darbinieki risina visus jautājumus, kas saistīti ar vēlēšanu norises vietu piekļūstamību, un viņi ir atbildīgi par vēlēšanu pasākumu norisi katrā vēlēšanu apgabalā. </w:t>
      </w:r>
    </w:p>
    <w:p w14:paraId="76C6667F" w14:textId="3B5D0876" w:rsidR="00172C0C" w:rsidRPr="001F2BA3" w:rsidRDefault="0099175B" w:rsidP="006B02A7">
      <w:pPr>
        <w:pStyle w:val="Heading2"/>
        <w:spacing w:before="240" w:after="240"/>
        <w:rPr>
          <w:noProof/>
          <w:lang w:val="lv-LV"/>
        </w:rPr>
      </w:pPr>
      <w:bookmarkStart w:id="77" w:name="_Toc148718600"/>
      <w:bookmarkStart w:id="78" w:name="_Toc158022334"/>
      <w:r w:rsidRPr="001F2BA3">
        <w:rPr>
          <w:noProof/>
          <w:lang w:val="lv-LV"/>
        </w:rPr>
        <w:t>7.7. Datu vākšana par personu ar invaliditāti dalību vēlēšanās</w:t>
      </w:r>
      <w:bookmarkEnd w:id="77"/>
      <w:bookmarkEnd w:id="78"/>
    </w:p>
    <w:p w14:paraId="34570675" w14:textId="7DE48870" w:rsidR="00172C0C" w:rsidRPr="001F2BA3" w:rsidRDefault="00B56C06" w:rsidP="00B42AEB">
      <w:pPr>
        <w:rPr>
          <w:noProof/>
          <w:lang w:val="lv-LV"/>
        </w:rPr>
      </w:pPr>
      <w:r w:rsidRPr="001F2BA3">
        <w:rPr>
          <w:noProof/>
          <w:lang w:val="lv-LV"/>
        </w:rPr>
        <w:t>Ir svarīgi apkopot statistiku par iedzīvotāju ar invaliditāti dalību vēlēšanās, lai pārbaudītu, cik efektīvi viņi var izmantot vēlēšanu tiesības. Tas var palīdzēt novērtēt pasākumus, kas ieviesti personām ar invaliditāti, un varētu palīdzēt rast efektīvākus risinājumus. Tāpat atsevišķus datus par invaliditāti ir lietderīgi izmantot ES un valstu informētības veicināšanas kampaņās par vēlēšanām, tādējādi palielinot to sasniedzamību un efektivitāti.</w:t>
      </w:r>
    </w:p>
    <w:p w14:paraId="099F74C6" w14:textId="0B002927" w:rsidR="00172C0C" w:rsidRPr="001F2BA3" w:rsidRDefault="008A5EA0" w:rsidP="00B42AEB">
      <w:pPr>
        <w:rPr>
          <w:noProof/>
          <w:lang w:val="lv-LV"/>
        </w:rPr>
      </w:pPr>
      <w:r w:rsidRPr="001F2BA3">
        <w:rPr>
          <w:noProof/>
          <w:lang w:val="lv-LV"/>
        </w:rPr>
        <w:t>Vēlēšanās izmantotie reģistrācijas procesi, tostarp vēlētāju reģistrācija, kandidātu reģistrācija, piekļuves piešķiršana īpašām balsošanas procedūrām vai vēlētāju klātbūtnes reģistrēšana vēlēšanu iecirknī, var sniegt iestādēm iespēju apkopot informāciju par to, kuros vēlēšanu iecirkņos dzīvo vēlētāji ar invaliditāti, cik daudz vēlētāju ar invaliditāti ir dažādos vēlēšanu iecirkņos un kādi pielāgojumi viņiem nepieciešami, lai varētu piedalīties vēlēšanās vienlīdzīgi ar citiem vēlētājiem.</w:t>
      </w:r>
    </w:p>
    <w:p w14:paraId="454F813C" w14:textId="1B32B5AE" w:rsidR="00172C0C" w:rsidRPr="001F2BA3" w:rsidRDefault="00172C0C" w:rsidP="00B42AEB">
      <w:pPr>
        <w:rPr>
          <w:rStyle w:val="normaltextrun"/>
          <w:noProof/>
          <w:lang w:val="lv-LV"/>
        </w:rPr>
      </w:pPr>
      <w:r w:rsidRPr="001F2BA3">
        <w:rPr>
          <w:noProof/>
          <w:lang w:val="lv-LV"/>
        </w:rPr>
        <w:t xml:space="preserve">Statistikas datu vākšana, </w:t>
      </w:r>
      <w:r w:rsidRPr="001F2BA3">
        <w:rPr>
          <w:rStyle w:val="normaltextrun"/>
          <w:noProof/>
          <w:lang w:val="lv-LV"/>
        </w:rPr>
        <w:t>sadalot tos pēc invaliditātes veida, vai aptauju veikšana</w:t>
      </w:r>
      <w:r w:rsidRPr="001F2BA3">
        <w:rPr>
          <w:noProof/>
          <w:lang w:val="lv-LV"/>
        </w:rPr>
        <w:t xml:space="preserve"> par vairākiem faktoriem, kas saistīti ar personām ar invaliditāti un vēlēšanu iecirkņu piekļūstamību,</w:t>
      </w:r>
      <w:r w:rsidRPr="001F2BA3">
        <w:rPr>
          <w:rStyle w:val="normaltextrun"/>
          <w:noProof/>
          <w:lang w:val="lv-LV"/>
        </w:rPr>
        <w:t xml:space="preserve"> var palīdzēt vēlēšanu iestādēm efektīvāk sadalīt savus resursus. Visu attiecīgo iestāžu resursu un datu apvienošana, tostarp apvienojot statistikas informāciju ar administratīvajiem datiem par invaliditāti un iekļaušanu, ļauj gūt precīzāku priekšstatu par atbalstu, kas nepieciešams personām ar invaliditāti, lai efektīvi izmantotu vēlēšanu tiesības.</w:t>
      </w:r>
    </w:p>
    <w:p w14:paraId="141DB299" w14:textId="0C6FFE85" w:rsidR="001D31EC" w:rsidRPr="001F2BA3" w:rsidRDefault="006C4C6A" w:rsidP="00B42AEB">
      <w:pPr>
        <w:rPr>
          <w:rStyle w:val="normaltextrun"/>
          <w:noProof/>
          <w:lang w:val="lv-LV"/>
        </w:rPr>
      </w:pPr>
      <w:r w:rsidRPr="001F2BA3">
        <w:rPr>
          <w:rStyle w:val="normaltextrun"/>
          <w:noProof/>
          <w:lang w:val="lv-LV"/>
        </w:rPr>
        <w:t xml:space="preserve">Personas datu apstrādei ir jānotiek pilnīgā saskaņā ar Vispārīgo datu aizsardzības regulu (VDAR). Veselības dati, piemēram, personas dati par personas invaliditāti, ir īpaša personas datu kategorija, kam saskaņā ar minēto regulu piemēro īpašu aizsardzību. </w:t>
      </w:r>
    </w:p>
    <w:p w14:paraId="1737BA7A" w14:textId="33ECCE9C" w:rsidR="005F5DD5" w:rsidRPr="001F2BA3" w:rsidRDefault="00172C0C" w:rsidP="00B42AEB">
      <w:pPr>
        <w:rPr>
          <w:noProof/>
          <w:lang w:val="lv-LV"/>
        </w:rPr>
      </w:pPr>
      <w:r w:rsidRPr="001F2BA3">
        <w:rPr>
          <w:rStyle w:val="normaltextrun"/>
          <w:noProof/>
          <w:lang w:val="lv-LV"/>
        </w:rPr>
        <w:t>Piemēram, Rumānija apkopo datus par personu ar invaliditāti dalību vēlēšanās, salīdzinot to personu skaitu, kurām ir invaliditātes apliecība, un vēlētāju skaitu. Tas tiek darīts, pamatojoties uz oficiālu vienošanos starp Pastāvīgo vēlēšanu iestādi un Valsts personu ar invaliditāti tiesību aizsardzības iestādi, un nodrošina datu aizsardzības prasību ievērošanu.</w:t>
      </w:r>
    </w:p>
    <w:p w14:paraId="161DA235" w14:textId="0B4CEFB1" w:rsidR="00172C0C" w:rsidRPr="001F2BA3" w:rsidRDefault="00172C0C" w:rsidP="00B42AEB">
      <w:pPr>
        <w:rPr>
          <w:noProof/>
          <w:lang w:val="lv-LV"/>
        </w:rPr>
      </w:pPr>
      <w:r w:rsidRPr="001F2BA3">
        <w:rPr>
          <w:noProof/>
          <w:lang w:val="lv-LV"/>
        </w:rPr>
        <w:t>Zviedrija apkopo statistikas datus par personu ar invaliditāti dalību vēlēšanās (kā parādīts turpmāk attēlā).</w:t>
      </w:r>
    </w:p>
    <w:p w14:paraId="09E482B4" w14:textId="5C4CBE2A" w:rsidR="00172C0C" w:rsidRPr="001F2BA3" w:rsidRDefault="00B6763E" w:rsidP="00B7011F">
      <w:pPr>
        <w:jc w:val="center"/>
        <w:rPr>
          <w:noProof/>
          <w:lang w:val="lv-LV"/>
        </w:rPr>
      </w:pPr>
      <w:r w:rsidRPr="00B6763E">
        <w:rPr>
          <w:noProof/>
          <w:lang w:val="en-GB" w:eastAsia="en-GB" w:bidi="ar-SA"/>
        </w:rPr>
        <w:drawing>
          <wp:inline distT="0" distB="0" distL="0" distR="0" wp14:anchorId="6B56CE70" wp14:editId="2C2C82B2">
            <wp:extent cx="2152800" cy="46548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152800" cy="4654800"/>
                    </a:xfrm>
                    <a:prstGeom prst="rect">
                      <a:avLst/>
                    </a:prstGeom>
                    <a:noFill/>
                    <a:ln>
                      <a:noFill/>
                    </a:ln>
                  </pic:spPr>
                </pic:pic>
              </a:graphicData>
            </a:graphic>
          </wp:inline>
        </w:drawing>
      </w:r>
      <w:r w:rsidR="007013F9" w:rsidRPr="001F2BA3">
        <w:rPr>
          <w:noProof/>
          <w:lang w:val="en-GB" w:eastAsia="en-GB" w:bidi="ar-SA"/>
        </w:rPr>
        <w:drawing>
          <wp:inline distT="0" distB="0" distL="0" distR="0" wp14:anchorId="208E20B2" wp14:editId="5E9C6901">
            <wp:extent cx="2748485" cy="4628449"/>
            <wp:effectExtent l="0" t="0" r="0" b="1270"/>
            <wp:docPr id="90" name="Picture 90" descr="Diagramma ar tekstu. Tajā atspoguļota vēlētāju aktivitāte 2018. gada parlamenta vēlēšanās Zviedrijā dažādās iedzīvotāju grupās (ar dzirdes traucējumiem, redzes traucējumiem, personas ar invaliditāti, astmu, alerģiju, disleksiju, rīcībspēju, psiholoģiskām slimībām u. 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A graph with text on it. It presents turnout in  the 2018 parliamentary elections in Sweden for different groups (hearing impairment, visual impairment, persons with disabilities, asthma, allergy, dyslexia, capacity to conduct activities, psychological illness, etc.)"/>
                    <pic:cNvPicPr/>
                  </pic:nvPicPr>
                  <pic:blipFill>
                    <a:blip r:embed="rId20">
                      <a:extLst>
                        <a:ext uri="{28A0092B-C50C-407E-A947-70E740481C1C}">
                          <a14:useLocalDpi xmlns:a14="http://schemas.microsoft.com/office/drawing/2010/main" val="0"/>
                        </a:ext>
                      </a:extLst>
                    </a:blip>
                    <a:stretch>
                      <a:fillRect/>
                    </a:stretch>
                  </pic:blipFill>
                  <pic:spPr>
                    <a:xfrm>
                      <a:off x="0" y="0"/>
                      <a:ext cx="2751031" cy="4632737"/>
                    </a:xfrm>
                    <a:prstGeom prst="rect">
                      <a:avLst/>
                    </a:prstGeom>
                  </pic:spPr>
                </pic:pic>
              </a:graphicData>
            </a:graphic>
          </wp:inline>
        </w:drawing>
      </w:r>
    </w:p>
    <w:p w14:paraId="719367FF" w14:textId="50D5BFB8" w:rsidR="00172C0C" w:rsidRPr="001F2BA3" w:rsidRDefault="00172C0C" w:rsidP="00B42AEB">
      <w:pPr>
        <w:rPr>
          <w:noProof/>
          <w:lang w:val="lv-LV"/>
        </w:rPr>
      </w:pPr>
      <w:r w:rsidRPr="001F2BA3">
        <w:rPr>
          <w:noProof/>
          <w:lang w:val="lv-LV"/>
        </w:rPr>
        <w:t>Vairākas dalībvalstis, piemēram, Ungārija un Spānija, vāc datus par vēlētājiem, kuri pieprasa piekļuvi īpašai balsošanas kārtībai. Kopš 2016</w:t>
      </w:r>
      <w:r w:rsidR="001F2BA3">
        <w:rPr>
          <w:noProof/>
          <w:lang w:val="lv-LV"/>
        </w:rPr>
        <w:t>. gad</w:t>
      </w:r>
      <w:r w:rsidRPr="001F2BA3">
        <w:rPr>
          <w:noProof/>
          <w:lang w:val="lv-LV"/>
        </w:rPr>
        <w:t>a. Lietuvā ir izveidots elektronisks reģistrs, kurā iekļautas personas, kam ir tiesības balsot mājās, tostarp vēlētāji ar invaliditāti un personas, kas vecākas par 70 gadiem. Luksemburgā šādu datu vākšana ir īpaši svarīga, jo dalība vēlēšanās ir obligāta visiem reģistrētajiem vēlētājiem līdz 75 gadu vecumam. Luksemburga arī veic aptaujas, lai apkopotu datus par vairākiem faktoriem, kas saistīti ar personām ar invaliditāti un vēlēšanu piekļūstamību.</w:t>
      </w:r>
    </w:p>
    <w:p w14:paraId="06035948" w14:textId="32CCA47C" w:rsidR="00DC6D28" w:rsidRPr="001F2BA3" w:rsidRDefault="0099175B" w:rsidP="006B02A7">
      <w:pPr>
        <w:pStyle w:val="Heading2"/>
        <w:spacing w:before="240" w:after="240"/>
        <w:rPr>
          <w:noProof/>
          <w:lang w:val="lv-LV"/>
        </w:rPr>
      </w:pPr>
      <w:bookmarkStart w:id="79" w:name="_Toc148718601"/>
      <w:bookmarkStart w:id="80" w:name="_Toc158022335"/>
      <w:r w:rsidRPr="001F2BA3">
        <w:rPr>
          <w:noProof/>
          <w:lang w:val="lv-LV"/>
        </w:rPr>
        <w:t>7.8. Vēlēšanu piekļūstamības uzraudzība un novērtēšana</w:t>
      </w:r>
      <w:bookmarkEnd w:id="79"/>
      <w:bookmarkEnd w:id="80"/>
    </w:p>
    <w:p w14:paraId="7481BD36" w14:textId="085B858E" w:rsidR="005F78F7" w:rsidRPr="001F2BA3" w:rsidRDefault="005F5DD5" w:rsidP="00B42AEB">
      <w:pPr>
        <w:rPr>
          <w:noProof/>
          <w:lang w:val="lv-LV"/>
        </w:rPr>
      </w:pPr>
      <w:r w:rsidRPr="001F2BA3">
        <w:rPr>
          <w:noProof/>
          <w:lang w:val="lv-LV"/>
        </w:rPr>
        <w:t>Laika posmā pēc vēlēšanām parasti tiek izvērtēts, kā izdevies nodrošināt netraucētas un uzticamas vēlēšanas, kā arī novērtēts, kā tika īstenoti noteikumi un izmantoti resursi. Vairākas dalībvalstis (Lietuva, Rumānija un Zviedrija) pieprasa, lai vēlēšanu iestādes īpaši novērtētu, kā ticis veikts vēlēšanu process. Īrijas jaunajai vēlēšanu komisijai ir likumdošanas pilnvaras veikt pēcvēlēšanu notikumu pārskatīšanu. Šajos pārskatos tiks pārbaudīts balsu skaitītāju un vēlēšanu iecirkņu priekšsēdētāju (kas vēlēšanu laikā uzrauga vēlēšanu iecirkņus) atbalsts balsošanas atvieglošanā neredzīgiem, rīcībnespējīgiem un analfabētiem vēlētājiem vēlēšanu iecirkņos. Spānija sagatavo anketas, lai novērtētu vēlēšanu atbilstību piekļūstamības prasībām, un piekļūstamības ziņojumus pēc katra vēlēšanu procesa. Katrā valdības delegācijā (19) un apakšdelegācijā (52) tiek iecelti vēlēšanu piekļūstamības vadītāji, kuri ir atbildīgi par vēlēšanu piekļūstamību katrā vēlēšanu procesā, darbojas kā Iekšlietu ministrijas sarunu partneri un veic ātru turpmāko rīcību visos ar vēlēšanu piekļūstamību saistītos gadījumos. Nīderlandē tiek veikti līdzīgi novērtējumi un pēcvēlēšanu aptaujas. Nīderlandē vēlētāji var izmantot uzticības tālruni “Neierobežota balsošana” (</w:t>
      </w:r>
      <w:r w:rsidRPr="001F2BA3">
        <w:rPr>
          <w:i/>
          <w:iCs/>
          <w:noProof/>
          <w:lang w:val="lv-LV"/>
        </w:rPr>
        <w:t>Meldpunt Onbeperkt Stemmen</w:t>
      </w:r>
      <w:r w:rsidRPr="001F2BA3">
        <w:rPr>
          <w:noProof/>
          <w:lang w:val="lv-LV"/>
        </w:rPr>
        <w:t>), lai ziņotu par pozitīvu vai negatīvu pieredzi un izteiktu priekšlikumus vēlēšanu piekļūstamības uzlabošanai.</w:t>
      </w:r>
    </w:p>
    <w:p w14:paraId="1A63EBAC" w14:textId="1418B714" w:rsidR="005F78F7" w:rsidRPr="001F2BA3" w:rsidRDefault="005F78F7" w:rsidP="00B42AEB">
      <w:pPr>
        <w:rPr>
          <w:noProof/>
          <w:lang w:val="lv-LV"/>
        </w:rPr>
      </w:pPr>
      <w:r w:rsidRPr="001F2BA3">
        <w:rPr>
          <w:noProof/>
          <w:lang w:val="lv-LV"/>
        </w:rPr>
        <w:t>Francijā vēlēšanu piekļūstamība tiek uzraudzīta vēlēšanu laikā un novērtēta pēc vēlēšanām. Vēlēšanu uzraudzību veic neatkarīga iestāde — Nacionālā konsultatīvā padome personām ar invaliditāti — un pilsoniskās sabiedrības organizācijas. To novērtējumi ir publicēti tiešsaistē</w:t>
      </w:r>
      <w:r w:rsidRPr="001F2BA3">
        <w:rPr>
          <w:rStyle w:val="FootnoteReference"/>
          <w:noProof/>
          <w:lang w:val="lv-LV"/>
        </w:rPr>
        <w:t>(</w:t>
      </w:r>
      <w:r w:rsidRPr="001F2BA3">
        <w:rPr>
          <w:rStyle w:val="FootnoteReference"/>
          <w:noProof/>
          <w:lang w:val="lv-LV"/>
        </w:rPr>
        <w:footnoteReference w:id="92"/>
      </w:r>
      <w:r w:rsidRPr="001F2BA3">
        <w:rPr>
          <w:rStyle w:val="FootnoteReference"/>
          <w:noProof/>
          <w:lang w:val="lv-LV"/>
        </w:rPr>
        <w:t>))</w:t>
      </w:r>
      <w:r w:rsidRPr="001F2BA3">
        <w:rPr>
          <w:noProof/>
          <w:lang w:val="lv-LV"/>
        </w:rPr>
        <w:t>. Pēc vēlēšanām Iekšlietu ministrija, kas ir atbildīga par vēlēšanu organizēšanu, un Nacionālā komiteja personu ar invaliditāti jautājumos kopā ar pilsoniskās sabiedrības organizācijām un politiskajām partijām izvērtē, kas vēlēšanu organizēšanā ir izdevies un ko varētu uzlabot pirms nākamajām vēlēšanām.</w:t>
      </w:r>
    </w:p>
    <w:p w14:paraId="2C472F62" w14:textId="47116067" w:rsidR="005F5DD5" w:rsidRPr="001F2BA3" w:rsidRDefault="00E7413F" w:rsidP="00B42AEB">
      <w:pPr>
        <w:rPr>
          <w:noProof/>
          <w:lang w:val="lv-LV"/>
        </w:rPr>
      </w:pPr>
      <w:r w:rsidRPr="001F2BA3">
        <w:rPr>
          <w:noProof/>
          <w:lang w:val="lv-LV"/>
        </w:rPr>
        <w:t>Pēc katrām Eiropas Parlamenta vēlēšanām Komisija arī sagatavo ziņojumu par jautājumiem, ar kuriem saskaras personas ar invaliditāti.</w:t>
      </w:r>
    </w:p>
    <w:p w14:paraId="245760E7" w14:textId="61042173" w:rsidR="008D65A6" w:rsidRPr="001F2BA3" w:rsidRDefault="00DE389B" w:rsidP="006B02A7">
      <w:pPr>
        <w:pStyle w:val="Heading1"/>
        <w:spacing w:before="360" w:after="240" w:line="288" w:lineRule="auto"/>
        <w:rPr>
          <w:noProof/>
          <w:lang w:val="lv-LV"/>
        </w:rPr>
      </w:pPr>
      <w:bookmarkStart w:id="81" w:name="_Toc148718602"/>
      <w:bookmarkStart w:id="82" w:name="_Toc158022336"/>
      <w:r w:rsidRPr="001F2BA3">
        <w:rPr>
          <w:noProof/>
          <w:lang w:val="lv-LV"/>
        </w:rPr>
        <w:t>8. Nobeiguma apsvērumi</w:t>
      </w:r>
      <w:bookmarkEnd w:id="81"/>
      <w:bookmarkEnd w:id="82"/>
    </w:p>
    <w:p w14:paraId="0F9EDE65" w14:textId="75E03E5D" w:rsidR="005B346B" w:rsidRPr="001F2BA3" w:rsidRDefault="00304616" w:rsidP="006B02A7">
      <w:pPr>
        <w:rPr>
          <w:noProof/>
          <w:lang w:val="lv-LV"/>
        </w:rPr>
      </w:pPr>
      <w:r w:rsidRPr="001F2BA3">
        <w:rPr>
          <w:noProof/>
          <w:lang w:val="lv-LV"/>
        </w:rPr>
        <w:t>Līdztiesība un nediskriminācija, kā arī personu ar invaliditāti integrācija ir ES pamatvērtības un pamattiesības, kas noteiktas ES Pamattiesību hartā. Lai veicinātu tādas Savienības izveidi, kurā valda līdztiesība, Komisija 2021</w:t>
      </w:r>
      <w:r w:rsidR="001F2BA3">
        <w:rPr>
          <w:noProof/>
          <w:lang w:val="lv-LV"/>
        </w:rPr>
        <w:t>. gad</w:t>
      </w:r>
      <w:r w:rsidRPr="001F2BA3">
        <w:rPr>
          <w:noProof/>
          <w:lang w:val="lv-LV"/>
        </w:rPr>
        <w:t>a martā nāca klajā ar jaunu vērienīgu stratēģiju personu ar invaliditāti tiesību jomā laikposmam no 2021</w:t>
      </w:r>
      <w:r w:rsidR="001F2BA3">
        <w:rPr>
          <w:noProof/>
          <w:lang w:val="lv-LV"/>
        </w:rPr>
        <w:t>. gad</w:t>
      </w:r>
      <w:r w:rsidRPr="001F2BA3">
        <w:rPr>
          <w:noProof/>
          <w:lang w:val="lv-LV"/>
        </w:rPr>
        <w:t>a līdz 2030</w:t>
      </w:r>
      <w:r w:rsidR="001F2BA3">
        <w:rPr>
          <w:noProof/>
          <w:lang w:val="lv-LV"/>
        </w:rPr>
        <w:t>. gad</w:t>
      </w:r>
      <w:r w:rsidRPr="001F2BA3">
        <w:rPr>
          <w:noProof/>
          <w:lang w:val="lv-LV"/>
        </w:rPr>
        <w:t>am. Stratēģijas mērķis ir uzlabot cilvēku ar invaliditāti dzīvi, tostarp nodrošināt viņiem iespēju līdztiesīgi piedalīties vēlēšanās.</w:t>
      </w:r>
    </w:p>
    <w:p w14:paraId="0ABD5CCB" w14:textId="4A89009F" w:rsidR="00972F59" w:rsidRPr="001F2BA3" w:rsidRDefault="00972F59" w:rsidP="00B42AEB">
      <w:pPr>
        <w:rPr>
          <w:noProof/>
          <w:lang w:val="lv-LV"/>
        </w:rPr>
      </w:pPr>
      <w:r w:rsidRPr="001F2BA3">
        <w:rPr>
          <w:noProof/>
          <w:lang w:val="lv-LV"/>
        </w:rPr>
        <w:t xml:space="preserve">Lai gan dalībvalstis arvien vairāk atzīst un pievēršas tam, cik svarīgi ir nodrošināt līdztiesīgu piekļuvi vēlēšanām pilsoņiem ar invaliditāti, ES ir pieņēmusi arī vairākus tiesību aktus un standartus par piekļūstamību, kas var būt noderīgi kā atsauces, lai iekļautu piekļūstamības elementus dažādos vēlēšanu procesu posmos. </w:t>
      </w:r>
    </w:p>
    <w:p w14:paraId="77EC65B2" w14:textId="38BE9ADB" w:rsidR="004D28B3" w:rsidRPr="001F2BA3" w:rsidRDefault="0044004C" w:rsidP="00B42AEB">
      <w:pPr>
        <w:rPr>
          <w:noProof/>
          <w:lang w:val="lv-LV"/>
        </w:rPr>
      </w:pPr>
      <w:r w:rsidRPr="001F2BA3">
        <w:rPr>
          <w:noProof/>
          <w:lang w:val="lv-LV"/>
        </w:rPr>
        <w:t xml:space="preserve">Šis labas vēlēšanu prakses ceļvedis ir sagatavots, lai atbalstītu dalībvalstu apmaiņu ar labo praksi un speciālām zināšanām un kopumā atbalstītu to centienus nodrošināt, lai pilsoņi ar invaliditāti varētu efektīvi izmantot vēlēšanu tiesības. </w:t>
      </w:r>
    </w:p>
    <w:p w14:paraId="63B0EE08" w14:textId="67DECDAC" w:rsidR="00430C8E" w:rsidRPr="001F2BA3" w:rsidRDefault="00CE304F" w:rsidP="00B42AEB">
      <w:pPr>
        <w:rPr>
          <w:noProof/>
          <w:lang w:val="lv-LV"/>
        </w:rPr>
      </w:pPr>
      <w:r w:rsidRPr="001F2BA3">
        <w:rPr>
          <w:noProof/>
          <w:lang w:val="lv-LV"/>
        </w:rPr>
        <w:t>Galvenie dalībvalstu veiktie pasākumi ir šādi</w:t>
      </w:r>
      <w:r w:rsidRPr="001F2BA3">
        <w:rPr>
          <w:rStyle w:val="FootnoteReference"/>
          <w:noProof/>
          <w:lang w:val="lv-LV"/>
        </w:rPr>
        <w:t>(</w:t>
      </w:r>
      <w:r w:rsidRPr="001F2BA3">
        <w:rPr>
          <w:rStyle w:val="FootnoteReference"/>
          <w:noProof/>
          <w:lang w:val="lv-LV"/>
        </w:rPr>
        <w:footnoteReference w:id="93"/>
      </w:r>
      <w:r w:rsidRPr="001F2BA3">
        <w:rPr>
          <w:rStyle w:val="FootnoteReference"/>
          <w:noProof/>
          <w:lang w:val="lv-LV"/>
        </w:rPr>
        <w:t>))</w:t>
      </w:r>
      <w:r w:rsidRPr="001F2BA3">
        <w:rPr>
          <w:noProof/>
          <w:lang w:val="lv-LV"/>
        </w:rPr>
        <w:t>:</w:t>
      </w:r>
    </w:p>
    <w:p w14:paraId="15A88BBD" w14:textId="706C8D0F" w:rsidR="00430C8E" w:rsidRPr="001F2BA3" w:rsidRDefault="00CC0FB4" w:rsidP="002D36F0">
      <w:pPr>
        <w:pStyle w:val="ListParagraph"/>
        <w:numPr>
          <w:ilvl w:val="0"/>
          <w:numId w:val="9"/>
        </w:numPr>
        <w:rPr>
          <w:noProof/>
          <w:lang w:val="lv-LV"/>
        </w:rPr>
      </w:pPr>
      <w:r w:rsidRPr="001F2BA3">
        <w:rPr>
          <w:noProof/>
          <w:lang w:val="lv-LV"/>
        </w:rPr>
        <w:t>metodes iepriekšējas balsošanas nodrošināšanai un alternatīvas balsošanas procedūras, tostarp iepriekšēja balsošana klātienē, balsošana pa pastu, balsošana tiešsaistē, mobilā balsošana, balsošana pie vēlēšanu iecirkņa, vēlēšanu iecirkņu maiņa vai izvēle, balsošana ar vēlētāja brīvi izvēlētas personas palīdzību;</w:t>
      </w:r>
    </w:p>
    <w:p w14:paraId="7E059B89" w14:textId="05C8EB8A" w:rsidR="00430C8E" w:rsidRPr="001F2BA3" w:rsidRDefault="00CC0FB4" w:rsidP="002D36F0">
      <w:pPr>
        <w:pStyle w:val="ListParagraph"/>
        <w:numPr>
          <w:ilvl w:val="0"/>
          <w:numId w:val="9"/>
        </w:numPr>
        <w:rPr>
          <w:noProof/>
          <w:lang w:val="lv-LV"/>
        </w:rPr>
      </w:pPr>
      <w:r w:rsidRPr="001F2BA3">
        <w:rPr>
          <w:noProof/>
          <w:lang w:val="lv-LV"/>
        </w:rPr>
        <w:t>īpašas balsošanas kārtības noteikšana, lai nodrošinātu, ka personas, kas dzīvo pansionātos vai ilgtermiņa aprūpes iestādēs, slimnīcās, vai personas, kuras nevar atstāt dzīvesvietu, nezaudē tiesības balsot, īpašu uzmanību pievēršot slēgtiem pansionātiem;</w:t>
      </w:r>
    </w:p>
    <w:p w14:paraId="382CDAB8" w14:textId="1104F32D" w:rsidR="00430C8E" w:rsidRPr="001F2BA3" w:rsidRDefault="00CC0FB4" w:rsidP="002D36F0">
      <w:pPr>
        <w:pStyle w:val="ListParagraph"/>
        <w:numPr>
          <w:ilvl w:val="0"/>
          <w:numId w:val="9"/>
        </w:numPr>
        <w:rPr>
          <w:noProof/>
          <w:lang w:val="lv-LV"/>
        </w:rPr>
      </w:pPr>
      <w:r w:rsidRPr="001F2BA3">
        <w:rPr>
          <w:noProof/>
          <w:lang w:val="lv-LV"/>
        </w:rPr>
        <w:t>pieejams plašs palīgrīku klāsts, piemēram, Braila raksts, kvadrātkodi, lielizmēra druka, audioapraksti un viegli lasāmi ceļveži, Braila raksta aploksnes, taustes trafareti, lupas, papildu apgaismojums, rakstāmpiederumi un zīmogi;</w:t>
      </w:r>
    </w:p>
    <w:p w14:paraId="51486EF5" w14:textId="77777777" w:rsidR="00C347D9" w:rsidRPr="001F2BA3" w:rsidRDefault="00F97CAE" w:rsidP="002D36F0">
      <w:pPr>
        <w:pStyle w:val="ListParagraph"/>
        <w:numPr>
          <w:ilvl w:val="0"/>
          <w:numId w:val="9"/>
        </w:numPr>
        <w:rPr>
          <w:noProof/>
          <w:lang w:val="lv-LV"/>
        </w:rPr>
      </w:pPr>
      <w:r w:rsidRPr="001F2BA3">
        <w:rPr>
          <w:noProof/>
          <w:lang w:val="lv-LV"/>
        </w:rPr>
        <w:t>cilvēku atbalsta nodrošināšanas standarti, izmantojot tālruni vai tulkojumu zīmju valodā, un pieejama transporta nodrošināšana uz vēlēšanu iecirkni;</w:t>
      </w:r>
    </w:p>
    <w:p w14:paraId="3659EEF3" w14:textId="0BEF2417" w:rsidR="007320FD" w:rsidRPr="001F2BA3" w:rsidRDefault="00430C8E" w:rsidP="002D36F0">
      <w:pPr>
        <w:pStyle w:val="ListParagraph"/>
        <w:numPr>
          <w:ilvl w:val="0"/>
          <w:numId w:val="9"/>
        </w:numPr>
        <w:rPr>
          <w:noProof/>
          <w:lang w:val="lv-LV"/>
        </w:rPr>
      </w:pPr>
      <w:r w:rsidRPr="001F2BA3">
        <w:rPr>
          <w:noProof/>
          <w:lang w:val="lv-LV"/>
        </w:rPr>
        <w:t>vienkāršotas procedūras, lai pieprasītu pielāgojumus.</w:t>
      </w:r>
    </w:p>
    <w:p w14:paraId="6C1F5A83" w14:textId="53ADCCFE" w:rsidR="00CD0249" w:rsidRPr="001F2BA3" w:rsidRDefault="00A01F39" w:rsidP="00B42AEB">
      <w:pPr>
        <w:rPr>
          <w:noProof/>
          <w:lang w:val="lv-LV"/>
        </w:rPr>
      </w:pPr>
      <w:r w:rsidRPr="001F2BA3">
        <w:rPr>
          <w:noProof/>
          <w:lang w:val="lv-LV"/>
        </w:rPr>
        <w:t xml:space="preserve">Lielāku atbalstu varētu sniegt neatkarības un slepenības nodrošināšanai personām ar invaliditāti balsošanas laikā, piemēram, izmantojot Braila raksta veidni, ko var novietot virs vēlēšanu zīmes, lai nodotu balsi. Tas </w:t>
      </w:r>
      <w:bookmarkStart w:id="84" w:name="_Hlk151657166"/>
      <w:r w:rsidRPr="001F2BA3">
        <w:rPr>
          <w:noProof/>
          <w:lang w:val="lv-LV"/>
        </w:rPr>
        <w:t>varētu</w:t>
      </w:r>
      <w:bookmarkEnd w:id="84"/>
      <w:r w:rsidRPr="001F2BA3">
        <w:rPr>
          <w:noProof/>
          <w:lang w:val="lv-LV"/>
        </w:rPr>
        <w:t xml:space="preserve"> papildināt prakses, kas ļauj vēlētājiem balsot ar citu personu palīdzību.</w:t>
      </w:r>
    </w:p>
    <w:p w14:paraId="115862F8" w14:textId="130D9C4B" w:rsidR="006837E1" w:rsidRPr="001F2BA3" w:rsidRDefault="007F753B" w:rsidP="00B42AEB">
      <w:pPr>
        <w:rPr>
          <w:noProof/>
          <w:lang w:val="lv-LV"/>
        </w:rPr>
      </w:pPr>
      <w:r w:rsidRPr="001F2BA3">
        <w:rPr>
          <w:noProof/>
          <w:lang w:val="lv-LV"/>
        </w:rPr>
        <w:t>Valstu iestādes var arī apsvērt iespēju papildus ņemt vērā to iedzīvotāju īpašās vajadzības, kuriem ir garīgās veselības traucējumi, kas var ietekmēt viņu balsošanas pieredzi, tostarp ilgstoša vai īslaicīga depresija un trauksme</w:t>
      </w:r>
      <w:r w:rsidRPr="001F2BA3">
        <w:rPr>
          <w:rStyle w:val="FootnoteReference"/>
          <w:noProof/>
          <w:lang w:val="lv-LV"/>
        </w:rPr>
        <w:t>(</w:t>
      </w:r>
      <w:r w:rsidRPr="001F2BA3">
        <w:rPr>
          <w:rStyle w:val="FootnoteReference"/>
          <w:noProof/>
          <w:lang w:val="lv-LV"/>
        </w:rPr>
        <w:footnoteReference w:id="94"/>
      </w:r>
      <w:r w:rsidRPr="001F2BA3">
        <w:rPr>
          <w:rStyle w:val="FootnoteReference"/>
          <w:noProof/>
          <w:lang w:val="lv-LV"/>
        </w:rPr>
        <w:t>))</w:t>
      </w:r>
      <w:r w:rsidRPr="001F2BA3">
        <w:rPr>
          <w:noProof/>
          <w:lang w:val="lv-LV"/>
        </w:rPr>
        <w:t xml:space="preserve">. </w:t>
      </w:r>
      <w:bookmarkStart w:id="85" w:name="_Hlk128656389"/>
    </w:p>
    <w:bookmarkEnd w:id="85"/>
    <w:p w14:paraId="356F2B44" w14:textId="6C15BAE7" w:rsidR="00F95C1A" w:rsidRPr="001F2BA3" w:rsidRDefault="006837E1" w:rsidP="00B42AEB">
      <w:pPr>
        <w:rPr>
          <w:noProof/>
          <w:lang w:val="lv-LV"/>
        </w:rPr>
      </w:pPr>
      <w:r w:rsidRPr="001F2BA3">
        <w:rPr>
          <w:noProof/>
          <w:lang w:val="lv-LV"/>
        </w:rPr>
        <w:t>Piekļūstamība sniedzas tālāk par praktiskiem pasākumiem. Tā ietver sociālo vidi, kurā personas iesaistās vēlēšanu procesā. To ir jāturpina pētīt. Varētu apsvērt arī turpmāku darbu un politikas pasākumus attiecībā uz to, kā vēlēšanu iecirkņu darbinieki var atbalstīt pilsoņus ar invaliditāti (ne tikai palīdzēt viņiem, kad viņi to lūdz) un kā viņi var radīt iekļaujošu vidi. Piemēram, norādījumi par atbilstošas runas lietojumu (kā uzsvērts Francijas pamatnostādnēs plašsaziņas līdzekļiem) saziņā ar pilsoņiem ar invaliditāti kā vēlētājiem vai kandidātiem, pasākumi, lai radītu sociālo vidi, kas atbalsta politisko līdzdalību, jo īpaši attiecībā uz politiskajiem kandidātiem</w:t>
      </w:r>
      <w:r w:rsidRPr="001F2BA3">
        <w:rPr>
          <w:rStyle w:val="FootnoteReference"/>
          <w:noProof/>
          <w:lang w:val="lv-LV"/>
        </w:rPr>
        <w:t>(</w:t>
      </w:r>
      <w:r w:rsidRPr="001F2BA3">
        <w:rPr>
          <w:rStyle w:val="FootnoteReference"/>
          <w:noProof/>
          <w:lang w:val="lv-LV"/>
        </w:rPr>
        <w:footnoteReference w:id="95"/>
      </w:r>
      <w:r w:rsidRPr="001F2BA3">
        <w:rPr>
          <w:rStyle w:val="FootnoteReference"/>
          <w:noProof/>
          <w:lang w:val="lv-LV"/>
        </w:rPr>
        <w:t>))</w:t>
      </w:r>
      <w:r w:rsidRPr="001F2BA3">
        <w:rPr>
          <w:noProof/>
          <w:lang w:val="lv-LV"/>
        </w:rPr>
        <w:t>, kā arī tīklu, mentorēšanas shēmu un kanālu izveide, lai informētu pilsoņus ar invaliditāti par šīm iespējām un atbalstītu viņu līdzdalību vēlēšanās.</w:t>
      </w:r>
    </w:p>
    <w:p w14:paraId="634264B2" w14:textId="7633CC60" w:rsidR="0087128C" w:rsidRPr="001F2BA3" w:rsidRDefault="00F95C1A" w:rsidP="00B42AEB">
      <w:pPr>
        <w:rPr>
          <w:noProof/>
          <w:lang w:val="lv-LV"/>
        </w:rPr>
      </w:pPr>
      <w:r w:rsidRPr="001F2BA3">
        <w:rPr>
          <w:noProof/>
          <w:lang w:val="lv-LV"/>
        </w:rPr>
        <w:t>Skaidra valoda un pieejami saziņas materiāli ir svarīgi arī, lai cīnītos pret dezinformāciju un nepareizu informāciju, jo cilvēki ar invaliditāti var būt īpaši apdraudēti. Covid-19 pandēmija izraisīja izmaiņas balsošanas procedūrās, piemēram, palielināja balsošanas pa pastu vai attālinātās balsošanas iespēju izmantošanu, kas, iespējams, ir veicinājušas tādas prakses attīstību, kura atbalsta vēlēšanu piekļūstamību personām ar invaliditāti.</w:t>
      </w:r>
    </w:p>
    <w:p w14:paraId="43AA3D6D" w14:textId="5E8C51AD" w:rsidR="004B1282" w:rsidRPr="001F2BA3" w:rsidRDefault="00781643" w:rsidP="00B42AEB">
      <w:pPr>
        <w:rPr>
          <w:noProof/>
          <w:lang w:val="lv-LV"/>
        </w:rPr>
      </w:pPr>
      <w:r w:rsidRPr="001F2BA3">
        <w:rPr>
          <w:noProof/>
          <w:lang w:val="lv-LV"/>
        </w:rPr>
        <w:t xml:space="preserve">Lai veicinātu vēlēšanu amatpersonu, vēlēšanu novērotāju, politisko partiju un sabiedrības vispārēju informētību par personu ar invaliditāti vēlēšanu tiesībām, varētu turpināt izstrādāt izpratnes veicināšanas kampaņas un citus informatīvus pasākumus. Oficiālajos dokumentos ir vērojams noteikts informētības līmenis, jo vairākos piemēros ir norādījumi par konkrētas valodas un izteiksmes veida lietošanu, tostarp norādījumi vēlēšanu organizatoriem, kas šķiet vēlams. Tas ietver informācijas sniegšanu par to, kādi invaliditātes veidi ietilpst kategorijā “iedzīvotāji ar invaliditāti”, un šīs informācijas izstrādi sadarbībā ar personu ar invaliditāti pārstāvības organizācijām (kā tas darīts Beļģijā, Somijā un Latvijā). </w:t>
      </w:r>
    </w:p>
    <w:p w14:paraId="76A5EB90" w14:textId="57A87F3D" w:rsidR="006837E1" w:rsidRPr="001F2BA3" w:rsidRDefault="00AA3E79" w:rsidP="00B42AEB">
      <w:pPr>
        <w:rPr>
          <w:noProof/>
          <w:lang w:val="lv-LV"/>
        </w:rPr>
      </w:pPr>
      <w:r w:rsidRPr="001F2BA3">
        <w:rPr>
          <w:noProof/>
          <w:lang w:val="lv-LV"/>
        </w:rPr>
        <w:t>Efektīvi mācību kursi ietver tādus aspektus kā pārskatu par personu ar invaliditāti vēlēšanu tiesībām, pieejamas balsošanas praksi un vietām, personām ar invaliditāti pieejamiem saprātīgiem pielāgojumiem, atbalsta sniegšanu vēlētājiem ar invaliditāti un ārkārtas rīcības plānus, ja rodas problēmas. Turklāt mācības varētu ietvert pašnovērtējuma diagnostiku, testēšanu un sertificēšanu, lai noskaidrotu “aklos punktus” vai informācijas neizpratni. Labs piemērs ir Dānija, kur vēlēšanu amatpersonas (un citas personas) veic testu, lai pārbaudītu zināšanas.</w:t>
      </w:r>
    </w:p>
    <w:p w14:paraId="58D5BCDF" w14:textId="64EA9478" w:rsidR="00594214" w:rsidRPr="001F2BA3" w:rsidRDefault="00594214" w:rsidP="00B42AEB">
      <w:pPr>
        <w:rPr>
          <w:noProof/>
          <w:lang w:val="lv-LV"/>
        </w:rPr>
      </w:pPr>
      <w:r w:rsidRPr="001F2BA3">
        <w:rPr>
          <w:noProof/>
          <w:lang w:val="lv-LV"/>
        </w:rPr>
        <w:t>Kad vien iespējams, īstenojamie pasākumi varētu nodrošināt, ka pilsoņiem ar invaliditāti ir pēc iespējas salīdzināma vēlēšanu pieredze ar citu pilsoņu pieredzi. Tas varētu būt vairāk nekā tikai piekļuves nodrošināšana kādā formā. Kā piemēru var minēt vēlētāju automātisku reģistru (kā tas ir lielākajā daļā dalībvalstu), lai nevajadzētu “pieteikties” balsošanai, vai vienkāršotas reģistrācijas procedūras, kā tas ir, piemēram, Īrijā; nodrošināt vairāk piekļūstamības pasākumu vēlēšanu iecirkņos, nevis alternatīvus balsošanas veidus (piemēram, balsošanu pa pastu), kas nesniedz tādu pašu izjūtu par līdzdalību sabiedriskajā dzīvē. Tas var ietvert arī vēlēšanu iecirkņu atmosfēras radīšanu citos apstākļos, piemēram, dodot iespēju pilsoņiem ar invaliditāti, kuri dzīvo aprūpes iestādēs, noteiktā dienā balsot viņu pašu vidē (piemēram, “slēgtie vēlēšanu iecirkņi” Polijā).</w:t>
      </w:r>
    </w:p>
    <w:p w14:paraId="57B3EB97" w14:textId="640A1ED5" w:rsidR="0093702C" w:rsidRPr="001F2BA3" w:rsidRDefault="0093702C" w:rsidP="00B42AEB">
      <w:pPr>
        <w:rPr>
          <w:noProof/>
          <w:lang w:val="lv-LV"/>
        </w:rPr>
      </w:pPr>
      <w:r w:rsidRPr="001F2BA3">
        <w:rPr>
          <w:noProof/>
          <w:lang w:val="lv-LV"/>
        </w:rPr>
        <w:t>Pašreizējās datu kopas īpaši neaptver problēmas, ar kurām pilsoņi ar invaliditāti varētu saskarties, izmantojot vēlēšanu tiesības. Apkopojot vairāk statistikas informācijas par pilsoņiem ar invaliditāti (Zviedrijā un Rumānijā), iestādes varētu labāk izprast, kā vēlēšanu pieredze varētu atšķirties atkarībā no invaliditātes veida un kā šo informāciju varētu izmantot, lai kopīgi izstrādātu pētniecības projektus, kas pielāgotu datu vākšanu šiem cilvēkiem. Labi piemēri ir jaunu balsošanas rīku/tehnoloģiju izmēģināšana, izmantojot iedzīvotājus ar dažādām piekļūstamības vajadzībām, lai izpētītu iespējamās neparedzētās sekas vai neapmierinātās vajadzības; izstrādāt kvantitatīvus instrumentus, kas ļauj apkopot un analizēt rezultātus, pamatojoties uz dažādiem invaliditātes veidiem, izmantojot kvalitatīvo pētījumu rezultātus, kas sniedz padziļinātu ieskatu personu dzīves pieredzē, lai labāk izprastu, kā viņi vēlētos piedalīties sabiedriskajā un politiskajā dzīvē. Jebkurai personas datu apstrādei statistikas nolūkos ir jānotiek pilnīgā saskaņā ar VDAR.</w:t>
      </w:r>
    </w:p>
    <w:p w14:paraId="1ABB8BC2" w14:textId="1D8FFAF9" w:rsidR="00594214" w:rsidRPr="001F2BA3" w:rsidRDefault="00594214" w:rsidP="00B42AEB">
      <w:pPr>
        <w:rPr>
          <w:noProof/>
          <w:lang w:val="lv-LV"/>
        </w:rPr>
      </w:pPr>
      <w:r w:rsidRPr="001F2BA3">
        <w:rPr>
          <w:noProof/>
          <w:lang w:val="lv-LV"/>
        </w:rPr>
        <w:t>Lai efektīvi apmierinātu pilsoņu ar invaliditāti vajadzības vēlēšanu kontekstā, varētu izmantot standarta pasākumus, lai novērtētu gan to, cik lielā mērā pastāv līdztiesības trūkums attiecībā uz piekļuvi balsstiesībām, gan to, cik efektīvi ir visi risinājumi, kas pieņemti, lai mazinātu šo līdztiesības trūkumu.</w:t>
      </w:r>
    </w:p>
    <w:p w14:paraId="379BF075" w14:textId="79CEBA37" w:rsidR="00A7320F" w:rsidRPr="001F2BA3" w:rsidRDefault="000006E3" w:rsidP="00B42AEB">
      <w:pPr>
        <w:rPr>
          <w:noProof/>
          <w:lang w:val="lv-LV"/>
        </w:rPr>
      </w:pPr>
      <w:r w:rsidRPr="001F2BA3">
        <w:rPr>
          <w:noProof/>
          <w:lang w:val="lv-LV"/>
        </w:rPr>
        <w:t xml:space="preserve">Sagatavojot pasākumus, kuru mērķis ir atbalstīt personu ar invaliditāti līdzdalību vēlēšanās, varētu apspriesties ar personu ar invaliditāti pārstāvības organizācijām. </w:t>
      </w:r>
    </w:p>
    <w:p w14:paraId="7EF9687E" w14:textId="4ECB0DFC" w:rsidR="004638ED" w:rsidRPr="001F2BA3" w:rsidRDefault="003B4818" w:rsidP="00B42AEB">
      <w:pPr>
        <w:rPr>
          <w:noProof/>
          <w:lang w:val="lv-LV"/>
        </w:rPr>
      </w:pPr>
      <w:r w:rsidRPr="001F2BA3">
        <w:rPr>
          <w:noProof/>
          <w:lang w:val="lv-LV"/>
        </w:rPr>
        <w:t>Ieteikumus par iekļaujošiem un noturīgiem vēlēšanu procesiem Savienībā, tostarp par pasākumiem, lai veicinātu vēlēšanu piekļūstamību personām ar invaliditāti, Komisija publicēs 2024</w:t>
      </w:r>
      <w:r w:rsidR="001F2BA3">
        <w:rPr>
          <w:noProof/>
          <w:lang w:val="lv-LV"/>
        </w:rPr>
        <w:t>. gad</w:t>
      </w:r>
      <w:r w:rsidRPr="001F2BA3">
        <w:rPr>
          <w:noProof/>
          <w:lang w:val="lv-LV"/>
        </w:rPr>
        <w:t>a decembrī</w:t>
      </w:r>
      <w:r w:rsidRPr="001F2BA3">
        <w:rPr>
          <w:rStyle w:val="Heading1Char"/>
          <w:noProof/>
          <w:shd w:val="clear" w:color="auto" w:fill="FFFFFF"/>
          <w:lang w:val="lv-LV"/>
        </w:rPr>
        <w:t>.</w:t>
      </w:r>
      <w:r w:rsidRPr="001F2BA3">
        <w:rPr>
          <w:noProof/>
          <w:lang w:val="lv-LV"/>
        </w:rPr>
        <w:t xml:space="preserve"> </w:t>
      </w:r>
    </w:p>
    <w:p w14:paraId="31BD6C46" w14:textId="15E6B275" w:rsidR="00BC3993" w:rsidRPr="001F2BA3" w:rsidRDefault="007013F9" w:rsidP="00B42AEB">
      <w:pPr>
        <w:rPr>
          <w:noProof/>
          <w:lang w:val="lv-LV"/>
        </w:rPr>
      </w:pPr>
      <w:r w:rsidRPr="001F2BA3">
        <w:rPr>
          <w:noProof/>
          <w:lang w:val="lv-LV"/>
        </w:rPr>
        <w:t xml:space="preserve">Turpmākas diskusijas par vēlēšanām, kurās iesaistīti arī cilvēki ar invaliditāti, notiks Eiropas vēlēšanu sadarbības tīklā. </w:t>
      </w:r>
    </w:p>
    <w:p w14:paraId="33EFA13E" w14:textId="1A12ECB5" w:rsidR="00963BCC" w:rsidRPr="001F2BA3" w:rsidRDefault="00BC3993" w:rsidP="006B02A7">
      <w:pPr>
        <w:pStyle w:val="Heading1"/>
        <w:spacing w:before="360" w:after="240" w:line="288" w:lineRule="auto"/>
        <w:rPr>
          <w:noProof/>
          <w:lang w:val="lv-LV"/>
        </w:rPr>
      </w:pPr>
      <w:bookmarkStart w:id="86" w:name="_Toc148718603"/>
      <w:bookmarkStart w:id="87" w:name="_Toc158022337"/>
      <w:r w:rsidRPr="001F2BA3">
        <w:rPr>
          <w:noProof/>
          <w:lang w:val="lv-LV"/>
        </w:rPr>
        <w:t>1. pielikums. Pamatprincipi, kā personām ar invaliditāti nodrošināt piekļuvi vēlēšanām</w:t>
      </w:r>
      <w:bookmarkEnd w:id="86"/>
      <w:bookmarkEnd w:id="87"/>
      <w:r w:rsidRPr="001F2BA3">
        <w:rPr>
          <w:noProof/>
          <w:lang w:val="lv-LV"/>
        </w:rPr>
        <w:t xml:space="preserve"> </w:t>
      </w:r>
    </w:p>
    <w:tbl>
      <w:tblPr>
        <w:tblStyle w:val="TableGrid"/>
        <w:tblW w:w="5000" w:type="pct"/>
        <w:tblLook w:val="04A0" w:firstRow="1" w:lastRow="0" w:firstColumn="1" w:lastColumn="0" w:noHBand="0" w:noVBand="1"/>
      </w:tblPr>
      <w:tblGrid>
        <w:gridCol w:w="1462"/>
        <w:gridCol w:w="7598"/>
      </w:tblGrid>
      <w:tr w:rsidR="00963BCC" w:rsidRPr="001F2BA3" w14:paraId="6FE07AFC" w14:textId="77777777" w:rsidTr="006F0581">
        <w:trPr>
          <w:trHeight w:val="448"/>
          <w:tblHeader/>
        </w:trPr>
        <w:tc>
          <w:tcPr>
            <w:tcW w:w="807" w:type="pct"/>
            <w:shd w:val="clear" w:color="auto" w:fill="D9D9D9" w:themeFill="background1" w:themeFillShade="D9"/>
          </w:tcPr>
          <w:p w14:paraId="09C2B282" w14:textId="6CA9C21C" w:rsidR="00963BCC" w:rsidRPr="001F2BA3" w:rsidRDefault="00963BCC" w:rsidP="00B42AEB">
            <w:pPr>
              <w:rPr>
                <w:b/>
                <w:noProof/>
                <w:lang w:val="lv-LV"/>
              </w:rPr>
            </w:pPr>
            <w:r w:rsidRPr="001F2BA3">
              <w:rPr>
                <w:b/>
                <w:noProof/>
                <w:lang w:val="lv-LV"/>
              </w:rPr>
              <w:t>Kad?</w:t>
            </w:r>
          </w:p>
        </w:tc>
        <w:tc>
          <w:tcPr>
            <w:tcW w:w="4193" w:type="pct"/>
            <w:shd w:val="clear" w:color="auto" w:fill="D9D9D9" w:themeFill="background1" w:themeFillShade="D9"/>
          </w:tcPr>
          <w:p w14:paraId="0D46CAD8" w14:textId="77777777" w:rsidR="00963BCC" w:rsidRPr="001F2BA3" w:rsidRDefault="00963BCC" w:rsidP="00B42AEB">
            <w:pPr>
              <w:rPr>
                <w:b/>
                <w:noProof/>
                <w:lang w:val="lv-LV"/>
              </w:rPr>
            </w:pPr>
            <w:r w:rsidRPr="001F2BA3">
              <w:rPr>
                <w:b/>
                <w:noProof/>
                <w:lang w:val="lv-LV"/>
              </w:rPr>
              <w:t>Kas?</w:t>
            </w:r>
          </w:p>
        </w:tc>
      </w:tr>
      <w:tr w:rsidR="00963BCC" w:rsidRPr="00B6763E" w14:paraId="0B27FF49" w14:textId="77777777">
        <w:trPr>
          <w:trHeight w:val="558"/>
        </w:trPr>
        <w:tc>
          <w:tcPr>
            <w:tcW w:w="807" w:type="pct"/>
          </w:tcPr>
          <w:p w14:paraId="11DB106F" w14:textId="77777777" w:rsidR="00963BCC" w:rsidRPr="001F2BA3" w:rsidRDefault="00963BCC" w:rsidP="00B42AEB">
            <w:pPr>
              <w:rPr>
                <w:noProof/>
                <w:lang w:val="lv-LV"/>
              </w:rPr>
            </w:pPr>
            <w:r w:rsidRPr="001F2BA3">
              <w:rPr>
                <w:noProof/>
                <w:lang w:val="lv-LV"/>
              </w:rPr>
              <w:t>Pirms vēlēšanām</w:t>
            </w:r>
          </w:p>
        </w:tc>
        <w:tc>
          <w:tcPr>
            <w:tcW w:w="4193" w:type="pct"/>
          </w:tcPr>
          <w:p w14:paraId="1C12219B" w14:textId="3397D2BB" w:rsidR="00963BCC" w:rsidRPr="001F2BA3" w:rsidRDefault="00963BCC" w:rsidP="002D36F0">
            <w:pPr>
              <w:pStyle w:val="ListParagraph"/>
              <w:numPr>
                <w:ilvl w:val="0"/>
                <w:numId w:val="3"/>
              </w:numPr>
              <w:ind w:left="343" w:hanging="283"/>
              <w:rPr>
                <w:noProof/>
                <w:lang w:val="lv-LV"/>
              </w:rPr>
            </w:pPr>
            <w:r w:rsidRPr="001F2BA3">
              <w:rPr>
                <w:noProof/>
                <w:lang w:val="lv-LV"/>
              </w:rPr>
              <w:t>Izstrādāt rīcības plānus personām ar invaliditāti, tostarp pieejamu vēlēšanu kontrolsarakstus, un iesaistīt personu ar invaliditāti pārstāvības organizācijas šādu plānu sagatavošanā.</w:t>
            </w:r>
          </w:p>
          <w:p w14:paraId="7EA00262" w14:textId="627C2C48" w:rsidR="00963BCC" w:rsidRPr="001F2BA3" w:rsidRDefault="00963BCC" w:rsidP="002D36F0">
            <w:pPr>
              <w:pStyle w:val="ListParagraph"/>
              <w:numPr>
                <w:ilvl w:val="0"/>
                <w:numId w:val="3"/>
              </w:numPr>
              <w:ind w:left="343" w:hanging="283"/>
              <w:rPr>
                <w:noProof/>
                <w:lang w:val="lv-LV"/>
              </w:rPr>
            </w:pPr>
            <w:r w:rsidRPr="001F2BA3">
              <w:rPr>
                <w:noProof/>
                <w:lang w:val="lv-LV"/>
              </w:rPr>
              <w:t>Nodrošināt personām ar invaliditāti piekļuvi vēlēšanu informācijai dažādos un pieejamos veidos un formātos.</w:t>
            </w:r>
          </w:p>
          <w:p w14:paraId="5B8869F4" w14:textId="77777777" w:rsidR="00963BCC" w:rsidRPr="001F2BA3" w:rsidRDefault="00963BCC" w:rsidP="002D36F0">
            <w:pPr>
              <w:pStyle w:val="ListParagraph"/>
              <w:numPr>
                <w:ilvl w:val="0"/>
                <w:numId w:val="3"/>
              </w:numPr>
              <w:ind w:left="343" w:hanging="283"/>
              <w:rPr>
                <w:noProof/>
                <w:lang w:val="lv-LV"/>
              </w:rPr>
            </w:pPr>
            <w:r w:rsidRPr="001F2BA3">
              <w:rPr>
                <w:noProof/>
                <w:lang w:val="lv-LV"/>
              </w:rPr>
              <w:t>Nodrošināt vēlēšanu iestāžu tīmekļvietņu pieejamību.</w:t>
            </w:r>
          </w:p>
          <w:p w14:paraId="75E5F808" w14:textId="50BBAE45" w:rsidR="000006E3" w:rsidRPr="001F2BA3" w:rsidRDefault="00963BCC" w:rsidP="002D36F0">
            <w:pPr>
              <w:pStyle w:val="ListParagraph"/>
              <w:numPr>
                <w:ilvl w:val="0"/>
                <w:numId w:val="3"/>
              </w:numPr>
              <w:ind w:left="343" w:hanging="283"/>
              <w:rPr>
                <w:noProof/>
                <w:lang w:val="lv-LV"/>
              </w:rPr>
            </w:pPr>
            <w:r w:rsidRPr="001F2BA3">
              <w:rPr>
                <w:noProof/>
                <w:lang w:val="lv-LV"/>
              </w:rPr>
              <w:t>Veikt izpratnes veicināšanas pasākumus, mācību un izglītības pasākumus, tostarp sadarbībā ar personu ar invaliditāti pārstāvības organizācijām.</w:t>
            </w:r>
          </w:p>
          <w:p w14:paraId="3D4E6945" w14:textId="27E9CB54" w:rsidR="00963BCC" w:rsidRPr="001F2BA3" w:rsidRDefault="00963BCC" w:rsidP="002D36F0">
            <w:pPr>
              <w:pStyle w:val="ListParagraph"/>
              <w:numPr>
                <w:ilvl w:val="0"/>
                <w:numId w:val="3"/>
              </w:numPr>
              <w:ind w:left="343" w:hanging="283"/>
              <w:rPr>
                <w:noProof/>
                <w:lang w:val="lv-LV"/>
              </w:rPr>
            </w:pPr>
            <w:r w:rsidRPr="001F2BA3">
              <w:rPr>
                <w:noProof/>
                <w:lang w:val="lv-LV"/>
              </w:rPr>
              <w:t>Izvēlēties tādas vēlēšanu iecirkņu telpas, kas ir pieejamas, tostarp izmantot kontrolsarakstus, kas izstrādāti kopā ar personu ar invaliditāti pārstāvības organizācijām.</w:t>
            </w:r>
          </w:p>
          <w:p w14:paraId="042946EC" w14:textId="77777777" w:rsidR="00963BCC" w:rsidRPr="001F2BA3" w:rsidRDefault="00963BCC" w:rsidP="002D36F0">
            <w:pPr>
              <w:pStyle w:val="ListParagraph"/>
              <w:numPr>
                <w:ilvl w:val="0"/>
                <w:numId w:val="3"/>
              </w:numPr>
              <w:ind w:left="343" w:hanging="283"/>
              <w:rPr>
                <w:noProof/>
                <w:lang w:val="lv-LV"/>
              </w:rPr>
            </w:pPr>
            <w:r w:rsidRPr="001F2BA3">
              <w:rPr>
                <w:noProof/>
                <w:lang w:val="lv-LV"/>
              </w:rPr>
              <w:t>Izstrādāt vēlēšanu zīmes tā, lai tās būtu viegli lasīt, un izmantot palīgrīkus.</w:t>
            </w:r>
          </w:p>
          <w:p w14:paraId="3E9290D2" w14:textId="4F2A0D43" w:rsidR="00963BCC" w:rsidRPr="001F2BA3" w:rsidRDefault="00963BCC" w:rsidP="002D36F0">
            <w:pPr>
              <w:pStyle w:val="ListParagraph"/>
              <w:numPr>
                <w:ilvl w:val="0"/>
                <w:numId w:val="3"/>
              </w:numPr>
              <w:ind w:left="343" w:hanging="283"/>
              <w:rPr>
                <w:noProof/>
                <w:lang w:val="lv-LV"/>
              </w:rPr>
            </w:pPr>
            <w:r w:rsidRPr="001F2BA3">
              <w:rPr>
                <w:noProof/>
                <w:lang w:val="lv-LV"/>
              </w:rPr>
              <w:t>Izveidot piekļūstamus vēlēšanu iecirkņus, kas nodrošina vairāk nekā tikai fizisko piekļūstamību.</w:t>
            </w:r>
          </w:p>
          <w:p w14:paraId="17CA8DE6" w14:textId="77777777" w:rsidR="00963BCC" w:rsidRPr="001F2BA3" w:rsidRDefault="00963BCC" w:rsidP="002D36F0">
            <w:pPr>
              <w:pStyle w:val="ListParagraph"/>
              <w:numPr>
                <w:ilvl w:val="0"/>
                <w:numId w:val="3"/>
              </w:numPr>
              <w:ind w:left="343" w:hanging="283"/>
              <w:rPr>
                <w:noProof/>
                <w:lang w:val="lv-LV"/>
              </w:rPr>
            </w:pPr>
            <w:r w:rsidRPr="001F2BA3">
              <w:rPr>
                <w:noProof/>
                <w:lang w:val="lv-LV"/>
              </w:rPr>
              <w:t>Nodrošināt, ka balsošanas iekārtas ir aprīkotas ar programmatūru, kurā var viegli iestrādāt piekļūstamības funkcijas.</w:t>
            </w:r>
          </w:p>
          <w:p w14:paraId="50B28094" w14:textId="77777777" w:rsidR="00963BCC" w:rsidRPr="001F2BA3" w:rsidRDefault="00963BCC" w:rsidP="002D36F0">
            <w:pPr>
              <w:pStyle w:val="ListParagraph"/>
              <w:numPr>
                <w:ilvl w:val="0"/>
                <w:numId w:val="3"/>
              </w:numPr>
              <w:ind w:left="343" w:hanging="283"/>
              <w:rPr>
                <w:noProof/>
                <w:lang w:val="lv-LV"/>
              </w:rPr>
            </w:pPr>
            <w:r w:rsidRPr="001F2BA3">
              <w:rPr>
                <w:noProof/>
                <w:lang w:val="lv-LV"/>
              </w:rPr>
              <w:t>Izveidot vēlēšanu kabīnes un vēlēšanu kastes, kas ir pieejamas plašam vēlētāju lokam.</w:t>
            </w:r>
          </w:p>
          <w:p w14:paraId="6AFB874D" w14:textId="558654F9" w:rsidR="00963BCC" w:rsidRPr="001F2BA3" w:rsidRDefault="00963BCC" w:rsidP="002D36F0">
            <w:pPr>
              <w:pStyle w:val="ListParagraph"/>
              <w:numPr>
                <w:ilvl w:val="0"/>
                <w:numId w:val="3"/>
              </w:numPr>
              <w:ind w:left="343" w:hanging="283"/>
              <w:rPr>
                <w:noProof/>
                <w:lang w:val="lv-LV"/>
              </w:rPr>
            </w:pPr>
            <w:r w:rsidRPr="001F2BA3">
              <w:rPr>
                <w:noProof/>
                <w:lang w:val="lv-LV"/>
              </w:rPr>
              <w:t xml:space="preserve">Iegādājieties rīkus piekļūstamības uzlabošanai, piemēram, lupas, lampas, taustes un/vai Braila raksta veidnes vēlēšanu zīmēm papīra formā, taustes uzlīmes vēlēšanu kastēm, pildspalvas ar lielu spalu, lielizmēra izdrukas, audio datnes (piemēram, </w:t>
            </w:r>
            <w:r w:rsidRPr="001F2BA3">
              <w:rPr>
                <w:i/>
                <w:iCs/>
                <w:noProof/>
                <w:lang w:val="lv-LV"/>
              </w:rPr>
              <w:t>DAISY</w:t>
            </w:r>
            <w:r w:rsidRPr="001F2BA3">
              <w:rPr>
                <w:noProof/>
                <w:lang w:val="lv-LV"/>
              </w:rPr>
              <w:t xml:space="preserve"> </w:t>
            </w:r>
            <w:r w:rsidRPr="001F2BA3">
              <w:rPr>
                <w:noProof/>
                <w:vertAlign w:val="superscript"/>
                <w:lang w:val="lv-LV"/>
              </w:rPr>
              <w:t>(</w:t>
            </w:r>
            <w:r w:rsidRPr="001F2BA3">
              <w:rPr>
                <w:noProof/>
                <w:vertAlign w:val="superscript"/>
                <w:lang w:val="lv-LV"/>
              </w:rPr>
              <w:footnoteReference w:id="96"/>
            </w:r>
            <w:r w:rsidRPr="001F2BA3">
              <w:rPr>
                <w:noProof/>
                <w:vertAlign w:val="superscript"/>
                <w:lang w:val="lv-LV"/>
              </w:rPr>
              <w:t>)</w:t>
            </w:r>
            <w:r w:rsidRPr="001F2BA3">
              <w:rPr>
                <w:noProof/>
                <w:lang w:val="lv-LV"/>
              </w:rPr>
              <w:t>), video datnes ar pilnu transkripciju, titriem, tulkojumu zīmju valodā.</w:t>
            </w:r>
          </w:p>
          <w:p w14:paraId="4E82977F" w14:textId="77777777" w:rsidR="00963BCC" w:rsidRPr="001F2BA3" w:rsidRDefault="00963BCC" w:rsidP="002D36F0">
            <w:pPr>
              <w:pStyle w:val="ListParagraph"/>
              <w:numPr>
                <w:ilvl w:val="0"/>
                <w:numId w:val="3"/>
              </w:numPr>
              <w:ind w:left="343" w:hanging="283"/>
              <w:rPr>
                <w:noProof/>
                <w:lang w:val="lv-LV"/>
              </w:rPr>
            </w:pPr>
            <w:r w:rsidRPr="001F2BA3">
              <w:rPr>
                <w:noProof/>
                <w:lang w:val="lv-LV"/>
              </w:rPr>
              <w:t>Nodrošināt papildu balsošanas metodes un citus īpašus pasākumus, tostarp balsošanu pa pastu un tiešsaistē, iepriekšēju balsošanu, mobilo balsošanu, balsošanu ārpus vēlēšanu iecirkņa, balsošanu ar pilnvarojumu un iespēju izvēlēties citu vēlēšanu iecirkni.</w:t>
            </w:r>
          </w:p>
          <w:p w14:paraId="02FACD2A" w14:textId="77777777" w:rsidR="00963BCC" w:rsidRPr="001F2BA3" w:rsidRDefault="00963BCC" w:rsidP="002D36F0">
            <w:pPr>
              <w:pStyle w:val="ListParagraph"/>
              <w:numPr>
                <w:ilvl w:val="0"/>
                <w:numId w:val="3"/>
              </w:numPr>
              <w:ind w:left="343" w:hanging="283"/>
              <w:rPr>
                <w:noProof/>
                <w:lang w:val="lv-LV"/>
              </w:rPr>
            </w:pPr>
            <w:r w:rsidRPr="001F2BA3">
              <w:rPr>
                <w:noProof/>
                <w:lang w:val="lv-LV"/>
              </w:rPr>
              <w:t>Vēlēšanu amatpersonu rokasgrāmatās iekļaut invaliditātes apsvērumus.</w:t>
            </w:r>
          </w:p>
          <w:p w14:paraId="3626D78D" w14:textId="1B4BA294" w:rsidR="00963BCC" w:rsidRPr="001F2BA3" w:rsidRDefault="00A27E30" w:rsidP="002D36F0">
            <w:pPr>
              <w:pStyle w:val="ListParagraph"/>
              <w:numPr>
                <w:ilvl w:val="0"/>
                <w:numId w:val="3"/>
              </w:numPr>
              <w:ind w:left="343" w:hanging="283"/>
              <w:rPr>
                <w:noProof/>
                <w:lang w:val="lv-LV"/>
              </w:rPr>
            </w:pPr>
            <w:r w:rsidRPr="001F2BA3">
              <w:rPr>
                <w:noProof/>
                <w:lang w:val="lv-LV"/>
              </w:rPr>
              <w:t>Sagatavojot vēlēšanu noteikumus, apspriesties ar personu ar invaliditāti pārstāvības organizācijām un iesaistīt tās rīcības kodeksu izstrādē, tostarp iekļaujošas prakses kandidātu sarakstu izstrādē.</w:t>
            </w:r>
          </w:p>
        </w:tc>
      </w:tr>
      <w:tr w:rsidR="00963BCC" w:rsidRPr="00B6763E" w14:paraId="7FCDA1EC" w14:textId="77777777">
        <w:trPr>
          <w:trHeight w:val="448"/>
        </w:trPr>
        <w:tc>
          <w:tcPr>
            <w:tcW w:w="807" w:type="pct"/>
          </w:tcPr>
          <w:p w14:paraId="18795CCD" w14:textId="77777777" w:rsidR="00963BCC" w:rsidRPr="001F2BA3" w:rsidRDefault="00963BCC" w:rsidP="00B42AEB">
            <w:pPr>
              <w:rPr>
                <w:noProof/>
                <w:lang w:val="lv-LV"/>
              </w:rPr>
            </w:pPr>
            <w:r w:rsidRPr="001F2BA3">
              <w:rPr>
                <w:noProof/>
                <w:lang w:val="lv-LV"/>
              </w:rPr>
              <w:t>Vēlēšanu laikā</w:t>
            </w:r>
          </w:p>
        </w:tc>
        <w:tc>
          <w:tcPr>
            <w:tcW w:w="4193" w:type="pct"/>
          </w:tcPr>
          <w:p w14:paraId="02E9F0AE" w14:textId="3FA8B612" w:rsidR="00963BCC" w:rsidRPr="001F2BA3" w:rsidRDefault="00963BCC" w:rsidP="002D36F0">
            <w:pPr>
              <w:pStyle w:val="ListParagraph"/>
              <w:numPr>
                <w:ilvl w:val="0"/>
                <w:numId w:val="3"/>
              </w:numPr>
              <w:ind w:left="343" w:hanging="283"/>
              <w:rPr>
                <w:noProof/>
                <w:lang w:val="lv-LV"/>
              </w:rPr>
            </w:pPr>
            <w:r w:rsidRPr="001F2BA3">
              <w:rPr>
                <w:noProof/>
                <w:lang w:val="lv-LV"/>
              </w:rPr>
              <w:t>Nodrošināt mācības vēlēšanu amatpersonām par to, kā palīdzēt personām ar invaliditāti balsošanas procesā</w:t>
            </w:r>
          </w:p>
          <w:p w14:paraId="63C2EC45" w14:textId="64D02444" w:rsidR="00963BCC" w:rsidRPr="001F2BA3" w:rsidRDefault="00963BCC" w:rsidP="002D36F0">
            <w:pPr>
              <w:pStyle w:val="ListParagraph"/>
              <w:numPr>
                <w:ilvl w:val="0"/>
                <w:numId w:val="3"/>
              </w:numPr>
              <w:ind w:left="343" w:hanging="283"/>
              <w:rPr>
                <w:noProof/>
                <w:lang w:val="lv-LV"/>
              </w:rPr>
            </w:pPr>
            <w:r w:rsidRPr="001F2BA3">
              <w:rPr>
                <w:noProof/>
                <w:lang w:val="lv-LV"/>
              </w:rPr>
              <w:t>Veicināt vēlēšanas organizējošo iestāžu un citu attiecīgo iestāžu informētību.</w:t>
            </w:r>
          </w:p>
          <w:p w14:paraId="47EF0196" w14:textId="77777777" w:rsidR="00963BCC" w:rsidRPr="001F2BA3" w:rsidRDefault="00963BCC" w:rsidP="002D36F0">
            <w:pPr>
              <w:pStyle w:val="ListParagraph"/>
              <w:numPr>
                <w:ilvl w:val="0"/>
                <w:numId w:val="3"/>
              </w:numPr>
              <w:ind w:left="343" w:hanging="283"/>
              <w:rPr>
                <w:noProof/>
                <w:lang w:val="lv-LV"/>
              </w:rPr>
            </w:pPr>
            <w:r w:rsidRPr="001F2BA3">
              <w:rPr>
                <w:noProof/>
                <w:lang w:val="lv-LV"/>
              </w:rPr>
              <w:t>Izplatīt informāciju par vēlēšanām dažādos un pieejamos veidos un formātos.</w:t>
            </w:r>
          </w:p>
          <w:p w14:paraId="371CC543" w14:textId="77777777" w:rsidR="00963BCC" w:rsidRPr="001F2BA3" w:rsidRDefault="00963BCC" w:rsidP="002D36F0">
            <w:pPr>
              <w:pStyle w:val="ListParagraph"/>
              <w:numPr>
                <w:ilvl w:val="0"/>
                <w:numId w:val="3"/>
              </w:numPr>
              <w:ind w:left="343" w:hanging="283"/>
              <w:rPr>
                <w:noProof/>
                <w:lang w:val="lv-LV"/>
              </w:rPr>
            </w:pPr>
            <w:r w:rsidRPr="001F2BA3">
              <w:rPr>
                <w:noProof/>
                <w:lang w:val="lv-LV"/>
              </w:rPr>
              <w:t>Nodrošināt vēlēšanu debašu un pasākumu piekļūstamību.</w:t>
            </w:r>
          </w:p>
          <w:p w14:paraId="65C87926" w14:textId="465DB41E" w:rsidR="00963BCC" w:rsidRPr="001F2BA3" w:rsidRDefault="00963BCC" w:rsidP="002D36F0">
            <w:pPr>
              <w:pStyle w:val="ListParagraph"/>
              <w:numPr>
                <w:ilvl w:val="0"/>
                <w:numId w:val="3"/>
              </w:numPr>
              <w:ind w:left="343" w:hanging="283"/>
              <w:rPr>
                <w:noProof/>
                <w:lang w:val="lv-LV"/>
              </w:rPr>
            </w:pPr>
            <w:r w:rsidRPr="001F2BA3">
              <w:rPr>
                <w:noProof/>
                <w:lang w:val="lv-LV"/>
              </w:rPr>
              <w:t>Atbalstīt politisko reklāmu piekļūstamību, tostarp sadarbībā ar personu ar invaliditāti pārstāvības organizācijām un nodrošinot mācības plašsaziņas līdzekļu pakalpojumu sniedzējiem.</w:t>
            </w:r>
          </w:p>
          <w:p w14:paraId="56DC9087" w14:textId="77777777" w:rsidR="00963BCC" w:rsidRPr="001F2BA3" w:rsidRDefault="00963BCC" w:rsidP="002D36F0">
            <w:pPr>
              <w:pStyle w:val="ListParagraph"/>
              <w:numPr>
                <w:ilvl w:val="0"/>
                <w:numId w:val="3"/>
              </w:numPr>
              <w:ind w:left="343" w:hanging="283"/>
              <w:rPr>
                <w:noProof/>
                <w:lang w:val="lv-LV"/>
              </w:rPr>
            </w:pPr>
            <w:r w:rsidRPr="001F2BA3">
              <w:rPr>
                <w:noProof/>
                <w:lang w:val="lv-LV"/>
              </w:rPr>
              <w:t>Atbalstīt kandidātus ar invaliditāti, tostarp nodrošinot zīmju valodas tulkus, un rīkot debates pieejamos formātos.</w:t>
            </w:r>
          </w:p>
          <w:p w14:paraId="66A17032" w14:textId="13D3CC1A" w:rsidR="00963BCC" w:rsidRPr="001F2BA3" w:rsidRDefault="00963BCC" w:rsidP="002D36F0">
            <w:pPr>
              <w:pStyle w:val="ListParagraph"/>
              <w:numPr>
                <w:ilvl w:val="0"/>
                <w:numId w:val="3"/>
              </w:numPr>
              <w:ind w:left="343" w:hanging="283"/>
              <w:rPr>
                <w:noProof/>
                <w:lang w:val="lv-LV"/>
              </w:rPr>
            </w:pPr>
            <w:r w:rsidRPr="001F2BA3">
              <w:rPr>
                <w:noProof/>
                <w:lang w:val="lv-LV"/>
              </w:rPr>
              <w:t>Palīdzēt personām ar invaliditāti piedalīties vēlēšanās kā vēlēšanu amatpersonām, tostarp nodrošinot piekļuvi tulkojumam zīmju valodā.</w:t>
            </w:r>
          </w:p>
          <w:p w14:paraId="65D7B626" w14:textId="3F49B5D2" w:rsidR="006A6D6D" w:rsidRPr="001F2BA3" w:rsidRDefault="006A6D6D" w:rsidP="002D36F0">
            <w:pPr>
              <w:pStyle w:val="ListParagraph"/>
              <w:numPr>
                <w:ilvl w:val="0"/>
                <w:numId w:val="3"/>
              </w:numPr>
              <w:ind w:left="343" w:hanging="283"/>
              <w:rPr>
                <w:noProof/>
                <w:lang w:val="lv-LV"/>
              </w:rPr>
            </w:pPr>
            <w:r w:rsidRPr="001F2BA3">
              <w:rPr>
                <w:noProof/>
                <w:lang w:val="lv-LV"/>
              </w:rPr>
              <w:t>Atbalstīt vēlētāju līdzdalību, tostarp nodrošinot balsošanas palīdzību, ko sniedz viņu izvēlēta persona, un īstenojot politikas pasākumus balsošanai “bez rindas”.</w:t>
            </w:r>
          </w:p>
          <w:p w14:paraId="5A5A103E" w14:textId="77777777" w:rsidR="00963BCC" w:rsidRPr="001F2BA3" w:rsidRDefault="00963BCC" w:rsidP="002D36F0">
            <w:pPr>
              <w:pStyle w:val="ListParagraph"/>
              <w:numPr>
                <w:ilvl w:val="0"/>
                <w:numId w:val="3"/>
              </w:numPr>
              <w:ind w:left="343" w:hanging="283"/>
              <w:rPr>
                <w:noProof/>
                <w:lang w:val="lv-LV"/>
              </w:rPr>
            </w:pPr>
            <w:r w:rsidRPr="001F2BA3">
              <w:rPr>
                <w:noProof/>
                <w:lang w:val="lv-LV"/>
              </w:rPr>
              <w:t>Paziņot vēlēšanu rezultātus pieejamos formātos.</w:t>
            </w:r>
          </w:p>
          <w:p w14:paraId="4C2E11CF" w14:textId="09D111DC" w:rsidR="00963BCC" w:rsidRPr="001F2BA3" w:rsidRDefault="00963BCC" w:rsidP="002D36F0">
            <w:pPr>
              <w:pStyle w:val="ListParagraph"/>
              <w:numPr>
                <w:ilvl w:val="0"/>
                <w:numId w:val="3"/>
              </w:numPr>
              <w:ind w:left="343" w:hanging="283"/>
              <w:rPr>
                <w:noProof/>
                <w:lang w:val="lv-LV"/>
              </w:rPr>
            </w:pPr>
            <w:r w:rsidRPr="001F2BA3">
              <w:rPr>
                <w:noProof/>
                <w:lang w:val="lv-LV"/>
              </w:rPr>
              <w:t>Nodrošināt, ka vēlēšanu strīdu izšķiršanas procedūras ir pieejamas personām ar invaliditāti.</w:t>
            </w:r>
          </w:p>
          <w:p w14:paraId="1E6E12A2" w14:textId="34A6CCDC" w:rsidR="00963BCC" w:rsidRPr="001F2BA3" w:rsidRDefault="00963BCC" w:rsidP="002D36F0">
            <w:pPr>
              <w:pStyle w:val="ListParagraph"/>
              <w:numPr>
                <w:ilvl w:val="0"/>
                <w:numId w:val="3"/>
              </w:numPr>
              <w:ind w:left="343" w:hanging="283"/>
              <w:rPr>
                <w:noProof/>
                <w:lang w:val="lv-LV"/>
              </w:rPr>
            </w:pPr>
            <w:r w:rsidRPr="001F2BA3">
              <w:rPr>
                <w:noProof/>
                <w:lang w:val="lv-LV"/>
              </w:rPr>
              <w:t>Atbalstīt vēlēšanu novērošanu personām ar invaliditāti un ievērot vēlēšanu piekļūstamību.</w:t>
            </w:r>
          </w:p>
        </w:tc>
      </w:tr>
      <w:tr w:rsidR="00963BCC" w:rsidRPr="00B6763E" w14:paraId="647AD5C5" w14:textId="77777777">
        <w:trPr>
          <w:trHeight w:val="699"/>
        </w:trPr>
        <w:tc>
          <w:tcPr>
            <w:tcW w:w="807" w:type="pct"/>
          </w:tcPr>
          <w:p w14:paraId="0EC9C91B" w14:textId="77777777" w:rsidR="00963BCC" w:rsidRPr="001F2BA3" w:rsidRDefault="00963BCC" w:rsidP="00B42AEB">
            <w:pPr>
              <w:rPr>
                <w:noProof/>
                <w:lang w:val="lv-LV"/>
              </w:rPr>
            </w:pPr>
            <w:r w:rsidRPr="001F2BA3">
              <w:rPr>
                <w:noProof/>
                <w:lang w:val="lv-LV"/>
              </w:rPr>
              <w:t>Pēc vēlēšanām</w:t>
            </w:r>
          </w:p>
        </w:tc>
        <w:tc>
          <w:tcPr>
            <w:tcW w:w="4193" w:type="pct"/>
          </w:tcPr>
          <w:p w14:paraId="6E34D9B6" w14:textId="7E0DE6A4" w:rsidR="00963BCC" w:rsidRPr="001F2BA3" w:rsidRDefault="00963BCC" w:rsidP="002D36F0">
            <w:pPr>
              <w:pStyle w:val="ListParagraph"/>
              <w:numPr>
                <w:ilvl w:val="0"/>
                <w:numId w:val="3"/>
              </w:numPr>
              <w:ind w:left="343" w:hanging="283"/>
              <w:rPr>
                <w:noProof/>
                <w:lang w:val="lv-LV"/>
              </w:rPr>
            </w:pPr>
            <w:r w:rsidRPr="001F2BA3">
              <w:rPr>
                <w:noProof/>
                <w:lang w:val="lv-LV"/>
              </w:rPr>
              <w:t>Vākt datus par personu ar invaliditāti dalību vēlēšanās.</w:t>
            </w:r>
          </w:p>
          <w:p w14:paraId="7C911133" w14:textId="76560FCB" w:rsidR="00963BCC" w:rsidRPr="001F2BA3" w:rsidRDefault="00963BCC" w:rsidP="002D36F0">
            <w:pPr>
              <w:pStyle w:val="ListParagraph"/>
              <w:numPr>
                <w:ilvl w:val="0"/>
                <w:numId w:val="3"/>
              </w:numPr>
              <w:ind w:left="343" w:hanging="283"/>
              <w:rPr>
                <w:noProof/>
                <w:lang w:val="lv-LV"/>
              </w:rPr>
            </w:pPr>
            <w:r w:rsidRPr="001F2BA3">
              <w:rPr>
                <w:noProof/>
                <w:lang w:val="lv-LV"/>
              </w:rPr>
              <w:t>Novērtēt vēlēšanu piekļūstamību un šajā novērtēšanā iesaistīt personu ar invaliditāti pārstāvības organizācijas.</w:t>
            </w:r>
          </w:p>
          <w:p w14:paraId="19FAB318" w14:textId="77777777" w:rsidR="00963BCC" w:rsidRPr="001F2BA3" w:rsidRDefault="00963BCC" w:rsidP="002D36F0">
            <w:pPr>
              <w:pStyle w:val="ListParagraph"/>
              <w:numPr>
                <w:ilvl w:val="0"/>
                <w:numId w:val="3"/>
              </w:numPr>
              <w:ind w:left="343" w:hanging="283"/>
              <w:rPr>
                <w:noProof/>
                <w:lang w:val="lv-LV"/>
              </w:rPr>
            </w:pPr>
            <w:r w:rsidRPr="001F2BA3">
              <w:rPr>
                <w:noProof/>
                <w:lang w:val="lv-LV"/>
              </w:rPr>
              <w:t>Pārskatīt juridiskos, institucionālos un administratīvos šķēršļus.</w:t>
            </w:r>
          </w:p>
          <w:p w14:paraId="41B568B3" w14:textId="5EA8E671" w:rsidR="00963BCC" w:rsidRPr="001F2BA3" w:rsidRDefault="00963BCC" w:rsidP="002D36F0">
            <w:pPr>
              <w:pStyle w:val="ListParagraph"/>
              <w:numPr>
                <w:ilvl w:val="0"/>
                <w:numId w:val="3"/>
              </w:numPr>
              <w:ind w:left="343" w:hanging="283"/>
              <w:rPr>
                <w:noProof/>
                <w:lang w:val="lv-LV"/>
              </w:rPr>
            </w:pPr>
            <w:r w:rsidRPr="001F2BA3">
              <w:rPr>
                <w:noProof/>
                <w:lang w:val="lv-LV"/>
              </w:rPr>
              <w:t>Pārskatīt vēlēšanu tīmekļvietņu piekļūstamību, tostarp sadarbībā ar personu ar invaliditāti pārstāvības organizācijām.</w:t>
            </w:r>
          </w:p>
          <w:p w14:paraId="677E71B8" w14:textId="77777777" w:rsidR="00963BCC" w:rsidRPr="001F2BA3" w:rsidRDefault="00963BCC" w:rsidP="002D36F0">
            <w:pPr>
              <w:pStyle w:val="ListParagraph"/>
              <w:numPr>
                <w:ilvl w:val="0"/>
                <w:numId w:val="3"/>
              </w:numPr>
              <w:ind w:left="343" w:hanging="283"/>
              <w:rPr>
                <w:noProof/>
                <w:lang w:val="lv-LV"/>
              </w:rPr>
            </w:pPr>
            <w:r w:rsidRPr="001F2BA3">
              <w:rPr>
                <w:noProof/>
                <w:lang w:val="lv-LV"/>
              </w:rPr>
              <w:t>Publicēt novērtēšanas rezultātus pieejamos formātos.</w:t>
            </w:r>
          </w:p>
          <w:p w14:paraId="7D079524" w14:textId="109D5518" w:rsidR="00963BCC" w:rsidRPr="001F2BA3" w:rsidRDefault="00963BCC" w:rsidP="002D36F0">
            <w:pPr>
              <w:pStyle w:val="ListParagraph"/>
              <w:numPr>
                <w:ilvl w:val="0"/>
                <w:numId w:val="3"/>
              </w:numPr>
              <w:ind w:left="343" w:hanging="283"/>
              <w:rPr>
                <w:noProof/>
                <w:lang w:val="lv-LV"/>
              </w:rPr>
            </w:pPr>
            <w:r w:rsidRPr="001F2BA3">
              <w:rPr>
                <w:noProof/>
                <w:lang w:val="lv-LV"/>
              </w:rPr>
              <w:t>Vienkāršot, automatizēt un nodrošināt piekļuvi dažādiem iepriekšējas reģistrācijas procesiem, tostarp vēlētāju reģistrācijai, kā pieprasīt pielāgojumus un nodrošināt personām ar invaliditāti piekļuvi nepieciešamajiem dokumentiem.</w:t>
            </w:r>
          </w:p>
          <w:p w14:paraId="78DD7FC0" w14:textId="7C062C83" w:rsidR="00963BCC" w:rsidRPr="001F2BA3" w:rsidRDefault="007239C5" w:rsidP="002D36F0">
            <w:pPr>
              <w:pStyle w:val="ListParagraph"/>
              <w:numPr>
                <w:ilvl w:val="0"/>
                <w:numId w:val="3"/>
              </w:numPr>
              <w:ind w:left="343" w:hanging="283"/>
              <w:rPr>
                <w:noProof/>
                <w:lang w:val="lv-LV"/>
              </w:rPr>
            </w:pPr>
            <w:r w:rsidRPr="001F2BA3">
              <w:rPr>
                <w:noProof/>
                <w:lang w:val="lv-LV"/>
              </w:rPr>
              <w:t>Stiprināt partnerību starp vēlēšanas organizējošām iestādēm, personu ar invaliditāti pārstāvības organizācijām un citām ieinteresētajām personām, lai novērstu konstatētos trūkumus saistībā ar vēlēšanu vides vispārējo piekļūstamību.</w:t>
            </w:r>
          </w:p>
        </w:tc>
      </w:tr>
    </w:tbl>
    <w:p w14:paraId="039FA354" w14:textId="39DD1499" w:rsidR="00C05211" w:rsidRPr="001F2BA3" w:rsidRDefault="00164A0E" w:rsidP="006B02A7">
      <w:pPr>
        <w:pStyle w:val="Heading1"/>
        <w:spacing w:before="360" w:after="240" w:line="288" w:lineRule="auto"/>
        <w:rPr>
          <w:noProof/>
          <w:lang w:val="lv-LV"/>
        </w:rPr>
      </w:pPr>
      <w:bookmarkStart w:id="88" w:name="_Toc148718604"/>
      <w:bookmarkStart w:id="89" w:name="_Toc158022338"/>
      <w:r w:rsidRPr="001F2BA3">
        <w:rPr>
          <w:noProof/>
          <w:lang w:val="lv-LV"/>
        </w:rPr>
        <w:t>2. pielikums. Kontrolsaraksta piemēri vēlēšanu iecirkņu piekļūstamības novērtēšanai</w:t>
      </w:r>
      <w:bookmarkEnd w:id="88"/>
      <w:bookmarkEnd w:id="89"/>
    </w:p>
    <w:p w14:paraId="571EC246" w14:textId="1FD6D9E2" w:rsidR="00164A0E" w:rsidRPr="001F2BA3" w:rsidRDefault="00164A0E" w:rsidP="002D36F0">
      <w:pPr>
        <w:pStyle w:val="ListParagraph"/>
        <w:numPr>
          <w:ilvl w:val="0"/>
          <w:numId w:val="6"/>
        </w:numPr>
        <w:spacing w:after="240" w:line="288" w:lineRule="auto"/>
        <w:ind w:left="714" w:hanging="357"/>
        <w:rPr>
          <w:noProof/>
          <w:lang w:val="lv-LV"/>
        </w:rPr>
      </w:pPr>
      <w:r w:rsidRPr="001F2BA3">
        <w:rPr>
          <w:noProof/>
          <w:lang w:val="lv-LV"/>
        </w:rPr>
        <w:t>Igaunija</w:t>
      </w:r>
    </w:p>
    <w:tbl>
      <w:tblPr>
        <w:tblStyle w:val="TableGrid"/>
        <w:tblW w:w="5000" w:type="pct"/>
        <w:tblLook w:val="04A0" w:firstRow="1" w:lastRow="0" w:firstColumn="1" w:lastColumn="0" w:noHBand="0" w:noVBand="1"/>
      </w:tblPr>
      <w:tblGrid>
        <w:gridCol w:w="7840"/>
        <w:gridCol w:w="678"/>
        <w:gridCol w:w="542"/>
      </w:tblGrid>
      <w:tr w:rsidR="002A5832" w:rsidRPr="001F2BA3" w14:paraId="7320CCF7" w14:textId="77777777" w:rsidTr="006F0581">
        <w:tc>
          <w:tcPr>
            <w:tcW w:w="4327" w:type="pct"/>
            <w:shd w:val="clear" w:color="auto" w:fill="D9D9D9" w:themeFill="background1" w:themeFillShade="D9"/>
            <w:hideMark/>
          </w:tcPr>
          <w:p w14:paraId="519DBF22" w14:textId="77777777" w:rsidR="00BC55E4" w:rsidRPr="001F2BA3" w:rsidRDefault="00BC55E4" w:rsidP="00B42AEB">
            <w:pPr>
              <w:rPr>
                <w:b/>
                <w:noProof/>
                <w:lang w:val="lv-LV"/>
              </w:rPr>
            </w:pPr>
            <w:r w:rsidRPr="001F2BA3">
              <w:rPr>
                <w:b/>
                <w:noProof/>
                <w:lang w:val="lv-LV"/>
              </w:rPr>
              <w:t>Novērtētie kritēriji</w:t>
            </w:r>
          </w:p>
        </w:tc>
        <w:tc>
          <w:tcPr>
            <w:tcW w:w="374" w:type="pct"/>
            <w:shd w:val="clear" w:color="auto" w:fill="D9D9D9" w:themeFill="background1" w:themeFillShade="D9"/>
            <w:hideMark/>
          </w:tcPr>
          <w:p w14:paraId="2BBA6F7E" w14:textId="77777777" w:rsidR="00BC55E4" w:rsidRPr="001F2BA3" w:rsidRDefault="00BC55E4" w:rsidP="00B42AEB">
            <w:pPr>
              <w:rPr>
                <w:b/>
                <w:noProof/>
                <w:lang w:val="lv-LV"/>
              </w:rPr>
            </w:pPr>
            <w:r w:rsidRPr="001F2BA3">
              <w:rPr>
                <w:b/>
                <w:noProof/>
                <w:lang w:val="lv-LV"/>
              </w:rPr>
              <w:t>Jā</w:t>
            </w:r>
          </w:p>
        </w:tc>
        <w:tc>
          <w:tcPr>
            <w:tcW w:w="299" w:type="pct"/>
            <w:shd w:val="clear" w:color="auto" w:fill="D9D9D9" w:themeFill="background1" w:themeFillShade="D9"/>
            <w:hideMark/>
          </w:tcPr>
          <w:p w14:paraId="2A53FD15" w14:textId="77777777" w:rsidR="00BC55E4" w:rsidRPr="001F2BA3" w:rsidRDefault="00BC55E4" w:rsidP="00B42AEB">
            <w:pPr>
              <w:rPr>
                <w:b/>
                <w:noProof/>
                <w:lang w:val="lv-LV"/>
              </w:rPr>
            </w:pPr>
            <w:r w:rsidRPr="001F2BA3">
              <w:rPr>
                <w:b/>
                <w:noProof/>
                <w:lang w:val="lv-LV"/>
              </w:rPr>
              <w:t>Nē</w:t>
            </w:r>
          </w:p>
        </w:tc>
      </w:tr>
      <w:tr w:rsidR="002A5832" w:rsidRPr="001F2BA3" w14:paraId="546C0A23" w14:textId="77777777" w:rsidTr="00B87F34">
        <w:tc>
          <w:tcPr>
            <w:tcW w:w="4327" w:type="pct"/>
            <w:hideMark/>
          </w:tcPr>
          <w:p w14:paraId="4C6424BA" w14:textId="77777777" w:rsidR="00BC55E4" w:rsidRPr="001F2BA3" w:rsidRDefault="00BC55E4" w:rsidP="00B42AEB">
            <w:pPr>
              <w:rPr>
                <w:noProof/>
                <w:lang w:val="lv-LV"/>
              </w:rPr>
            </w:pPr>
            <w:r w:rsidRPr="001F2BA3">
              <w:rPr>
                <w:noProof/>
                <w:lang w:val="lv-LV"/>
              </w:rPr>
              <w:t>Sabiedriskais transports un autostāvvieta</w:t>
            </w:r>
          </w:p>
        </w:tc>
        <w:tc>
          <w:tcPr>
            <w:tcW w:w="374" w:type="pct"/>
          </w:tcPr>
          <w:p w14:paraId="38E1DD4B" w14:textId="77777777" w:rsidR="00BC55E4" w:rsidRPr="001F2BA3" w:rsidRDefault="00BC55E4" w:rsidP="00B42AEB">
            <w:pPr>
              <w:rPr>
                <w:noProof/>
                <w:lang w:val="lv-LV"/>
              </w:rPr>
            </w:pPr>
          </w:p>
        </w:tc>
        <w:tc>
          <w:tcPr>
            <w:tcW w:w="299" w:type="pct"/>
          </w:tcPr>
          <w:p w14:paraId="4BF36B66" w14:textId="77777777" w:rsidR="00BC55E4" w:rsidRPr="001F2BA3" w:rsidRDefault="00BC55E4" w:rsidP="00B42AEB">
            <w:pPr>
              <w:rPr>
                <w:noProof/>
                <w:lang w:val="lv-LV"/>
              </w:rPr>
            </w:pPr>
          </w:p>
        </w:tc>
      </w:tr>
      <w:tr w:rsidR="002A5832" w:rsidRPr="001F2BA3" w14:paraId="01818840" w14:textId="77777777" w:rsidTr="00B87F34">
        <w:tc>
          <w:tcPr>
            <w:tcW w:w="4327" w:type="pct"/>
            <w:hideMark/>
          </w:tcPr>
          <w:p w14:paraId="4FCDB1A3" w14:textId="2DCAA582" w:rsidR="00BC55E4" w:rsidRPr="001F2BA3" w:rsidRDefault="00BC55E4" w:rsidP="00B42AEB">
            <w:pPr>
              <w:rPr>
                <w:noProof/>
                <w:lang w:val="lv-LV"/>
              </w:rPr>
            </w:pPr>
            <w:r w:rsidRPr="001F2BA3">
              <w:rPr>
                <w:noProof/>
                <w:lang w:val="lv-LV"/>
              </w:rPr>
              <w:t>Uz ēku, kurā atrodas vēlēšanu iecirknis, var nokļūt ar sabiedrisko transportu.</w:t>
            </w:r>
          </w:p>
        </w:tc>
        <w:tc>
          <w:tcPr>
            <w:tcW w:w="374" w:type="pct"/>
          </w:tcPr>
          <w:p w14:paraId="21249AA6" w14:textId="77777777" w:rsidR="00BC55E4" w:rsidRPr="001F2BA3" w:rsidRDefault="00BC55E4" w:rsidP="00B42AEB">
            <w:pPr>
              <w:rPr>
                <w:noProof/>
                <w:lang w:val="lv-LV"/>
              </w:rPr>
            </w:pPr>
          </w:p>
        </w:tc>
        <w:tc>
          <w:tcPr>
            <w:tcW w:w="299" w:type="pct"/>
          </w:tcPr>
          <w:p w14:paraId="144DA361" w14:textId="77777777" w:rsidR="00BC55E4" w:rsidRPr="001F2BA3" w:rsidRDefault="00BC55E4" w:rsidP="00B42AEB">
            <w:pPr>
              <w:rPr>
                <w:noProof/>
                <w:lang w:val="lv-LV"/>
              </w:rPr>
            </w:pPr>
          </w:p>
        </w:tc>
      </w:tr>
      <w:tr w:rsidR="002A5832" w:rsidRPr="001F2BA3" w14:paraId="04D0B76C" w14:textId="77777777" w:rsidTr="00B87F34">
        <w:tc>
          <w:tcPr>
            <w:tcW w:w="4327" w:type="pct"/>
            <w:hideMark/>
          </w:tcPr>
          <w:p w14:paraId="6154A1B7" w14:textId="13E68944" w:rsidR="00BC55E4" w:rsidRPr="001F2BA3" w:rsidRDefault="00BC55E4" w:rsidP="00B42AEB">
            <w:pPr>
              <w:rPr>
                <w:noProof/>
                <w:lang w:val="lv-LV"/>
              </w:rPr>
            </w:pPr>
            <w:r w:rsidRPr="001F2BA3">
              <w:rPr>
                <w:noProof/>
                <w:lang w:val="lv-LV"/>
              </w:rPr>
              <w:t>Ēkā ir autostāvvietas personām ar invaliditāti.</w:t>
            </w:r>
          </w:p>
        </w:tc>
        <w:tc>
          <w:tcPr>
            <w:tcW w:w="374" w:type="pct"/>
          </w:tcPr>
          <w:p w14:paraId="06CCD89B" w14:textId="77777777" w:rsidR="00BC55E4" w:rsidRPr="001F2BA3" w:rsidRDefault="00BC55E4" w:rsidP="00B42AEB">
            <w:pPr>
              <w:rPr>
                <w:noProof/>
                <w:lang w:val="lv-LV"/>
              </w:rPr>
            </w:pPr>
          </w:p>
        </w:tc>
        <w:tc>
          <w:tcPr>
            <w:tcW w:w="299" w:type="pct"/>
          </w:tcPr>
          <w:p w14:paraId="7B9E5931" w14:textId="77777777" w:rsidR="00BC55E4" w:rsidRPr="001F2BA3" w:rsidRDefault="00BC55E4" w:rsidP="00B42AEB">
            <w:pPr>
              <w:rPr>
                <w:noProof/>
                <w:lang w:val="lv-LV"/>
              </w:rPr>
            </w:pPr>
          </w:p>
        </w:tc>
      </w:tr>
      <w:tr w:rsidR="002A5832" w:rsidRPr="001F2BA3" w14:paraId="5CDA8435" w14:textId="77777777" w:rsidTr="00B87F34">
        <w:tc>
          <w:tcPr>
            <w:tcW w:w="4327" w:type="pct"/>
            <w:hideMark/>
          </w:tcPr>
          <w:p w14:paraId="56195F35" w14:textId="7D39C859" w:rsidR="00BC55E4" w:rsidRPr="001F2BA3" w:rsidRDefault="00BC55E4" w:rsidP="00B42AEB">
            <w:pPr>
              <w:rPr>
                <w:noProof/>
                <w:lang w:val="lv-LV"/>
              </w:rPr>
            </w:pPr>
            <w:r w:rsidRPr="001F2BA3">
              <w:rPr>
                <w:noProof/>
                <w:lang w:val="lv-LV"/>
              </w:rPr>
              <w:t>Piekļuve no stāvvietas līdz ēkas galvenajai ieejai bez šķēršļiem.</w:t>
            </w:r>
          </w:p>
        </w:tc>
        <w:tc>
          <w:tcPr>
            <w:tcW w:w="374" w:type="pct"/>
          </w:tcPr>
          <w:p w14:paraId="26665E34" w14:textId="77777777" w:rsidR="00BC55E4" w:rsidRPr="001F2BA3" w:rsidRDefault="00BC55E4" w:rsidP="00B42AEB">
            <w:pPr>
              <w:rPr>
                <w:noProof/>
                <w:lang w:val="lv-LV"/>
              </w:rPr>
            </w:pPr>
          </w:p>
        </w:tc>
        <w:tc>
          <w:tcPr>
            <w:tcW w:w="299" w:type="pct"/>
          </w:tcPr>
          <w:p w14:paraId="4038C496" w14:textId="77777777" w:rsidR="00BC55E4" w:rsidRPr="001F2BA3" w:rsidRDefault="00BC55E4" w:rsidP="00B42AEB">
            <w:pPr>
              <w:rPr>
                <w:noProof/>
                <w:lang w:val="lv-LV"/>
              </w:rPr>
            </w:pPr>
          </w:p>
        </w:tc>
      </w:tr>
      <w:tr w:rsidR="002A5832" w:rsidRPr="00B6763E" w14:paraId="2B19E677" w14:textId="77777777" w:rsidTr="00B87F34">
        <w:tc>
          <w:tcPr>
            <w:tcW w:w="4327" w:type="pct"/>
            <w:hideMark/>
          </w:tcPr>
          <w:p w14:paraId="009837D9" w14:textId="2CC7F47F" w:rsidR="00BC55E4" w:rsidRPr="001F2BA3" w:rsidRDefault="00D001CE" w:rsidP="00B42AEB">
            <w:pPr>
              <w:rPr>
                <w:noProof/>
                <w:lang w:val="lv-LV"/>
              </w:rPr>
            </w:pPr>
            <w:r w:rsidRPr="001F2BA3">
              <w:rPr>
                <w:noProof/>
                <w:lang w:val="lv-LV"/>
              </w:rPr>
              <w:t>Piekļuves ceļš un ieeja ēkā</w:t>
            </w:r>
          </w:p>
        </w:tc>
        <w:tc>
          <w:tcPr>
            <w:tcW w:w="374" w:type="pct"/>
          </w:tcPr>
          <w:p w14:paraId="6AA3200D" w14:textId="77777777" w:rsidR="00BC55E4" w:rsidRPr="001F2BA3" w:rsidRDefault="00BC55E4" w:rsidP="00B42AEB">
            <w:pPr>
              <w:rPr>
                <w:noProof/>
                <w:lang w:val="lv-LV"/>
              </w:rPr>
            </w:pPr>
          </w:p>
        </w:tc>
        <w:tc>
          <w:tcPr>
            <w:tcW w:w="299" w:type="pct"/>
          </w:tcPr>
          <w:p w14:paraId="0F11709D" w14:textId="77777777" w:rsidR="00BC55E4" w:rsidRPr="001F2BA3" w:rsidRDefault="00BC55E4" w:rsidP="00B42AEB">
            <w:pPr>
              <w:rPr>
                <w:noProof/>
                <w:lang w:val="lv-LV"/>
              </w:rPr>
            </w:pPr>
          </w:p>
        </w:tc>
      </w:tr>
      <w:tr w:rsidR="002A5832" w:rsidRPr="00B6763E" w14:paraId="31CA0AB9" w14:textId="77777777" w:rsidTr="00B87F34">
        <w:tc>
          <w:tcPr>
            <w:tcW w:w="4327" w:type="pct"/>
            <w:hideMark/>
          </w:tcPr>
          <w:p w14:paraId="1BAB3C3F" w14:textId="0224FDF7" w:rsidR="00BC55E4" w:rsidRPr="001F2BA3" w:rsidRDefault="00BC55E4" w:rsidP="00B42AEB">
            <w:pPr>
              <w:rPr>
                <w:noProof/>
                <w:lang w:val="lv-LV"/>
              </w:rPr>
            </w:pPr>
            <w:r w:rsidRPr="001F2BA3">
              <w:rPr>
                <w:noProof/>
                <w:lang w:val="lv-LV"/>
              </w:rPr>
              <w:t>Maršruti uz ēku un galveno ieeju ir marķēti ar norādēm</w:t>
            </w:r>
          </w:p>
        </w:tc>
        <w:tc>
          <w:tcPr>
            <w:tcW w:w="374" w:type="pct"/>
          </w:tcPr>
          <w:p w14:paraId="13330EA3" w14:textId="77777777" w:rsidR="00BC55E4" w:rsidRPr="001F2BA3" w:rsidRDefault="00BC55E4" w:rsidP="00B42AEB">
            <w:pPr>
              <w:rPr>
                <w:noProof/>
                <w:lang w:val="lv-LV"/>
              </w:rPr>
            </w:pPr>
          </w:p>
        </w:tc>
        <w:tc>
          <w:tcPr>
            <w:tcW w:w="299" w:type="pct"/>
          </w:tcPr>
          <w:p w14:paraId="28C53D36" w14:textId="77777777" w:rsidR="00BC55E4" w:rsidRPr="001F2BA3" w:rsidRDefault="00BC55E4" w:rsidP="00B42AEB">
            <w:pPr>
              <w:rPr>
                <w:noProof/>
                <w:lang w:val="lv-LV"/>
              </w:rPr>
            </w:pPr>
          </w:p>
        </w:tc>
      </w:tr>
      <w:tr w:rsidR="002A5832" w:rsidRPr="00B6763E" w14:paraId="28284FBB" w14:textId="77777777" w:rsidTr="00B87F34">
        <w:tc>
          <w:tcPr>
            <w:tcW w:w="4327" w:type="pct"/>
            <w:hideMark/>
          </w:tcPr>
          <w:p w14:paraId="2F0A2756" w14:textId="77777777" w:rsidR="00BC55E4" w:rsidRPr="001F2BA3" w:rsidRDefault="00BC55E4" w:rsidP="00B42AEB">
            <w:pPr>
              <w:rPr>
                <w:noProof/>
                <w:lang w:val="lv-LV"/>
              </w:rPr>
            </w:pPr>
            <w:r w:rsidRPr="001F2BA3">
              <w:rPr>
                <w:noProof/>
                <w:lang w:val="lv-LV"/>
              </w:rPr>
              <w:t>Ieeja ēkā ir pieejama pa uzbrauktuvi.</w:t>
            </w:r>
          </w:p>
        </w:tc>
        <w:tc>
          <w:tcPr>
            <w:tcW w:w="374" w:type="pct"/>
          </w:tcPr>
          <w:p w14:paraId="3393D6B3" w14:textId="77777777" w:rsidR="00BC55E4" w:rsidRPr="001F2BA3" w:rsidRDefault="00BC55E4" w:rsidP="00B42AEB">
            <w:pPr>
              <w:rPr>
                <w:noProof/>
                <w:lang w:val="lv-LV"/>
              </w:rPr>
            </w:pPr>
          </w:p>
        </w:tc>
        <w:tc>
          <w:tcPr>
            <w:tcW w:w="299" w:type="pct"/>
          </w:tcPr>
          <w:p w14:paraId="49A05D4E" w14:textId="77777777" w:rsidR="00BC55E4" w:rsidRPr="001F2BA3" w:rsidRDefault="00BC55E4" w:rsidP="00B42AEB">
            <w:pPr>
              <w:rPr>
                <w:noProof/>
                <w:lang w:val="lv-LV"/>
              </w:rPr>
            </w:pPr>
          </w:p>
        </w:tc>
      </w:tr>
      <w:tr w:rsidR="002A5832" w:rsidRPr="00B6763E" w14:paraId="25F09E77" w14:textId="77777777" w:rsidTr="00B87F34">
        <w:tc>
          <w:tcPr>
            <w:tcW w:w="4327" w:type="pct"/>
            <w:hideMark/>
          </w:tcPr>
          <w:p w14:paraId="2D877CF8" w14:textId="77777777" w:rsidR="00BC55E4" w:rsidRPr="001F2BA3" w:rsidRDefault="00BC55E4" w:rsidP="00B42AEB">
            <w:pPr>
              <w:rPr>
                <w:noProof/>
                <w:lang w:val="lv-LV"/>
              </w:rPr>
            </w:pPr>
            <w:r w:rsidRPr="001F2BA3">
              <w:rPr>
                <w:noProof/>
                <w:lang w:val="lv-LV"/>
              </w:rPr>
              <w:t>Uzbrauktuvei ir margas un līdzena pretslīdēšanas virsma.</w:t>
            </w:r>
          </w:p>
        </w:tc>
        <w:tc>
          <w:tcPr>
            <w:tcW w:w="374" w:type="pct"/>
          </w:tcPr>
          <w:p w14:paraId="41D20D3C" w14:textId="77777777" w:rsidR="00BC55E4" w:rsidRPr="001F2BA3" w:rsidRDefault="00BC55E4" w:rsidP="00B42AEB">
            <w:pPr>
              <w:rPr>
                <w:noProof/>
                <w:lang w:val="lv-LV"/>
              </w:rPr>
            </w:pPr>
          </w:p>
        </w:tc>
        <w:tc>
          <w:tcPr>
            <w:tcW w:w="299" w:type="pct"/>
          </w:tcPr>
          <w:p w14:paraId="32529A27" w14:textId="77777777" w:rsidR="00BC55E4" w:rsidRPr="001F2BA3" w:rsidRDefault="00BC55E4" w:rsidP="00B42AEB">
            <w:pPr>
              <w:rPr>
                <w:noProof/>
                <w:lang w:val="lv-LV"/>
              </w:rPr>
            </w:pPr>
          </w:p>
        </w:tc>
      </w:tr>
      <w:tr w:rsidR="002A5832" w:rsidRPr="001F2BA3" w14:paraId="3288C107" w14:textId="77777777" w:rsidTr="00B87F34">
        <w:tc>
          <w:tcPr>
            <w:tcW w:w="4327" w:type="pct"/>
            <w:hideMark/>
          </w:tcPr>
          <w:p w14:paraId="1AFBFBF9" w14:textId="602FAAFF" w:rsidR="00BC55E4" w:rsidRPr="001F2BA3" w:rsidRDefault="00BC55E4" w:rsidP="00B42AEB">
            <w:pPr>
              <w:rPr>
                <w:noProof/>
                <w:lang w:val="lv-LV"/>
              </w:rPr>
            </w:pPr>
            <w:r w:rsidRPr="001F2BA3">
              <w:rPr>
                <w:noProof/>
                <w:lang w:val="lv-LV"/>
              </w:rPr>
              <w:t>Rampas platums ir pietiekams (vismaz 1,1 m).</w:t>
            </w:r>
          </w:p>
        </w:tc>
        <w:tc>
          <w:tcPr>
            <w:tcW w:w="374" w:type="pct"/>
          </w:tcPr>
          <w:p w14:paraId="4FFE3089" w14:textId="77777777" w:rsidR="00BC55E4" w:rsidRPr="001F2BA3" w:rsidRDefault="00BC55E4" w:rsidP="00B42AEB">
            <w:pPr>
              <w:rPr>
                <w:noProof/>
                <w:lang w:val="lv-LV"/>
              </w:rPr>
            </w:pPr>
          </w:p>
        </w:tc>
        <w:tc>
          <w:tcPr>
            <w:tcW w:w="299" w:type="pct"/>
          </w:tcPr>
          <w:p w14:paraId="6598D0A2" w14:textId="77777777" w:rsidR="00BC55E4" w:rsidRPr="001F2BA3" w:rsidRDefault="00BC55E4" w:rsidP="00B42AEB">
            <w:pPr>
              <w:rPr>
                <w:noProof/>
                <w:lang w:val="lv-LV"/>
              </w:rPr>
            </w:pPr>
          </w:p>
        </w:tc>
      </w:tr>
      <w:tr w:rsidR="002A5832" w:rsidRPr="001F2BA3" w14:paraId="0C9B2CA5" w14:textId="77777777" w:rsidTr="00B87F34">
        <w:tc>
          <w:tcPr>
            <w:tcW w:w="4327" w:type="pct"/>
            <w:hideMark/>
          </w:tcPr>
          <w:p w14:paraId="4361EBC8" w14:textId="77777777" w:rsidR="00BC55E4" w:rsidRPr="001F2BA3" w:rsidRDefault="00BC55E4" w:rsidP="00B42AEB">
            <w:pPr>
              <w:rPr>
                <w:noProof/>
                <w:lang w:val="lv-LV"/>
              </w:rPr>
            </w:pPr>
            <w:r w:rsidRPr="001F2BA3">
              <w:rPr>
                <w:noProof/>
                <w:lang w:val="lv-LV"/>
              </w:rPr>
              <w:t>Cilvēki ratiņkrēslos var patstāvīgi šķērsot ēkas durvju slieksni.</w:t>
            </w:r>
          </w:p>
        </w:tc>
        <w:tc>
          <w:tcPr>
            <w:tcW w:w="374" w:type="pct"/>
          </w:tcPr>
          <w:p w14:paraId="1E9F2103" w14:textId="77777777" w:rsidR="00BC55E4" w:rsidRPr="001F2BA3" w:rsidRDefault="00BC55E4" w:rsidP="00B42AEB">
            <w:pPr>
              <w:rPr>
                <w:noProof/>
                <w:lang w:val="lv-LV"/>
              </w:rPr>
            </w:pPr>
          </w:p>
        </w:tc>
        <w:tc>
          <w:tcPr>
            <w:tcW w:w="299" w:type="pct"/>
          </w:tcPr>
          <w:p w14:paraId="59C24342" w14:textId="77777777" w:rsidR="00BC55E4" w:rsidRPr="001F2BA3" w:rsidRDefault="00BC55E4" w:rsidP="00B42AEB">
            <w:pPr>
              <w:rPr>
                <w:noProof/>
                <w:lang w:val="lv-LV"/>
              </w:rPr>
            </w:pPr>
          </w:p>
        </w:tc>
      </w:tr>
      <w:tr w:rsidR="002A5832" w:rsidRPr="001F2BA3" w14:paraId="26BBEBAB" w14:textId="77777777" w:rsidTr="00B87F34">
        <w:tc>
          <w:tcPr>
            <w:tcW w:w="4327" w:type="pct"/>
            <w:hideMark/>
          </w:tcPr>
          <w:p w14:paraId="380C7E79" w14:textId="77777777" w:rsidR="00BC55E4" w:rsidRPr="001F2BA3" w:rsidRDefault="00BC55E4" w:rsidP="00B42AEB">
            <w:pPr>
              <w:rPr>
                <w:noProof/>
                <w:lang w:val="lv-LV"/>
              </w:rPr>
            </w:pPr>
            <w:r w:rsidRPr="001F2BA3">
              <w:rPr>
                <w:noProof/>
                <w:lang w:val="lv-LV"/>
              </w:rPr>
              <w:t>Ēkas ārdurvis atveras automātiski vai ir viegli atveramas.</w:t>
            </w:r>
          </w:p>
        </w:tc>
        <w:tc>
          <w:tcPr>
            <w:tcW w:w="374" w:type="pct"/>
          </w:tcPr>
          <w:p w14:paraId="525CBB34" w14:textId="77777777" w:rsidR="00BC55E4" w:rsidRPr="001F2BA3" w:rsidRDefault="00BC55E4" w:rsidP="00B42AEB">
            <w:pPr>
              <w:rPr>
                <w:noProof/>
                <w:lang w:val="lv-LV"/>
              </w:rPr>
            </w:pPr>
          </w:p>
        </w:tc>
        <w:tc>
          <w:tcPr>
            <w:tcW w:w="299" w:type="pct"/>
          </w:tcPr>
          <w:p w14:paraId="4A868C29" w14:textId="77777777" w:rsidR="00BC55E4" w:rsidRPr="001F2BA3" w:rsidRDefault="00BC55E4" w:rsidP="00B42AEB">
            <w:pPr>
              <w:rPr>
                <w:noProof/>
                <w:lang w:val="lv-LV"/>
              </w:rPr>
            </w:pPr>
          </w:p>
        </w:tc>
      </w:tr>
      <w:tr w:rsidR="002A5832" w:rsidRPr="001F2BA3" w14:paraId="0431A794" w14:textId="77777777" w:rsidTr="00B87F34">
        <w:tc>
          <w:tcPr>
            <w:tcW w:w="4327" w:type="pct"/>
            <w:hideMark/>
          </w:tcPr>
          <w:p w14:paraId="124CD2BF" w14:textId="1CA71EC0" w:rsidR="00BC55E4" w:rsidRPr="001F2BA3" w:rsidRDefault="001F0980" w:rsidP="00B42AEB">
            <w:pPr>
              <w:rPr>
                <w:noProof/>
                <w:lang w:val="lv-LV"/>
              </w:rPr>
            </w:pPr>
            <w:r w:rsidRPr="001F2BA3">
              <w:rPr>
                <w:noProof/>
                <w:lang w:val="lv-LV"/>
              </w:rPr>
              <w:t>Ārējās durvis ir atvērtas, t. i., durvis nav aizslēgtas vai to atvēršanai nav jāizmanto domofons.</w:t>
            </w:r>
          </w:p>
        </w:tc>
        <w:tc>
          <w:tcPr>
            <w:tcW w:w="374" w:type="pct"/>
          </w:tcPr>
          <w:p w14:paraId="283D91C6" w14:textId="77777777" w:rsidR="00BC55E4" w:rsidRPr="001F2BA3" w:rsidRDefault="00BC55E4" w:rsidP="00B42AEB">
            <w:pPr>
              <w:rPr>
                <w:noProof/>
                <w:lang w:val="lv-LV"/>
              </w:rPr>
            </w:pPr>
          </w:p>
        </w:tc>
        <w:tc>
          <w:tcPr>
            <w:tcW w:w="299" w:type="pct"/>
          </w:tcPr>
          <w:p w14:paraId="5D0E2F19" w14:textId="77777777" w:rsidR="00BC55E4" w:rsidRPr="001F2BA3" w:rsidRDefault="00BC55E4" w:rsidP="00B42AEB">
            <w:pPr>
              <w:rPr>
                <w:noProof/>
                <w:lang w:val="lv-LV"/>
              </w:rPr>
            </w:pPr>
          </w:p>
        </w:tc>
      </w:tr>
      <w:tr w:rsidR="002A5832" w:rsidRPr="001F2BA3" w14:paraId="16BD368E" w14:textId="77777777" w:rsidTr="00B87F34">
        <w:tc>
          <w:tcPr>
            <w:tcW w:w="4327" w:type="pct"/>
            <w:hideMark/>
          </w:tcPr>
          <w:p w14:paraId="071CAFCF" w14:textId="52535A21" w:rsidR="00BC55E4" w:rsidRPr="001F2BA3" w:rsidRDefault="00002098" w:rsidP="00B42AEB">
            <w:pPr>
              <w:rPr>
                <w:noProof/>
                <w:lang w:val="lv-LV"/>
              </w:rPr>
            </w:pPr>
            <w:r w:rsidRPr="001F2BA3">
              <w:rPr>
                <w:noProof/>
                <w:lang w:val="lv-LV"/>
              </w:rPr>
              <w:t>Piekļuves ceļš uz vēlēšanu iecirkni ēkā</w:t>
            </w:r>
          </w:p>
        </w:tc>
        <w:tc>
          <w:tcPr>
            <w:tcW w:w="374" w:type="pct"/>
          </w:tcPr>
          <w:p w14:paraId="72915989" w14:textId="77777777" w:rsidR="00BC55E4" w:rsidRPr="001F2BA3" w:rsidRDefault="00BC55E4" w:rsidP="00B42AEB">
            <w:pPr>
              <w:rPr>
                <w:noProof/>
                <w:lang w:val="lv-LV"/>
              </w:rPr>
            </w:pPr>
          </w:p>
        </w:tc>
        <w:tc>
          <w:tcPr>
            <w:tcW w:w="299" w:type="pct"/>
          </w:tcPr>
          <w:p w14:paraId="4D24C598" w14:textId="77777777" w:rsidR="00BC55E4" w:rsidRPr="001F2BA3" w:rsidRDefault="00BC55E4" w:rsidP="00B42AEB">
            <w:pPr>
              <w:rPr>
                <w:noProof/>
                <w:lang w:val="lv-LV"/>
              </w:rPr>
            </w:pPr>
          </w:p>
        </w:tc>
      </w:tr>
      <w:tr w:rsidR="002A5832" w:rsidRPr="001F2BA3" w14:paraId="0F038FF5" w14:textId="77777777" w:rsidTr="00B87F34">
        <w:tc>
          <w:tcPr>
            <w:tcW w:w="4327" w:type="pct"/>
            <w:hideMark/>
          </w:tcPr>
          <w:p w14:paraId="73E2B35C" w14:textId="77777777" w:rsidR="00BC55E4" w:rsidRPr="001F2BA3" w:rsidRDefault="00BC55E4" w:rsidP="00B42AEB">
            <w:pPr>
              <w:rPr>
                <w:noProof/>
                <w:lang w:val="lv-LV"/>
              </w:rPr>
            </w:pPr>
            <w:r w:rsidRPr="001F2BA3">
              <w:rPr>
                <w:noProof/>
                <w:lang w:val="lv-LV"/>
              </w:rPr>
              <w:t>Vēlēšanu iecirkņa vieta atrodas tajā pašā stāvā, kur ēkas galvenā ieeja.</w:t>
            </w:r>
          </w:p>
        </w:tc>
        <w:tc>
          <w:tcPr>
            <w:tcW w:w="374" w:type="pct"/>
          </w:tcPr>
          <w:p w14:paraId="5B07BF17" w14:textId="77777777" w:rsidR="00BC55E4" w:rsidRPr="001F2BA3" w:rsidRDefault="00BC55E4" w:rsidP="00B42AEB">
            <w:pPr>
              <w:rPr>
                <w:noProof/>
                <w:lang w:val="lv-LV"/>
              </w:rPr>
            </w:pPr>
          </w:p>
        </w:tc>
        <w:tc>
          <w:tcPr>
            <w:tcW w:w="299" w:type="pct"/>
          </w:tcPr>
          <w:p w14:paraId="533ABA22" w14:textId="77777777" w:rsidR="00BC55E4" w:rsidRPr="001F2BA3" w:rsidRDefault="00BC55E4" w:rsidP="00B42AEB">
            <w:pPr>
              <w:rPr>
                <w:noProof/>
                <w:lang w:val="lv-LV"/>
              </w:rPr>
            </w:pPr>
          </w:p>
        </w:tc>
      </w:tr>
      <w:tr w:rsidR="002A5832" w:rsidRPr="001F2BA3" w14:paraId="13A706B6" w14:textId="77777777" w:rsidTr="00B87F34">
        <w:tc>
          <w:tcPr>
            <w:tcW w:w="4327" w:type="pct"/>
            <w:hideMark/>
          </w:tcPr>
          <w:p w14:paraId="16B6692C" w14:textId="62B58E89" w:rsidR="00BC55E4" w:rsidRPr="001F2BA3" w:rsidRDefault="00BC55E4" w:rsidP="00B42AEB">
            <w:pPr>
              <w:rPr>
                <w:noProof/>
                <w:lang w:val="lv-LV"/>
              </w:rPr>
            </w:pPr>
            <w:r w:rsidRPr="001F2BA3">
              <w:rPr>
                <w:noProof/>
                <w:lang w:val="lv-LV"/>
              </w:rPr>
              <w:t xml:space="preserve">Vēlēšanu iecirkņa vieta (ja tā neatrodas vienā stāvā ar galveno ieeju) ir pieejama ar liftu vai uzbrauktuvi. </w:t>
            </w:r>
          </w:p>
        </w:tc>
        <w:tc>
          <w:tcPr>
            <w:tcW w:w="374" w:type="pct"/>
          </w:tcPr>
          <w:p w14:paraId="6EED752E" w14:textId="77777777" w:rsidR="00BC55E4" w:rsidRPr="001F2BA3" w:rsidRDefault="00BC55E4" w:rsidP="00B42AEB">
            <w:pPr>
              <w:rPr>
                <w:noProof/>
                <w:lang w:val="lv-LV"/>
              </w:rPr>
            </w:pPr>
          </w:p>
        </w:tc>
        <w:tc>
          <w:tcPr>
            <w:tcW w:w="299" w:type="pct"/>
          </w:tcPr>
          <w:p w14:paraId="26B54865" w14:textId="77777777" w:rsidR="00BC55E4" w:rsidRPr="001F2BA3" w:rsidRDefault="00BC55E4" w:rsidP="00B42AEB">
            <w:pPr>
              <w:rPr>
                <w:noProof/>
                <w:lang w:val="lv-LV"/>
              </w:rPr>
            </w:pPr>
          </w:p>
        </w:tc>
      </w:tr>
      <w:tr w:rsidR="002A5832" w:rsidRPr="001F2BA3" w14:paraId="326D04DF" w14:textId="77777777" w:rsidTr="00B87F34">
        <w:tc>
          <w:tcPr>
            <w:tcW w:w="4327" w:type="pct"/>
            <w:hideMark/>
          </w:tcPr>
          <w:p w14:paraId="09B93A8E" w14:textId="6A2A02D8" w:rsidR="00BC55E4" w:rsidRPr="001F2BA3" w:rsidRDefault="00BC55E4" w:rsidP="00B42AEB">
            <w:pPr>
              <w:rPr>
                <w:noProof/>
                <w:lang w:val="lv-LV"/>
              </w:rPr>
            </w:pPr>
            <w:r w:rsidRPr="001F2BA3">
              <w:rPr>
                <w:noProof/>
                <w:lang w:val="lv-LV"/>
              </w:rPr>
              <w:t>Ceļš no galvenās ieejas uz vēlēšanu iecirkni ir pietiekami plats (vismaz 1,5 m)</w:t>
            </w:r>
          </w:p>
        </w:tc>
        <w:tc>
          <w:tcPr>
            <w:tcW w:w="374" w:type="pct"/>
          </w:tcPr>
          <w:p w14:paraId="2208032C" w14:textId="77777777" w:rsidR="00BC55E4" w:rsidRPr="001F2BA3" w:rsidRDefault="00BC55E4" w:rsidP="00B42AEB">
            <w:pPr>
              <w:rPr>
                <w:noProof/>
                <w:lang w:val="lv-LV"/>
              </w:rPr>
            </w:pPr>
          </w:p>
        </w:tc>
        <w:tc>
          <w:tcPr>
            <w:tcW w:w="299" w:type="pct"/>
          </w:tcPr>
          <w:p w14:paraId="286E818F" w14:textId="77777777" w:rsidR="00BC55E4" w:rsidRPr="001F2BA3" w:rsidRDefault="00BC55E4" w:rsidP="00B42AEB">
            <w:pPr>
              <w:rPr>
                <w:noProof/>
                <w:lang w:val="lv-LV"/>
              </w:rPr>
            </w:pPr>
          </w:p>
        </w:tc>
      </w:tr>
      <w:tr w:rsidR="002A5832" w:rsidRPr="001F2BA3" w14:paraId="1BD63A6C" w14:textId="77777777" w:rsidTr="00B87F34">
        <w:tc>
          <w:tcPr>
            <w:tcW w:w="4327" w:type="pct"/>
            <w:hideMark/>
          </w:tcPr>
          <w:p w14:paraId="1B60A226" w14:textId="133C2DF6" w:rsidR="00BC55E4" w:rsidRPr="001F2BA3" w:rsidRDefault="00BC55E4" w:rsidP="00B42AEB">
            <w:pPr>
              <w:rPr>
                <w:noProof/>
                <w:lang w:val="lv-LV"/>
              </w:rPr>
            </w:pPr>
            <w:r w:rsidRPr="001F2BA3">
              <w:rPr>
                <w:noProof/>
                <w:lang w:val="lv-LV"/>
              </w:rPr>
              <w:t>Piekļuves ceļš uz vēlēšanu iecirkni ir bez šķēršļiem, tostarp durvju sliekšņiem, kas traucē piekļūšanu ratiņkrēslā</w:t>
            </w:r>
          </w:p>
        </w:tc>
        <w:tc>
          <w:tcPr>
            <w:tcW w:w="374" w:type="pct"/>
          </w:tcPr>
          <w:p w14:paraId="65395C0D" w14:textId="77777777" w:rsidR="00BC55E4" w:rsidRPr="001F2BA3" w:rsidRDefault="00BC55E4" w:rsidP="00B42AEB">
            <w:pPr>
              <w:rPr>
                <w:noProof/>
                <w:lang w:val="lv-LV"/>
              </w:rPr>
            </w:pPr>
          </w:p>
        </w:tc>
        <w:tc>
          <w:tcPr>
            <w:tcW w:w="299" w:type="pct"/>
          </w:tcPr>
          <w:p w14:paraId="648D4D2A" w14:textId="77777777" w:rsidR="00BC55E4" w:rsidRPr="001F2BA3" w:rsidRDefault="00BC55E4" w:rsidP="00B42AEB">
            <w:pPr>
              <w:rPr>
                <w:noProof/>
                <w:lang w:val="lv-LV"/>
              </w:rPr>
            </w:pPr>
          </w:p>
        </w:tc>
      </w:tr>
      <w:tr w:rsidR="002A5832" w:rsidRPr="001F2BA3" w14:paraId="715CF196" w14:textId="77777777" w:rsidTr="00B87F34">
        <w:tc>
          <w:tcPr>
            <w:tcW w:w="4327" w:type="pct"/>
            <w:hideMark/>
          </w:tcPr>
          <w:p w14:paraId="048C05DF" w14:textId="77777777" w:rsidR="00BC55E4" w:rsidRPr="001F2BA3" w:rsidRDefault="00BC55E4" w:rsidP="00B42AEB">
            <w:pPr>
              <w:rPr>
                <w:noProof/>
                <w:lang w:val="lv-LV"/>
              </w:rPr>
            </w:pPr>
            <w:r w:rsidRPr="001F2BA3">
              <w:rPr>
                <w:noProof/>
                <w:lang w:val="lv-LV"/>
              </w:rPr>
              <w:t>Ēkas iekšdurvis atveras automātiski vai ir viegli atveramas.</w:t>
            </w:r>
          </w:p>
        </w:tc>
        <w:tc>
          <w:tcPr>
            <w:tcW w:w="374" w:type="pct"/>
          </w:tcPr>
          <w:p w14:paraId="0AC9FE2D" w14:textId="77777777" w:rsidR="00BC55E4" w:rsidRPr="001F2BA3" w:rsidRDefault="00BC55E4" w:rsidP="00B42AEB">
            <w:pPr>
              <w:rPr>
                <w:noProof/>
                <w:lang w:val="lv-LV"/>
              </w:rPr>
            </w:pPr>
          </w:p>
        </w:tc>
        <w:tc>
          <w:tcPr>
            <w:tcW w:w="299" w:type="pct"/>
          </w:tcPr>
          <w:p w14:paraId="0228C6BD" w14:textId="77777777" w:rsidR="00BC55E4" w:rsidRPr="001F2BA3" w:rsidRDefault="00BC55E4" w:rsidP="00B42AEB">
            <w:pPr>
              <w:rPr>
                <w:noProof/>
                <w:lang w:val="lv-LV"/>
              </w:rPr>
            </w:pPr>
          </w:p>
        </w:tc>
      </w:tr>
      <w:tr w:rsidR="002A5832" w:rsidRPr="001F2BA3" w14:paraId="3CAC800D" w14:textId="77777777" w:rsidTr="00B87F34">
        <w:tc>
          <w:tcPr>
            <w:tcW w:w="4327" w:type="pct"/>
            <w:hideMark/>
          </w:tcPr>
          <w:p w14:paraId="15ACF8CA" w14:textId="06BBF011" w:rsidR="00BC55E4" w:rsidRPr="001F2BA3" w:rsidRDefault="00BC55E4" w:rsidP="00B42AEB">
            <w:pPr>
              <w:rPr>
                <w:noProof/>
                <w:lang w:val="lv-LV"/>
              </w:rPr>
            </w:pPr>
            <w:r w:rsidRPr="001F2BA3">
              <w:rPr>
                <w:noProof/>
                <w:lang w:val="lv-LV"/>
              </w:rPr>
              <w:t>Maršruts uz vēlēšanu iecirkni ir marķēts ar norādēm.</w:t>
            </w:r>
          </w:p>
        </w:tc>
        <w:tc>
          <w:tcPr>
            <w:tcW w:w="374" w:type="pct"/>
          </w:tcPr>
          <w:p w14:paraId="27D11A27" w14:textId="77777777" w:rsidR="00BC55E4" w:rsidRPr="001F2BA3" w:rsidRDefault="00BC55E4" w:rsidP="00B42AEB">
            <w:pPr>
              <w:rPr>
                <w:noProof/>
                <w:lang w:val="lv-LV"/>
              </w:rPr>
            </w:pPr>
          </w:p>
        </w:tc>
        <w:tc>
          <w:tcPr>
            <w:tcW w:w="299" w:type="pct"/>
          </w:tcPr>
          <w:p w14:paraId="1BE5098F" w14:textId="77777777" w:rsidR="00BC55E4" w:rsidRPr="001F2BA3" w:rsidRDefault="00BC55E4" w:rsidP="00B42AEB">
            <w:pPr>
              <w:rPr>
                <w:noProof/>
                <w:lang w:val="lv-LV"/>
              </w:rPr>
            </w:pPr>
          </w:p>
        </w:tc>
      </w:tr>
      <w:tr w:rsidR="002A5832" w:rsidRPr="001F2BA3" w14:paraId="1D4980E3" w14:textId="77777777" w:rsidTr="00B87F34">
        <w:tc>
          <w:tcPr>
            <w:tcW w:w="4327" w:type="pct"/>
            <w:hideMark/>
          </w:tcPr>
          <w:p w14:paraId="40B9490A" w14:textId="77777777" w:rsidR="00BC55E4" w:rsidRPr="001F2BA3" w:rsidRDefault="00BC55E4" w:rsidP="00B42AEB">
            <w:pPr>
              <w:rPr>
                <w:noProof/>
                <w:lang w:val="lv-LV"/>
              </w:rPr>
            </w:pPr>
            <w:r w:rsidRPr="001F2BA3">
              <w:rPr>
                <w:noProof/>
                <w:lang w:val="lv-LV"/>
              </w:rPr>
              <w:t>Ēkas iekštelpās ir pietiekams apgaismojums</w:t>
            </w:r>
          </w:p>
        </w:tc>
        <w:tc>
          <w:tcPr>
            <w:tcW w:w="374" w:type="pct"/>
          </w:tcPr>
          <w:p w14:paraId="1F33E811" w14:textId="77777777" w:rsidR="00BC55E4" w:rsidRPr="001F2BA3" w:rsidRDefault="00BC55E4" w:rsidP="00B42AEB">
            <w:pPr>
              <w:rPr>
                <w:noProof/>
                <w:lang w:val="lv-LV"/>
              </w:rPr>
            </w:pPr>
          </w:p>
        </w:tc>
        <w:tc>
          <w:tcPr>
            <w:tcW w:w="299" w:type="pct"/>
          </w:tcPr>
          <w:p w14:paraId="255A8914" w14:textId="77777777" w:rsidR="00BC55E4" w:rsidRPr="001F2BA3" w:rsidRDefault="00BC55E4" w:rsidP="00B42AEB">
            <w:pPr>
              <w:rPr>
                <w:noProof/>
                <w:lang w:val="lv-LV"/>
              </w:rPr>
            </w:pPr>
          </w:p>
        </w:tc>
      </w:tr>
      <w:tr w:rsidR="002A5832" w:rsidRPr="001F2BA3" w14:paraId="18E73688" w14:textId="77777777" w:rsidTr="00B87F34">
        <w:tc>
          <w:tcPr>
            <w:tcW w:w="4327" w:type="pct"/>
            <w:hideMark/>
          </w:tcPr>
          <w:p w14:paraId="102F3A91" w14:textId="72F56A67" w:rsidR="00BC55E4" w:rsidRPr="001F2BA3" w:rsidRDefault="00BC55E4" w:rsidP="00B42AEB">
            <w:pPr>
              <w:rPr>
                <w:noProof/>
                <w:lang w:val="lv-LV"/>
              </w:rPr>
            </w:pPr>
            <w:r w:rsidRPr="001F2BA3">
              <w:rPr>
                <w:noProof/>
                <w:lang w:val="lv-LV"/>
              </w:rPr>
              <w:t xml:space="preserve">Pārvietošanās vēlēšanu iecirknī </w:t>
            </w:r>
          </w:p>
        </w:tc>
        <w:tc>
          <w:tcPr>
            <w:tcW w:w="374" w:type="pct"/>
          </w:tcPr>
          <w:p w14:paraId="7EE68C83" w14:textId="77777777" w:rsidR="00BC55E4" w:rsidRPr="001F2BA3" w:rsidRDefault="00BC55E4" w:rsidP="00B42AEB">
            <w:pPr>
              <w:rPr>
                <w:noProof/>
                <w:lang w:val="lv-LV"/>
              </w:rPr>
            </w:pPr>
          </w:p>
        </w:tc>
        <w:tc>
          <w:tcPr>
            <w:tcW w:w="299" w:type="pct"/>
          </w:tcPr>
          <w:p w14:paraId="6DA97480" w14:textId="77777777" w:rsidR="00BC55E4" w:rsidRPr="001F2BA3" w:rsidRDefault="00BC55E4" w:rsidP="00B42AEB">
            <w:pPr>
              <w:rPr>
                <w:noProof/>
                <w:lang w:val="lv-LV"/>
              </w:rPr>
            </w:pPr>
          </w:p>
        </w:tc>
      </w:tr>
      <w:tr w:rsidR="002A5832" w:rsidRPr="001F2BA3" w14:paraId="5F0AFCED" w14:textId="77777777" w:rsidTr="00B87F34">
        <w:tc>
          <w:tcPr>
            <w:tcW w:w="4327" w:type="pct"/>
            <w:hideMark/>
          </w:tcPr>
          <w:p w14:paraId="7923C5C3" w14:textId="4BFFF464" w:rsidR="00BC55E4" w:rsidRPr="001F2BA3" w:rsidRDefault="00BC55E4" w:rsidP="00B42AEB">
            <w:pPr>
              <w:rPr>
                <w:noProof/>
                <w:lang w:val="lv-LV"/>
              </w:rPr>
            </w:pPr>
            <w:r w:rsidRPr="001F2BA3">
              <w:rPr>
                <w:noProof/>
                <w:lang w:val="lv-LV"/>
              </w:rPr>
              <w:t xml:space="preserve">Vēlēšanu iecirknī ir pietiekami daudz vietas ratiņkrēslu un citu pārvietošanās palīglīdzekļu pārvietošanai </w:t>
            </w:r>
          </w:p>
        </w:tc>
        <w:tc>
          <w:tcPr>
            <w:tcW w:w="374" w:type="pct"/>
          </w:tcPr>
          <w:p w14:paraId="6C66B92E" w14:textId="77777777" w:rsidR="00BC55E4" w:rsidRPr="001F2BA3" w:rsidRDefault="00BC55E4" w:rsidP="00B42AEB">
            <w:pPr>
              <w:rPr>
                <w:noProof/>
                <w:lang w:val="lv-LV"/>
              </w:rPr>
            </w:pPr>
          </w:p>
        </w:tc>
        <w:tc>
          <w:tcPr>
            <w:tcW w:w="299" w:type="pct"/>
          </w:tcPr>
          <w:p w14:paraId="3BDB16EB" w14:textId="77777777" w:rsidR="00BC55E4" w:rsidRPr="001F2BA3" w:rsidRDefault="00BC55E4" w:rsidP="00B42AEB">
            <w:pPr>
              <w:rPr>
                <w:noProof/>
                <w:lang w:val="lv-LV"/>
              </w:rPr>
            </w:pPr>
          </w:p>
        </w:tc>
      </w:tr>
      <w:tr w:rsidR="002A5832" w:rsidRPr="001F2BA3" w14:paraId="6BED2DBF" w14:textId="77777777" w:rsidTr="00B87F34">
        <w:tc>
          <w:tcPr>
            <w:tcW w:w="4327" w:type="pct"/>
            <w:hideMark/>
          </w:tcPr>
          <w:p w14:paraId="4395FBD8" w14:textId="5B05C335" w:rsidR="00BC55E4" w:rsidRPr="001F2BA3" w:rsidRDefault="00BC55E4" w:rsidP="00B42AEB">
            <w:pPr>
              <w:rPr>
                <w:noProof/>
                <w:lang w:val="lv-LV"/>
              </w:rPr>
            </w:pPr>
            <w:r w:rsidRPr="001F2BA3">
              <w:rPr>
                <w:noProof/>
                <w:lang w:val="lv-LV"/>
              </w:rPr>
              <w:t>Vēlēšanu iecirknī ir sēdvietas vēlētājiem, kuriem nepieciešams atpūsties</w:t>
            </w:r>
          </w:p>
        </w:tc>
        <w:tc>
          <w:tcPr>
            <w:tcW w:w="374" w:type="pct"/>
          </w:tcPr>
          <w:p w14:paraId="6BEB6EF3" w14:textId="77777777" w:rsidR="00BC55E4" w:rsidRPr="001F2BA3" w:rsidRDefault="00BC55E4" w:rsidP="00B42AEB">
            <w:pPr>
              <w:rPr>
                <w:noProof/>
                <w:lang w:val="lv-LV"/>
              </w:rPr>
            </w:pPr>
          </w:p>
        </w:tc>
        <w:tc>
          <w:tcPr>
            <w:tcW w:w="299" w:type="pct"/>
          </w:tcPr>
          <w:p w14:paraId="420C462E" w14:textId="77777777" w:rsidR="00BC55E4" w:rsidRPr="001F2BA3" w:rsidRDefault="00BC55E4" w:rsidP="00B42AEB">
            <w:pPr>
              <w:rPr>
                <w:noProof/>
                <w:lang w:val="lv-LV"/>
              </w:rPr>
            </w:pPr>
          </w:p>
        </w:tc>
      </w:tr>
      <w:tr w:rsidR="002A5832" w:rsidRPr="001F2BA3" w14:paraId="009CB280" w14:textId="77777777" w:rsidTr="00B87F34">
        <w:tc>
          <w:tcPr>
            <w:tcW w:w="4327" w:type="pct"/>
            <w:hideMark/>
          </w:tcPr>
          <w:p w14:paraId="0500ECD4" w14:textId="071EAB2A" w:rsidR="00BC55E4" w:rsidRPr="001F2BA3" w:rsidRDefault="00BC55E4" w:rsidP="00B42AEB">
            <w:pPr>
              <w:rPr>
                <w:noProof/>
                <w:lang w:val="lv-LV"/>
              </w:rPr>
            </w:pPr>
            <w:r w:rsidRPr="001F2BA3">
              <w:rPr>
                <w:noProof/>
                <w:lang w:val="lv-LV"/>
              </w:rPr>
              <w:t>Vēlēšanu iecirknī ir pietiekams apgaismojums</w:t>
            </w:r>
          </w:p>
        </w:tc>
        <w:tc>
          <w:tcPr>
            <w:tcW w:w="374" w:type="pct"/>
          </w:tcPr>
          <w:p w14:paraId="0F8A3EFC" w14:textId="77777777" w:rsidR="00BC55E4" w:rsidRPr="001F2BA3" w:rsidRDefault="00BC55E4" w:rsidP="00B42AEB">
            <w:pPr>
              <w:rPr>
                <w:noProof/>
                <w:lang w:val="lv-LV"/>
              </w:rPr>
            </w:pPr>
          </w:p>
        </w:tc>
        <w:tc>
          <w:tcPr>
            <w:tcW w:w="299" w:type="pct"/>
          </w:tcPr>
          <w:p w14:paraId="459F0557" w14:textId="77777777" w:rsidR="00BC55E4" w:rsidRPr="001F2BA3" w:rsidRDefault="00BC55E4" w:rsidP="00B42AEB">
            <w:pPr>
              <w:rPr>
                <w:noProof/>
                <w:lang w:val="lv-LV"/>
              </w:rPr>
            </w:pPr>
          </w:p>
        </w:tc>
      </w:tr>
    </w:tbl>
    <w:p w14:paraId="1E3C9A09" w14:textId="4E29200C" w:rsidR="001F288D" w:rsidRPr="001F2BA3" w:rsidRDefault="001F288D" w:rsidP="002D36F0">
      <w:pPr>
        <w:pStyle w:val="ListParagraph"/>
        <w:numPr>
          <w:ilvl w:val="0"/>
          <w:numId w:val="6"/>
        </w:numPr>
        <w:spacing w:before="360" w:after="240" w:line="288" w:lineRule="auto"/>
        <w:ind w:left="714" w:hanging="357"/>
        <w:rPr>
          <w:noProof/>
          <w:lang w:val="lv-LV"/>
        </w:rPr>
      </w:pPr>
      <w:r w:rsidRPr="001F2BA3">
        <w:rPr>
          <w:noProof/>
          <w:lang w:val="lv-LV"/>
        </w:rPr>
        <w:t>Somija</w:t>
      </w:r>
      <w:r w:rsidRPr="001F2BA3">
        <w:rPr>
          <w:rStyle w:val="FootnoteReference"/>
          <w:noProof/>
          <w:lang w:val="lv-LV"/>
        </w:rPr>
        <w:t>(</w:t>
      </w:r>
      <w:r w:rsidRPr="001F2BA3">
        <w:rPr>
          <w:rStyle w:val="FootnoteReference"/>
          <w:noProof/>
          <w:lang w:val="lv-LV"/>
        </w:rPr>
        <w:footnoteReference w:id="97"/>
      </w:r>
      <w:r w:rsidRPr="001F2BA3">
        <w:rPr>
          <w:rStyle w:val="FootnoteReference"/>
          <w:noProof/>
          <w:lang w:val="lv-LV"/>
        </w:rPr>
        <w:t>))</w:t>
      </w:r>
    </w:p>
    <w:tbl>
      <w:tblPr>
        <w:tblStyle w:val="TableGrid"/>
        <w:tblW w:w="5000" w:type="pct"/>
        <w:tblLook w:val="04A0" w:firstRow="1" w:lastRow="0" w:firstColumn="1" w:lastColumn="0" w:noHBand="0" w:noVBand="1"/>
      </w:tblPr>
      <w:tblGrid>
        <w:gridCol w:w="7840"/>
        <w:gridCol w:w="678"/>
        <w:gridCol w:w="542"/>
      </w:tblGrid>
      <w:tr w:rsidR="00F44153" w:rsidRPr="001F2BA3" w14:paraId="21C567A7" w14:textId="77777777" w:rsidTr="006F0581">
        <w:trPr>
          <w:tblHeader/>
        </w:trPr>
        <w:tc>
          <w:tcPr>
            <w:tcW w:w="4327" w:type="pct"/>
            <w:shd w:val="clear" w:color="auto" w:fill="D9D9D9" w:themeFill="background1" w:themeFillShade="D9"/>
            <w:hideMark/>
          </w:tcPr>
          <w:p w14:paraId="38AD1709" w14:textId="5683682F" w:rsidR="00F44153" w:rsidRPr="001F2BA3" w:rsidRDefault="00F44153" w:rsidP="00B42AEB">
            <w:pPr>
              <w:rPr>
                <w:b/>
                <w:noProof/>
                <w:lang w:val="lv-LV"/>
              </w:rPr>
            </w:pPr>
            <w:r w:rsidRPr="001F2BA3">
              <w:rPr>
                <w:b/>
                <w:noProof/>
                <w:lang w:val="lv-LV"/>
              </w:rPr>
              <w:t>Ierašanās vēlēšanu iecirknī</w:t>
            </w:r>
          </w:p>
        </w:tc>
        <w:tc>
          <w:tcPr>
            <w:tcW w:w="374" w:type="pct"/>
            <w:shd w:val="clear" w:color="auto" w:fill="D9D9D9" w:themeFill="background1" w:themeFillShade="D9"/>
            <w:hideMark/>
          </w:tcPr>
          <w:p w14:paraId="63598557" w14:textId="77777777" w:rsidR="00F44153" w:rsidRPr="001F2BA3" w:rsidRDefault="00F44153" w:rsidP="00B42AEB">
            <w:pPr>
              <w:rPr>
                <w:b/>
                <w:noProof/>
                <w:lang w:val="lv-LV"/>
              </w:rPr>
            </w:pPr>
            <w:r w:rsidRPr="001F2BA3">
              <w:rPr>
                <w:b/>
                <w:noProof/>
                <w:lang w:val="lv-LV"/>
              </w:rPr>
              <w:t>Jā</w:t>
            </w:r>
          </w:p>
        </w:tc>
        <w:tc>
          <w:tcPr>
            <w:tcW w:w="299" w:type="pct"/>
            <w:shd w:val="clear" w:color="auto" w:fill="D9D9D9" w:themeFill="background1" w:themeFillShade="D9"/>
            <w:hideMark/>
          </w:tcPr>
          <w:p w14:paraId="7C5D48F9" w14:textId="77777777" w:rsidR="00F44153" w:rsidRPr="001F2BA3" w:rsidRDefault="00F44153" w:rsidP="00B42AEB">
            <w:pPr>
              <w:rPr>
                <w:b/>
                <w:noProof/>
                <w:lang w:val="lv-LV"/>
              </w:rPr>
            </w:pPr>
            <w:r w:rsidRPr="001F2BA3">
              <w:rPr>
                <w:b/>
                <w:noProof/>
                <w:lang w:val="lv-LV"/>
              </w:rPr>
              <w:t>Nē</w:t>
            </w:r>
          </w:p>
        </w:tc>
      </w:tr>
      <w:tr w:rsidR="00F44153" w:rsidRPr="001F2BA3" w14:paraId="0718D6EA" w14:textId="77777777" w:rsidTr="006F0581">
        <w:tc>
          <w:tcPr>
            <w:tcW w:w="4327" w:type="pct"/>
            <w:hideMark/>
          </w:tcPr>
          <w:p w14:paraId="2D263A6D" w14:textId="0B09D7A0" w:rsidR="00F44153" w:rsidRPr="001F2BA3" w:rsidRDefault="00F44153" w:rsidP="00B42AEB">
            <w:pPr>
              <w:rPr>
                <w:noProof/>
                <w:lang w:val="lv-LV"/>
              </w:rPr>
            </w:pPr>
            <w:r w:rsidRPr="001F2BA3">
              <w:rPr>
                <w:noProof/>
                <w:lang w:val="lv-LV"/>
              </w:rPr>
              <w:t>Vai vēlēšanu iecirknis ir viegli pieejams un vai vēlēšanu iecirkņa tuvumā ir sabiedriskā transporta pietura?</w:t>
            </w:r>
          </w:p>
        </w:tc>
        <w:tc>
          <w:tcPr>
            <w:tcW w:w="374" w:type="pct"/>
          </w:tcPr>
          <w:p w14:paraId="2E9C2963" w14:textId="77777777" w:rsidR="00F44153" w:rsidRPr="001F2BA3" w:rsidRDefault="00F44153" w:rsidP="00B42AEB">
            <w:pPr>
              <w:rPr>
                <w:noProof/>
                <w:lang w:val="lv-LV"/>
              </w:rPr>
            </w:pPr>
          </w:p>
        </w:tc>
        <w:tc>
          <w:tcPr>
            <w:tcW w:w="299" w:type="pct"/>
          </w:tcPr>
          <w:p w14:paraId="37EC80E0" w14:textId="77777777" w:rsidR="00F44153" w:rsidRPr="001F2BA3" w:rsidRDefault="00F44153" w:rsidP="00B42AEB">
            <w:pPr>
              <w:rPr>
                <w:noProof/>
                <w:lang w:val="lv-LV"/>
              </w:rPr>
            </w:pPr>
          </w:p>
        </w:tc>
      </w:tr>
      <w:tr w:rsidR="00F44153" w:rsidRPr="001F2BA3" w14:paraId="186B7A9B" w14:textId="77777777" w:rsidTr="006F0581">
        <w:tc>
          <w:tcPr>
            <w:tcW w:w="4327" w:type="pct"/>
            <w:hideMark/>
          </w:tcPr>
          <w:p w14:paraId="5EF971B3" w14:textId="0E2CA9EE" w:rsidR="00F44153" w:rsidRPr="001F2BA3" w:rsidRDefault="00F44153" w:rsidP="00B42AEB">
            <w:pPr>
              <w:rPr>
                <w:noProof/>
                <w:lang w:val="lv-LV"/>
              </w:rPr>
            </w:pPr>
            <w:r w:rsidRPr="001F2BA3">
              <w:rPr>
                <w:noProof/>
                <w:lang w:val="lv-LV"/>
              </w:rPr>
              <w:t>Vai pavadošais transports (piemēram, taksometri personām ar invaliditāti) var piebraukt pie ieejas?</w:t>
            </w:r>
          </w:p>
        </w:tc>
        <w:tc>
          <w:tcPr>
            <w:tcW w:w="374" w:type="pct"/>
          </w:tcPr>
          <w:p w14:paraId="228BBDB1" w14:textId="77777777" w:rsidR="00F44153" w:rsidRPr="001F2BA3" w:rsidRDefault="00F44153" w:rsidP="00B42AEB">
            <w:pPr>
              <w:rPr>
                <w:noProof/>
                <w:lang w:val="lv-LV"/>
              </w:rPr>
            </w:pPr>
          </w:p>
        </w:tc>
        <w:tc>
          <w:tcPr>
            <w:tcW w:w="299" w:type="pct"/>
          </w:tcPr>
          <w:p w14:paraId="65F8E4B9" w14:textId="77777777" w:rsidR="00F44153" w:rsidRPr="001F2BA3" w:rsidRDefault="00F44153" w:rsidP="00B42AEB">
            <w:pPr>
              <w:rPr>
                <w:noProof/>
                <w:lang w:val="lv-LV"/>
              </w:rPr>
            </w:pPr>
          </w:p>
        </w:tc>
      </w:tr>
      <w:tr w:rsidR="00F44153" w:rsidRPr="001F2BA3" w14:paraId="0FFA968C" w14:textId="77777777" w:rsidTr="006F0581">
        <w:tc>
          <w:tcPr>
            <w:tcW w:w="4327" w:type="pct"/>
            <w:hideMark/>
          </w:tcPr>
          <w:p w14:paraId="6E4B4746" w14:textId="044FD951" w:rsidR="00F44153" w:rsidRPr="001F2BA3" w:rsidRDefault="00F44153" w:rsidP="00B42AEB">
            <w:pPr>
              <w:rPr>
                <w:noProof/>
                <w:lang w:val="lv-LV"/>
              </w:rPr>
            </w:pPr>
            <w:r w:rsidRPr="001F2BA3">
              <w:rPr>
                <w:noProof/>
                <w:lang w:val="lv-LV"/>
              </w:rPr>
              <w:t>Vai vēlēšanu iecirkņa tuvumā ir pieejamas stāvvietas (3600 mm platas un 5000 mm garas)?</w:t>
            </w:r>
          </w:p>
        </w:tc>
        <w:tc>
          <w:tcPr>
            <w:tcW w:w="374" w:type="pct"/>
          </w:tcPr>
          <w:p w14:paraId="58FA46C2" w14:textId="77777777" w:rsidR="00F44153" w:rsidRPr="001F2BA3" w:rsidRDefault="00F44153" w:rsidP="00B42AEB">
            <w:pPr>
              <w:rPr>
                <w:noProof/>
                <w:lang w:val="lv-LV"/>
              </w:rPr>
            </w:pPr>
          </w:p>
        </w:tc>
        <w:tc>
          <w:tcPr>
            <w:tcW w:w="299" w:type="pct"/>
          </w:tcPr>
          <w:p w14:paraId="147963E9" w14:textId="77777777" w:rsidR="00F44153" w:rsidRPr="001F2BA3" w:rsidRDefault="00F44153" w:rsidP="00B42AEB">
            <w:pPr>
              <w:rPr>
                <w:noProof/>
                <w:lang w:val="lv-LV"/>
              </w:rPr>
            </w:pPr>
          </w:p>
        </w:tc>
      </w:tr>
      <w:tr w:rsidR="00F44153" w:rsidRPr="001F2BA3" w14:paraId="17378218" w14:textId="77777777" w:rsidTr="006F0581">
        <w:tc>
          <w:tcPr>
            <w:tcW w:w="4327" w:type="pct"/>
            <w:hideMark/>
          </w:tcPr>
          <w:p w14:paraId="1B6E357B" w14:textId="4A8C9FEA" w:rsidR="00F44153" w:rsidRPr="001F2BA3" w:rsidRDefault="00E4138A" w:rsidP="00B42AEB">
            <w:pPr>
              <w:rPr>
                <w:noProof/>
                <w:lang w:val="lv-LV"/>
              </w:rPr>
            </w:pPr>
            <w:r w:rsidRPr="001F2BA3">
              <w:rPr>
                <w:noProof/>
                <w:lang w:val="lv-LV"/>
              </w:rPr>
              <w:t>Vai ceļš līdz ieejai ir marķēts ar norādēm?</w:t>
            </w:r>
          </w:p>
        </w:tc>
        <w:tc>
          <w:tcPr>
            <w:tcW w:w="374" w:type="pct"/>
          </w:tcPr>
          <w:p w14:paraId="6E066122" w14:textId="77777777" w:rsidR="00F44153" w:rsidRPr="001F2BA3" w:rsidRDefault="00F44153" w:rsidP="00B42AEB">
            <w:pPr>
              <w:rPr>
                <w:noProof/>
                <w:lang w:val="lv-LV"/>
              </w:rPr>
            </w:pPr>
          </w:p>
        </w:tc>
        <w:tc>
          <w:tcPr>
            <w:tcW w:w="299" w:type="pct"/>
          </w:tcPr>
          <w:p w14:paraId="05C95110" w14:textId="77777777" w:rsidR="00F44153" w:rsidRPr="001F2BA3" w:rsidRDefault="00F44153" w:rsidP="00B42AEB">
            <w:pPr>
              <w:rPr>
                <w:noProof/>
                <w:lang w:val="lv-LV"/>
              </w:rPr>
            </w:pPr>
          </w:p>
        </w:tc>
      </w:tr>
      <w:tr w:rsidR="00F44153" w:rsidRPr="001F2BA3" w14:paraId="56C19A72" w14:textId="77777777" w:rsidTr="006F0581">
        <w:tc>
          <w:tcPr>
            <w:tcW w:w="4327" w:type="pct"/>
          </w:tcPr>
          <w:p w14:paraId="47869DCC" w14:textId="5A1DF6A9" w:rsidR="00F44153" w:rsidRPr="001F2BA3" w:rsidRDefault="00E4138A" w:rsidP="00B42AEB">
            <w:pPr>
              <w:rPr>
                <w:noProof/>
                <w:lang w:val="lv-LV"/>
              </w:rPr>
            </w:pPr>
            <w:r w:rsidRPr="001F2BA3">
              <w:rPr>
                <w:noProof/>
                <w:lang w:val="lv-LV"/>
              </w:rPr>
              <w:t>Vai ceļš līdz ieejai ir labi pārredzams, gluds, ar cietu segumu un neslīdošu virsmu?</w:t>
            </w:r>
          </w:p>
        </w:tc>
        <w:tc>
          <w:tcPr>
            <w:tcW w:w="374" w:type="pct"/>
          </w:tcPr>
          <w:p w14:paraId="1260751A" w14:textId="77777777" w:rsidR="00F44153" w:rsidRPr="001F2BA3" w:rsidRDefault="00F44153" w:rsidP="00B42AEB">
            <w:pPr>
              <w:rPr>
                <w:noProof/>
                <w:lang w:val="lv-LV"/>
              </w:rPr>
            </w:pPr>
          </w:p>
        </w:tc>
        <w:tc>
          <w:tcPr>
            <w:tcW w:w="299" w:type="pct"/>
          </w:tcPr>
          <w:p w14:paraId="19791FB1" w14:textId="77777777" w:rsidR="00F44153" w:rsidRPr="001F2BA3" w:rsidRDefault="00F44153" w:rsidP="00B42AEB">
            <w:pPr>
              <w:rPr>
                <w:noProof/>
                <w:lang w:val="lv-LV"/>
              </w:rPr>
            </w:pPr>
          </w:p>
        </w:tc>
      </w:tr>
      <w:tr w:rsidR="00F44153" w:rsidRPr="00B6763E" w14:paraId="32AC6449" w14:textId="77777777" w:rsidTr="006F0581">
        <w:tc>
          <w:tcPr>
            <w:tcW w:w="4327" w:type="pct"/>
            <w:hideMark/>
          </w:tcPr>
          <w:p w14:paraId="5C4EFCC0" w14:textId="1BF2D6D8" w:rsidR="00F44153" w:rsidRPr="001F2BA3" w:rsidRDefault="00E4138A" w:rsidP="00B42AEB">
            <w:pPr>
              <w:rPr>
                <w:noProof/>
                <w:lang w:val="lv-LV"/>
              </w:rPr>
            </w:pPr>
            <w:r w:rsidRPr="001F2BA3">
              <w:rPr>
                <w:noProof/>
                <w:lang w:val="lv-LV"/>
              </w:rPr>
              <w:t>Vai ejas slīpums nav lielāks par 5</w:t>
            </w:r>
            <w:r w:rsidR="001F2BA3">
              <w:rPr>
                <w:noProof/>
                <w:lang w:val="lv-LV"/>
              </w:rPr>
              <w:t> %</w:t>
            </w:r>
            <w:r w:rsidRPr="001F2BA3">
              <w:rPr>
                <w:noProof/>
                <w:lang w:val="lv-LV"/>
              </w:rPr>
              <w:t xml:space="preserve"> (1:20)?</w:t>
            </w:r>
          </w:p>
        </w:tc>
        <w:tc>
          <w:tcPr>
            <w:tcW w:w="374" w:type="pct"/>
          </w:tcPr>
          <w:p w14:paraId="5D433CD2" w14:textId="77777777" w:rsidR="00F44153" w:rsidRPr="001F2BA3" w:rsidRDefault="00F44153" w:rsidP="00B42AEB">
            <w:pPr>
              <w:rPr>
                <w:noProof/>
                <w:lang w:val="lv-LV"/>
              </w:rPr>
            </w:pPr>
          </w:p>
        </w:tc>
        <w:tc>
          <w:tcPr>
            <w:tcW w:w="299" w:type="pct"/>
          </w:tcPr>
          <w:p w14:paraId="778133C7" w14:textId="77777777" w:rsidR="00F44153" w:rsidRPr="001F2BA3" w:rsidRDefault="00F44153" w:rsidP="00B42AEB">
            <w:pPr>
              <w:rPr>
                <w:noProof/>
                <w:lang w:val="lv-LV"/>
              </w:rPr>
            </w:pPr>
          </w:p>
        </w:tc>
      </w:tr>
      <w:tr w:rsidR="00BF0133" w:rsidRPr="001F2BA3" w14:paraId="11D1FDF1" w14:textId="77777777" w:rsidTr="006F0581">
        <w:tc>
          <w:tcPr>
            <w:tcW w:w="4327" w:type="pct"/>
          </w:tcPr>
          <w:p w14:paraId="562E6705" w14:textId="5FD7F2E8" w:rsidR="00BF0133" w:rsidRPr="001F2BA3" w:rsidRDefault="00BF0133" w:rsidP="00B42AEB">
            <w:pPr>
              <w:rPr>
                <w:noProof/>
                <w:lang w:val="lv-LV"/>
              </w:rPr>
            </w:pPr>
            <w:r w:rsidRPr="001F2BA3">
              <w:rPr>
                <w:noProof/>
                <w:lang w:val="lv-LV"/>
              </w:rPr>
              <w:t>Ieeja</w:t>
            </w:r>
          </w:p>
        </w:tc>
        <w:tc>
          <w:tcPr>
            <w:tcW w:w="374" w:type="pct"/>
          </w:tcPr>
          <w:p w14:paraId="4D33069A" w14:textId="77777777" w:rsidR="00BF0133" w:rsidRPr="001F2BA3" w:rsidRDefault="00BF0133" w:rsidP="00B42AEB">
            <w:pPr>
              <w:rPr>
                <w:noProof/>
                <w:lang w:val="lv-LV"/>
              </w:rPr>
            </w:pPr>
          </w:p>
        </w:tc>
        <w:tc>
          <w:tcPr>
            <w:tcW w:w="299" w:type="pct"/>
          </w:tcPr>
          <w:p w14:paraId="39912F57" w14:textId="77777777" w:rsidR="00BF0133" w:rsidRPr="001F2BA3" w:rsidRDefault="00BF0133" w:rsidP="00B42AEB">
            <w:pPr>
              <w:rPr>
                <w:noProof/>
                <w:lang w:val="lv-LV"/>
              </w:rPr>
            </w:pPr>
          </w:p>
        </w:tc>
      </w:tr>
      <w:tr w:rsidR="00F44153" w:rsidRPr="001F2BA3" w14:paraId="6C30EDB8" w14:textId="77777777" w:rsidTr="006F0581">
        <w:tc>
          <w:tcPr>
            <w:tcW w:w="4327" w:type="pct"/>
            <w:hideMark/>
          </w:tcPr>
          <w:p w14:paraId="1A901C43" w14:textId="01DAD147" w:rsidR="00F44153" w:rsidRPr="001F2BA3" w:rsidRDefault="00BF0133" w:rsidP="00B42AEB">
            <w:pPr>
              <w:rPr>
                <w:noProof/>
                <w:lang w:val="lv-LV"/>
              </w:rPr>
            </w:pPr>
            <w:r w:rsidRPr="001F2BA3">
              <w:rPr>
                <w:noProof/>
                <w:lang w:val="lv-LV"/>
              </w:rPr>
              <w:t>Vai vēlēšanu iecirknī ir skaidras norādes par pieejamiem ceļiem?</w:t>
            </w:r>
          </w:p>
        </w:tc>
        <w:tc>
          <w:tcPr>
            <w:tcW w:w="374" w:type="pct"/>
          </w:tcPr>
          <w:p w14:paraId="259904B7" w14:textId="77777777" w:rsidR="00F44153" w:rsidRPr="001F2BA3" w:rsidRDefault="00F44153" w:rsidP="00B42AEB">
            <w:pPr>
              <w:rPr>
                <w:noProof/>
                <w:lang w:val="lv-LV"/>
              </w:rPr>
            </w:pPr>
          </w:p>
        </w:tc>
        <w:tc>
          <w:tcPr>
            <w:tcW w:w="299" w:type="pct"/>
          </w:tcPr>
          <w:p w14:paraId="7A56BA2B" w14:textId="77777777" w:rsidR="00F44153" w:rsidRPr="001F2BA3" w:rsidRDefault="00F44153" w:rsidP="00B42AEB">
            <w:pPr>
              <w:rPr>
                <w:noProof/>
                <w:lang w:val="lv-LV"/>
              </w:rPr>
            </w:pPr>
          </w:p>
        </w:tc>
      </w:tr>
      <w:tr w:rsidR="00F44153" w:rsidRPr="001F2BA3" w14:paraId="23B08F00" w14:textId="77777777" w:rsidTr="006F0581">
        <w:tc>
          <w:tcPr>
            <w:tcW w:w="4327" w:type="pct"/>
            <w:hideMark/>
          </w:tcPr>
          <w:p w14:paraId="2C1C8D7A" w14:textId="127E5D65" w:rsidR="00F44153" w:rsidRPr="001F2BA3" w:rsidRDefault="00BF0133" w:rsidP="00B42AEB">
            <w:pPr>
              <w:rPr>
                <w:noProof/>
                <w:lang w:val="lv-LV"/>
              </w:rPr>
            </w:pPr>
            <w:r w:rsidRPr="001F2BA3">
              <w:rPr>
                <w:noProof/>
                <w:lang w:val="lv-LV"/>
              </w:rPr>
              <w:t>Vai līdzās ieejas kāpnēm ir uzbrauktuve ar slīpumu līdz 8</w:t>
            </w:r>
            <w:r w:rsidR="001F2BA3">
              <w:rPr>
                <w:noProof/>
                <w:lang w:val="lv-LV"/>
              </w:rPr>
              <w:t> %</w:t>
            </w:r>
            <w:r w:rsidRPr="001F2BA3">
              <w:rPr>
                <w:noProof/>
                <w:lang w:val="lv-LV"/>
              </w:rPr>
              <w:t xml:space="preserve"> un platumu vismaz 900 mm?</w:t>
            </w:r>
          </w:p>
        </w:tc>
        <w:tc>
          <w:tcPr>
            <w:tcW w:w="374" w:type="pct"/>
          </w:tcPr>
          <w:p w14:paraId="5E6C4EDF" w14:textId="77777777" w:rsidR="00F44153" w:rsidRPr="001F2BA3" w:rsidRDefault="00F44153" w:rsidP="00B42AEB">
            <w:pPr>
              <w:rPr>
                <w:noProof/>
                <w:lang w:val="lv-LV"/>
              </w:rPr>
            </w:pPr>
          </w:p>
        </w:tc>
        <w:tc>
          <w:tcPr>
            <w:tcW w:w="299" w:type="pct"/>
          </w:tcPr>
          <w:p w14:paraId="7C1A9AC6" w14:textId="77777777" w:rsidR="00F44153" w:rsidRPr="001F2BA3" w:rsidRDefault="00F44153" w:rsidP="00B42AEB">
            <w:pPr>
              <w:rPr>
                <w:noProof/>
                <w:lang w:val="lv-LV"/>
              </w:rPr>
            </w:pPr>
          </w:p>
        </w:tc>
      </w:tr>
      <w:tr w:rsidR="00002825" w:rsidRPr="001F2BA3" w14:paraId="20C77620" w14:textId="77777777" w:rsidTr="006F0581">
        <w:trPr>
          <w:trHeight w:val="325"/>
        </w:trPr>
        <w:tc>
          <w:tcPr>
            <w:tcW w:w="0" w:type="pct"/>
            <w:hideMark/>
          </w:tcPr>
          <w:p w14:paraId="476AAA39" w14:textId="76353995" w:rsidR="00F44153" w:rsidRPr="001F2BA3" w:rsidRDefault="00BF0133" w:rsidP="00B42AEB">
            <w:pPr>
              <w:rPr>
                <w:noProof/>
                <w:lang w:val="lv-LV"/>
              </w:rPr>
            </w:pPr>
            <w:r w:rsidRPr="001F2BA3">
              <w:rPr>
                <w:noProof/>
                <w:lang w:val="lv-LV"/>
              </w:rPr>
              <w:t>Vai kāpnēm un uzbrauktuvēm ir margas abās pusēs?</w:t>
            </w:r>
          </w:p>
        </w:tc>
        <w:tc>
          <w:tcPr>
            <w:tcW w:w="0" w:type="pct"/>
          </w:tcPr>
          <w:p w14:paraId="62112186" w14:textId="77777777" w:rsidR="00F44153" w:rsidRPr="001F2BA3" w:rsidRDefault="00F44153" w:rsidP="00B42AEB">
            <w:pPr>
              <w:rPr>
                <w:noProof/>
                <w:lang w:val="lv-LV"/>
              </w:rPr>
            </w:pPr>
          </w:p>
        </w:tc>
        <w:tc>
          <w:tcPr>
            <w:tcW w:w="0" w:type="pct"/>
          </w:tcPr>
          <w:p w14:paraId="46400332" w14:textId="77777777" w:rsidR="00F44153" w:rsidRPr="001F2BA3" w:rsidRDefault="00F44153" w:rsidP="00B42AEB">
            <w:pPr>
              <w:rPr>
                <w:noProof/>
                <w:lang w:val="lv-LV"/>
              </w:rPr>
            </w:pPr>
          </w:p>
        </w:tc>
      </w:tr>
      <w:tr w:rsidR="00F44153" w:rsidRPr="001F2BA3" w14:paraId="0F1F4192" w14:textId="77777777" w:rsidTr="006F0581">
        <w:tc>
          <w:tcPr>
            <w:tcW w:w="4327" w:type="pct"/>
            <w:hideMark/>
          </w:tcPr>
          <w:p w14:paraId="1F0B5EC0" w14:textId="6DC40A92" w:rsidR="00F44153" w:rsidRPr="001F2BA3" w:rsidRDefault="00BF0133" w:rsidP="00B42AEB">
            <w:pPr>
              <w:rPr>
                <w:noProof/>
                <w:lang w:val="lv-LV"/>
              </w:rPr>
            </w:pPr>
            <w:r w:rsidRPr="001F2BA3">
              <w:rPr>
                <w:noProof/>
                <w:lang w:val="lv-LV"/>
              </w:rPr>
              <w:t>Vai ieejas durvju priekšā ir platforma vismaz 1500 mm x 1500 mm?</w:t>
            </w:r>
          </w:p>
        </w:tc>
        <w:tc>
          <w:tcPr>
            <w:tcW w:w="374" w:type="pct"/>
          </w:tcPr>
          <w:p w14:paraId="123EBD46" w14:textId="77777777" w:rsidR="00F44153" w:rsidRPr="001F2BA3" w:rsidRDefault="00F44153" w:rsidP="00B42AEB">
            <w:pPr>
              <w:rPr>
                <w:noProof/>
                <w:lang w:val="lv-LV"/>
              </w:rPr>
            </w:pPr>
          </w:p>
        </w:tc>
        <w:tc>
          <w:tcPr>
            <w:tcW w:w="299" w:type="pct"/>
          </w:tcPr>
          <w:p w14:paraId="0BEFF1E3" w14:textId="77777777" w:rsidR="00F44153" w:rsidRPr="001F2BA3" w:rsidRDefault="00F44153" w:rsidP="00B42AEB">
            <w:pPr>
              <w:rPr>
                <w:noProof/>
                <w:lang w:val="lv-LV"/>
              </w:rPr>
            </w:pPr>
          </w:p>
        </w:tc>
      </w:tr>
      <w:tr w:rsidR="00F44153" w:rsidRPr="001F2BA3" w14:paraId="11F2B2DA" w14:textId="77777777" w:rsidTr="006F0581">
        <w:tc>
          <w:tcPr>
            <w:tcW w:w="4327" w:type="pct"/>
            <w:hideMark/>
          </w:tcPr>
          <w:p w14:paraId="3D23490B" w14:textId="32792D1A" w:rsidR="00F44153" w:rsidRPr="001F2BA3" w:rsidRDefault="00BF0133" w:rsidP="00B42AEB">
            <w:pPr>
              <w:rPr>
                <w:noProof/>
                <w:lang w:val="lv-LV"/>
              </w:rPr>
            </w:pPr>
            <w:r w:rsidRPr="001F2BA3">
              <w:rPr>
                <w:noProof/>
                <w:lang w:val="lv-LV"/>
              </w:rPr>
              <w:t>Vai priekšējo durvju atvēršanas pusē ir vismaz 400 mm brīvas vietas, kas nepieciešama personai ratiņkrēslā, atverot durvis?</w:t>
            </w:r>
          </w:p>
        </w:tc>
        <w:tc>
          <w:tcPr>
            <w:tcW w:w="374" w:type="pct"/>
          </w:tcPr>
          <w:p w14:paraId="0DB5FE05" w14:textId="77777777" w:rsidR="00F44153" w:rsidRPr="001F2BA3" w:rsidRDefault="00F44153" w:rsidP="00B42AEB">
            <w:pPr>
              <w:rPr>
                <w:noProof/>
                <w:lang w:val="lv-LV"/>
              </w:rPr>
            </w:pPr>
          </w:p>
        </w:tc>
        <w:tc>
          <w:tcPr>
            <w:tcW w:w="299" w:type="pct"/>
          </w:tcPr>
          <w:p w14:paraId="19DEC32F" w14:textId="77777777" w:rsidR="00F44153" w:rsidRPr="001F2BA3" w:rsidRDefault="00F44153" w:rsidP="00B42AEB">
            <w:pPr>
              <w:rPr>
                <w:noProof/>
                <w:lang w:val="lv-LV"/>
              </w:rPr>
            </w:pPr>
          </w:p>
        </w:tc>
      </w:tr>
      <w:tr w:rsidR="00F44153" w:rsidRPr="001F2BA3" w14:paraId="31551317" w14:textId="77777777" w:rsidTr="006F0581">
        <w:tc>
          <w:tcPr>
            <w:tcW w:w="4327" w:type="pct"/>
            <w:hideMark/>
          </w:tcPr>
          <w:p w14:paraId="26C40154" w14:textId="2B4FE10B" w:rsidR="00F44153" w:rsidRPr="001F2BA3" w:rsidRDefault="00BF0133" w:rsidP="00B42AEB">
            <w:pPr>
              <w:rPr>
                <w:noProof/>
                <w:lang w:val="lv-LV"/>
              </w:rPr>
            </w:pPr>
            <w:r w:rsidRPr="001F2BA3">
              <w:rPr>
                <w:noProof/>
                <w:lang w:val="lv-LV"/>
              </w:rPr>
              <w:t>Vai ieejas durvju platums ir vismaz 850 mm un sliekšņa augstums nepārsniedz 20 mm?</w:t>
            </w:r>
          </w:p>
        </w:tc>
        <w:tc>
          <w:tcPr>
            <w:tcW w:w="374" w:type="pct"/>
          </w:tcPr>
          <w:p w14:paraId="4873CCD4" w14:textId="77777777" w:rsidR="00F44153" w:rsidRPr="001F2BA3" w:rsidRDefault="00F44153" w:rsidP="00B42AEB">
            <w:pPr>
              <w:rPr>
                <w:noProof/>
                <w:lang w:val="lv-LV"/>
              </w:rPr>
            </w:pPr>
          </w:p>
        </w:tc>
        <w:tc>
          <w:tcPr>
            <w:tcW w:w="299" w:type="pct"/>
          </w:tcPr>
          <w:p w14:paraId="1D85CEA3" w14:textId="77777777" w:rsidR="00F44153" w:rsidRPr="001F2BA3" w:rsidRDefault="00F44153" w:rsidP="00B42AEB">
            <w:pPr>
              <w:rPr>
                <w:noProof/>
                <w:lang w:val="lv-LV"/>
              </w:rPr>
            </w:pPr>
          </w:p>
        </w:tc>
      </w:tr>
      <w:tr w:rsidR="00F44153" w:rsidRPr="001F2BA3" w14:paraId="2CB1C50D" w14:textId="77777777" w:rsidTr="006F0581">
        <w:tc>
          <w:tcPr>
            <w:tcW w:w="4327" w:type="pct"/>
            <w:hideMark/>
          </w:tcPr>
          <w:p w14:paraId="27CA24F6" w14:textId="3E85BA7B" w:rsidR="00F44153" w:rsidRPr="001F2BA3" w:rsidRDefault="00E833D1" w:rsidP="00B42AEB">
            <w:pPr>
              <w:rPr>
                <w:noProof/>
                <w:lang w:val="lv-LV"/>
              </w:rPr>
            </w:pPr>
            <w:r w:rsidRPr="001F2BA3">
              <w:rPr>
                <w:noProof/>
                <w:lang w:val="lv-LV"/>
              </w:rPr>
              <w:t>Vai durvis atveras automātiski vai ir vieglas (maksimālais atvēršanas spēks 10 N, t. i., 1 kg)?</w:t>
            </w:r>
          </w:p>
        </w:tc>
        <w:tc>
          <w:tcPr>
            <w:tcW w:w="374" w:type="pct"/>
          </w:tcPr>
          <w:p w14:paraId="10F8AF69" w14:textId="77777777" w:rsidR="00F44153" w:rsidRPr="001F2BA3" w:rsidRDefault="00F44153" w:rsidP="00B42AEB">
            <w:pPr>
              <w:rPr>
                <w:noProof/>
                <w:lang w:val="lv-LV"/>
              </w:rPr>
            </w:pPr>
          </w:p>
        </w:tc>
        <w:tc>
          <w:tcPr>
            <w:tcW w:w="299" w:type="pct"/>
          </w:tcPr>
          <w:p w14:paraId="2F6E11E8" w14:textId="77777777" w:rsidR="00F44153" w:rsidRPr="001F2BA3" w:rsidRDefault="00F44153" w:rsidP="00B42AEB">
            <w:pPr>
              <w:rPr>
                <w:noProof/>
                <w:lang w:val="lv-LV"/>
              </w:rPr>
            </w:pPr>
          </w:p>
        </w:tc>
      </w:tr>
      <w:tr w:rsidR="00F44153" w:rsidRPr="001F2BA3" w14:paraId="408D1CDE" w14:textId="77777777" w:rsidTr="006F0581">
        <w:tc>
          <w:tcPr>
            <w:tcW w:w="4327" w:type="pct"/>
            <w:hideMark/>
          </w:tcPr>
          <w:p w14:paraId="54D9793A" w14:textId="54DD07EC" w:rsidR="00F44153" w:rsidRPr="001F2BA3" w:rsidRDefault="00E833D1" w:rsidP="00B42AEB">
            <w:pPr>
              <w:rPr>
                <w:noProof/>
                <w:lang w:val="lv-LV"/>
              </w:rPr>
            </w:pPr>
            <w:r w:rsidRPr="001F2BA3">
              <w:rPr>
                <w:noProof/>
                <w:lang w:val="lv-LV"/>
              </w:rPr>
              <w:t>Vai pie ieejas dubļu paklājā vai režģī spraugas nav lielākas par 10 mm x 30 mm un vai līmeņa starpība, ko rada paklājs vai režģis, nav lielāka par 20 mm?</w:t>
            </w:r>
          </w:p>
        </w:tc>
        <w:tc>
          <w:tcPr>
            <w:tcW w:w="374" w:type="pct"/>
          </w:tcPr>
          <w:p w14:paraId="360C8B86" w14:textId="77777777" w:rsidR="00F44153" w:rsidRPr="001F2BA3" w:rsidRDefault="00F44153" w:rsidP="00B42AEB">
            <w:pPr>
              <w:rPr>
                <w:noProof/>
                <w:lang w:val="lv-LV"/>
              </w:rPr>
            </w:pPr>
          </w:p>
        </w:tc>
        <w:tc>
          <w:tcPr>
            <w:tcW w:w="299" w:type="pct"/>
          </w:tcPr>
          <w:p w14:paraId="1A516B46" w14:textId="77777777" w:rsidR="00F44153" w:rsidRPr="001F2BA3" w:rsidRDefault="00F44153" w:rsidP="00B42AEB">
            <w:pPr>
              <w:rPr>
                <w:noProof/>
                <w:lang w:val="lv-LV"/>
              </w:rPr>
            </w:pPr>
          </w:p>
        </w:tc>
      </w:tr>
      <w:tr w:rsidR="00F44153" w:rsidRPr="001F2BA3" w14:paraId="40963971" w14:textId="77777777" w:rsidTr="006F0581">
        <w:tc>
          <w:tcPr>
            <w:tcW w:w="4327" w:type="pct"/>
            <w:hideMark/>
          </w:tcPr>
          <w:p w14:paraId="00995295" w14:textId="7EA32C07" w:rsidR="00F44153" w:rsidRPr="001F2BA3" w:rsidRDefault="00E833D1" w:rsidP="00B42AEB">
            <w:pPr>
              <w:rPr>
                <w:noProof/>
                <w:lang w:val="lv-LV"/>
              </w:rPr>
            </w:pPr>
            <w:r w:rsidRPr="001F2BA3">
              <w:rPr>
                <w:noProof/>
                <w:lang w:val="lv-LV"/>
              </w:rPr>
              <w:t>Vai vējtvera dziļums un platums ir vismaz 1500 mm, ja abas durvis atveras no vējtvera?</w:t>
            </w:r>
          </w:p>
        </w:tc>
        <w:tc>
          <w:tcPr>
            <w:tcW w:w="374" w:type="pct"/>
          </w:tcPr>
          <w:p w14:paraId="1501E11E" w14:textId="77777777" w:rsidR="00F44153" w:rsidRPr="001F2BA3" w:rsidRDefault="00F44153" w:rsidP="00B42AEB">
            <w:pPr>
              <w:rPr>
                <w:noProof/>
                <w:lang w:val="lv-LV"/>
              </w:rPr>
            </w:pPr>
          </w:p>
        </w:tc>
        <w:tc>
          <w:tcPr>
            <w:tcW w:w="299" w:type="pct"/>
          </w:tcPr>
          <w:p w14:paraId="0425FE37" w14:textId="77777777" w:rsidR="00F44153" w:rsidRPr="001F2BA3" w:rsidRDefault="00F44153" w:rsidP="00B42AEB">
            <w:pPr>
              <w:rPr>
                <w:noProof/>
                <w:lang w:val="lv-LV"/>
              </w:rPr>
            </w:pPr>
          </w:p>
        </w:tc>
      </w:tr>
      <w:tr w:rsidR="00F44153" w:rsidRPr="001F2BA3" w14:paraId="53312871" w14:textId="77777777" w:rsidTr="006F0581">
        <w:tc>
          <w:tcPr>
            <w:tcW w:w="4327" w:type="pct"/>
            <w:hideMark/>
          </w:tcPr>
          <w:p w14:paraId="5E2681BF" w14:textId="29F03161" w:rsidR="00F44153" w:rsidRPr="001F2BA3" w:rsidRDefault="00E833D1" w:rsidP="00B42AEB">
            <w:pPr>
              <w:rPr>
                <w:noProof/>
                <w:lang w:val="lv-LV"/>
              </w:rPr>
            </w:pPr>
            <w:r w:rsidRPr="001F2BA3">
              <w:rPr>
                <w:noProof/>
                <w:lang w:val="lv-LV"/>
              </w:rPr>
              <w:t>Vai vējtvera skapja platums ir vismaz 1500 mm un dziļums vismaz 2300 mm, ja vienas durvis atveras skapja iekšpusē?</w:t>
            </w:r>
          </w:p>
        </w:tc>
        <w:tc>
          <w:tcPr>
            <w:tcW w:w="374" w:type="pct"/>
          </w:tcPr>
          <w:p w14:paraId="064C6EE2" w14:textId="77777777" w:rsidR="00F44153" w:rsidRPr="001F2BA3" w:rsidRDefault="00F44153" w:rsidP="00B42AEB">
            <w:pPr>
              <w:rPr>
                <w:noProof/>
                <w:lang w:val="lv-LV"/>
              </w:rPr>
            </w:pPr>
          </w:p>
        </w:tc>
        <w:tc>
          <w:tcPr>
            <w:tcW w:w="299" w:type="pct"/>
          </w:tcPr>
          <w:p w14:paraId="3D467632" w14:textId="77777777" w:rsidR="00F44153" w:rsidRPr="001F2BA3" w:rsidRDefault="00F44153" w:rsidP="00B42AEB">
            <w:pPr>
              <w:rPr>
                <w:noProof/>
                <w:lang w:val="lv-LV"/>
              </w:rPr>
            </w:pPr>
          </w:p>
        </w:tc>
      </w:tr>
      <w:tr w:rsidR="00E833D1" w:rsidRPr="001F2BA3" w14:paraId="209CFC59" w14:textId="77777777" w:rsidTr="006F0581">
        <w:trPr>
          <w:trHeight w:val="371"/>
        </w:trPr>
        <w:tc>
          <w:tcPr>
            <w:tcW w:w="0" w:type="pct"/>
          </w:tcPr>
          <w:p w14:paraId="23FE2E1C" w14:textId="3751785A" w:rsidR="00E833D1" w:rsidRPr="001F2BA3" w:rsidRDefault="00E833D1" w:rsidP="00B42AEB">
            <w:pPr>
              <w:rPr>
                <w:noProof/>
                <w:lang w:val="lv-LV"/>
              </w:rPr>
            </w:pPr>
            <w:r w:rsidRPr="001F2BA3">
              <w:rPr>
                <w:noProof/>
                <w:lang w:val="lv-LV"/>
              </w:rPr>
              <w:t>Vēlēšanu iecirknis</w:t>
            </w:r>
          </w:p>
        </w:tc>
        <w:tc>
          <w:tcPr>
            <w:tcW w:w="0" w:type="pct"/>
          </w:tcPr>
          <w:p w14:paraId="693BB439" w14:textId="77777777" w:rsidR="00E833D1" w:rsidRPr="001F2BA3" w:rsidRDefault="00E833D1" w:rsidP="00B42AEB">
            <w:pPr>
              <w:rPr>
                <w:noProof/>
                <w:lang w:val="lv-LV"/>
              </w:rPr>
            </w:pPr>
          </w:p>
        </w:tc>
        <w:tc>
          <w:tcPr>
            <w:tcW w:w="0" w:type="pct"/>
          </w:tcPr>
          <w:p w14:paraId="327DD68F" w14:textId="77777777" w:rsidR="00E833D1" w:rsidRPr="001F2BA3" w:rsidRDefault="00E833D1" w:rsidP="00B42AEB">
            <w:pPr>
              <w:rPr>
                <w:noProof/>
                <w:lang w:val="lv-LV"/>
              </w:rPr>
            </w:pPr>
          </w:p>
        </w:tc>
      </w:tr>
      <w:tr w:rsidR="00F44153" w:rsidRPr="001F2BA3" w14:paraId="012386BB" w14:textId="77777777" w:rsidTr="006F0581">
        <w:tc>
          <w:tcPr>
            <w:tcW w:w="4327" w:type="pct"/>
            <w:hideMark/>
          </w:tcPr>
          <w:p w14:paraId="1FE94D72" w14:textId="3D93F8B8" w:rsidR="00F44153" w:rsidRPr="001F2BA3" w:rsidRDefault="00E833D1" w:rsidP="00B42AEB">
            <w:pPr>
              <w:rPr>
                <w:noProof/>
                <w:lang w:val="lv-LV"/>
              </w:rPr>
            </w:pPr>
            <w:r w:rsidRPr="001F2BA3">
              <w:rPr>
                <w:noProof/>
                <w:lang w:val="lv-LV"/>
              </w:rPr>
              <w:t>Vai vēlēšanu iecirknī ir vismaz viena vēlēšanu kabīne, kur vēlēšanu zīmi var aizpildīt, sēžot pie galda?</w:t>
            </w:r>
          </w:p>
        </w:tc>
        <w:tc>
          <w:tcPr>
            <w:tcW w:w="374" w:type="pct"/>
          </w:tcPr>
          <w:p w14:paraId="544CD273" w14:textId="77777777" w:rsidR="00F44153" w:rsidRPr="001F2BA3" w:rsidRDefault="00F44153" w:rsidP="00B42AEB">
            <w:pPr>
              <w:rPr>
                <w:noProof/>
                <w:lang w:val="lv-LV"/>
              </w:rPr>
            </w:pPr>
          </w:p>
        </w:tc>
        <w:tc>
          <w:tcPr>
            <w:tcW w:w="299" w:type="pct"/>
          </w:tcPr>
          <w:p w14:paraId="22325CEC" w14:textId="77777777" w:rsidR="00F44153" w:rsidRPr="001F2BA3" w:rsidRDefault="00F44153" w:rsidP="00B42AEB">
            <w:pPr>
              <w:rPr>
                <w:noProof/>
                <w:lang w:val="lv-LV"/>
              </w:rPr>
            </w:pPr>
          </w:p>
        </w:tc>
      </w:tr>
      <w:tr w:rsidR="00F44153" w:rsidRPr="001F2BA3" w14:paraId="72F0E5DB" w14:textId="77777777" w:rsidTr="006F0581">
        <w:tc>
          <w:tcPr>
            <w:tcW w:w="4327" w:type="pct"/>
            <w:hideMark/>
          </w:tcPr>
          <w:p w14:paraId="4AF461DD" w14:textId="2D116014" w:rsidR="00F44153" w:rsidRPr="001F2BA3" w:rsidRDefault="00E833D1" w:rsidP="00B42AEB">
            <w:pPr>
              <w:rPr>
                <w:noProof/>
                <w:lang w:val="lv-LV"/>
              </w:rPr>
            </w:pPr>
            <w:r w:rsidRPr="001F2BA3">
              <w:rPr>
                <w:noProof/>
                <w:lang w:val="lv-LV"/>
              </w:rPr>
              <w:t>Vai zem vēlēšanu kabīnes galda ir vieta ceļgaliem (augstums 750–800 mm) ar minimālajiem izmēriem 800 mm platumā, 600 mm dziļumā un 670 mm augstumā?</w:t>
            </w:r>
          </w:p>
        </w:tc>
        <w:tc>
          <w:tcPr>
            <w:tcW w:w="374" w:type="pct"/>
          </w:tcPr>
          <w:p w14:paraId="1C5B4264" w14:textId="77777777" w:rsidR="00F44153" w:rsidRPr="001F2BA3" w:rsidRDefault="00F44153" w:rsidP="00B42AEB">
            <w:pPr>
              <w:rPr>
                <w:noProof/>
                <w:lang w:val="lv-LV"/>
              </w:rPr>
            </w:pPr>
          </w:p>
        </w:tc>
        <w:tc>
          <w:tcPr>
            <w:tcW w:w="299" w:type="pct"/>
          </w:tcPr>
          <w:p w14:paraId="740EB2DE" w14:textId="77777777" w:rsidR="00F44153" w:rsidRPr="001F2BA3" w:rsidRDefault="00F44153" w:rsidP="00B42AEB">
            <w:pPr>
              <w:rPr>
                <w:noProof/>
                <w:lang w:val="lv-LV"/>
              </w:rPr>
            </w:pPr>
          </w:p>
        </w:tc>
      </w:tr>
      <w:tr w:rsidR="00F44153" w:rsidRPr="001F2BA3" w14:paraId="758ECA7C" w14:textId="77777777" w:rsidTr="006F0581">
        <w:tc>
          <w:tcPr>
            <w:tcW w:w="4327" w:type="pct"/>
            <w:hideMark/>
          </w:tcPr>
          <w:p w14:paraId="1EAF0277" w14:textId="3E71AC6A" w:rsidR="00F44153" w:rsidRPr="001F2BA3" w:rsidRDefault="00E833D1" w:rsidP="00B42AEB">
            <w:pPr>
              <w:rPr>
                <w:noProof/>
                <w:lang w:val="lv-LV"/>
              </w:rPr>
            </w:pPr>
            <w:r w:rsidRPr="001F2BA3">
              <w:rPr>
                <w:noProof/>
                <w:lang w:val="lv-LV"/>
              </w:rPr>
              <w:t>Vai vēlēšanu iecirknī ir galdi ar regulējamu augstumu?</w:t>
            </w:r>
          </w:p>
        </w:tc>
        <w:tc>
          <w:tcPr>
            <w:tcW w:w="374" w:type="pct"/>
          </w:tcPr>
          <w:p w14:paraId="3AFE451B" w14:textId="77777777" w:rsidR="00F44153" w:rsidRPr="001F2BA3" w:rsidRDefault="00F44153" w:rsidP="00B42AEB">
            <w:pPr>
              <w:rPr>
                <w:noProof/>
                <w:lang w:val="lv-LV"/>
              </w:rPr>
            </w:pPr>
          </w:p>
        </w:tc>
        <w:tc>
          <w:tcPr>
            <w:tcW w:w="299" w:type="pct"/>
          </w:tcPr>
          <w:p w14:paraId="47ADE74A" w14:textId="77777777" w:rsidR="00F44153" w:rsidRPr="001F2BA3" w:rsidRDefault="00F44153" w:rsidP="00B42AEB">
            <w:pPr>
              <w:rPr>
                <w:noProof/>
                <w:lang w:val="lv-LV"/>
              </w:rPr>
            </w:pPr>
          </w:p>
        </w:tc>
      </w:tr>
      <w:tr w:rsidR="00F44153" w:rsidRPr="001F2BA3" w14:paraId="4B7BB7DE" w14:textId="77777777" w:rsidTr="006F0581">
        <w:tc>
          <w:tcPr>
            <w:tcW w:w="4327" w:type="pct"/>
            <w:hideMark/>
          </w:tcPr>
          <w:p w14:paraId="01FAF7A1" w14:textId="58187C9E" w:rsidR="00F44153" w:rsidRPr="001F2BA3" w:rsidRDefault="00E833D1" w:rsidP="00B42AEB">
            <w:pPr>
              <w:rPr>
                <w:noProof/>
                <w:lang w:val="lv-LV"/>
              </w:rPr>
            </w:pPr>
            <w:r w:rsidRPr="001F2BA3">
              <w:rPr>
                <w:noProof/>
                <w:lang w:val="lv-LV"/>
              </w:rPr>
              <w:t>Vai vēlēšanu kabīnēs ir atbilstošs apgaismojums bez atspīdumiem (500–750 luksu uz rakstīšanas virsmas)?</w:t>
            </w:r>
          </w:p>
        </w:tc>
        <w:tc>
          <w:tcPr>
            <w:tcW w:w="374" w:type="pct"/>
          </w:tcPr>
          <w:p w14:paraId="13FA8347" w14:textId="77777777" w:rsidR="00F44153" w:rsidRPr="001F2BA3" w:rsidRDefault="00F44153" w:rsidP="00B42AEB">
            <w:pPr>
              <w:rPr>
                <w:noProof/>
                <w:lang w:val="lv-LV"/>
              </w:rPr>
            </w:pPr>
          </w:p>
        </w:tc>
        <w:tc>
          <w:tcPr>
            <w:tcW w:w="299" w:type="pct"/>
          </w:tcPr>
          <w:p w14:paraId="0C8AFF95" w14:textId="77777777" w:rsidR="00F44153" w:rsidRPr="001F2BA3" w:rsidRDefault="00F44153" w:rsidP="00B42AEB">
            <w:pPr>
              <w:rPr>
                <w:noProof/>
                <w:lang w:val="lv-LV"/>
              </w:rPr>
            </w:pPr>
          </w:p>
        </w:tc>
      </w:tr>
      <w:tr w:rsidR="00F44153" w:rsidRPr="001F2BA3" w14:paraId="4003DCA1" w14:textId="77777777" w:rsidTr="006F0581">
        <w:tc>
          <w:tcPr>
            <w:tcW w:w="4327" w:type="pct"/>
            <w:hideMark/>
          </w:tcPr>
          <w:p w14:paraId="64499716" w14:textId="055BCA95" w:rsidR="00F44153" w:rsidRPr="001F2BA3" w:rsidRDefault="00E833D1" w:rsidP="00B42AEB">
            <w:pPr>
              <w:rPr>
                <w:noProof/>
                <w:lang w:val="lv-LV"/>
              </w:rPr>
            </w:pPr>
            <w:r w:rsidRPr="001F2BA3">
              <w:rPr>
                <w:noProof/>
                <w:lang w:val="lv-LV"/>
              </w:rPr>
              <w:t>Vai vēlēšanu iecirknī ir vietas, kur vēlētāji vajadzības gadījumā var atpūsties?</w:t>
            </w:r>
          </w:p>
        </w:tc>
        <w:tc>
          <w:tcPr>
            <w:tcW w:w="374" w:type="pct"/>
          </w:tcPr>
          <w:p w14:paraId="76362638" w14:textId="77777777" w:rsidR="00F44153" w:rsidRPr="001F2BA3" w:rsidRDefault="00F44153" w:rsidP="00B42AEB">
            <w:pPr>
              <w:rPr>
                <w:noProof/>
                <w:lang w:val="lv-LV"/>
              </w:rPr>
            </w:pPr>
          </w:p>
        </w:tc>
        <w:tc>
          <w:tcPr>
            <w:tcW w:w="299" w:type="pct"/>
          </w:tcPr>
          <w:p w14:paraId="16651C85" w14:textId="77777777" w:rsidR="00F44153" w:rsidRPr="001F2BA3" w:rsidRDefault="00F44153" w:rsidP="00B42AEB">
            <w:pPr>
              <w:rPr>
                <w:noProof/>
                <w:lang w:val="lv-LV"/>
              </w:rPr>
            </w:pPr>
          </w:p>
        </w:tc>
      </w:tr>
      <w:tr w:rsidR="00F44153" w:rsidRPr="001F2BA3" w14:paraId="3285715C" w14:textId="77777777" w:rsidTr="006F0581">
        <w:tc>
          <w:tcPr>
            <w:tcW w:w="4327" w:type="pct"/>
          </w:tcPr>
          <w:p w14:paraId="6F33DCCF" w14:textId="745C4C03" w:rsidR="00F44153" w:rsidRPr="001F2BA3" w:rsidRDefault="00E833D1" w:rsidP="00B42AEB">
            <w:pPr>
              <w:rPr>
                <w:noProof/>
                <w:lang w:val="lv-LV"/>
              </w:rPr>
            </w:pPr>
            <w:r w:rsidRPr="001F2BA3">
              <w:rPr>
                <w:noProof/>
                <w:lang w:val="lv-LV"/>
              </w:rPr>
              <w:t>Vai ir vēlēšanu palīgs gan iepriekšēju vēlēšanu iecirknī, gan aktuālo vēlēšanu iecirknī?</w:t>
            </w:r>
          </w:p>
        </w:tc>
        <w:tc>
          <w:tcPr>
            <w:tcW w:w="374" w:type="pct"/>
          </w:tcPr>
          <w:p w14:paraId="33AAE69D" w14:textId="77777777" w:rsidR="00F44153" w:rsidRPr="001F2BA3" w:rsidRDefault="00F44153" w:rsidP="00B42AEB">
            <w:pPr>
              <w:rPr>
                <w:noProof/>
                <w:lang w:val="lv-LV"/>
              </w:rPr>
            </w:pPr>
          </w:p>
        </w:tc>
        <w:tc>
          <w:tcPr>
            <w:tcW w:w="299" w:type="pct"/>
          </w:tcPr>
          <w:p w14:paraId="3E5DE0CA" w14:textId="77777777" w:rsidR="00F44153" w:rsidRPr="001F2BA3" w:rsidRDefault="00F44153" w:rsidP="00B42AEB">
            <w:pPr>
              <w:rPr>
                <w:noProof/>
                <w:lang w:val="lv-LV"/>
              </w:rPr>
            </w:pPr>
          </w:p>
        </w:tc>
      </w:tr>
      <w:tr w:rsidR="00F44153" w:rsidRPr="001F2BA3" w14:paraId="26E577F8" w14:textId="77777777" w:rsidTr="006F0581">
        <w:tc>
          <w:tcPr>
            <w:tcW w:w="4327" w:type="pct"/>
            <w:hideMark/>
          </w:tcPr>
          <w:p w14:paraId="445AB74E" w14:textId="2D7762DD" w:rsidR="00F44153" w:rsidRPr="001F2BA3" w:rsidRDefault="00E833D1" w:rsidP="00B42AEB">
            <w:pPr>
              <w:rPr>
                <w:noProof/>
                <w:lang w:val="lv-LV"/>
              </w:rPr>
            </w:pPr>
            <w:r w:rsidRPr="001F2BA3">
              <w:rPr>
                <w:noProof/>
                <w:lang w:val="lv-LV"/>
              </w:rPr>
              <w:t xml:space="preserve">Ja starp vēlēšanu amatpersonām ir palīgierīču lietotāji, vēlēšanu iecirknim jābūt aprīkotam ar pieejamu tualeti. </w:t>
            </w:r>
          </w:p>
        </w:tc>
        <w:tc>
          <w:tcPr>
            <w:tcW w:w="374" w:type="pct"/>
          </w:tcPr>
          <w:p w14:paraId="6736FFDA" w14:textId="77777777" w:rsidR="00F44153" w:rsidRPr="001F2BA3" w:rsidRDefault="00F44153" w:rsidP="00B42AEB">
            <w:pPr>
              <w:rPr>
                <w:noProof/>
                <w:lang w:val="lv-LV"/>
              </w:rPr>
            </w:pPr>
          </w:p>
        </w:tc>
        <w:tc>
          <w:tcPr>
            <w:tcW w:w="299" w:type="pct"/>
          </w:tcPr>
          <w:p w14:paraId="44024A34" w14:textId="77777777" w:rsidR="00F44153" w:rsidRPr="001F2BA3" w:rsidRDefault="00F44153" w:rsidP="00B42AEB">
            <w:pPr>
              <w:rPr>
                <w:noProof/>
                <w:lang w:val="lv-LV"/>
              </w:rPr>
            </w:pPr>
          </w:p>
        </w:tc>
      </w:tr>
    </w:tbl>
    <w:p w14:paraId="79E69447" w14:textId="7A49A8A7" w:rsidR="007013F9" w:rsidRPr="001F2BA3" w:rsidRDefault="0081364D" w:rsidP="006F0581">
      <w:pPr>
        <w:pStyle w:val="Heading1"/>
        <w:spacing w:before="360" w:after="240" w:line="288" w:lineRule="auto"/>
        <w:rPr>
          <w:noProof/>
          <w:lang w:val="lv-LV"/>
        </w:rPr>
      </w:pPr>
      <w:bookmarkStart w:id="90" w:name="_Toc158022339"/>
      <w:bookmarkStart w:id="91" w:name="_Toc148718605"/>
      <w:r w:rsidRPr="001F2BA3">
        <w:rPr>
          <w:noProof/>
          <w:lang w:val="lv-LV"/>
        </w:rPr>
        <w:t>3. pielikums. Vispārīgu ieteikumu piemērs vēlēšanu iecirkņu amatpersonām</w:t>
      </w:r>
      <w:bookmarkEnd w:id="90"/>
      <w:r w:rsidRPr="001F2BA3">
        <w:rPr>
          <w:noProof/>
          <w:lang w:val="lv-LV"/>
        </w:rPr>
        <w:t xml:space="preserve"> </w:t>
      </w:r>
    </w:p>
    <w:p w14:paraId="76D7F94A" w14:textId="099A6671" w:rsidR="006F0581" w:rsidRPr="001F2BA3" w:rsidRDefault="006F0581" w:rsidP="006F0581">
      <w:pPr>
        <w:pBdr>
          <w:top w:val="single" w:sz="4" w:space="1" w:color="auto"/>
          <w:left w:val="single" w:sz="4" w:space="4" w:color="auto"/>
          <w:bottom w:val="single" w:sz="4" w:space="1" w:color="auto"/>
          <w:right w:val="single" w:sz="4" w:space="4" w:color="auto"/>
        </w:pBdr>
        <w:rPr>
          <w:noProof/>
          <w:lang w:val="lv-LV"/>
        </w:rPr>
      </w:pPr>
      <w:r w:rsidRPr="001F2BA3">
        <w:rPr>
          <w:noProof/>
          <w:lang w:val="lv-LV"/>
        </w:rPr>
        <w:t xml:space="preserve">Spānija </w:t>
      </w:r>
      <w:r w:rsidRPr="001F2BA3">
        <w:rPr>
          <w:noProof/>
          <w:lang w:val="lv-LV"/>
        </w:rPr>
        <w:cr/>
      </w:r>
      <w:r w:rsidRPr="001F2BA3">
        <w:rPr>
          <w:noProof/>
          <w:lang w:val="lv-LV"/>
        </w:rPr>
        <w:br/>
        <w:t xml:space="preserve">Ja esat vēlēšanu iecirkņa darbinieks, paturiet prātā, ka personas ar invaliditāti ir patstāvīgas un neatkarīgas un pret šīm personām ir jāizturas kā pret tādām. </w:t>
      </w:r>
      <w:r w:rsidRPr="001F2BA3">
        <w:rPr>
          <w:noProof/>
          <w:lang w:val="lv-LV"/>
        </w:rPr>
        <w:cr/>
      </w:r>
      <w:r w:rsidRPr="001F2BA3">
        <w:rPr>
          <w:noProof/>
          <w:lang w:val="lv-LV"/>
        </w:rPr>
        <w:br/>
        <w:t xml:space="preserve">Uzvedieties dabiski un ar cieņu. Neuzskatiet, ka cilvēkam ir vajadzīga palīdzība tikai tāpēc, ka viņam ir invaliditāte. Ja vide ir pieejama, personas ar invaliditāti parasti bez grūtībām tiek galā. </w:t>
      </w:r>
      <w:r w:rsidRPr="001F2BA3">
        <w:rPr>
          <w:noProof/>
          <w:lang w:val="lv-LV"/>
        </w:rPr>
        <w:cr/>
      </w:r>
      <w:r w:rsidRPr="001F2BA3">
        <w:rPr>
          <w:noProof/>
          <w:lang w:val="lv-LV"/>
        </w:rPr>
        <w:br/>
        <w:t xml:space="preserve">Ievērojiet veselā saprāta un līdztiesības un nediskriminācijas principu. </w:t>
      </w:r>
      <w:r w:rsidRPr="001F2BA3">
        <w:rPr>
          <w:noProof/>
          <w:lang w:val="lv-LV"/>
        </w:rPr>
        <w:cr/>
      </w:r>
      <w:r w:rsidRPr="001F2BA3">
        <w:rPr>
          <w:noProof/>
          <w:lang w:val="lv-LV"/>
        </w:rPr>
        <w:br/>
        <w:t xml:space="preserve">Jautājiet, vai jūsu palīdzība ir nepieciešama tikai tad, ja šķiet, ka vēlētājam ar invaliditāti tā ir nepieciešama. Ja šī persona piekrīt, pajautājiet, kā jūs varat palīdzēt, pirms sākat rīkoties. </w:t>
      </w:r>
      <w:r w:rsidRPr="001F2BA3">
        <w:rPr>
          <w:noProof/>
          <w:lang w:val="lv-LV"/>
        </w:rPr>
        <w:cr/>
      </w:r>
      <w:r w:rsidRPr="001F2BA3">
        <w:rPr>
          <w:noProof/>
          <w:lang w:val="lv-LV"/>
        </w:rPr>
        <w:br/>
        <w:t xml:space="preserve">Pēc vēlētāju ar invaliditāti lūguma un tikai tad, ja viņi to lūdz, pie ieejas vēlēšanu iecirknī administrācijas pārstāvis vai apsardzes darbinieki var viņus pavadīt līdz attiecīgajam vēlēšanu iecirknim. </w:t>
      </w:r>
      <w:r w:rsidRPr="001F2BA3">
        <w:rPr>
          <w:noProof/>
          <w:lang w:val="lv-LV"/>
        </w:rPr>
        <w:cr/>
      </w:r>
      <w:r w:rsidRPr="001F2BA3">
        <w:rPr>
          <w:noProof/>
          <w:lang w:val="lv-LV"/>
        </w:rPr>
        <w:br/>
        <w:t xml:space="preserve">Sazinoties ar personām ar dzirdes traucējumiem, runājiet taisni uz priekšu, nekustiniet galvu. Nerunājiet no aizmugures, saliecies vai rakstīšanas laikā. Nekliedziet, vienkārši runājiet normāli, ierastajā sarunu tempā, ar tukšu muti un neaizsedzot seju no redzesloka. Ja nepieciešams, izmantojiet rakstīšanu, dabiskus žestus vai pievērsiet uzmanību ar vieglu pieskārienu rokai. </w:t>
      </w:r>
      <w:r w:rsidRPr="001F2BA3">
        <w:rPr>
          <w:noProof/>
          <w:lang w:val="lv-LV"/>
        </w:rPr>
        <w:cr/>
      </w:r>
      <w:r w:rsidRPr="001F2BA3">
        <w:rPr>
          <w:noProof/>
          <w:lang w:val="lv-LV"/>
        </w:rPr>
        <w:br/>
        <w:t xml:space="preserve">Vēlētājiem ar redzes traucējumiem varat piedāvāt roku atbalstam. Ja atbalsts tiek pieņemts, pielāgojiet tempu viņu tempam un ņemiet vērā apkārtējo vidi, lai viņi varētu ērti pārvietoties. </w:t>
      </w:r>
      <w:r w:rsidRPr="001F2BA3">
        <w:rPr>
          <w:noProof/>
          <w:lang w:val="lv-LV"/>
        </w:rPr>
        <w:cr/>
      </w:r>
      <w:r w:rsidRPr="001F2BA3">
        <w:rPr>
          <w:noProof/>
          <w:lang w:val="lv-LV"/>
        </w:rPr>
        <w:br/>
        <w:t xml:space="preserve">Suņi pavadoņi personām ar invaliditāti vienmēr tiks ielaisti, tiem jāatrodas pie saimnieka, un tie nedrīkst traucēt vai novērst uzmanību. </w:t>
      </w:r>
      <w:r w:rsidRPr="001F2BA3">
        <w:rPr>
          <w:noProof/>
          <w:lang w:val="lv-LV"/>
        </w:rPr>
        <w:cr/>
      </w:r>
      <w:r w:rsidRPr="001F2BA3">
        <w:rPr>
          <w:noProof/>
          <w:lang w:val="lv-LV"/>
        </w:rPr>
        <w:br/>
        <w:t>Vienmēr pārliecinieties, vai persona ar invaliditāti ir sapratusi, ko mēģināt pateikt.</w:t>
      </w:r>
    </w:p>
    <w:p w14:paraId="29E14063" w14:textId="6C166660" w:rsidR="00BE3B24" w:rsidRPr="001F2BA3" w:rsidRDefault="00C52063" w:rsidP="006F0581">
      <w:pPr>
        <w:pStyle w:val="Heading1"/>
        <w:spacing w:before="360" w:after="240" w:line="288" w:lineRule="auto"/>
        <w:rPr>
          <w:b w:val="0"/>
          <w:noProof/>
          <w:lang w:val="lv-LV"/>
        </w:rPr>
      </w:pPr>
      <w:bookmarkStart w:id="92" w:name="_Toc148718606"/>
      <w:bookmarkStart w:id="93" w:name="_Toc158022340"/>
      <w:bookmarkEnd w:id="91"/>
      <w:r w:rsidRPr="001F2BA3">
        <w:rPr>
          <w:rStyle w:val="Heading1Char"/>
          <w:b/>
          <w:noProof/>
          <w:lang w:val="lv-LV"/>
        </w:rPr>
        <w:t>4. pielikums. Piemērs, kā nodrošināt piekļuvi vēlēšanu iecirkņa telpām</w:t>
      </w:r>
      <w:bookmarkEnd w:id="92"/>
      <w:r w:rsidRPr="001F2BA3">
        <w:rPr>
          <w:rStyle w:val="FootnoteReference"/>
          <w:b w:val="0"/>
          <w:noProof/>
          <w:lang w:val="lv-LV"/>
        </w:rPr>
        <w:t>(</w:t>
      </w:r>
      <w:r w:rsidRPr="001F2BA3">
        <w:rPr>
          <w:rStyle w:val="FootnoteReference"/>
          <w:b w:val="0"/>
          <w:noProof/>
          <w:lang w:val="lv-LV"/>
        </w:rPr>
        <w:footnoteReference w:id="98"/>
      </w:r>
      <w:r w:rsidRPr="001F2BA3">
        <w:rPr>
          <w:rStyle w:val="FootnoteReference"/>
          <w:b w:val="0"/>
          <w:noProof/>
          <w:lang w:val="lv-LV"/>
        </w:rPr>
        <w:t>))</w:t>
      </w:r>
      <w:bookmarkEnd w:id="93"/>
      <w:r w:rsidRPr="001F2BA3">
        <w:rPr>
          <w:rStyle w:val="Heading1Char"/>
          <w:b/>
          <w:noProof/>
          <w:lang w:val="lv-LV"/>
        </w:rPr>
        <w:t xml:space="preserve"> </w:t>
      </w:r>
    </w:p>
    <w:p w14:paraId="1C4E8B15" w14:textId="4674C48A" w:rsidR="00E664D0" w:rsidRPr="001F2BA3" w:rsidRDefault="00873891" w:rsidP="00781D50">
      <w:pPr>
        <w:jc w:val="center"/>
        <w:rPr>
          <w:noProof/>
          <w:lang w:val="lv-LV"/>
        </w:rPr>
      </w:pPr>
      <w:r w:rsidRPr="001F2BA3">
        <w:rPr>
          <w:noProof/>
          <w:lang w:val="en-GB" w:eastAsia="en-GB" w:bidi="ar-SA"/>
        </w:rPr>
        <w:drawing>
          <wp:inline distT="0" distB="0" distL="0" distR="0" wp14:anchorId="2503C534" wp14:editId="20AEF476">
            <wp:extent cx="5467985" cy="3096260"/>
            <wp:effectExtent l="0" t="0" r="0" b="0"/>
            <wp:docPr id="3" name="Picture 3" descr="Vēlēšanu iecirkņa ārpuses zīmējums ar pieejamām stāvvietām un uzbrauktu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drawing of the outside of a polling station with accessible parking places and ramp."/>
                    <pic:cNvPicPr/>
                  </pic:nvPicPr>
                  <pic:blipFill>
                    <a:blip r:embed="rId21">
                      <a:extLst>
                        <a:ext uri="{28A0092B-C50C-407E-A947-70E740481C1C}">
                          <a14:useLocalDpi xmlns:a14="http://schemas.microsoft.com/office/drawing/2010/main" val="0"/>
                        </a:ext>
                      </a:extLst>
                    </a:blip>
                    <a:stretch>
                      <a:fillRect/>
                    </a:stretch>
                  </pic:blipFill>
                  <pic:spPr>
                    <a:xfrm>
                      <a:off x="0" y="0"/>
                      <a:ext cx="5467985" cy="3096260"/>
                    </a:xfrm>
                    <a:prstGeom prst="rect">
                      <a:avLst/>
                    </a:prstGeom>
                  </pic:spPr>
                </pic:pic>
              </a:graphicData>
            </a:graphic>
          </wp:inline>
        </w:drawing>
      </w:r>
    </w:p>
    <w:p w14:paraId="0C337919" w14:textId="77777777" w:rsidR="00781D50" w:rsidRPr="001F2BA3" w:rsidRDefault="00781D50" w:rsidP="00781D50">
      <w:pPr>
        <w:rPr>
          <w:rStyle w:val="Heading1Char"/>
          <w:b w:val="0"/>
          <w:noProof/>
          <w:lang w:val="lv-LV"/>
        </w:rPr>
      </w:pPr>
      <w:bookmarkStart w:id="94" w:name="_Toc148718607"/>
    </w:p>
    <w:p w14:paraId="71E42D52" w14:textId="212E6709" w:rsidR="00197ADE" w:rsidRPr="001F2BA3" w:rsidRDefault="003C179C" w:rsidP="006F0581">
      <w:pPr>
        <w:pStyle w:val="Heading1"/>
        <w:spacing w:before="360" w:after="240" w:line="288" w:lineRule="auto"/>
        <w:rPr>
          <w:rStyle w:val="Heading1Char"/>
          <w:b/>
          <w:noProof/>
          <w:lang w:val="lv-LV"/>
        </w:rPr>
      </w:pPr>
      <w:bookmarkStart w:id="95" w:name="_Toc158022341"/>
      <w:r w:rsidRPr="001F2BA3">
        <w:rPr>
          <w:rStyle w:val="Heading1Char"/>
          <w:b/>
          <w:noProof/>
          <w:lang w:val="lv-LV"/>
        </w:rPr>
        <w:t>5. pielikums. Piemērs, kā izveidot pieejamu vēlēšanu iecirkni</w:t>
      </w:r>
      <w:bookmarkEnd w:id="94"/>
      <w:r w:rsidRPr="001F2BA3">
        <w:rPr>
          <w:rStyle w:val="FootnoteReference"/>
          <w:b w:val="0"/>
          <w:noProof/>
          <w:lang w:val="lv-LV"/>
        </w:rPr>
        <w:t>(</w:t>
      </w:r>
      <w:r w:rsidRPr="001F2BA3">
        <w:rPr>
          <w:rStyle w:val="FootnoteReference"/>
          <w:b w:val="0"/>
          <w:noProof/>
          <w:lang w:val="lv-LV"/>
        </w:rPr>
        <w:footnoteReference w:id="99"/>
      </w:r>
      <w:r w:rsidRPr="001F2BA3">
        <w:rPr>
          <w:rStyle w:val="FootnoteReference"/>
          <w:b w:val="0"/>
          <w:noProof/>
          <w:lang w:val="lv-LV"/>
        </w:rPr>
        <w:t>))</w:t>
      </w:r>
      <w:bookmarkEnd w:id="95"/>
      <w:r w:rsidRPr="001F2BA3">
        <w:rPr>
          <w:rStyle w:val="Heading1Char"/>
          <w:b/>
          <w:noProof/>
          <w:lang w:val="lv-LV"/>
        </w:rPr>
        <w:t xml:space="preserve"> </w:t>
      </w:r>
    </w:p>
    <w:p w14:paraId="067E17A7" w14:textId="19C76F08" w:rsidR="00B5593C" w:rsidRPr="001F2BA3" w:rsidRDefault="007013F9" w:rsidP="00B42AEB">
      <w:pPr>
        <w:rPr>
          <w:noProof/>
          <w:lang w:val="lv-LV"/>
        </w:rPr>
      </w:pPr>
      <w:r w:rsidRPr="001F2BA3">
        <w:rPr>
          <w:noProof/>
          <w:lang w:val="en-GB" w:eastAsia="en-GB" w:bidi="ar-SA"/>
        </w:rPr>
        <w:drawing>
          <wp:inline distT="0" distB="0" distL="0" distR="0" wp14:anchorId="12FB4D9E" wp14:editId="482AEEF0">
            <wp:extent cx="5015798" cy="3286664"/>
            <wp:effectExtent l="0" t="0" r="0" b="0"/>
            <wp:docPr id="4" name="Picture 4" descr="Pieejamas balsošanas telpas rasējums ar vietu ratiņkrēslu rotācijai un pieejamā augstumā novietotiem galdi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drawing of an accessible voting room, with space for wheelchair rotation and tables placed at accessible heights."/>
                    <pic:cNvPicPr/>
                  </pic:nvPicPr>
                  <pic:blipFill>
                    <a:blip r:embed="rId22"/>
                    <a:stretch>
                      <a:fillRect/>
                    </a:stretch>
                  </pic:blipFill>
                  <pic:spPr>
                    <a:xfrm>
                      <a:off x="0" y="0"/>
                      <a:ext cx="5023521" cy="3291725"/>
                    </a:xfrm>
                    <a:prstGeom prst="rect">
                      <a:avLst/>
                    </a:prstGeom>
                  </pic:spPr>
                </pic:pic>
              </a:graphicData>
            </a:graphic>
          </wp:inline>
        </w:drawing>
      </w:r>
    </w:p>
    <w:p w14:paraId="0A9EED0F" w14:textId="0347F6E6" w:rsidR="00B5593C" w:rsidRPr="001F2BA3" w:rsidRDefault="00B5593C" w:rsidP="006F0581">
      <w:pPr>
        <w:pStyle w:val="Heading1"/>
        <w:spacing w:before="360" w:after="240" w:line="288" w:lineRule="auto"/>
        <w:rPr>
          <w:noProof/>
          <w:lang w:val="lv-LV"/>
        </w:rPr>
      </w:pPr>
      <w:bookmarkStart w:id="96" w:name="_Toc148718608"/>
      <w:bookmarkStart w:id="97" w:name="_Toc158022342"/>
      <w:r w:rsidRPr="001F2BA3">
        <w:rPr>
          <w:noProof/>
          <w:lang w:val="lv-LV"/>
        </w:rPr>
        <w:t>6. pielikums. Pielāgotu vēlēšanu kabīņu piemēri</w:t>
      </w:r>
      <w:r w:rsidRPr="001F2BA3">
        <w:rPr>
          <w:rStyle w:val="FootnoteReference"/>
          <w:noProof/>
          <w:lang w:val="lv-LV"/>
        </w:rPr>
        <w:t>(</w:t>
      </w:r>
      <w:r w:rsidRPr="001F2BA3">
        <w:rPr>
          <w:rStyle w:val="FootnoteReference"/>
          <w:noProof/>
          <w:lang w:val="lv-LV"/>
        </w:rPr>
        <w:footnoteReference w:id="100"/>
      </w:r>
      <w:r w:rsidRPr="001F2BA3">
        <w:rPr>
          <w:rStyle w:val="FootnoteReference"/>
          <w:noProof/>
          <w:lang w:val="lv-LV"/>
        </w:rPr>
        <w:t>))</w:t>
      </w:r>
      <w:bookmarkEnd w:id="96"/>
      <w:bookmarkEnd w:id="97"/>
      <w:r w:rsidRPr="001F2BA3">
        <w:rPr>
          <w:noProof/>
          <w:lang w:val="lv-LV"/>
        </w:rPr>
        <w:t xml:space="preserve"> </w:t>
      </w:r>
    </w:p>
    <w:p w14:paraId="13BBF62D" w14:textId="4BB5142B" w:rsidR="00044B98" w:rsidRPr="001F2BA3" w:rsidRDefault="00873891" w:rsidP="00B42AEB">
      <w:pPr>
        <w:rPr>
          <w:noProof/>
          <w:lang w:val="lv-LV"/>
        </w:rPr>
      </w:pPr>
      <w:r w:rsidRPr="001F2BA3">
        <w:rPr>
          <w:noProof/>
          <w:lang w:val="en-GB" w:eastAsia="en-GB" w:bidi="ar-SA"/>
        </w:rPr>
        <w:drawing>
          <wp:inline distT="0" distB="0" distL="0" distR="0" wp14:anchorId="4F74C57E" wp14:editId="35A4A861">
            <wp:extent cx="3625850" cy="3728720"/>
            <wp:effectExtent l="0" t="0" r="0" b="0"/>
            <wp:docPr id="5" name="Picture 5" descr="Pieejamas vēlēšanu kabīnes rasējums ar 150 cm pagriešanās telpu. Plaukta augšējā virsma ir novietota 80–85 cm augstumā. Plaukta apakšējās virsmas augstums ir 75 cm. Plaukta dziļums ir 60 cm.">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pic="http://schemas.openxmlformats.org/drawingml/2006/picture"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drawing of an accessible voting booth with a rotation space of 150 cm. The top surface of the shelf is placed at a height between 80 and 85 cm. The height of the lower surface of the shelf is 75 cm. The shelf hase a depth of 60 cm.">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 val="0"/>
                        </a:ext>
                      </a:extLst>
                    </pic:cNvPr>
                    <pic:cNvPicPr/>
                  </pic:nvPicPr>
                  <pic:blipFill>
                    <a:blip r:embed="rId23">
                      <a:extLst>
                        <a:ext uri="{28A0092B-C50C-407E-A947-70E740481C1C}">
                          <a14:useLocalDpi xmlns:a14="http://schemas.microsoft.com/office/drawing/2010/main" val="0"/>
                        </a:ext>
                      </a:extLst>
                    </a:blip>
                    <a:stretch>
                      <a:fillRect/>
                    </a:stretch>
                  </pic:blipFill>
                  <pic:spPr>
                    <a:xfrm>
                      <a:off x="0" y="0"/>
                      <a:ext cx="3625850" cy="3728720"/>
                    </a:xfrm>
                    <a:prstGeom prst="rect">
                      <a:avLst/>
                    </a:prstGeom>
                  </pic:spPr>
                </pic:pic>
              </a:graphicData>
            </a:graphic>
          </wp:inline>
        </w:drawing>
      </w:r>
    </w:p>
    <w:p w14:paraId="2353EAE2" w14:textId="500F106D" w:rsidR="00044B98" w:rsidRPr="001F2BA3" w:rsidRDefault="00B42AEB" w:rsidP="00B42AEB">
      <w:pPr>
        <w:rPr>
          <w:noProof/>
          <w:lang w:val="lv-LV"/>
        </w:rPr>
      </w:pPr>
      <w:r w:rsidRPr="001F2BA3">
        <w:rPr>
          <w:noProof/>
          <w:lang w:val="en-GB" w:eastAsia="en-GB" w:bidi="ar-SA"/>
        </w:rPr>
        <w:drawing>
          <wp:inline distT="0" distB="0" distL="0" distR="0" wp14:anchorId="302B8989" wp14:editId="0CE5F0A8">
            <wp:extent cx="1428115" cy="1463040"/>
            <wp:effectExtent l="0" t="0" r="635" b="3810"/>
            <wp:docPr id="22" name="Picture 22" descr="Ar ratiņkrēslu pieejamas vēlēšanu kabīnes zīmējums. Pagriešanās telpa ir 15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drawing of a voting booth accessible by wheelchair. The rotation space is 150 cm."/>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1428115" cy="1463040"/>
                    </a:xfrm>
                    <a:prstGeom prst="rect">
                      <a:avLst/>
                    </a:prstGeom>
                  </pic:spPr>
                </pic:pic>
              </a:graphicData>
            </a:graphic>
          </wp:inline>
        </w:drawing>
      </w:r>
    </w:p>
    <w:p w14:paraId="3D8D9ED0" w14:textId="7CD386B1" w:rsidR="00044B98" w:rsidRPr="001F2BA3" w:rsidRDefault="00B42AEB" w:rsidP="00B42AEB">
      <w:pPr>
        <w:rPr>
          <w:noProof/>
          <w:lang w:val="lv-LV"/>
        </w:rPr>
      </w:pPr>
      <w:r w:rsidRPr="001F2BA3">
        <w:rPr>
          <w:noProof/>
          <w:lang w:val="en-GB" w:eastAsia="en-GB" w:bidi="ar-SA"/>
        </w:rPr>
        <w:drawing>
          <wp:inline distT="0" distB="0" distL="0" distR="0" wp14:anchorId="3F24FEDE" wp14:editId="1593D6A9">
            <wp:extent cx="1466850" cy="1133475"/>
            <wp:effectExtent l="0" t="0" r="0" b="0"/>
            <wp:docPr id="26" name="Picture 26" descr="Ar ratiņkrēslu pieejamas vēlēšanu kabīnes zīmējums. Plaukta apakšējās virsmas augstums ir 6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drawing of a voting booth accessible by wheelchair. The height of the lower surface of the shelf is 60 cm."/>
                    <pic:cNvPicPr/>
                  </pic:nvPicPr>
                  <pic:blipFill>
                    <a:blip r:embed="rId25">
                      <a:extLst>
                        <a:ext uri="{28A0092B-C50C-407E-A947-70E740481C1C}">
                          <a14:useLocalDpi xmlns:a14="http://schemas.microsoft.com/office/drawing/2010/main" val="0"/>
                        </a:ext>
                      </a:extLst>
                    </a:blip>
                    <a:stretch>
                      <a:fillRect/>
                    </a:stretch>
                  </pic:blipFill>
                  <pic:spPr>
                    <a:xfrm>
                      <a:off x="0" y="0"/>
                      <a:ext cx="1466850" cy="1133475"/>
                    </a:xfrm>
                    <a:prstGeom prst="rect">
                      <a:avLst/>
                    </a:prstGeom>
                  </pic:spPr>
                </pic:pic>
              </a:graphicData>
            </a:graphic>
          </wp:inline>
        </w:drawing>
      </w:r>
    </w:p>
    <w:p w14:paraId="5AA5426A" w14:textId="104C9D1C" w:rsidR="001C0943" w:rsidRPr="001F2BA3" w:rsidRDefault="001C0943" w:rsidP="006F0581">
      <w:pPr>
        <w:pStyle w:val="Heading1"/>
        <w:spacing w:before="360" w:after="240" w:line="288" w:lineRule="auto"/>
        <w:rPr>
          <w:noProof/>
          <w:lang w:val="lv-LV"/>
        </w:rPr>
      </w:pPr>
      <w:bookmarkStart w:id="98" w:name="_Toc148718609"/>
      <w:bookmarkStart w:id="99" w:name="_Toc158022343"/>
      <w:r w:rsidRPr="001F2BA3">
        <w:rPr>
          <w:noProof/>
          <w:lang w:val="lv-LV"/>
        </w:rPr>
        <w:t>7. pielikums. Invaliditātes jēdziens, ko dalībvalstis izmanto saistībā ar vēlēšanām</w:t>
      </w:r>
      <w:bookmarkEnd w:id="98"/>
      <w:bookmarkEnd w:id="99"/>
      <w:r w:rsidRPr="001F2BA3">
        <w:rPr>
          <w:noProof/>
          <w:lang w:val="lv-LV"/>
        </w:rPr>
        <w:t xml:space="preserve"> </w:t>
      </w:r>
    </w:p>
    <w:p w14:paraId="10F1BBD2" w14:textId="77777777" w:rsidR="001C0943" w:rsidRPr="001F2BA3" w:rsidRDefault="001C0943" w:rsidP="00B42AEB">
      <w:pPr>
        <w:rPr>
          <w:noProof/>
          <w:lang w:val="lv-LV"/>
        </w:rPr>
      </w:pPr>
      <w:r w:rsidRPr="001F2BA3">
        <w:rPr>
          <w:noProof/>
          <w:lang w:val="lv-LV"/>
        </w:rPr>
        <w:t>Dalībvalstu pieeja invaliditātes jēdzienam vēlēšanu kontekstā atšķiras. Dažkārt tas ir saistīts ar to, kā tās nosaka, kam ir tiesības balsot un kandidēt vēlēšanās, vai kā tās nosaka, kam ir tiesības izmantot īpašus balsošanas noteikumus. Dalībvalstis var atsaukties uz invaliditāti arī citos kontekstos, piemēram, saistībā ar sociālajām un pamattiesībām, kas varētu būt būtiski vēlēšanu kontekstā.</w:t>
      </w:r>
    </w:p>
    <w:p w14:paraId="24BF2807" w14:textId="6D34AF97" w:rsidR="001C0943" w:rsidRPr="001F2BA3" w:rsidRDefault="001C0943" w:rsidP="00B42AEB">
      <w:pPr>
        <w:rPr>
          <w:noProof/>
          <w:lang w:val="lv-LV"/>
        </w:rPr>
      </w:pPr>
      <w:r w:rsidRPr="001F2BA3">
        <w:rPr>
          <w:noProof/>
          <w:lang w:val="lv-LV"/>
        </w:rPr>
        <w:t>Vairākas dalībvalstis izmanto operatīvas definīcijas, kurās ņemta vērā vēlētāju spēja pašiem izmantot tiesības balsot. Austrija par vēlētājiem ar invaliditāti uzskata personas, kurām pamatoti nepieciešama palīdzība, lai aizpildītu oficiālo vēlēšanu zīmi, izmantojot citas personas palīdzību vai noteiktas palīgierīces, piemēram, veidnes. Čehijā invaliditāte ir viens no kritērijiem, lai vēlētājiem sniegtu palīdzību vai citu īpašu atbalstu. Dānija atzīmē personas ar invaliditāti saistībā ar dažādām balsošanas iespējām, kas pieejamas vēlētājiem, kuri nevar balsot vēlēšanu iecirknī vai konkrētajā vēlēšanu iecirknī, kurā viņi ir ieradušies. Līdzīgi Igaunija paredz noteikumus attiecībā uz vēlētājiem, kuri fiziskas invaliditātes dēļ nevar atzīmēt izvēli vēlēšanu zīmē vai vēlēšanu iecirknī. Spānija piemēro niansētāku pieeju, paredzot noteikumus dažādiem invaliditātes veidiem — gan fiziskiem (piemēram, dzirdes un redzes), gan intelektuālās attīstības traucējumiem</w:t>
      </w:r>
      <w:r w:rsidRPr="001F2BA3">
        <w:rPr>
          <w:rStyle w:val="FootnoteReference"/>
          <w:noProof/>
          <w:lang w:val="lv-LV"/>
        </w:rPr>
        <w:t>(</w:t>
      </w:r>
      <w:r w:rsidRPr="001F2BA3">
        <w:rPr>
          <w:rStyle w:val="FootnoteReference"/>
          <w:noProof/>
          <w:lang w:val="lv-LV"/>
        </w:rPr>
        <w:footnoteReference w:id="101"/>
      </w:r>
      <w:r w:rsidRPr="001F2BA3">
        <w:rPr>
          <w:rStyle w:val="FootnoteReference"/>
          <w:noProof/>
          <w:lang w:val="lv-LV"/>
        </w:rPr>
        <w:t>))</w:t>
      </w:r>
      <w:r w:rsidRPr="001F2BA3">
        <w:rPr>
          <w:noProof/>
          <w:lang w:val="lv-LV"/>
        </w:rPr>
        <w:t>.</w:t>
      </w:r>
    </w:p>
    <w:p w14:paraId="546F6BFC" w14:textId="77777777" w:rsidR="001C0943" w:rsidRPr="001F2BA3" w:rsidRDefault="001C0943" w:rsidP="00B42AEB">
      <w:pPr>
        <w:rPr>
          <w:noProof/>
          <w:lang w:val="lv-LV"/>
        </w:rPr>
      </w:pPr>
      <w:r w:rsidRPr="001F2BA3">
        <w:rPr>
          <w:noProof/>
          <w:lang w:val="lv-LV"/>
        </w:rPr>
        <w:t>Horvātijā invaliditātes novērtējums (fiziska invaliditāte, piemēram, aklums, vāja redze, augšējo ekstremitāšu bojājumi vai citi traucējumi, kas neļauj vēlētājam balsot patstāvīgi) ir nepieciešams tikai tad, ja pastāv šaubas par personas spēju balsot patstāvīgi.</w:t>
      </w:r>
    </w:p>
    <w:p w14:paraId="518E7B69" w14:textId="77777777" w:rsidR="001C0943" w:rsidRPr="001F2BA3" w:rsidRDefault="001C0943" w:rsidP="00B42AEB">
      <w:pPr>
        <w:rPr>
          <w:noProof/>
          <w:lang w:val="lv-LV"/>
        </w:rPr>
      </w:pPr>
      <w:r w:rsidRPr="001F2BA3">
        <w:rPr>
          <w:noProof/>
          <w:lang w:val="lv-LV"/>
        </w:rPr>
        <w:t>Ungārija vēlētājus ar invaliditāti definē kā vēlētājus, kuriem ir ievērojami samazinājušās maņu, jo īpaši redzes un dzirdes, spējas vai to nav vai kuriem ir ievērojami samazinājušās kustību vai garīgās spējas vai to nav, vai kuriem ir ievērojami samazinājušās saziņas spējas un kuriem visu minēto spēju samazinājums vai trūkums pastāvīgi rada nelabvēlīgu situāciju un liedz aktīvi iesaistīties sabiedriskajā dzīvē.</w:t>
      </w:r>
    </w:p>
    <w:p w14:paraId="44FBED99" w14:textId="4416DEE6" w:rsidR="006B44F9" w:rsidRPr="001F2BA3" w:rsidRDefault="001C0943" w:rsidP="00B42AEB">
      <w:pPr>
        <w:rPr>
          <w:noProof/>
          <w:lang w:val="lv-LV"/>
        </w:rPr>
      </w:pPr>
      <w:r w:rsidRPr="001F2BA3">
        <w:rPr>
          <w:noProof/>
          <w:lang w:val="lv-LV"/>
        </w:rPr>
        <w:t>Latvija norāda, ka tie ir vēlētāji ar kustību traucējumiem, kuri nevar nokļūt vēlēšanu iecirknī. Nīderlande norāda, ka tie ir vēlētāji ar kustību traucējumiem, un ir noteikusi prasību aprīkot vēlēšanu iecirkņus tā, lai vēlētāji ar kustību traucējumiem varētu pēc iespējas vairāk balsot paši vai saņemt palīdzību no vēlēšanu iecirkņa darbinieka.</w:t>
      </w:r>
    </w:p>
    <w:p w14:paraId="1F791EE6" w14:textId="4974FF0D" w:rsidR="00982700" w:rsidRPr="001F2BA3" w:rsidRDefault="001C0943" w:rsidP="00B42AEB">
      <w:pPr>
        <w:rPr>
          <w:noProof/>
          <w:lang w:val="lv-LV"/>
        </w:rPr>
      </w:pPr>
      <w:r w:rsidRPr="001F2BA3">
        <w:rPr>
          <w:noProof/>
          <w:lang w:val="lv-LV"/>
        </w:rPr>
        <w:t>Portugālē saistībā ar visām valsts un privātajām organizācijām, kas sniedz sabiedrībai personiskus pakalpojumus, noteikto pienākumu prioritāri apkalpot personas ar invaliditāti persona ar invaliditāti vai rīcībnespēju ir juridiski definēta kā persona, kurai iedzimta vai iegūta ķermeņa funkciju, tostarp psiholoģisko funkciju, zuduma vai traucējumu dēļ ir īpašas grūtības, kas kopā ar vides faktoriem ierobežo vai kavē tās aktivitāti un līdzdalību vienlīdzīgi ar citām personām, un kurai ir invaliditātes pakāpe, kas ir vienāda vai lielāka par 60</w:t>
      </w:r>
      <w:r w:rsidR="001F2BA3">
        <w:rPr>
          <w:noProof/>
          <w:lang w:val="lv-LV"/>
        </w:rPr>
        <w:t> %</w:t>
      </w:r>
      <w:r w:rsidRPr="001F2BA3">
        <w:rPr>
          <w:noProof/>
          <w:lang w:val="lv-LV"/>
        </w:rPr>
        <w:t xml:space="preserve"> un kas atzīta daudzfunkcionālā sertifikātā</w:t>
      </w:r>
      <w:r w:rsidRPr="001F2BA3">
        <w:rPr>
          <w:rStyle w:val="FootnoteReference"/>
          <w:noProof/>
          <w:lang w:val="lv-LV"/>
        </w:rPr>
        <w:t>(</w:t>
      </w:r>
      <w:r w:rsidRPr="001F2BA3">
        <w:rPr>
          <w:rStyle w:val="FootnoteReference"/>
          <w:noProof/>
          <w:lang w:val="lv-LV"/>
        </w:rPr>
        <w:footnoteReference w:id="102"/>
      </w:r>
      <w:r w:rsidRPr="001F2BA3">
        <w:rPr>
          <w:rStyle w:val="FootnoteReference"/>
          <w:noProof/>
          <w:lang w:val="lv-LV"/>
        </w:rPr>
        <w:t>))</w:t>
      </w:r>
      <w:r w:rsidRPr="001F2BA3">
        <w:rPr>
          <w:noProof/>
          <w:lang w:val="lv-LV"/>
        </w:rPr>
        <w:t xml:space="preserve">. Portugāle nodrošina vēlētājiem ar invaliditāti priekšroku vai palīdzību vēlēšanu iecirknī. Vēlētājs, kuram ir acīmredzama slimība vai fiziska invaliditāte un kuru vēlēšanu iecirknis atzīst par nespējīgu veikt balsošanai nepieciešamās darbības, balso cita paša izraudzīta vēlētāja pavadībā, kurš garantē, ka balsojums atbilst vēlētāja gribai, un kuram ir pienākums ievērot pilnīgu slepenību. Ja vēlēšanu iecirknis uzskata, ka slimība vai fiziskā invaliditāte nav acīmredzama, tas pieprasa, lai balsošanas laikā tiktu uzrādīta izziņa, kas apliecina balsošanas neiespējamību un ko izsniedzis ārsts, kurš pašvaldības teritorijā īsteno veselības aprūpes iestādes pilnvaras, un kas apliecināta ar attiecīgā dienesta zīmogu. Šim nolūkam veselības aprūpes centriem jābūt atvērtiem vēlēšanu dienā, kamēr darbojas vēlēšanu iecirkņi. Neskarot vēlēšanu iecirkņa secinājumus par balsojuma pieņemamību, ikviens tā loceklis vai politisko partiju vai koalīciju delegāti var iesniegt rakstveida protestu. Vēlētāji ar redzes traucējumiem, ja viņi to vēlas, var lūgt vēlēšanu iecirkni izsniegt viņiem vēlēšanu zīmi Braila rakstā, kas ļaus viņiem pašiem veikt likumā noteiktās balsošanas procedūras. Saskaņā ar vēlēšanu tiesību aktiem par nespējīgām balsot tiek atzītas tikai personas ar smagiem psihosociāliem traucējumiem, kuras ir ievietotas psihiatriskajā iestādē vai kuras par tādām atzinusi ārstu komisija. Personām, kurām ir acīmredzami smagi garīgi traucējumi, pat ja tie nav reģistrēti kā tādi, bet tās ir ievietotas psihiatriskajā iestādē vai par tādām ir atzinusi ārstu komisija, un personām, kurām ar galīgu tiesas spriedumu ir atņemtas politiskās tiesības, nav aktīvu vēlēšanu tiesību. </w:t>
      </w:r>
    </w:p>
    <w:p w14:paraId="62215551" w14:textId="0E9FB1EA" w:rsidR="001C0943" w:rsidRPr="001F2BA3" w:rsidRDefault="001C0943" w:rsidP="00B42AEB">
      <w:pPr>
        <w:rPr>
          <w:noProof/>
          <w:lang w:val="lv-LV"/>
        </w:rPr>
      </w:pPr>
      <w:r w:rsidRPr="001F2BA3">
        <w:rPr>
          <w:noProof/>
          <w:lang w:val="lv-LV"/>
        </w:rPr>
        <w:t>Slovēnija savos vēlēšanu likumos ietver dažādas invaliditātes un nosaka vēlētājiem pieejamās balsošanas iespējas.</w:t>
      </w:r>
    </w:p>
    <w:p w14:paraId="33D2ED07" w14:textId="5992C420" w:rsidR="001C0943" w:rsidRPr="001F2BA3" w:rsidRDefault="001C0943" w:rsidP="00B42AEB">
      <w:pPr>
        <w:rPr>
          <w:noProof/>
          <w:lang w:val="lv-LV"/>
        </w:rPr>
      </w:pPr>
      <w:r w:rsidRPr="001F2BA3">
        <w:rPr>
          <w:noProof/>
          <w:lang w:val="lv-LV"/>
        </w:rPr>
        <w:t xml:space="preserve">Citas dalībvalstis dažādu iemeslu dēļ nesaista šo terminu konkrēti ar dalību vēlēšanās un izmanto vispārīgas definīcijas vai definīcijas, kas noteiktas citiem juridiskiem mērķiem. Grieķijā tas ir saistīts ar sociālo nodrošinājumu un gaidāmo valsts rīcības plānu personām ar invaliditāti, invaliditātes reģistru un digitālo invaliditātes karti. Francija izmanto plašu invaliditātes definīciju, kas noteic, ka tā ir jebkurš aktivitātes ierobežojums vai līdzdalības sabiedrībā ierobežojums, ko persona izjūt savā vidē būtiskas, ilgstošas vai pastāvīgas vienas vai vairāku fizisko, maņu, garīgo, kognitīvo vai psihisko funkciju, vairāku veidu invaliditātes vai veselības stāvokļa traucējumu dēļ. Īrija saistībā ar vēlēšanām izmanto definīciju, kas lielā mērā ir aizgūta no </w:t>
      </w:r>
      <w:r w:rsidRPr="001F2BA3">
        <w:rPr>
          <w:i/>
          <w:iCs/>
          <w:noProof/>
          <w:lang w:val="lv-LV"/>
        </w:rPr>
        <w:t>UNCRPD</w:t>
      </w:r>
      <w:r w:rsidRPr="001F2BA3">
        <w:rPr>
          <w:noProof/>
          <w:lang w:val="lv-LV"/>
        </w:rPr>
        <w:t xml:space="preserve"> definīcijas, norādot, ka invaliditāte ir būtisks ierobežojums personas spējām veikt ar profesiju saistītus pienākumus, īstenot uzņēmējdarbību vai nodarbošanos valstī vai piedalīties sabiedriskajā vai kultūras dzīvē valstī ilgstošu fizisko, maņu, garīgās veselības vai intelektuālās attīstības traucējumu dēļ.</w:t>
      </w:r>
    </w:p>
    <w:p w14:paraId="3DDBEEE6" w14:textId="7C11A042" w:rsidR="001C0943" w:rsidRPr="001F2BA3" w:rsidRDefault="00C82E82" w:rsidP="00B42AEB">
      <w:pPr>
        <w:rPr>
          <w:noProof/>
          <w:lang w:val="lv-LV"/>
        </w:rPr>
      </w:pPr>
      <w:r w:rsidRPr="001F2BA3">
        <w:rPr>
          <w:noProof/>
          <w:lang w:val="lv-LV"/>
        </w:rPr>
        <w:t>Lietuvā invaliditāte ir definēta kā ilgstoša veselības stāvokļa pasliktināšanās, līdzdalība sabiedriskajā dzīvē un aktivitātes samazināšanās, ko izraisa cilvēka organisma struktūras un funkciju traucējumi un nelabvēlīgu vides faktoru mijiedarbība. Sākot ar 2024</w:t>
      </w:r>
      <w:r w:rsidR="001F2BA3">
        <w:rPr>
          <w:noProof/>
          <w:lang w:val="lv-LV"/>
        </w:rPr>
        <w:t>. gad</w:t>
      </w:r>
      <w:r w:rsidRPr="001F2BA3">
        <w:rPr>
          <w:noProof/>
          <w:lang w:val="lv-LV"/>
        </w:rPr>
        <w:t xml:space="preserve">u, šī definīcija tiks mainīta un invaliditāte tiks definēta kā ilgtermiņa funkcionāls traucējums (iedzimts un/vai iegūts), kas vides faktoru dēļ liedz personai pilnvērtīgi un efektīvi piedalīties sabiedrības dzīvē vienlīdzīgi ar citām personām. Luksemburga izmanto </w:t>
      </w:r>
      <w:r w:rsidRPr="001F2BA3">
        <w:rPr>
          <w:i/>
          <w:iCs/>
          <w:noProof/>
          <w:lang w:val="lv-LV"/>
        </w:rPr>
        <w:t>UNCRPD</w:t>
      </w:r>
      <w:r w:rsidRPr="001F2BA3">
        <w:rPr>
          <w:noProof/>
          <w:lang w:val="lv-LV"/>
        </w:rPr>
        <w:t xml:space="preserve"> definīciju.</w:t>
      </w:r>
    </w:p>
    <w:p w14:paraId="3968C0BA" w14:textId="7DEFF79B" w:rsidR="001C0943" w:rsidRPr="001F2BA3" w:rsidRDefault="001C0943" w:rsidP="00B42AEB">
      <w:pPr>
        <w:rPr>
          <w:noProof/>
          <w:lang w:val="lv-LV"/>
        </w:rPr>
      </w:pPr>
      <w:r w:rsidRPr="001F2BA3">
        <w:rPr>
          <w:noProof/>
          <w:lang w:val="lv-LV"/>
        </w:rPr>
        <w:t xml:space="preserve">Rumānijā invaliditātes jēdziens nav iekļauts vēlēšanu tiesību aktos, bet gan īpašos tiesību aktos par personu ar invaliditāti tiesībām. Tā pamatā ir </w:t>
      </w:r>
      <w:r w:rsidRPr="001F2BA3">
        <w:rPr>
          <w:i/>
          <w:iCs/>
          <w:noProof/>
          <w:lang w:val="lv-LV"/>
        </w:rPr>
        <w:t>UNCRPD</w:t>
      </w:r>
      <w:r w:rsidRPr="001F2BA3">
        <w:rPr>
          <w:noProof/>
          <w:lang w:val="lv-LV"/>
        </w:rPr>
        <w:t xml:space="preserve"> koncepcija, kur personas ar invaliditāti ir definētas kā personas, kuru sociālā vide nav pielāgota viņu fiziskajiem, maņu, psihiskajiem, garīgajiem un/vai ar tiem saistītajiem traucējumiem un pilnībā kavē vai ierobežo viņu piekļuvi sabiedrības dzīvei ar vienlīdzīgām iespējām, un ir nepieciešami aizsardzības pasākumi, lai atbalstītu viņu sociālo integrāciju un iekļaušanu. Prezidenta vēlēšanu likumā ir minētas arī personas ar ierobežotām pārvietošanās spējām, kas ietver personas ar fiziskiem traucējumiem, kā kritērijs, lai varētu balsot jebkurā pieejamā vēlēšanu iecirknī.</w:t>
      </w:r>
    </w:p>
    <w:p w14:paraId="02B66AE1" w14:textId="79FAE0D4" w:rsidR="001C0943" w:rsidRPr="001F2BA3" w:rsidRDefault="001C0943" w:rsidP="00B42AEB">
      <w:pPr>
        <w:rPr>
          <w:noProof/>
          <w:lang w:val="lv-LV"/>
        </w:rPr>
      </w:pPr>
      <w:r w:rsidRPr="001F2BA3">
        <w:rPr>
          <w:noProof/>
          <w:lang w:val="lv-LV"/>
        </w:rPr>
        <w:t>Beļģija nedefinē invaliditāti un nenošķir garīgu vai fizisku invaliditāti. Vācijā ir tiesiskais regulējums, uz kuru atsaucās visās invaliditātes politikas nostādnēs. Zviedrijā nav konkrētu kritēriju, kas noteiktu, kas ir invaliditāte, jo dažādu veidu invaliditāte ietekmē personas dažādās situācijās.</w:t>
      </w:r>
    </w:p>
    <w:p w14:paraId="3FB72687" w14:textId="28901808" w:rsidR="001C0943" w:rsidRPr="001F2BA3" w:rsidRDefault="001C0943" w:rsidP="006F0581">
      <w:pPr>
        <w:pStyle w:val="Heading1"/>
        <w:spacing w:before="360" w:after="240" w:line="288" w:lineRule="auto"/>
        <w:rPr>
          <w:noProof/>
          <w:lang w:val="lv-LV"/>
        </w:rPr>
      </w:pPr>
      <w:bookmarkStart w:id="100" w:name="_Toc148718610"/>
      <w:bookmarkStart w:id="101" w:name="_Toc158022344"/>
      <w:r w:rsidRPr="001F2BA3">
        <w:rPr>
          <w:noProof/>
          <w:lang w:val="lv-LV"/>
        </w:rPr>
        <w:t>8. pielikums. ES tiesību akti un ES standarti, kas attiecas uz vēlēšanu piekļūstamības nodrošināšanu personām ar invaliditāti</w:t>
      </w:r>
      <w:bookmarkEnd w:id="100"/>
      <w:bookmarkEnd w:id="101"/>
    </w:p>
    <w:p w14:paraId="704DF251" w14:textId="270B8263" w:rsidR="001C0943" w:rsidRPr="001F2BA3" w:rsidRDefault="001C0943" w:rsidP="00B42AEB">
      <w:pPr>
        <w:rPr>
          <w:noProof/>
          <w:lang w:val="lv-LV"/>
        </w:rPr>
      </w:pPr>
      <w:r w:rsidRPr="001F2BA3">
        <w:rPr>
          <w:noProof/>
          <w:lang w:val="lv-LV"/>
        </w:rPr>
        <w:t>Direktīva (ES) 2019/882</w:t>
      </w:r>
      <w:r w:rsidRPr="001F2BA3">
        <w:rPr>
          <w:rStyle w:val="FootnoteReference"/>
          <w:noProof/>
          <w:lang w:val="lv-LV"/>
        </w:rPr>
        <w:t>(</w:t>
      </w:r>
      <w:r w:rsidRPr="001F2BA3">
        <w:rPr>
          <w:rStyle w:val="FootnoteReference"/>
          <w:noProof/>
          <w:lang w:val="lv-LV"/>
        </w:rPr>
        <w:footnoteReference w:id="103"/>
      </w:r>
      <w:r w:rsidRPr="001F2BA3">
        <w:rPr>
          <w:rStyle w:val="FootnoteReference"/>
          <w:noProof/>
          <w:lang w:val="lv-LV"/>
        </w:rPr>
        <w:t>))</w:t>
      </w:r>
      <w:r w:rsidRPr="001F2BA3">
        <w:rPr>
          <w:noProof/>
          <w:lang w:val="lv-LV"/>
        </w:rPr>
        <w:t xml:space="preserve"> (Eiropas Piekļūstamības akts) par </w:t>
      </w:r>
      <w:r w:rsidRPr="001F2BA3">
        <w:rPr>
          <w:b/>
          <w:bCs/>
          <w:noProof/>
          <w:lang w:val="lv-LV"/>
        </w:rPr>
        <w:t>produktu un pakalpojumu piekļūstamības prasībām</w:t>
      </w:r>
      <w:r w:rsidRPr="001F2BA3">
        <w:rPr>
          <w:noProof/>
          <w:lang w:val="lv-LV"/>
        </w:rPr>
        <w:t xml:space="preserve"> veicina pilnvērtīgu un efektīvu līdztiesīgu līdzdalību, uzlabojot piekļuvi parastajiem produktiem un pakalpojumiem, kas, pateicoties to dizainam vai pielāgojumiem, atbilst personu ar invaliditāti īpašajām vajadzībām. Šīs direktīvas I pielikumā ir noteiktas īpašas piekļūstamības prasības produktiem un pakalpojumiem. II pielikumā sniegti iespējamu risinājumu piemēri, kas palīdz valstīm izpildīt šīs piekļūstamības prasības. Šie risinājumi ietver informācijas sniegšanu, lietotāja saskarnes un funkcionalitātes izstrādi, produktu iepakojumu un instrukcijas, pakalpojumu sniegšanu un īpašus pakalpojumus, kas arī varētu būt noderīgi, lai padarītu e-balsošanas risinājumus pieejamus.</w:t>
      </w:r>
      <w:r w:rsidRPr="001F2BA3">
        <w:rPr>
          <w:rStyle w:val="FootnoteReference"/>
          <w:noProof/>
          <w:lang w:val="lv-LV"/>
        </w:rPr>
        <w:t>(</w:t>
      </w:r>
      <w:r w:rsidRPr="001F2BA3">
        <w:rPr>
          <w:rStyle w:val="FootnoteReference"/>
          <w:noProof/>
          <w:lang w:val="lv-LV"/>
        </w:rPr>
        <w:footnoteReference w:id="104"/>
      </w:r>
      <w:r w:rsidRPr="001F2BA3">
        <w:rPr>
          <w:rStyle w:val="FootnoteReference"/>
          <w:noProof/>
          <w:lang w:val="lv-LV"/>
        </w:rPr>
        <w:t>))</w:t>
      </w:r>
    </w:p>
    <w:p w14:paraId="7955EF21" w14:textId="77777777" w:rsidR="001C0943" w:rsidRPr="001F2BA3" w:rsidRDefault="001C0943" w:rsidP="00B42AEB">
      <w:pPr>
        <w:rPr>
          <w:noProof/>
          <w:lang w:val="lv-LV"/>
        </w:rPr>
      </w:pPr>
      <w:r w:rsidRPr="001F2BA3">
        <w:rPr>
          <w:noProof/>
          <w:lang w:val="lv-LV"/>
        </w:rPr>
        <w:t>Attiecībā uz produktiem un pakalpojumiem, uz kuriem neattiecas Eiropas Piekļūstamības akts, šo piekļūstamības prasību ievērošana tomēr palīdzētu uzlabot piekļūstamību visā ES.</w:t>
      </w:r>
    </w:p>
    <w:p w14:paraId="70C3BFCB" w14:textId="1285D600" w:rsidR="001C0943" w:rsidRPr="001F2BA3" w:rsidRDefault="001C0943" w:rsidP="00B42AEB">
      <w:pPr>
        <w:rPr>
          <w:noProof/>
          <w:lang w:val="lv-LV"/>
        </w:rPr>
      </w:pPr>
      <w:r w:rsidRPr="001F2BA3">
        <w:rPr>
          <w:noProof/>
          <w:lang w:val="lv-LV"/>
        </w:rPr>
        <w:t xml:space="preserve">Eiropas Parlamenta un Padomes </w:t>
      </w:r>
      <w:r w:rsidRPr="001F2BA3">
        <w:rPr>
          <w:b/>
          <w:noProof/>
          <w:lang w:val="lv-LV"/>
        </w:rPr>
        <w:t>Direktīvas 2014/24/ES</w:t>
      </w:r>
      <w:r w:rsidRPr="001F2BA3">
        <w:rPr>
          <w:rStyle w:val="FootnoteReference"/>
          <w:noProof/>
          <w:lang w:val="lv-LV"/>
        </w:rPr>
        <w:t>(</w:t>
      </w:r>
      <w:r w:rsidRPr="001F2BA3">
        <w:rPr>
          <w:rStyle w:val="FootnoteReference"/>
          <w:noProof/>
          <w:lang w:val="lv-LV"/>
        </w:rPr>
        <w:footnoteReference w:id="105"/>
      </w:r>
      <w:r w:rsidRPr="001F2BA3">
        <w:rPr>
          <w:rStyle w:val="FootnoteReference"/>
          <w:noProof/>
          <w:lang w:val="lv-LV"/>
        </w:rPr>
        <w:t>))</w:t>
      </w:r>
      <w:r w:rsidRPr="001F2BA3">
        <w:rPr>
          <w:noProof/>
          <w:lang w:val="lv-LV"/>
        </w:rPr>
        <w:t xml:space="preserve"> un </w:t>
      </w:r>
      <w:r w:rsidRPr="001F2BA3">
        <w:rPr>
          <w:b/>
          <w:noProof/>
          <w:lang w:val="lv-LV"/>
        </w:rPr>
        <w:t>2014/25/ES</w:t>
      </w:r>
      <w:r w:rsidRPr="001F2BA3">
        <w:rPr>
          <w:rStyle w:val="FootnoteReference"/>
          <w:noProof/>
          <w:lang w:val="lv-LV"/>
        </w:rPr>
        <w:t>(</w:t>
      </w:r>
      <w:hyperlink r:id="rId26" w:anchor="ntr23-L_2019151EN.01007001-E0023" w:history="1">
        <w:r w:rsidRPr="001F2BA3">
          <w:rPr>
            <w:rStyle w:val="super"/>
            <w:noProof/>
            <w:vertAlign w:val="superscript"/>
            <w:lang w:val="lv-LV"/>
          </w:rPr>
          <w:t>23</w:t>
        </w:r>
      </w:hyperlink>
      <w:r w:rsidRPr="001F2BA3">
        <w:rPr>
          <w:rStyle w:val="Hyperlink"/>
          <w:noProof/>
          <w:u w:val="none"/>
          <w:vertAlign w:val="superscript"/>
          <w:lang w:val="lv-LV"/>
        </w:rPr>
        <w:t xml:space="preserve">, </w:t>
      </w:r>
      <w:r w:rsidRPr="001F2BA3">
        <w:rPr>
          <w:rStyle w:val="FootnoteReference"/>
          <w:noProof/>
          <w:lang w:val="lv-LV"/>
        </w:rPr>
        <w:footnoteReference w:id="106"/>
      </w:r>
      <w:r w:rsidRPr="001F2BA3">
        <w:rPr>
          <w:rStyle w:val="FootnoteReference"/>
          <w:noProof/>
          <w:lang w:val="lv-LV"/>
        </w:rPr>
        <w:t>))</w:t>
      </w:r>
      <w:r w:rsidRPr="001F2BA3">
        <w:rPr>
          <w:noProof/>
          <w:lang w:val="lv-LV"/>
        </w:rPr>
        <w:t> par publisko iepirkumu, kurās noteiktas procedūras publisko līgumu un metu konkursu iepirkumiem attiecībā uz konkrētām piegādēm (produktiem), pakalpojumiem un darbiem, ir noteikts, ka visiem iepirkumiem, kuri paredzēti lietošanai sabiedrībai — neatkarīgi no tā, vai tie paredzēti plašākai sabiedrībai vai līgumslēdzējas iestādes personālam —, tehniskajās specifikācijās (izņemot pienācīgi pamatotus gadījumus) ir jāņem vērā kritēriji par pieejamību personām ar invaliditāti vai projektēšanu visu lietotāju ērtībām. Šajās direktīvās arī noteikts, ka gadījumos, kad ES tiesību aktos ir pieņemtas obligātas piekļūstamības prasības, tehniskajās specifikācijās ir jāievēro šīs prasības attiecībā uz piekļuves nodrošināšanu personām ar invaliditāti un projektēšanu visiem lietotājiem.</w:t>
      </w:r>
    </w:p>
    <w:p w14:paraId="20A1C3DC" w14:textId="64187BBF" w:rsidR="001C0943" w:rsidRPr="001F2BA3" w:rsidRDefault="001C0943" w:rsidP="00B42AEB">
      <w:pPr>
        <w:rPr>
          <w:noProof/>
          <w:shd w:val="clear" w:color="auto" w:fill="FFFFFF"/>
          <w:lang w:val="lv-LV"/>
        </w:rPr>
      </w:pPr>
      <w:r w:rsidRPr="001F2BA3">
        <w:rPr>
          <w:b/>
          <w:noProof/>
          <w:lang w:val="lv-LV"/>
        </w:rPr>
        <w:t>Direktīvā (ES) 2016/2102</w:t>
      </w:r>
      <w:r w:rsidRPr="001F2BA3">
        <w:rPr>
          <w:rStyle w:val="FootnoteReference"/>
          <w:noProof/>
          <w:lang w:val="lv-LV"/>
        </w:rPr>
        <w:t>(</w:t>
      </w:r>
      <w:r w:rsidRPr="001F2BA3">
        <w:rPr>
          <w:rStyle w:val="FootnoteReference"/>
          <w:noProof/>
          <w:lang w:val="lv-LV"/>
        </w:rPr>
        <w:footnoteReference w:id="107"/>
      </w:r>
      <w:r w:rsidRPr="001F2BA3">
        <w:rPr>
          <w:rStyle w:val="FootnoteReference"/>
          <w:noProof/>
          <w:lang w:val="lv-LV"/>
        </w:rPr>
        <w:t>))</w:t>
      </w:r>
      <w:r w:rsidRPr="001F2BA3">
        <w:rPr>
          <w:b/>
          <w:noProof/>
          <w:lang w:val="lv-LV"/>
        </w:rPr>
        <w:t xml:space="preserve"> (Tīmekļa piekļūstamības direktīva)</w:t>
      </w:r>
      <w:r w:rsidRPr="001F2BA3">
        <w:rPr>
          <w:noProof/>
          <w:lang w:val="lv-LV"/>
        </w:rPr>
        <w:t xml:space="preserve"> ir izklāstīti piekļūstamības principi </w:t>
      </w:r>
      <w:r w:rsidRPr="001F2BA3">
        <w:rPr>
          <w:noProof/>
          <w:shd w:val="clear" w:color="auto" w:fill="FFFFFF"/>
          <w:lang w:val="lv-LV"/>
        </w:rPr>
        <w:t xml:space="preserve">publiskā sektora iestāžu tīmekļvietnēm un mobilajām lietojumprogrammām. Minētie principi ir šādi: </w:t>
      </w:r>
    </w:p>
    <w:p w14:paraId="78E3A529" w14:textId="77777777" w:rsidR="001C0943" w:rsidRPr="001F2BA3" w:rsidRDefault="001C0943" w:rsidP="002D36F0">
      <w:pPr>
        <w:pStyle w:val="ListParagraph"/>
        <w:numPr>
          <w:ilvl w:val="0"/>
          <w:numId w:val="11"/>
        </w:numPr>
        <w:rPr>
          <w:noProof/>
          <w:lang w:val="lv-LV"/>
        </w:rPr>
      </w:pPr>
      <w:r w:rsidRPr="001F2BA3">
        <w:rPr>
          <w:noProof/>
          <w:lang w:val="lv-LV"/>
        </w:rPr>
        <w:t xml:space="preserve">informācijai un lietotāja saskarnes sastāvdaļām jābūt pasniedzamām lietotājiem tādā veidā, kādā viņi to var uztvert; </w:t>
      </w:r>
    </w:p>
    <w:p w14:paraId="504418B8" w14:textId="77777777" w:rsidR="001C0943" w:rsidRPr="001F2BA3" w:rsidRDefault="001C0943" w:rsidP="002D36F0">
      <w:pPr>
        <w:pStyle w:val="ListParagraph"/>
        <w:numPr>
          <w:ilvl w:val="0"/>
          <w:numId w:val="11"/>
        </w:numPr>
        <w:rPr>
          <w:noProof/>
          <w:lang w:val="lv-LV"/>
        </w:rPr>
      </w:pPr>
      <w:r w:rsidRPr="001F2BA3">
        <w:rPr>
          <w:noProof/>
          <w:lang w:val="lv-LV"/>
        </w:rPr>
        <w:t>darbināmība, kas nozīmē, ka lietotāja saskarnes sastāvdaļām un navigācijai jābūt darbināmai;</w:t>
      </w:r>
    </w:p>
    <w:p w14:paraId="5F752A60" w14:textId="77777777" w:rsidR="001C0943" w:rsidRPr="001F2BA3" w:rsidRDefault="001C0943" w:rsidP="002D36F0">
      <w:pPr>
        <w:pStyle w:val="ListParagraph"/>
        <w:numPr>
          <w:ilvl w:val="0"/>
          <w:numId w:val="11"/>
        </w:numPr>
        <w:rPr>
          <w:noProof/>
          <w:lang w:val="lv-LV"/>
        </w:rPr>
      </w:pPr>
      <w:r w:rsidRPr="001F2BA3">
        <w:rPr>
          <w:noProof/>
          <w:lang w:val="lv-LV"/>
        </w:rPr>
        <w:t xml:space="preserve">saprotamība, kas nozīmē, ka informācijai un lietotāja saskarnes izmantošanai jābūt saprotamai; un </w:t>
      </w:r>
    </w:p>
    <w:p w14:paraId="28296E95" w14:textId="2A2308CD" w:rsidR="009D22C5" w:rsidRPr="001F2BA3" w:rsidRDefault="001C0943" w:rsidP="002D36F0">
      <w:pPr>
        <w:pStyle w:val="ListParagraph"/>
        <w:numPr>
          <w:ilvl w:val="0"/>
          <w:numId w:val="11"/>
        </w:numPr>
        <w:rPr>
          <w:noProof/>
          <w:lang w:val="lv-LV"/>
        </w:rPr>
      </w:pPr>
      <w:r w:rsidRPr="001F2BA3">
        <w:rPr>
          <w:noProof/>
          <w:lang w:val="lv-LV"/>
        </w:rPr>
        <w:t>robustums, kas nozīmē, ka saturam jābūt pietiekami robustam, lai to varētu droši interpretēt dažādi lietotāji, tostarp palīgtehnoloģijas.</w:t>
      </w:r>
      <w:r w:rsidRPr="001F2BA3">
        <w:rPr>
          <w:rStyle w:val="FootnoteReference"/>
          <w:noProof/>
          <w:lang w:val="lv-LV"/>
        </w:rPr>
        <w:t>(</w:t>
      </w:r>
      <w:r w:rsidRPr="001F2BA3">
        <w:rPr>
          <w:rStyle w:val="FootnoteReference"/>
          <w:noProof/>
          <w:lang w:val="lv-LV"/>
        </w:rPr>
        <w:footnoteReference w:id="108"/>
      </w:r>
      <w:r w:rsidRPr="001F2BA3">
        <w:rPr>
          <w:rStyle w:val="FootnoteReference"/>
          <w:noProof/>
          <w:lang w:val="lv-LV"/>
        </w:rPr>
        <w:t>))</w:t>
      </w:r>
      <w:r w:rsidRPr="001F2BA3">
        <w:rPr>
          <w:noProof/>
          <w:lang w:val="lv-LV"/>
        </w:rPr>
        <w:t xml:space="preserve"> </w:t>
      </w:r>
    </w:p>
    <w:p w14:paraId="3E17BBF7" w14:textId="646CFCCF" w:rsidR="006B4EB8" w:rsidRPr="001F2BA3" w:rsidRDefault="006B4EB8" w:rsidP="00BD1AD5">
      <w:pPr>
        <w:rPr>
          <w:noProof/>
          <w:lang w:val="lv-LV"/>
        </w:rPr>
      </w:pPr>
      <w:r w:rsidRPr="001F2BA3">
        <w:rPr>
          <w:noProof/>
          <w:lang w:val="lv-LV"/>
        </w:rPr>
        <w:t>Direktīvā arī noteikts, ka katrai tīmekļvietnei un mobilajai lietotnei jāsniedz detalizēts, visaptverošs un skaidrs piekļūstamības paziņojums par to, kā tīmekļvietnes un mobilās lietotnes atbilst šīs direktīvas prasībām.</w:t>
      </w:r>
      <w:r w:rsidRPr="001F2BA3">
        <w:rPr>
          <w:noProof/>
          <w:vertAlign w:val="superscript"/>
          <w:lang w:val="lv-LV"/>
        </w:rPr>
        <w:t>(</w:t>
      </w:r>
      <w:r w:rsidRPr="001F2BA3">
        <w:rPr>
          <w:noProof/>
          <w:vertAlign w:val="superscript"/>
          <w:lang w:val="lv-LV"/>
        </w:rPr>
        <w:footnoteReference w:id="109"/>
      </w:r>
      <w:r w:rsidRPr="001F2BA3">
        <w:rPr>
          <w:noProof/>
          <w:vertAlign w:val="superscript"/>
          <w:lang w:val="lv-LV"/>
        </w:rPr>
        <w:t xml:space="preserve">) </w:t>
      </w:r>
      <w:r w:rsidRPr="001F2BA3">
        <w:rPr>
          <w:noProof/>
          <w:lang w:val="lv-LV"/>
        </w:rPr>
        <w:t xml:space="preserve"> </w:t>
      </w:r>
    </w:p>
    <w:p w14:paraId="4B5BFCF7" w14:textId="77777777" w:rsidR="001C0943" w:rsidRPr="001F2BA3" w:rsidRDefault="001C0943" w:rsidP="00B42AEB">
      <w:pPr>
        <w:rPr>
          <w:noProof/>
          <w:lang w:val="lv-LV"/>
        </w:rPr>
      </w:pPr>
      <w:r w:rsidRPr="001F2BA3">
        <w:rPr>
          <w:noProof/>
          <w:lang w:val="lv-LV"/>
        </w:rPr>
        <w:t>Daudzām dalībvalstīm direktīvas pieņemšana nozīmēja jaunu valsts tiesību aktu par tīmekļa piekļūstamību ieviešanu. Ja nebūtu direktīvas, valsts līmeņa pasākumi vien nebūtu sasnieguši ar tīmekļa piekļūstamību saistīto darbību līmeni, tostarp informētības uzlabošanu publiskajā sektorā, kā to apliecina dalībvalstu piekļūstamības uzraudzības ziņojumi.</w:t>
      </w:r>
      <w:r w:rsidRPr="001F2BA3">
        <w:rPr>
          <w:noProof/>
          <w:shd w:val="clear" w:color="auto" w:fill="FFFFFF"/>
          <w:lang w:val="lv-LV"/>
        </w:rPr>
        <w:t xml:space="preserve"> </w:t>
      </w:r>
      <w:r w:rsidRPr="001F2BA3">
        <w:rPr>
          <w:noProof/>
          <w:lang w:val="lv-LV"/>
        </w:rPr>
        <w:t>Tehnoloģiskā progresa pārskats parādīja, ka automatizēti vai efektīvi un viegli īstenojami līdzekļi, kuros izmanto mākslīgo intelektu un mašīnmācīšanos, arvien biežāk tiek izmantoti rīkos, kas nodrošina digitālo piekļuvi, uzlabojot piekļūstamību dažiem satura veidiem, kas pašlaik neietilpst šīs direktīvas darbības jomā.</w:t>
      </w:r>
    </w:p>
    <w:p w14:paraId="23047A6E" w14:textId="20B5A477" w:rsidR="001C0943" w:rsidRPr="001F2BA3" w:rsidRDefault="001C0943" w:rsidP="00B42AEB">
      <w:pPr>
        <w:rPr>
          <w:noProof/>
          <w:shd w:val="clear" w:color="auto" w:fill="FFFFFF"/>
          <w:lang w:val="lv-LV"/>
        </w:rPr>
      </w:pPr>
      <w:r w:rsidRPr="001F2BA3">
        <w:rPr>
          <w:b/>
          <w:noProof/>
          <w:shd w:val="clear" w:color="auto" w:fill="FFFFFF"/>
          <w:lang w:val="lv-LV"/>
        </w:rPr>
        <w:t>Direktīvā 2010/13/ES</w:t>
      </w:r>
      <w:r w:rsidRPr="001F2BA3">
        <w:rPr>
          <w:rStyle w:val="FootnoteReference"/>
          <w:noProof/>
          <w:shd w:val="clear" w:color="auto" w:fill="FFFFFF"/>
          <w:lang w:val="lv-LV"/>
        </w:rPr>
        <w:t>(</w:t>
      </w:r>
      <w:r w:rsidRPr="001F2BA3">
        <w:rPr>
          <w:rStyle w:val="FootnoteReference"/>
          <w:noProof/>
          <w:shd w:val="clear" w:color="auto" w:fill="FFFFFF"/>
          <w:lang w:val="lv-LV"/>
        </w:rPr>
        <w:footnoteReference w:id="110"/>
      </w:r>
      <w:r w:rsidRPr="001F2BA3">
        <w:rPr>
          <w:rStyle w:val="FootnoteReference"/>
          <w:noProof/>
          <w:shd w:val="clear" w:color="auto" w:fill="FFFFFF"/>
          <w:lang w:val="lv-LV"/>
        </w:rPr>
        <w:t>))</w:t>
      </w:r>
      <w:r w:rsidRPr="001F2BA3">
        <w:rPr>
          <w:b/>
          <w:noProof/>
          <w:shd w:val="clear" w:color="auto" w:fill="FFFFFF"/>
          <w:lang w:val="lv-LV"/>
        </w:rPr>
        <w:t xml:space="preserve"> </w:t>
      </w:r>
      <w:r w:rsidRPr="001F2BA3">
        <w:rPr>
          <w:noProof/>
          <w:shd w:val="clear" w:color="auto" w:fill="FFFFFF"/>
          <w:lang w:val="lv-LV"/>
        </w:rPr>
        <w:t xml:space="preserve">ir atzīts, ka tiesības personām ar īpašām vajadzībām un vecāka gadagājuma cilvēkiem piedalīties un integrēties ES sociālajā un kultūras dzīvē ir saistītas ar pieejamu audiovizuālo mediju pakalpojumu sniegšanu. Tādēļ dalībvalstīm nekavējoties ir jānodrošina, lai to jurisdikcijā esošie mediju pakalpojumu sniedzēji aktīvi padarītu saturu pieejamu personām ar invaliditāti, jo īpaši tām personām, kurām ir redzes vai dzirdes traucējumi. Mediju pakalpojumu sniedzējiem ir jāievēro piekļūstamības prasības, īstenojot pakāpenisku un nepārtrauktu procesu, vienlaikus ņemot vērā praktiskos un neizbēgamos ierobežojumus, kas varētu liegt pilnīgu piekļūstamību, piemēram, raidījumus vai pasākumus, kas tiek pārraidīti reāllaikā. </w:t>
      </w:r>
    </w:p>
    <w:p w14:paraId="7DD99A9C" w14:textId="33174B4A" w:rsidR="001C0943" w:rsidRPr="001F2BA3" w:rsidRDefault="001C0943" w:rsidP="00B42AEB">
      <w:pPr>
        <w:rPr>
          <w:noProof/>
          <w:shd w:val="clear" w:color="auto" w:fill="FFFFFF"/>
          <w:lang w:val="lv-LV"/>
        </w:rPr>
      </w:pPr>
      <w:r w:rsidRPr="001F2BA3">
        <w:rPr>
          <w:noProof/>
          <w:shd w:val="clear" w:color="auto" w:fill="FFFFFF"/>
          <w:lang w:val="lv-LV"/>
        </w:rPr>
        <w:t>Lai novērtētu mediju pakalpojumu sniedzēju progresu attiecībā uz pakalpojumu pakāpenisku pieejamību personām ar redzes vai dzirdes traucējumiem, dalībvalstīm ir jāpieprasa, lai to teritorijā reģistrētie mediju pakalpojumu sniedzēji regulāri ziņotu valsts pārvaldes iestādēm.</w:t>
      </w:r>
      <w:r w:rsidRPr="001F2BA3">
        <w:rPr>
          <w:noProof/>
          <w:lang w:val="lv-LV"/>
        </w:rPr>
        <w:t xml:space="preserve"> </w:t>
      </w:r>
      <w:r w:rsidRPr="001F2BA3">
        <w:rPr>
          <w:noProof/>
          <w:shd w:val="clear" w:color="auto" w:fill="FFFFFF"/>
          <w:lang w:val="lv-LV"/>
        </w:rPr>
        <w:t>Dalībvalstīm arī ir jāmudina mediju pakalpojumu sniedzēji izstrādāt piekļūstamības nodrošināšanas rīcības plānus ar mērķi to sniegtos pakalpojumus nepārtraukti un pakāpeniski darīti pieejamākus personām ar invaliditāti. Par šādiem rīcības plāniem informē valstu regulatīvās iestādes vai struktūras. Katra dalībvalsts norīko vienotu, viegli pieejamu, tostarp personām ar invaliditāti, un publiski pieejamu tiešsaistes kontaktpunktu ar mērķi sniegt informāciju un saņemt sūdzības par jebkādām minētajām piekļūstamības problēmām.</w:t>
      </w:r>
    </w:p>
    <w:p w14:paraId="200D4BE8" w14:textId="21227D72" w:rsidR="001C0943" w:rsidRPr="001F2BA3" w:rsidRDefault="001C0943" w:rsidP="00B42AEB">
      <w:pPr>
        <w:rPr>
          <w:noProof/>
          <w:lang w:val="lv-LV"/>
        </w:rPr>
      </w:pPr>
      <w:r w:rsidRPr="001F2BA3">
        <w:rPr>
          <w:b/>
          <w:noProof/>
          <w:lang w:val="lv-LV"/>
        </w:rPr>
        <w:t>Eiropas standarts EN 301 549</w:t>
      </w:r>
      <w:r w:rsidRPr="001F2BA3">
        <w:rPr>
          <w:rStyle w:val="FootnoteReference"/>
          <w:noProof/>
          <w:lang w:val="lv-LV"/>
        </w:rPr>
        <w:t>(</w:t>
      </w:r>
      <w:r w:rsidRPr="001F2BA3">
        <w:rPr>
          <w:rStyle w:val="FootnoteReference"/>
          <w:noProof/>
          <w:lang w:val="lv-LV"/>
        </w:rPr>
        <w:footnoteReference w:id="111"/>
      </w:r>
      <w:r w:rsidRPr="001F2BA3">
        <w:rPr>
          <w:rStyle w:val="FootnoteReference"/>
          <w:noProof/>
          <w:lang w:val="lv-LV"/>
        </w:rPr>
        <w:t>))</w:t>
      </w:r>
      <w:r w:rsidRPr="001F2BA3">
        <w:rPr>
          <w:noProof/>
          <w:lang w:val="lv-LV"/>
        </w:rPr>
        <w:t xml:space="preserve"> nosaka funkcionālās piekļūstamības prasības, kas piemērojamas IKT produktiem un pakalpojumiem, kā arī testēšanas procedūru un novērtēšanas metodikas aprakstu katrai piekļūstamības prasībai tādā formā, kas ir piemērota izmantošanai publiskajos iepirkumos Eiropā. Šis dokuments ir paredzēts lietošanai ar tīmekļa tehnoloģijām, tehnoloģijām, kas nav tīmekļa tehnoloģijas, un hibrīdtehnoloģijām, kurās tiek izmantotas abas šīs tehnoloģijas. Tas attiecas uz programmatūru, aparatūru un pakalpojumiem. Tas ir paredzēts gan pakalpojumu sniedzējiem, gan iepirkumu veicējiem, taču gaidāms, ka tas būs noderīgs arī daudziem citiem.</w:t>
      </w:r>
    </w:p>
    <w:p w14:paraId="3925D93A" w14:textId="72655D4A" w:rsidR="001C0943" w:rsidRPr="001F2BA3" w:rsidRDefault="001C0943" w:rsidP="00B42AEB">
      <w:pPr>
        <w:rPr>
          <w:noProof/>
          <w:lang w:val="lv-LV"/>
        </w:rPr>
      </w:pPr>
      <w:r w:rsidRPr="001F2BA3">
        <w:rPr>
          <w:noProof/>
          <w:lang w:val="lv-LV"/>
        </w:rPr>
        <w:t xml:space="preserve">Tā lielā mērā pamatojas uz </w:t>
      </w:r>
      <w:r w:rsidRPr="001F2BA3">
        <w:rPr>
          <w:i/>
          <w:iCs/>
          <w:noProof/>
          <w:lang w:val="lv-LV"/>
        </w:rPr>
        <w:t>W3C</w:t>
      </w:r>
      <w:r w:rsidRPr="001F2BA3">
        <w:rPr>
          <w:noProof/>
          <w:lang w:val="lv-LV"/>
        </w:rPr>
        <w:t xml:space="preserve"> publicētajām </w:t>
      </w:r>
      <w:hyperlink r:id="rId27" w:history="1">
        <w:r w:rsidRPr="001F2BA3">
          <w:rPr>
            <w:rStyle w:val="Hyperlink"/>
            <w:noProof/>
            <w:lang w:val="lv-LV"/>
          </w:rPr>
          <w:t>Tīmekļa satura piekļūstamības vadlīnijām v2.1</w:t>
        </w:r>
      </w:hyperlink>
      <w:r w:rsidRPr="001F2BA3">
        <w:rPr>
          <w:noProof/>
          <w:lang w:val="lv-LV"/>
        </w:rPr>
        <w:t xml:space="preserve">, kas zināmas kā </w:t>
      </w:r>
      <w:r w:rsidRPr="001F2BA3">
        <w:rPr>
          <w:i/>
          <w:iCs/>
          <w:noProof/>
          <w:lang w:val="lv-LV"/>
        </w:rPr>
        <w:t>WCAG</w:t>
      </w:r>
      <w:r w:rsidRPr="001F2BA3">
        <w:rPr>
          <w:noProof/>
          <w:lang w:val="lv-LV"/>
        </w:rPr>
        <w:t xml:space="preserve"> 2.1. Šīs </w:t>
      </w:r>
      <w:r w:rsidRPr="001F2BA3">
        <w:rPr>
          <w:i/>
          <w:iCs/>
          <w:noProof/>
          <w:lang w:val="lv-LV"/>
        </w:rPr>
        <w:t>WCAG</w:t>
      </w:r>
      <w:r w:rsidRPr="001F2BA3">
        <w:rPr>
          <w:noProof/>
          <w:lang w:val="lv-LV"/>
        </w:rPr>
        <w:t xml:space="preserve"> ir starptautiski atzītas prasības tīmekļa satura veidošanai. Tās tiek uzskatītas par paraugpraksi un tiek plaši izmantotas. Tomēr </w:t>
      </w:r>
      <w:r w:rsidRPr="001F2BA3">
        <w:rPr>
          <w:rStyle w:val="Strong"/>
          <w:noProof/>
          <w:lang w:val="lv-LV"/>
        </w:rPr>
        <w:t xml:space="preserve">gan EN 301 549 v2.1.2, gan v3.2.1 ir iekļautas prasības, kas nav iekļautas </w:t>
      </w:r>
      <w:r w:rsidRPr="001F2BA3">
        <w:rPr>
          <w:rStyle w:val="Strong"/>
          <w:i/>
          <w:iCs/>
          <w:noProof/>
          <w:lang w:val="lv-LV"/>
        </w:rPr>
        <w:t>WCAG</w:t>
      </w:r>
      <w:r w:rsidRPr="001F2BA3">
        <w:rPr>
          <w:rStyle w:val="Strong"/>
          <w:noProof/>
          <w:lang w:val="lv-LV"/>
        </w:rPr>
        <w:t> 2.1 redakcijā</w:t>
      </w:r>
      <w:r w:rsidRPr="001F2BA3">
        <w:rPr>
          <w:noProof/>
          <w:lang w:val="lv-LV"/>
        </w:rPr>
        <w:t>. EN 301 549 ietver arī prasības, kas neattiecas uz Tīmekļa piekļūstamības direktīvu, piemēram, datortehnikas sistēmu piekļūstamības prasības.</w:t>
      </w:r>
      <w:r w:rsidRPr="001F2BA3">
        <w:rPr>
          <w:rStyle w:val="FootnoteReference"/>
          <w:noProof/>
          <w:lang w:val="lv-LV"/>
        </w:rPr>
        <w:t>(</w:t>
      </w:r>
      <w:r w:rsidRPr="001F2BA3">
        <w:rPr>
          <w:rStyle w:val="FootnoteReference"/>
          <w:noProof/>
          <w:lang w:val="lv-LV"/>
        </w:rPr>
        <w:footnoteReference w:id="112"/>
      </w:r>
      <w:r w:rsidRPr="001F2BA3">
        <w:rPr>
          <w:rStyle w:val="FootnoteReference"/>
          <w:noProof/>
          <w:lang w:val="lv-LV"/>
        </w:rPr>
        <w:t>))</w:t>
      </w:r>
    </w:p>
    <w:p w14:paraId="7C0B46A8" w14:textId="2BBCB1C6" w:rsidR="001C0943" w:rsidRPr="001F2BA3" w:rsidRDefault="001C0943" w:rsidP="00B42AEB">
      <w:pPr>
        <w:rPr>
          <w:b/>
          <w:noProof/>
          <w:lang w:val="lv-LV"/>
        </w:rPr>
      </w:pPr>
      <w:r w:rsidRPr="001F2BA3">
        <w:rPr>
          <w:b/>
          <w:noProof/>
          <w:lang w:val="lv-LV"/>
        </w:rPr>
        <w:t>Eiropas Standartā EN 17210</w:t>
      </w:r>
      <w:r w:rsidRPr="001F2BA3">
        <w:rPr>
          <w:rStyle w:val="FootnoteReference"/>
          <w:noProof/>
          <w:lang w:val="lv-LV"/>
        </w:rPr>
        <w:t>(</w:t>
      </w:r>
      <w:r w:rsidRPr="001F2BA3">
        <w:rPr>
          <w:rStyle w:val="FootnoteReference"/>
          <w:noProof/>
          <w:lang w:val="lv-LV"/>
        </w:rPr>
        <w:footnoteReference w:id="113"/>
      </w:r>
      <w:r w:rsidRPr="001F2BA3">
        <w:rPr>
          <w:rStyle w:val="FootnoteReference"/>
          <w:noProof/>
          <w:lang w:val="lv-LV"/>
        </w:rPr>
        <w:t>))</w:t>
      </w:r>
      <w:r w:rsidRPr="001F2BA3">
        <w:rPr>
          <w:noProof/>
          <w:lang w:val="lv-LV"/>
        </w:rPr>
        <w:t xml:space="preserve"> par apbūvētas vides piekļūstamību un izmantojamību ir</w:t>
      </w:r>
      <w:r w:rsidRPr="001F2BA3">
        <w:rPr>
          <w:noProof/>
          <w:shd w:val="clear" w:color="auto" w:fill="FFFFFF"/>
          <w:lang w:val="lv-LV"/>
        </w:rPr>
        <w:t xml:space="preserve"> </w:t>
      </w:r>
      <w:r w:rsidRPr="001F2BA3">
        <w:rPr>
          <w:noProof/>
          <w:lang w:val="lv-LV"/>
        </w:rPr>
        <w:t>aprakstītas pamata, minimālās funkcionālās prasības un ieteikumi pieejamai un lietojamai apbūvētai videi. Tajā ir ievēroti principi “Dizains visiem” / “Universālais dizains”, kas veicina vienlīdzīgu un drošu lietošanu plašam lietotāju lokam, tostarp personām ar invaliditāti. Šīs funkcionālās piekļūstamības un lietojamības prasības un ieteikumi attiecas uz apbūvētas vides, tostarp gājēju ārtelpu un pilsētu teritoriju, projektēšanu, būvniecību, atjaunošanu vai pielāgošanu un uzturēšanu.</w:t>
      </w:r>
    </w:p>
    <w:p w14:paraId="57A28AE6" w14:textId="77777777" w:rsidR="001C0943" w:rsidRPr="001F2BA3" w:rsidRDefault="001C0943" w:rsidP="00B42AEB">
      <w:pPr>
        <w:pStyle w:val="FRABodyText"/>
        <w:spacing w:after="120" w:line="288" w:lineRule="auto"/>
        <w:jc w:val="left"/>
        <w:rPr>
          <w:rFonts w:ascii="Arial" w:hAnsi="Arial" w:cs="Arial"/>
          <w:noProof/>
          <w:sz w:val="24"/>
          <w:lang w:val="lv-LV"/>
        </w:rPr>
      </w:pPr>
      <w:r w:rsidRPr="001F2BA3">
        <w:rPr>
          <w:rFonts w:ascii="Arial" w:hAnsi="Arial"/>
          <w:noProof/>
          <w:sz w:val="24"/>
          <w:lang w:val="lv-LV"/>
        </w:rPr>
        <w:t>Papildu atsauces dokumenti ir:</w:t>
      </w:r>
    </w:p>
    <w:p w14:paraId="11B77ABD" w14:textId="24DFCE49" w:rsidR="001C0943" w:rsidRPr="001F2BA3" w:rsidRDefault="00DE591E" w:rsidP="002D36F0">
      <w:pPr>
        <w:pStyle w:val="FRABodyText"/>
        <w:numPr>
          <w:ilvl w:val="0"/>
          <w:numId w:val="4"/>
        </w:numPr>
        <w:spacing w:after="120" w:line="288" w:lineRule="auto"/>
        <w:jc w:val="left"/>
        <w:rPr>
          <w:rFonts w:ascii="Arial" w:hAnsi="Arial" w:cs="Arial"/>
          <w:noProof/>
          <w:sz w:val="24"/>
          <w:lang w:val="lv-LV"/>
        </w:rPr>
      </w:pPr>
      <w:hyperlink r:id="rId28" w:history="1">
        <w:r w:rsidR="00C32507" w:rsidRPr="001F2BA3">
          <w:rPr>
            <w:rStyle w:val="Hyperlink"/>
            <w:noProof/>
            <w:lang w:val="lv-LV"/>
          </w:rPr>
          <w:t>Komisijas dienestu darba dokumenta novērtējums</w:t>
        </w:r>
      </w:hyperlink>
      <w:r w:rsidR="00C32507" w:rsidRPr="001F2BA3">
        <w:rPr>
          <w:rFonts w:ascii="Arial" w:hAnsi="Arial"/>
          <w:noProof/>
          <w:sz w:val="24"/>
          <w:lang w:val="lv-LV"/>
        </w:rPr>
        <w:t>, Eiropas Parlamenta un Padomes 2016</w:t>
      </w:r>
      <w:r w:rsidR="001F2BA3">
        <w:rPr>
          <w:rFonts w:ascii="Arial" w:hAnsi="Arial"/>
          <w:noProof/>
          <w:sz w:val="24"/>
          <w:lang w:val="lv-LV"/>
        </w:rPr>
        <w:t>. gad</w:t>
      </w:r>
      <w:r w:rsidR="00C32507" w:rsidRPr="001F2BA3">
        <w:rPr>
          <w:rFonts w:ascii="Arial" w:hAnsi="Arial"/>
          <w:noProof/>
          <w:sz w:val="24"/>
          <w:lang w:val="lv-LV"/>
        </w:rPr>
        <w:t>a 26. oktobra Direktīvas (ES) 2016/2102 par publiskā sektora struktūru tīmekļvietņu un mobilo lietotņu piekļūstamību (Tīmekļa piekļūstamības direktīva) piemērošanas pārskats;</w:t>
      </w:r>
    </w:p>
    <w:p w14:paraId="46EC6EB0" w14:textId="5A5C1266" w:rsidR="001C0943" w:rsidRPr="001F2BA3" w:rsidRDefault="00DE591E" w:rsidP="002D36F0">
      <w:pPr>
        <w:pStyle w:val="FRABodyText"/>
        <w:numPr>
          <w:ilvl w:val="0"/>
          <w:numId w:val="4"/>
        </w:numPr>
        <w:spacing w:after="120" w:line="288" w:lineRule="auto"/>
        <w:jc w:val="left"/>
        <w:rPr>
          <w:rFonts w:ascii="Arial" w:hAnsi="Arial" w:cs="Arial"/>
          <w:noProof/>
          <w:sz w:val="24"/>
          <w:lang w:val="lv-LV"/>
        </w:rPr>
      </w:pPr>
      <w:hyperlink r:id="rId29" w:history="1">
        <w:r w:rsidR="00C32507" w:rsidRPr="001F2BA3">
          <w:rPr>
            <w:rStyle w:val="Hyperlink"/>
            <w:noProof/>
            <w:lang w:val="lv-LV"/>
          </w:rPr>
          <w:t>Study underpinning the review of the application of the Web Accessibility Directive</w:t>
        </w:r>
      </w:hyperlink>
      <w:r w:rsidR="00C32507" w:rsidRPr="001F2BA3">
        <w:rPr>
          <w:rFonts w:ascii="Arial" w:hAnsi="Arial"/>
          <w:noProof/>
          <w:sz w:val="24"/>
          <w:lang w:val="lv-LV"/>
        </w:rPr>
        <w:t>;</w:t>
      </w:r>
    </w:p>
    <w:p w14:paraId="775F4175" w14:textId="720500F5" w:rsidR="001C0943" w:rsidRPr="001F2BA3" w:rsidRDefault="00DE591E" w:rsidP="002D36F0">
      <w:pPr>
        <w:pStyle w:val="FRABodyText"/>
        <w:numPr>
          <w:ilvl w:val="0"/>
          <w:numId w:val="4"/>
        </w:numPr>
        <w:spacing w:after="120" w:line="288" w:lineRule="auto"/>
        <w:jc w:val="left"/>
        <w:rPr>
          <w:rFonts w:ascii="Arial" w:hAnsi="Arial" w:cs="Arial"/>
          <w:noProof/>
          <w:sz w:val="24"/>
          <w:lang w:val="lv-LV"/>
        </w:rPr>
      </w:pPr>
      <w:hyperlink r:id="rId30" w:history="1">
        <w:r w:rsidR="00346220" w:rsidRPr="001F2BA3">
          <w:rPr>
            <w:rStyle w:val="Hyperlink"/>
            <w:noProof/>
            <w:lang w:val="lv-LV"/>
          </w:rPr>
          <w:t>Eiropas Ekonomikas un sociālo lietu komiteja</w:t>
        </w:r>
      </w:hyperlink>
      <w:r w:rsidR="00346220" w:rsidRPr="001F2BA3">
        <w:rPr>
          <w:noProof/>
          <w:lang w:val="lv-LV"/>
        </w:rPr>
        <w:t xml:space="preserve">, </w:t>
      </w:r>
      <w:r w:rsidR="00346220" w:rsidRPr="001F2BA3">
        <w:rPr>
          <w:rFonts w:ascii="Arial" w:hAnsi="Arial"/>
          <w:i/>
          <w:noProof/>
          <w:sz w:val="24"/>
          <w:lang w:val="lv-LV"/>
        </w:rPr>
        <w:t>Personu ar invaliditāti reālās tiesības balsot Eiropas Parlamenta vēlēšanās;</w:t>
      </w:r>
    </w:p>
    <w:p w14:paraId="1C5F1872" w14:textId="39142893" w:rsidR="001C0943" w:rsidRPr="001F2BA3" w:rsidRDefault="00DE591E" w:rsidP="002D36F0">
      <w:pPr>
        <w:pStyle w:val="FRABodyText"/>
        <w:numPr>
          <w:ilvl w:val="0"/>
          <w:numId w:val="4"/>
        </w:numPr>
        <w:spacing w:after="120" w:line="288" w:lineRule="auto"/>
        <w:jc w:val="left"/>
        <w:rPr>
          <w:rFonts w:ascii="Arial" w:hAnsi="Arial" w:cs="Arial"/>
          <w:noProof/>
          <w:sz w:val="24"/>
          <w:lang w:val="lv-LV"/>
        </w:rPr>
      </w:pPr>
      <w:hyperlink r:id="rId31" w:history="1">
        <w:r w:rsidR="00C32507" w:rsidRPr="001F2BA3">
          <w:rPr>
            <w:rStyle w:val="Hyperlink"/>
            <w:noProof/>
            <w:lang w:val="lv-LV"/>
          </w:rPr>
          <w:t>European Disability Forum Human Rights report on political participation of persons with disabilities</w:t>
        </w:r>
      </w:hyperlink>
      <w:r w:rsidR="00C32507" w:rsidRPr="001F2BA3">
        <w:rPr>
          <w:rFonts w:ascii="Arial" w:hAnsi="Arial"/>
          <w:noProof/>
          <w:sz w:val="24"/>
          <w:lang w:val="lv-LV"/>
        </w:rPr>
        <w:t>;</w:t>
      </w:r>
    </w:p>
    <w:p w14:paraId="67DF9416" w14:textId="43C97C4E" w:rsidR="00CA27D9" w:rsidRPr="001F2BA3" w:rsidRDefault="00DE591E" w:rsidP="002D36F0">
      <w:pPr>
        <w:pStyle w:val="FRABodyText"/>
        <w:numPr>
          <w:ilvl w:val="0"/>
          <w:numId w:val="4"/>
        </w:numPr>
        <w:spacing w:after="120" w:line="288" w:lineRule="auto"/>
        <w:jc w:val="left"/>
        <w:rPr>
          <w:rFonts w:ascii="Arial" w:hAnsi="Arial" w:cs="Arial"/>
          <w:noProof/>
          <w:sz w:val="24"/>
          <w:lang w:val="lv-LV"/>
        </w:rPr>
      </w:pPr>
      <w:hyperlink r:id="rId32" w:history="1">
        <w:r w:rsidR="00C32507" w:rsidRPr="001F2BA3">
          <w:rPr>
            <w:rStyle w:val="Hyperlink"/>
            <w:noProof/>
            <w:lang w:val="lv-LV"/>
          </w:rPr>
          <w:t>AVA – Accessible Voting Awareness-Raising, ziņojums</w:t>
        </w:r>
      </w:hyperlink>
      <w:r w:rsidR="00C32507" w:rsidRPr="001F2BA3">
        <w:rPr>
          <w:rFonts w:ascii="Arial" w:hAnsi="Arial"/>
          <w:noProof/>
          <w:color w:val="333333"/>
          <w:sz w:val="24"/>
          <w:shd w:val="clear" w:color="auto" w:fill="FFFFFF"/>
          <w:lang w:val="lv-LV"/>
        </w:rPr>
        <w:t xml:space="preserve"> par vēlēšanu piekļūstamības nodrošināšanu neredzīgiem un vājredzīgiem vēlētājiem Eiropā, ko sagatavojusi </w:t>
      </w:r>
      <w:r w:rsidR="00C32507" w:rsidRPr="001F2BA3">
        <w:rPr>
          <w:rFonts w:ascii="Arial" w:hAnsi="Arial"/>
          <w:noProof/>
          <w:sz w:val="24"/>
          <w:lang w:val="lv-LV"/>
        </w:rPr>
        <w:t>Eiropas Neredzīgo savienība</w:t>
      </w:r>
      <w:r w:rsidR="00C32507" w:rsidRPr="001F2BA3">
        <w:rPr>
          <w:rFonts w:ascii="Arial" w:hAnsi="Arial"/>
          <w:noProof/>
          <w:color w:val="333333"/>
          <w:sz w:val="24"/>
          <w:shd w:val="clear" w:color="auto" w:fill="FFFFFF"/>
          <w:lang w:val="lv-LV"/>
        </w:rPr>
        <w:t>.</w:t>
      </w:r>
    </w:p>
    <w:p w14:paraId="47C15215" w14:textId="5878FE66" w:rsidR="001C0943" w:rsidRPr="001F2BA3" w:rsidRDefault="001C0943" w:rsidP="00B42AEB">
      <w:pPr>
        <w:pStyle w:val="Heading1"/>
        <w:rPr>
          <w:noProof/>
          <w:lang w:val="lv-LV"/>
        </w:rPr>
      </w:pPr>
      <w:bookmarkStart w:id="102" w:name="_Toc148718611"/>
      <w:bookmarkStart w:id="103" w:name="_Toc158022345"/>
      <w:r w:rsidRPr="001F2BA3">
        <w:rPr>
          <w:noProof/>
          <w:lang w:val="lv-LV"/>
        </w:rPr>
        <w:t>9. pielikums. Rezultāti, kas gūti 2023</w:t>
      </w:r>
      <w:r w:rsidR="001F2BA3">
        <w:rPr>
          <w:noProof/>
          <w:lang w:val="lv-LV"/>
        </w:rPr>
        <w:t>. gad</w:t>
      </w:r>
      <w:r w:rsidRPr="001F2BA3">
        <w:rPr>
          <w:noProof/>
          <w:lang w:val="lv-LV"/>
        </w:rPr>
        <w:t>a 7. septembrī Komisijas organizētajā mērķgrupā par vēlēšanu piekļūstamības nodrošināšanu personām ar invaliditāti</w:t>
      </w:r>
      <w:bookmarkEnd w:id="102"/>
      <w:bookmarkEnd w:id="103"/>
    </w:p>
    <w:p w14:paraId="5E76C007" w14:textId="64111594" w:rsidR="001C0943" w:rsidRPr="001F2BA3" w:rsidRDefault="001C0943" w:rsidP="00B42AEB">
      <w:pPr>
        <w:rPr>
          <w:noProof/>
          <w:lang w:val="lv-LV"/>
        </w:rPr>
      </w:pPr>
      <w:r w:rsidRPr="001F2BA3">
        <w:rPr>
          <w:noProof/>
          <w:lang w:val="lv-LV"/>
        </w:rPr>
        <w:t>2023</w:t>
      </w:r>
      <w:r w:rsidR="001F2BA3">
        <w:rPr>
          <w:noProof/>
          <w:lang w:val="lv-LV"/>
        </w:rPr>
        <w:t>. gad</w:t>
      </w:r>
      <w:r w:rsidRPr="001F2BA3">
        <w:rPr>
          <w:noProof/>
          <w:lang w:val="lv-LV"/>
        </w:rPr>
        <w:t xml:space="preserve">a 7. septembrī Komisija organizēja mērķgrupu ar ieinteresētajām personām, kas darbojas personu ar invaliditāti tiesību jomā. </w:t>
      </w:r>
    </w:p>
    <w:p w14:paraId="0CB1A290" w14:textId="2051D0E8" w:rsidR="001C0943" w:rsidRPr="001F2BA3" w:rsidRDefault="001C0943" w:rsidP="00B42AEB">
      <w:pPr>
        <w:rPr>
          <w:noProof/>
          <w:lang w:val="lv-LV"/>
        </w:rPr>
      </w:pPr>
      <w:r w:rsidRPr="001F2BA3">
        <w:rPr>
          <w:noProof/>
          <w:lang w:val="lv-LV"/>
        </w:rPr>
        <w:t xml:space="preserve">Tika paustas bažas par personu ar intelektuālās attīstības traucējumiem piekļuvi vēlēšanu procesam un par šajā sakarā veiktajiem testiem. Citi minētie šķēršļi piekļūstamībai bija arī viegli lasāmas informācijas trūkums, atbalsta trūkums vai nepietiekams atbalsts kandidātiem ar invaliditāti un ievēlētajām amatpersonām, tostarp attiecībā uz tulkošanu zīmju valodā, nepietiekamas vēlēšanu amatpersonu mācības par to, kā palīdzēt balsot personām ar invaliditāti, nepieejami vēlēšanu iecirkņi, transporta trūkums uz vēlēšanu iecirkņiem un nepietiekamas alternatīvas balsošanas iespējas vēlēšanu iecirknī. </w:t>
      </w:r>
    </w:p>
    <w:p w14:paraId="15B635DF" w14:textId="77777777" w:rsidR="001C0943" w:rsidRPr="001F2BA3" w:rsidRDefault="001C0943" w:rsidP="00B42AEB">
      <w:pPr>
        <w:rPr>
          <w:noProof/>
          <w:lang w:val="lv-LV"/>
        </w:rPr>
      </w:pPr>
      <w:r w:rsidRPr="001F2BA3">
        <w:rPr>
          <w:noProof/>
          <w:lang w:val="lv-LV"/>
        </w:rPr>
        <w:t xml:space="preserve">Daži dalībnieki uzsvēra, ka izpratnes trūkums par invalīdu tiesībām un piekļūstamību vēlēšanu procesos var radīt gan attieksmes, gan vides šķēršļus, kas var ietekmēt politikas izmaiņas vai iniciatīvas, lai uzlabotu līdzdalības līmeni. Tika minēts, ka vājajai informētībai ir vairāki iemesli, tostarp tas, ka trūkst balsošanas datu ar sīku informāciju par invaliditāti, trūkst mācību vēlēšanu amatpersonām un invaliditātes organizācijas ir maz iesaistītas vēlēšanu prakses reformēšanā. </w:t>
      </w:r>
    </w:p>
    <w:p w14:paraId="0A3D7166" w14:textId="3D2B7931" w:rsidR="001C0943" w:rsidRPr="001F2BA3" w:rsidRDefault="001C0943" w:rsidP="00B42AEB">
      <w:pPr>
        <w:rPr>
          <w:noProof/>
          <w:lang w:val="lv-LV"/>
        </w:rPr>
      </w:pPr>
      <w:r w:rsidRPr="001F2BA3">
        <w:rPr>
          <w:noProof/>
          <w:lang w:val="lv-LV"/>
        </w:rPr>
        <w:t>Tika pieminēti vides šķēršļi, tostarp piekļuves trūkums informācijai un saziņai par vēlēšanām un politiskajām partijām, nepieejami vēlēšanu iecirkņi (gan fiziski, gan citādi) un balsošanas materiāli, nepietiekamas alternatīvas un progresīvas balsošanas metodes, ierobežota palīgtehnoloģiju pieejamība un praktiska un finansiāla atbalsta trūkums personām ar invaliditāti — gan kā vēlētājiem, gan kā kandidātiem. Neviena dalībvalsts nenodrošina īpašu atbalstu kandidātiem ar invaliditāti vai valsts līdzekļus, lai segtu viņu kampaņas izmaksas. Tādējādi finansiālais un loģistikas slogs, kas saistīts ar piekļūstamību, gulstas tikai uz topošo kandidātu pleciem.</w:t>
      </w:r>
    </w:p>
    <w:p w14:paraId="486F628D" w14:textId="4E01E9C5" w:rsidR="00044B98" w:rsidRPr="001F2BA3" w:rsidRDefault="001C0943" w:rsidP="00B42AEB">
      <w:pPr>
        <w:rPr>
          <w:noProof/>
          <w:lang w:val="lv-LV"/>
        </w:rPr>
      </w:pPr>
      <w:r w:rsidRPr="001F2BA3">
        <w:rPr>
          <w:noProof/>
          <w:lang w:val="lv-LV"/>
        </w:rPr>
        <w:t>Ieinteresētās personas minēja arī problēmas, kas saistītas ar valodas vajadzībām, ar kurām saskaras personas ar dzirdes traucējumiem, pildot ievēlēto amatu. Politiskās partijas, valstu parlamenti un Eiropas Parlaments varētu nodrošināt saprātīgus pielāgojumus, tostarp tulkošanas pakalpojumus zīmju valodā.</w:t>
      </w:r>
    </w:p>
    <w:p w14:paraId="76F4C8A7" w14:textId="2D2C020B" w:rsidR="00B83655" w:rsidRPr="001F2BA3" w:rsidRDefault="00B83655" w:rsidP="006F0581">
      <w:pPr>
        <w:pStyle w:val="Heading1"/>
        <w:spacing w:before="360" w:after="240" w:line="288" w:lineRule="auto"/>
        <w:rPr>
          <w:noProof/>
          <w:lang w:val="lv-LV"/>
        </w:rPr>
      </w:pPr>
      <w:bookmarkStart w:id="104" w:name="_Toc158022346"/>
      <w:bookmarkStart w:id="105" w:name="_Toc148718612"/>
      <w:r w:rsidRPr="001F2BA3">
        <w:rPr>
          <w:noProof/>
          <w:lang w:val="lv-LV"/>
        </w:rPr>
        <w:t>10. pielikums. Palīglīdzekļu, pieejamu vēlēšanu kabīņu un vēlēšanu kastu nodrošinājums</w:t>
      </w:r>
      <w:r w:rsidRPr="001F2BA3">
        <w:rPr>
          <w:rStyle w:val="FootnoteReference"/>
          <w:noProof/>
          <w:lang w:val="lv-LV"/>
        </w:rPr>
        <w:t>(</w:t>
      </w:r>
      <w:r w:rsidRPr="001F2BA3">
        <w:rPr>
          <w:rStyle w:val="FootnoteReference"/>
          <w:noProof/>
          <w:lang w:val="lv-LV"/>
        </w:rPr>
        <w:footnoteReference w:id="114"/>
      </w:r>
      <w:r w:rsidRPr="001F2BA3">
        <w:rPr>
          <w:rStyle w:val="FootnoteReference"/>
          <w:noProof/>
          <w:lang w:val="lv-LV"/>
        </w:rPr>
        <w:t>))</w:t>
      </w:r>
      <w:bookmarkEnd w:id="104"/>
      <w:r w:rsidRPr="001F2BA3">
        <w:rPr>
          <w:noProof/>
          <w:lang w:val="lv-LV"/>
        </w:rPr>
        <w:t xml:space="preserve"> </w:t>
      </w:r>
      <w:bookmarkEnd w:id="105"/>
    </w:p>
    <w:tbl>
      <w:tblPr>
        <w:tblStyle w:val="TableGrid"/>
        <w:tblW w:w="4943" w:type="pct"/>
        <w:tblCellMar>
          <w:top w:w="113" w:type="dxa"/>
          <w:bottom w:w="113" w:type="dxa"/>
        </w:tblCellMar>
        <w:tblLook w:val="04A0" w:firstRow="1" w:lastRow="0" w:firstColumn="1" w:lastColumn="0" w:noHBand="0" w:noVBand="1"/>
      </w:tblPr>
      <w:tblGrid>
        <w:gridCol w:w="1671"/>
        <w:gridCol w:w="813"/>
        <w:gridCol w:w="897"/>
        <w:gridCol w:w="745"/>
        <w:gridCol w:w="672"/>
        <w:gridCol w:w="1041"/>
        <w:gridCol w:w="729"/>
        <w:gridCol w:w="985"/>
        <w:gridCol w:w="737"/>
        <w:gridCol w:w="667"/>
      </w:tblGrid>
      <w:tr w:rsidR="00346220" w:rsidRPr="001F2BA3" w14:paraId="6F21094C" w14:textId="77777777" w:rsidTr="00346220">
        <w:trPr>
          <w:trHeight w:val="2286"/>
          <w:tblHeader/>
        </w:trPr>
        <w:tc>
          <w:tcPr>
            <w:tcW w:w="866" w:type="pct"/>
            <w:shd w:val="clear" w:color="auto" w:fill="D9D9D9" w:themeFill="background1" w:themeFillShade="D9"/>
            <w:vAlign w:val="center"/>
          </w:tcPr>
          <w:p w14:paraId="27C2A9B4" w14:textId="118DC80D" w:rsidR="00B83655" w:rsidRPr="001F2BA3" w:rsidRDefault="000559FB" w:rsidP="00ED533D">
            <w:pPr>
              <w:pStyle w:val="Table"/>
              <w:jc w:val="left"/>
              <w:rPr>
                <w:rFonts w:ascii="Arial" w:hAnsi="Arial"/>
                <w:b/>
                <w:noProof/>
                <w:sz w:val="24"/>
                <w:lang w:val="lv-LV"/>
              </w:rPr>
            </w:pPr>
            <w:r w:rsidRPr="001F2BA3">
              <w:rPr>
                <w:rFonts w:ascii="Arial" w:hAnsi="Arial"/>
                <w:b/>
                <w:noProof/>
                <w:sz w:val="24"/>
                <w:lang w:val="lv-LV"/>
              </w:rPr>
              <w:t>Dalībvalsts</w:t>
            </w:r>
          </w:p>
        </w:tc>
        <w:tc>
          <w:tcPr>
            <w:tcW w:w="464" w:type="pct"/>
            <w:shd w:val="clear" w:color="auto" w:fill="D9D9D9" w:themeFill="background1" w:themeFillShade="D9"/>
            <w:textDirection w:val="btLr"/>
            <w:vAlign w:val="center"/>
          </w:tcPr>
          <w:p w14:paraId="71F51BC1" w14:textId="7CB4A0CA" w:rsidR="00B83655" w:rsidRPr="001F2BA3" w:rsidRDefault="00B83655" w:rsidP="006F0581">
            <w:pPr>
              <w:pStyle w:val="Table"/>
              <w:jc w:val="left"/>
              <w:rPr>
                <w:rFonts w:ascii="Arial" w:hAnsi="Arial"/>
                <w:b/>
                <w:noProof/>
                <w:sz w:val="24"/>
                <w:lang w:val="lv-LV"/>
              </w:rPr>
            </w:pPr>
            <w:r w:rsidRPr="001F2BA3">
              <w:rPr>
                <w:rFonts w:ascii="Arial" w:hAnsi="Arial"/>
                <w:b/>
                <w:noProof/>
                <w:sz w:val="24"/>
                <w:lang w:val="lv-LV"/>
              </w:rPr>
              <w:t>Veidnes</w:t>
            </w:r>
            <w:r w:rsidRPr="001F2BA3">
              <w:rPr>
                <w:rStyle w:val="FootnoteReference"/>
                <w:b/>
                <w:noProof/>
                <w:lang w:val="lv-LV"/>
              </w:rPr>
              <w:t>(</w:t>
            </w:r>
            <w:r w:rsidRPr="001F2BA3">
              <w:rPr>
                <w:rStyle w:val="FootnoteReference"/>
                <w:b/>
                <w:noProof/>
                <w:lang w:val="lv-LV"/>
              </w:rPr>
              <w:footnoteReference w:id="115"/>
            </w:r>
            <w:r w:rsidRPr="001F2BA3">
              <w:rPr>
                <w:rStyle w:val="FootnoteReference"/>
                <w:b/>
                <w:noProof/>
                <w:lang w:val="lv-LV"/>
              </w:rPr>
              <w:t>))</w:t>
            </w:r>
          </w:p>
        </w:tc>
        <w:tc>
          <w:tcPr>
            <w:tcW w:w="487" w:type="pct"/>
            <w:shd w:val="clear" w:color="auto" w:fill="D9D9D9" w:themeFill="background1" w:themeFillShade="D9"/>
            <w:textDirection w:val="btLr"/>
            <w:vAlign w:val="center"/>
          </w:tcPr>
          <w:p w14:paraId="6336B23F" w14:textId="578A9B6F" w:rsidR="00B83655" w:rsidRPr="001F2BA3" w:rsidRDefault="00B83655" w:rsidP="006F0581">
            <w:pPr>
              <w:pStyle w:val="Table"/>
              <w:jc w:val="left"/>
              <w:rPr>
                <w:rFonts w:ascii="Arial" w:hAnsi="Arial"/>
                <w:b/>
                <w:noProof/>
                <w:sz w:val="24"/>
                <w:lang w:val="lv-LV"/>
              </w:rPr>
            </w:pPr>
            <w:r w:rsidRPr="001F2BA3">
              <w:rPr>
                <w:rFonts w:ascii="Arial" w:hAnsi="Arial"/>
                <w:b/>
                <w:noProof/>
                <w:sz w:val="24"/>
                <w:lang w:val="lv-LV"/>
              </w:rPr>
              <w:t>Lupas</w:t>
            </w:r>
            <w:r w:rsidRPr="001F2BA3">
              <w:rPr>
                <w:rStyle w:val="FootnoteReference"/>
                <w:b/>
                <w:noProof/>
                <w:lang w:val="lv-LV"/>
              </w:rPr>
              <w:t>(</w:t>
            </w:r>
            <w:r w:rsidRPr="001F2BA3">
              <w:rPr>
                <w:rStyle w:val="FootnoteReference"/>
                <w:b/>
                <w:noProof/>
                <w:lang w:val="lv-LV"/>
              </w:rPr>
              <w:footnoteReference w:id="116"/>
            </w:r>
            <w:r w:rsidRPr="001F2BA3">
              <w:rPr>
                <w:rStyle w:val="FootnoteReference"/>
                <w:b/>
                <w:noProof/>
                <w:lang w:val="lv-LV"/>
              </w:rPr>
              <w:t>))</w:t>
            </w:r>
          </w:p>
        </w:tc>
        <w:tc>
          <w:tcPr>
            <w:tcW w:w="426" w:type="pct"/>
            <w:shd w:val="clear" w:color="auto" w:fill="D9D9D9" w:themeFill="background1" w:themeFillShade="D9"/>
            <w:textDirection w:val="btLr"/>
            <w:vAlign w:val="center"/>
          </w:tcPr>
          <w:p w14:paraId="446113E5" w14:textId="5FB3B934" w:rsidR="00B83655" w:rsidRPr="001F2BA3" w:rsidRDefault="00B83655" w:rsidP="006F0581">
            <w:pPr>
              <w:pStyle w:val="Table"/>
              <w:jc w:val="left"/>
              <w:rPr>
                <w:rFonts w:ascii="Arial" w:hAnsi="Arial"/>
                <w:b/>
                <w:noProof/>
                <w:sz w:val="24"/>
                <w:lang w:val="lv-LV"/>
              </w:rPr>
            </w:pPr>
            <w:r w:rsidRPr="001F2BA3">
              <w:rPr>
                <w:rFonts w:ascii="Arial" w:hAnsi="Arial"/>
                <w:b/>
                <w:noProof/>
                <w:sz w:val="24"/>
                <w:lang w:val="lv-LV"/>
              </w:rPr>
              <w:t>Pienācīgs apgaismojums</w:t>
            </w:r>
            <w:r w:rsidRPr="001F2BA3">
              <w:rPr>
                <w:rStyle w:val="FootnoteReference"/>
                <w:b/>
                <w:noProof/>
                <w:lang w:val="lv-LV"/>
              </w:rPr>
              <w:t>(</w:t>
            </w:r>
            <w:r w:rsidRPr="001F2BA3">
              <w:rPr>
                <w:rStyle w:val="FootnoteReference"/>
                <w:b/>
                <w:noProof/>
                <w:lang w:val="lv-LV"/>
              </w:rPr>
              <w:footnoteReference w:id="117"/>
            </w:r>
            <w:r w:rsidRPr="001F2BA3">
              <w:rPr>
                <w:rStyle w:val="FootnoteReference"/>
                <w:b/>
                <w:noProof/>
                <w:lang w:val="lv-LV"/>
              </w:rPr>
              <w:t>))</w:t>
            </w:r>
          </w:p>
        </w:tc>
        <w:tc>
          <w:tcPr>
            <w:tcW w:w="385" w:type="pct"/>
            <w:shd w:val="clear" w:color="auto" w:fill="D9D9D9" w:themeFill="background1" w:themeFillShade="D9"/>
            <w:textDirection w:val="btLr"/>
            <w:vAlign w:val="center"/>
          </w:tcPr>
          <w:p w14:paraId="5B451F71" w14:textId="376975CA" w:rsidR="00B83655" w:rsidRPr="001F2BA3" w:rsidRDefault="00B83655" w:rsidP="006F0581">
            <w:pPr>
              <w:pStyle w:val="Table"/>
              <w:jc w:val="left"/>
              <w:rPr>
                <w:rFonts w:ascii="Arial" w:hAnsi="Arial"/>
                <w:b/>
                <w:noProof/>
                <w:sz w:val="24"/>
                <w:lang w:val="lv-LV"/>
              </w:rPr>
            </w:pPr>
            <w:r w:rsidRPr="001F2BA3">
              <w:rPr>
                <w:rFonts w:ascii="Arial" w:hAnsi="Arial"/>
                <w:b/>
                <w:noProof/>
                <w:sz w:val="24"/>
                <w:lang w:val="lv-LV"/>
              </w:rPr>
              <w:t>Audioapraksts</w:t>
            </w:r>
            <w:r w:rsidRPr="001F2BA3">
              <w:rPr>
                <w:rStyle w:val="FootnoteReference"/>
                <w:b/>
                <w:noProof/>
                <w:lang w:val="lv-LV"/>
              </w:rPr>
              <w:t>(</w:t>
            </w:r>
            <w:r w:rsidRPr="001F2BA3">
              <w:rPr>
                <w:rStyle w:val="FootnoteReference"/>
                <w:b/>
                <w:noProof/>
                <w:lang w:val="lv-LV"/>
              </w:rPr>
              <w:footnoteReference w:id="118"/>
            </w:r>
            <w:r w:rsidRPr="001F2BA3">
              <w:rPr>
                <w:rStyle w:val="FootnoteReference"/>
                <w:b/>
                <w:noProof/>
                <w:lang w:val="lv-LV"/>
              </w:rPr>
              <w:t>))</w:t>
            </w:r>
          </w:p>
        </w:tc>
        <w:tc>
          <w:tcPr>
            <w:tcW w:w="591" w:type="pct"/>
            <w:shd w:val="clear" w:color="auto" w:fill="D9D9D9" w:themeFill="background1" w:themeFillShade="D9"/>
            <w:textDirection w:val="btLr"/>
            <w:vAlign w:val="center"/>
          </w:tcPr>
          <w:p w14:paraId="05D4176F" w14:textId="77777777" w:rsidR="00B83655" w:rsidRPr="001F2BA3" w:rsidRDefault="00B83655" w:rsidP="006F0581">
            <w:pPr>
              <w:pStyle w:val="Table"/>
              <w:jc w:val="left"/>
              <w:rPr>
                <w:rFonts w:ascii="Arial" w:hAnsi="Arial"/>
                <w:b/>
                <w:noProof/>
                <w:sz w:val="24"/>
                <w:lang w:val="lv-LV"/>
              </w:rPr>
            </w:pPr>
            <w:r w:rsidRPr="001F2BA3">
              <w:rPr>
                <w:rFonts w:ascii="Arial" w:hAnsi="Arial"/>
                <w:b/>
                <w:noProof/>
                <w:sz w:val="24"/>
                <w:lang w:val="lv-LV"/>
              </w:rPr>
              <w:t>Vēlēšanu iecirknī pieejama zīmju valoda</w:t>
            </w:r>
          </w:p>
        </w:tc>
        <w:tc>
          <w:tcPr>
            <w:tcW w:w="417" w:type="pct"/>
            <w:shd w:val="clear" w:color="auto" w:fill="D9D9D9" w:themeFill="background1" w:themeFillShade="D9"/>
            <w:textDirection w:val="btLr"/>
            <w:vAlign w:val="center"/>
          </w:tcPr>
          <w:p w14:paraId="1F90EA0E" w14:textId="20F76569" w:rsidR="00B83655" w:rsidRPr="001F2BA3" w:rsidRDefault="00B83655" w:rsidP="00ED533D">
            <w:pPr>
              <w:pStyle w:val="Table"/>
              <w:jc w:val="left"/>
              <w:rPr>
                <w:rFonts w:ascii="Arial" w:hAnsi="Arial"/>
                <w:b/>
                <w:noProof/>
                <w:sz w:val="24"/>
                <w:lang w:val="lv-LV"/>
              </w:rPr>
            </w:pPr>
            <w:r w:rsidRPr="001F2BA3">
              <w:rPr>
                <w:rFonts w:ascii="Arial" w:hAnsi="Arial"/>
                <w:b/>
                <w:noProof/>
                <w:sz w:val="24"/>
                <w:lang w:val="lv-LV"/>
              </w:rPr>
              <w:t>Lielizmēra izdrukas</w:t>
            </w:r>
            <w:r w:rsidRPr="001F2BA3">
              <w:rPr>
                <w:rStyle w:val="FootnoteReference"/>
                <w:b/>
                <w:noProof/>
                <w:lang w:val="lv-LV"/>
              </w:rPr>
              <w:t>(</w:t>
            </w:r>
            <w:r w:rsidRPr="001F2BA3">
              <w:rPr>
                <w:rStyle w:val="FootnoteReference"/>
                <w:b/>
                <w:noProof/>
                <w:lang w:val="lv-LV"/>
              </w:rPr>
              <w:footnoteReference w:id="119"/>
            </w:r>
            <w:r w:rsidRPr="001F2BA3">
              <w:rPr>
                <w:rStyle w:val="FootnoteReference"/>
                <w:b/>
                <w:noProof/>
                <w:lang w:val="lv-LV"/>
              </w:rPr>
              <w:t>))</w:t>
            </w:r>
          </w:p>
        </w:tc>
        <w:tc>
          <w:tcPr>
            <w:tcW w:w="560" w:type="pct"/>
            <w:shd w:val="clear" w:color="auto" w:fill="D9D9D9" w:themeFill="background1" w:themeFillShade="D9"/>
            <w:textDirection w:val="btLr"/>
            <w:vAlign w:val="center"/>
          </w:tcPr>
          <w:p w14:paraId="156FD648" w14:textId="6B2AC5E4" w:rsidR="00B83655" w:rsidRPr="001F2BA3" w:rsidRDefault="00B83655" w:rsidP="006F0581">
            <w:pPr>
              <w:pStyle w:val="Table"/>
              <w:jc w:val="left"/>
              <w:rPr>
                <w:rFonts w:ascii="Arial" w:hAnsi="Arial"/>
                <w:b/>
                <w:noProof/>
                <w:sz w:val="24"/>
                <w:lang w:val="lv-LV"/>
              </w:rPr>
            </w:pPr>
            <w:r w:rsidRPr="001F2BA3">
              <w:rPr>
                <w:rFonts w:ascii="Arial" w:hAnsi="Arial"/>
                <w:b/>
                <w:noProof/>
                <w:sz w:val="24"/>
                <w:lang w:val="lv-LV"/>
              </w:rPr>
              <w:t>Vēlēšanu zīmes Braila rakstā</w:t>
            </w:r>
            <w:r w:rsidRPr="001F2BA3">
              <w:rPr>
                <w:rStyle w:val="FootnoteReference"/>
                <w:b/>
                <w:noProof/>
                <w:lang w:val="lv-LV"/>
              </w:rPr>
              <w:t>(</w:t>
            </w:r>
            <w:r w:rsidRPr="001F2BA3">
              <w:rPr>
                <w:rStyle w:val="FootnoteReference"/>
                <w:b/>
                <w:noProof/>
                <w:lang w:val="lv-LV"/>
              </w:rPr>
              <w:footnoteReference w:id="120"/>
            </w:r>
            <w:r w:rsidRPr="001F2BA3">
              <w:rPr>
                <w:rStyle w:val="FootnoteReference"/>
                <w:b/>
                <w:noProof/>
                <w:lang w:val="lv-LV"/>
              </w:rPr>
              <w:t>))</w:t>
            </w:r>
          </w:p>
        </w:tc>
        <w:tc>
          <w:tcPr>
            <w:tcW w:w="421" w:type="pct"/>
            <w:shd w:val="clear" w:color="auto" w:fill="D9D9D9" w:themeFill="background1" w:themeFillShade="D9"/>
            <w:textDirection w:val="btLr"/>
            <w:vAlign w:val="center"/>
          </w:tcPr>
          <w:p w14:paraId="7E7C4EA9" w14:textId="74A9F558" w:rsidR="00B83655" w:rsidRPr="001F2BA3" w:rsidRDefault="00B83655" w:rsidP="006F0581">
            <w:pPr>
              <w:pStyle w:val="Table"/>
              <w:jc w:val="left"/>
              <w:rPr>
                <w:rFonts w:ascii="Arial" w:hAnsi="Arial"/>
                <w:b/>
                <w:noProof/>
                <w:sz w:val="24"/>
                <w:lang w:val="lv-LV"/>
              </w:rPr>
            </w:pPr>
            <w:r w:rsidRPr="001F2BA3">
              <w:rPr>
                <w:rFonts w:ascii="Arial" w:hAnsi="Arial"/>
                <w:b/>
                <w:noProof/>
                <w:sz w:val="24"/>
                <w:lang w:val="lv-LV"/>
              </w:rPr>
              <w:t>Pieejamas vēlēšanu kabīnes</w:t>
            </w:r>
            <w:r w:rsidRPr="001F2BA3">
              <w:rPr>
                <w:rStyle w:val="FootnoteReference"/>
                <w:b/>
                <w:noProof/>
                <w:lang w:val="lv-LV"/>
              </w:rPr>
              <w:t>(</w:t>
            </w:r>
            <w:r w:rsidRPr="001F2BA3">
              <w:rPr>
                <w:rStyle w:val="FootnoteReference"/>
                <w:b/>
                <w:noProof/>
                <w:lang w:val="lv-LV"/>
              </w:rPr>
              <w:footnoteReference w:id="121"/>
            </w:r>
            <w:r w:rsidRPr="001F2BA3">
              <w:rPr>
                <w:rStyle w:val="FootnoteReference"/>
                <w:b/>
                <w:noProof/>
                <w:lang w:val="lv-LV"/>
              </w:rPr>
              <w:t>))</w:t>
            </w:r>
          </w:p>
        </w:tc>
        <w:tc>
          <w:tcPr>
            <w:tcW w:w="382" w:type="pct"/>
            <w:shd w:val="clear" w:color="auto" w:fill="D9D9D9" w:themeFill="background1" w:themeFillShade="D9"/>
            <w:textDirection w:val="btLr"/>
            <w:vAlign w:val="center"/>
          </w:tcPr>
          <w:p w14:paraId="01E2A6AE" w14:textId="52BB3EC8" w:rsidR="00B83655" w:rsidRPr="001F2BA3" w:rsidRDefault="00B83655" w:rsidP="006F0581">
            <w:pPr>
              <w:pStyle w:val="Table"/>
              <w:jc w:val="left"/>
              <w:rPr>
                <w:rFonts w:ascii="Arial" w:hAnsi="Arial"/>
                <w:b/>
                <w:noProof/>
                <w:sz w:val="24"/>
                <w:lang w:val="lv-LV"/>
              </w:rPr>
            </w:pPr>
            <w:r w:rsidRPr="001F2BA3">
              <w:rPr>
                <w:rFonts w:ascii="Arial" w:hAnsi="Arial"/>
                <w:b/>
                <w:noProof/>
                <w:sz w:val="24"/>
                <w:lang w:val="lv-LV"/>
              </w:rPr>
              <w:t>Pieejamas vēlēšanu kastes</w:t>
            </w:r>
            <w:r w:rsidRPr="001F2BA3">
              <w:rPr>
                <w:rStyle w:val="FootnoteReference"/>
                <w:b/>
                <w:noProof/>
                <w:lang w:val="lv-LV"/>
              </w:rPr>
              <w:t>(</w:t>
            </w:r>
            <w:r w:rsidRPr="001F2BA3">
              <w:rPr>
                <w:rStyle w:val="FootnoteReference"/>
                <w:b/>
                <w:noProof/>
                <w:lang w:val="lv-LV"/>
              </w:rPr>
              <w:footnoteReference w:id="122"/>
            </w:r>
            <w:r w:rsidRPr="001F2BA3">
              <w:rPr>
                <w:rStyle w:val="FootnoteReference"/>
                <w:b/>
                <w:noProof/>
                <w:lang w:val="lv-LV"/>
              </w:rPr>
              <w:t>))</w:t>
            </w:r>
          </w:p>
        </w:tc>
      </w:tr>
      <w:tr w:rsidR="00346220" w:rsidRPr="001F2BA3" w14:paraId="75C49AFD" w14:textId="77777777" w:rsidTr="00346220">
        <w:trPr>
          <w:trHeight w:val="242"/>
        </w:trPr>
        <w:tc>
          <w:tcPr>
            <w:tcW w:w="866" w:type="pct"/>
          </w:tcPr>
          <w:p w14:paraId="616E8944" w14:textId="5C4C03FE" w:rsidR="00B83655" w:rsidRPr="001F2BA3" w:rsidRDefault="00B83655" w:rsidP="00B42AEB">
            <w:pPr>
              <w:pStyle w:val="Table"/>
              <w:rPr>
                <w:rFonts w:ascii="Arial" w:hAnsi="Arial"/>
                <w:noProof/>
                <w:sz w:val="24"/>
                <w:lang w:val="lv-LV"/>
              </w:rPr>
            </w:pPr>
            <w:r w:rsidRPr="001F2BA3">
              <w:rPr>
                <w:rFonts w:ascii="Arial" w:hAnsi="Arial"/>
                <w:noProof/>
                <w:sz w:val="24"/>
                <w:lang w:val="lv-LV"/>
              </w:rPr>
              <w:t>Austrija</w:t>
            </w:r>
          </w:p>
        </w:tc>
        <w:tc>
          <w:tcPr>
            <w:tcW w:w="464" w:type="pct"/>
            <w:shd w:val="clear" w:color="auto" w:fill="E2EFD9" w:themeFill="accent6" w:themeFillTint="33"/>
          </w:tcPr>
          <w:p w14:paraId="6894F2C2" w14:textId="754A03A8"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487" w:type="pct"/>
            <w:shd w:val="clear" w:color="auto" w:fill="FFF2CC" w:themeFill="accent4" w:themeFillTint="33"/>
          </w:tcPr>
          <w:p w14:paraId="3531DC63" w14:textId="748F4781"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26" w:type="pct"/>
            <w:shd w:val="clear" w:color="auto" w:fill="E2EFD9" w:themeFill="accent6" w:themeFillTint="33"/>
          </w:tcPr>
          <w:p w14:paraId="54E0889F" w14:textId="1B010307"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385" w:type="pct"/>
            <w:shd w:val="clear" w:color="auto" w:fill="FFF2CC" w:themeFill="accent4" w:themeFillTint="33"/>
          </w:tcPr>
          <w:p w14:paraId="44E6209D" w14:textId="07DA37FA"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91" w:type="pct"/>
            <w:shd w:val="clear" w:color="auto" w:fill="FFF2CC" w:themeFill="accent4" w:themeFillTint="33"/>
          </w:tcPr>
          <w:p w14:paraId="4B7E139B" w14:textId="3DCDF727"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17" w:type="pct"/>
            <w:shd w:val="clear" w:color="auto" w:fill="FFF2CC" w:themeFill="accent4" w:themeFillTint="33"/>
          </w:tcPr>
          <w:p w14:paraId="3EC302B7" w14:textId="12FFFDD0"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60" w:type="pct"/>
            <w:shd w:val="clear" w:color="auto" w:fill="FFF2CC" w:themeFill="accent4" w:themeFillTint="33"/>
          </w:tcPr>
          <w:p w14:paraId="5A4C056A" w14:textId="2840E06B"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21" w:type="pct"/>
            <w:shd w:val="clear" w:color="auto" w:fill="E2EFD9" w:themeFill="accent6" w:themeFillTint="33"/>
          </w:tcPr>
          <w:p w14:paraId="317892AB" w14:textId="2DD01B7A"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382" w:type="pct"/>
            <w:shd w:val="clear" w:color="auto" w:fill="E2EFD9" w:themeFill="accent6" w:themeFillTint="33"/>
          </w:tcPr>
          <w:p w14:paraId="799F77D2" w14:textId="5198138C"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r>
      <w:tr w:rsidR="00346220" w:rsidRPr="001F2BA3" w14:paraId="4620C669" w14:textId="77777777" w:rsidTr="00346220">
        <w:trPr>
          <w:trHeight w:val="242"/>
        </w:trPr>
        <w:tc>
          <w:tcPr>
            <w:tcW w:w="866" w:type="pct"/>
          </w:tcPr>
          <w:p w14:paraId="127AC4BD" w14:textId="77BC4391" w:rsidR="00B83655" w:rsidRPr="001F2BA3" w:rsidRDefault="00B83655" w:rsidP="00B42AEB">
            <w:pPr>
              <w:pStyle w:val="Table"/>
              <w:rPr>
                <w:rFonts w:ascii="Arial" w:hAnsi="Arial"/>
                <w:noProof/>
                <w:sz w:val="24"/>
                <w:lang w:val="lv-LV"/>
              </w:rPr>
            </w:pPr>
            <w:r w:rsidRPr="001F2BA3">
              <w:rPr>
                <w:rFonts w:ascii="Arial" w:hAnsi="Arial"/>
                <w:noProof/>
                <w:sz w:val="24"/>
                <w:lang w:val="lv-LV"/>
              </w:rPr>
              <w:t>Beļģija</w:t>
            </w:r>
          </w:p>
        </w:tc>
        <w:tc>
          <w:tcPr>
            <w:tcW w:w="464" w:type="pct"/>
            <w:shd w:val="clear" w:color="auto" w:fill="E2EFD9" w:themeFill="accent6" w:themeFillTint="33"/>
          </w:tcPr>
          <w:p w14:paraId="0ADA3EA3" w14:textId="7E6EBE2C"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487" w:type="pct"/>
            <w:shd w:val="clear" w:color="auto" w:fill="E2EFD9" w:themeFill="accent6" w:themeFillTint="33"/>
          </w:tcPr>
          <w:p w14:paraId="71A19AA0" w14:textId="21325DAD"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426" w:type="pct"/>
            <w:shd w:val="clear" w:color="auto" w:fill="E2EFD9" w:themeFill="accent6" w:themeFillTint="33"/>
          </w:tcPr>
          <w:p w14:paraId="5FB5DACB" w14:textId="567CE22B"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385" w:type="pct"/>
            <w:shd w:val="clear" w:color="auto" w:fill="E2EFD9" w:themeFill="accent6" w:themeFillTint="33"/>
          </w:tcPr>
          <w:p w14:paraId="5E978286" w14:textId="07DC6986" w:rsidR="00B83655" w:rsidRPr="001F2BA3" w:rsidRDefault="00D56964" w:rsidP="00B42AEB">
            <w:pPr>
              <w:pStyle w:val="Table"/>
              <w:rPr>
                <w:rFonts w:ascii="Arial" w:hAnsi="Arial"/>
                <w:noProof/>
                <w:sz w:val="24"/>
                <w:lang w:val="lv-LV"/>
              </w:rPr>
            </w:pPr>
            <w:r w:rsidRPr="001F2BA3">
              <w:rPr>
                <w:rFonts w:ascii="Arial" w:hAnsi="Arial"/>
                <w:noProof/>
                <w:sz w:val="24"/>
                <w:lang w:val="lv-LV"/>
              </w:rPr>
              <w:t xml:space="preserve">Jā </w:t>
            </w:r>
          </w:p>
        </w:tc>
        <w:tc>
          <w:tcPr>
            <w:tcW w:w="591" w:type="pct"/>
            <w:shd w:val="clear" w:color="auto" w:fill="FFF2CC" w:themeFill="accent4" w:themeFillTint="33"/>
          </w:tcPr>
          <w:p w14:paraId="75773448" w14:textId="5DE9CFA5"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17" w:type="pct"/>
            <w:shd w:val="clear" w:color="auto" w:fill="E2EFD9" w:themeFill="accent6" w:themeFillTint="33"/>
          </w:tcPr>
          <w:p w14:paraId="791D93AE" w14:textId="1221D37B"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560" w:type="pct"/>
            <w:shd w:val="clear" w:color="auto" w:fill="FFF2CC" w:themeFill="accent4" w:themeFillTint="33"/>
          </w:tcPr>
          <w:p w14:paraId="7EB77F35" w14:textId="59991AD7"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21" w:type="pct"/>
            <w:shd w:val="clear" w:color="auto" w:fill="E2EFD9" w:themeFill="accent6" w:themeFillTint="33"/>
          </w:tcPr>
          <w:p w14:paraId="6097FDFA" w14:textId="366DBF72"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382" w:type="pct"/>
            <w:shd w:val="clear" w:color="auto" w:fill="E2EFD9" w:themeFill="accent6" w:themeFillTint="33"/>
          </w:tcPr>
          <w:p w14:paraId="41F7450C" w14:textId="2AD4CB52"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r>
      <w:tr w:rsidR="00346220" w:rsidRPr="001F2BA3" w14:paraId="380FF5E9" w14:textId="77777777" w:rsidTr="00346220">
        <w:trPr>
          <w:trHeight w:val="242"/>
        </w:trPr>
        <w:tc>
          <w:tcPr>
            <w:tcW w:w="866" w:type="pct"/>
          </w:tcPr>
          <w:p w14:paraId="726876F1" w14:textId="00A909B6" w:rsidR="00B83655" w:rsidRPr="001F2BA3" w:rsidRDefault="00B83655" w:rsidP="00B42AEB">
            <w:pPr>
              <w:pStyle w:val="Table"/>
              <w:rPr>
                <w:rFonts w:ascii="Arial" w:hAnsi="Arial"/>
                <w:noProof/>
                <w:sz w:val="24"/>
                <w:lang w:val="lv-LV"/>
              </w:rPr>
            </w:pPr>
            <w:r w:rsidRPr="001F2BA3">
              <w:rPr>
                <w:rFonts w:ascii="Arial" w:hAnsi="Arial"/>
                <w:noProof/>
                <w:sz w:val="24"/>
                <w:lang w:val="lv-LV"/>
              </w:rPr>
              <w:t>Bulgārija</w:t>
            </w:r>
          </w:p>
        </w:tc>
        <w:tc>
          <w:tcPr>
            <w:tcW w:w="464" w:type="pct"/>
            <w:shd w:val="clear" w:color="auto" w:fill="FFF2CC" w:themeFill="accent4" w:themeFillTint="33"/>
          </w:tcPr>
          <w:p w14:paraId="2CA802B9" w14:textId="755D8B7A"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87" w:type="pct"/>
            <w:shd w:val="clear" w:color="auto" w:fill="FFF2CC" w:themeFill="accent4" w:themeFillTint="33"/>
          </w:tcPr>
          <w:p w14:paraId="447D40C2" w14:textId="024E1350"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26" w:type="pct"/>
            <w:shd w:val="clear" w:color="auto" w:fill="FFF2CC" w:themeFill="accent4" w:themeFillTint="33"/>
          </w:tcPr>
          <w:p w14:paraId="142A2C3E" w14:textId="3F5C25FC"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385" w:type="pct"/>
            <w:shd w:val="clear" w:color="auto" w:fill="FFF2CC" w:themeFill="accent4" w:themeFillTint="33"/>
          </w:tcPr>
          <w:p w14:paraId="30F0113A" w14:textId="63258E39"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91" w:type="pct"/>
            <w:shd w:val="clear" w:color="auto" w:fill="FFF2CC" w:themeFill="accent4" w:themeFillTint="33"/>
          </w:tcPr>
          <w:p w14:paraId="04D1BB96" w14:textId="27C8E837"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17" w:type="pct"/>
            <w:shd w:val="clear" w:color="auto" w:fill="FFF2CC" w:themeFill="accent4" w:themeFillTint="33"/>
          </w:tcPr>
          <w:p w14:paraId="7D1610FA" w14:textId="3A88157F"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60" w:type="pct"/>
            <w:shd w:val="clear" w:color="auto" w:fill="FFF2CC" w:themeFill="accent4" w:themeFillTint="33"/>
          </w:tcPr>
          <w:p w14:paraId="52963C75" w14:textId="48F97D52"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21" w:type="pct"/>
            <w:shd w:val="clear" w:color="auto" w:fill="E2EFD9" w:themeFill="accent6" w:themeFillTint="33"/>
          </w:tcPr>
          <w:p w14:paraId="689A353C" w14:textId="5AE474C4"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382" w:type="pct"/>
            <w:shd w:val="clear" w:color="auto" w:fill="E2EFD9" w:themeFill="accent6" w:themeFillTint="33"/>
          </w:tcPr>
          <w:p w14:paraId="7EF92BBD" w14:textId="55001113"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r>
      <w:tr w:rsidR="00346220" w:rsidRPr="001F2BA3" w14:paraId="44AAD7BA" w14:textId="77777777" w:rsidTr="00346220">
        <w:trPr>
          <w:trHeight w:val="70"/>
        </w:trPr>
        <w:tc>
          <w:tcPr>
            <w:tcW w:w="866" w:type="pct"/>
          </w:tcPr>
          <w:p w14:paraId="5759B60C" w14:textId="0E4E2131" w:rsidR="00B83655" w:rsidRPr="001F2BA3" w:rsidRDefault="00B83655" w:rsidP="00B42AEB">
            <w:pPr>
              <w:pStyle w:val="Table"/>
              <w:rPr>
                <w:rFonts w:ascii="Arial" w:hAnsi="Arial"/>
                <w:noProof/>
                <w:sz w:val="24"/>
                <w:lang w:val="lv-LV"/>
              </w:rPr>
            </w:pPr>
            <w:r w:rsidRPr="001F2BA3">
              <w:rPr>
                <w:rFonts w:ascii="Arial" w:hAnsi="Arial"/>
                <w:noProof/>
                <w:sz w:val="24"/>
                <w:lang w:val="lv-LV"/>
              </w:rPr>
              <w:t>Kipra</w:t>
            </w:r>
          </w:p>
        </w:tc>
        <w:tc>
          <w:tcPr>
            <w:tcW w:w="464" w:type="pct"/>
            <w:shd w:val="clear" w:color="auto" w:fill="FFF2CC" w:themeFill="accent4" w:themeFillTint="33"/>
          </w:tcPr>
          <w:p w14:paraId="27A9D25D" w14:textId="6CDEA297"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87" w:type="pct"/>
            <w:shd w:val="clear" w:color="auto" w:fill="FFF2CC" w:themeFill="accent4" w:themeFillTint="33"/>
          </w:tcPr>
          <w:p w14:paraId="38F7F1C2" w14:textId="771442C8"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26" w:type="pct"/>
            <w:shd w:val="clear" w:color="auto" w:fill="FFF2CC" w:themeFill="accent4" w:themeFillTint="33"/>
          </w:tcPr>
          <w:p w14:paraId="1B026D41" w14:textId="085080E2"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385" w:type="pct"/>
            <w:shd w:val="clear" w:color="auto" w:fill="FFF2CC" w:themeFill="accent4" w:themeFillTint="33"/>
          </w:tcPr>
          <w:p w14:paraId="47261EEB" w14:textId="595F56E9"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91" w:type="pct"/>
            <w:shd w:val="clear" w:color="auto" w:fill="FFF2CC" w:themeFill="accent4" w:themeFillTint="33"/>
          </w:tcPr>
          <w:p w14:paraId="1C7D0214" w14:textId="4EE0D311"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17" w:type="pct"/>
            <w:shd w:val="clear" w:color="auto" w:fill="E2EFD9" w:themeFill="accent6" w:themeFillTint="33"/>
          </w:tcPr>
          <w:p w14:paraId="02C5718A" w14:textId="3F83EF6F"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560" w:type="pct"/>
            <w:shd w:val="clear" w:color="auto" w:fill="FFF2CC" w:themeFill="accent4" w:themeFillTint="33"/>
          </w:tcPr>
          <w:p w14:paraId="6BA17E6B" w14:textId="107ABF9A"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21" w:type="pct"/>
            <w:shd w:val="clear" w:color="auto" w:fill="E2EFD9" w:themeFill="accent6" w:themeFillTint="33"/>
          </w:tcPr>
          <w:p w14:paraId="2D7BAD0F" w14:textId="6B6059C2"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382" w:type="pct"/>
            <w:shd w:val="clear" w:color="auto" w:fill="E2EFD9" w:themeFill="accent6" w:themeFillTint="33"/>
          </w:tcPr>
          <w:p w14:paraId="7CAAEF4A" w14:textId="0A96C817"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r>
      <w:tr w:rsidR="00346220" w:rsidRPr="001F2BA3" w14:paraId="0050C1FA" w14:textId="77777777" w:rsidTr="00346220">
        <w:trPr>
          <w:trHeight w:val="70"/>
        </w:trPr>
        <w:tc>
          <w:tcPr>
            <w:tcW w:w="866" w:type="pct"/>
          </w:tcPr>
          <w:p w14:paraId="6922DF7F" w14:textId="3A96A9FC" w:rsidR="00B83655" w:rsidRPr="001F2BA3" w:rsidRDefault="00ED533D" w:rsidP="00B42AEB">
            <w:pPr>
              <w:pStyle w:val="Table"/>
              <w:rPr>
                <w:rFonts w:ascii="Arial" w:hAnsi="Arial"/>
                <w:noProof/>
                <w:sz w:val="24"/>
                <w:lang w:val="lv-LV"/>
              </w:rPr>
            </w:pPr>
            <w:r w:rsidRPr="001F2BA3">
              <w:rPr>
                <w:rFonts w:ascii="Arial" w:hAnsi="Arial"/>
                <w:noProof/>
                <w:sz w:val="24"/>
                <w:lang w:val="lv-LV"/>
              </w:rPr>
              <w:t>Čehija</w:t>
            </w:r>
          </w:p>
        </w:tc>
        <w:tc>
          <w:tcPr>
            <w:tcW w:w="464" w:type="pct"/>
            <w:shd w:val="clear" w:color="auto" w:fill="FFF2CC" w:themeFill="accent4" w:themeFillTint="33"/>
          </w:tcPr>
          <w:p w14:paraId="79E4FEAC" w14:textId="585993C6"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87" w:type="pct"/>
            <w:shd w:val="clear" w:color="auto" w:fill="FFF2CC" w:themeFill="accent4" w:themeFillTint="33"/>
          </w:tcPr>
          <w:p w14:paraId="610B1022" w14:textId="78A0176E"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26" w:type="pct"/>
            <w:shd w:val="clear" w:color="auto" w:fill="FFF2CC" w:themeFill="accent4" w:themeFillTint="33"/>
          </w:tcPr>
          <w:p w14:paraId="0076C7BD" w14:textId="6442FEFC"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385" w:type="pct"/>
            <w:shd w:val="clear" w:color="auto" w:fill="E2EFD9" w:themeFill="accent6" w:themeFillTint="33"/>
          </w:tcPr>
          <w:p w14:paraId="67D959E7" w14:textId="2E5FA3E4"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591" w:type="pct"/>
            <w:shd w:val="clear" w:color="auto" w:fill="FFF2CC" w:themeFill="accent4" w:themeFillTint="33"/>
          </w:tcPr>
          <w:p w14:paraId="185ACE42" w14:textId="3580BE5D"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17" w:type="pct"/>
            <w:shd w:val="clear" w:color="auto" w:fill="FFF2CC" w:themeFill="accent4" w:themeFillTint="33"/>
          </w:tcPr>
          <w:p w14:paraId="6EA78906" w14:textId="4794BEE4"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60" w:type="pct"/>
            <w:shd w:val="clear" w:color="auto" w:fill="FFF2CC" w:themeFill="accent4" w:themeFillTint="33"/>
          </w:tcPr>
          <w:p w14:paraId="2C409D39" w14:textId="13D5605D"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21" w:type="pct"/>
            <w:shd w:val="clear" w:color="auto" w:fill="E2EFD9" w:themeFill="accent6" w:themeFillTint="33"/>
          </w:tcPr>
          <w:p w14:paraId="45DC58DE" w14:textId="14472311"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382" w:type="pct"/>
            <w:shd w:val="clear" w:color="auto" w:fill="E2EFD9" w:themeFill="accent6" w:themeFillTint="33"/>
          </w:tcPr>
          <w:p w14:paraId="314A093A" w14:textId="4358F835"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r>
      <w:tr w:rsidR="00346220" w:rsidRPr="001F2BA3" w14:paraId="304B5F33" w14:textId="77777777" w:rsidTr="00346220">
        <w:trPr>
          <w:trHeight w:val="305"/>
        </w:trPr>
        <w:tc>
          <w:tcPr>
            <w:tcW w:w="866" w:type="pct"/>
          </w:tcPr>
          <w:p w14:paraId="352E475F" w14:textId="412DCC14" w:rsidR="00B83655" w:rsidRPr="001F2BA3" w:rsidRDefault="00ED533D" w:rsidP="00B42AEB">
            <w:pPr>
              <w:pStyle w:val="Table"/>
              <w:rPr>
                <w:rFonts w:ascii="Arial" w:hAnsi="Arial"/>
                <w:noProof/>
                <w:sz w:val="24"/>
                <w:lang w:val="lv-LV"/>
              </w:rPr>
            </w:pPr>
            <w:r w:rsidRPr="001F2BA3">
              <w:rPr>
                <w:rFonts w:ascii="Arial" w:hAnsi="Arial"/>
                <w:noProof/>
                <w:sz w:val="24"/>
                <w:lang w:val="lv-LV"/>
              </w:rPr>
              <w:t>Vācija</w:t>
            </w:r>
          </w:p>
        </w:tc>
        <w:tc>
          <w:tcPr>
            <w:tcW w:w="464" w:type="pct"/>
            <w:shd w:val="clear" w:color="auto" w:fill="E2EFD9" w:themeFill="accent6" w:themeFillTint="33"/>
          </w:tcPr>
          <w:p w14:paraId="4B74E027" w14:textId="1F76841C"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487" w:type="pct"/>
            <w:shd w:val="clear" w:color="auto" w:fill="FFF2CC" w:themeFill="accent4" w:themeFillTint="33"/>
          </w:tcPr>
          <w:p w14:paraId="5DC81BD2" w14:textId="246F5B38"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26" w:type="pct"/>
            <w:shd w:val="clear" w:color="auto" w:fill="E2EFD9" w:themeFill="accent6" w:themeFillTint="33"/>
          </w:tcPr>
          <w:p w14:paraId="60E03774" w14:textId="232FD6D0"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385" w:type="pct"/>
            <w:shd w:val="clear" w:color="auto" w:fill="FFF2CC" w:themeFill="accent4" w:themeFillTint="33"/>
          </w:tcPr>
          <w:p w14:paraId="14BC5A20" w14:textId="4B2A88F5"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91" w:type="pct"/>
            <w:shd w:val="clear" w:color="auto" w:fill="E2EFD9" w:themeFill="accent6" w:themeFillTint="33"/>
          </w:tcPr>
          <w:p w14:paraId="18DA3034" w14:textId="1BDE5531"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417" w:type="pct"/>
            <w:shd w:val="clear" w:color="auto" w:fill="FFF2CC" w:themeFill="accent4" w:themeFillTint="33"/>
          </w:tcPr>
          <w:p w14:paraId="057805AC" w14:textId="3D636539"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60" w:type="pct"/>
            <w:shd w:val="clear" w:color="auto" w:fill="FFF2CC" w:themeFill="accent4" w:themeFillTint="33"/>
          </w:tcPr>
          <w:p w14:paraId="687E5599" w14:textId="0E436E92"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21" w:type="pct"/>
            <w:shd w:val="clear" w:color="auto" w:fill="E2EFD9" w:themeFill="accent6" w:themeFillTint="33"/>
          </w:tcPr>
          <w:p w14:paraId="51A6BEAD" w14:textId="5D3EE6DC"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382" w:type="pct"/>
            <w:shd w:val="clear" w:color="auto" w:fill="E2EFD9" w:themeFill="accent6" w:themeFillTint="33"/>
          </w:tcPr>
          <w:p w14:paraId="04EDC280" w14:textId="090E019E"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r>
      <w:tr w:rsidR="00346220" w:rsidRPr="001F2BA3" w14:paraId="508E220C" w14:textId="77777777" w:rsidTr="00346220">
        <w:trPr>
          <w:trHeight w:val="70"/>
        </w:trPr>
        <w:tc>
          <w:tcPr>
            <w:tcW w:w="866" w:type="pct"/>
          </w:tcPr>
          <w:p w14:paraId="568FF1EE" w14:textId="66D63A77" w:rsidR="00B83655" w:rsidRPr="001F2BA3" w:rsidRDefault="00ED533D" w:rsidP="00B42AEB">
            <w:pPr>
              <w:pStyle w:val="Table"/>
              <w:rPr>
                <w:rFonts w:ascii="Arial" w:hAnsi="Arial"/>
                <w:noProof/>
                <w:sz w:val="24"/>
                <w:lang w:val="lv-LV"/>
              </w:rPr>
            </w:pPr>
            <w:r w:rsidRPr="001F2BA3">
              <w:rPr>
                <w:rFonts w:ascii="Arial" w:hAnsi="Arial"/>
                <w:noProof/>
                <w:sz w:val="24"/>
                <w:lang w:val="lv-LV"/>
              </w:rPr>
              <w:t>Dānija</w:t>
            </w:r>
          </w:p>
        </w:tc>
        <w:tc>
          <w:tcPr>
            <w:tcW w:w="464" w:type="pct"/>
            <w:shd w:val="clear" w:color="auto" w:fill="FFF2CC" w:themeFill="accent4" w:themeFillTint="33"/>
          </w:tcPr>
          <w:p w14:paraId="6B411F76" w14:textId="24EF85B7"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87" w:type="pct"/>
            <w:shd w:val="clear" w:color="auto" w:fill="E2EFD9" w:themeFill="accent6" w:themeFillTint="33"/>
          </w:tcPr>
          <w:p w14:paraId="3C60D034" w14:textId="0FFC4511"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426" w:type="pct"/>
            <w:shd w:val="clear" w:color="auto" w:fill="E2EFD9" w:themeFill="accent6" w:themeFillTint="33"/>
          </w:tcPr>
          <w:p w14:paraId="692028BD" w14:textId="7B20DBEC"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385" w:type="pct"/>
            <w:shd w:val="clear" w:color="auto" w:fill="FFF2CC" w:themeFill="accent4" w:themeFillTint="33"/>
          </w:tcPr>
          <w:p w14:paraId="11C7D04D" w14:textId="7FBBA05C"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91" w:type="pct"/>
            <w:shd w:val="clear" w:color="auto" w:fill="FFF2CC" w:themeFill="accent4" w:themeFillTint="33"/>
          </w:tcPr>
          <w:p w14:paraId="398ED431" w14:textId="1BF5BE95"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17" w:type="pct"/>
            <w:shd w:val="clear" w:color="auto" w:fill="FFF2CC" w:themeFill="accent4" w:themeFillTint="33"/>
          </w:tcPr>
          <w:p w14:paraId="376F3AD0" w14:textId="5053001F"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60" w:type="pct"/>
            <w:shd w:val="clear" w:color="auto" w:fill="FFF2CC" w:themeFill="accent4" w:themeFillTint="33"/>
          </w:tcPr>
          <w:p w14:paraId="412FFD54" w14:textId="6395E16A"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21" w:type="pct"/>
            <w:shd w:val="clear" w:color="auto" w:fill="E2EFD9" w:themeFill="accent6" w:themeFillTint="33"/>
          </w:tcPr>
          <w:p w14:paraId="69164918" w14:textId="7B2E5A66"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382" w:type="pct"/>
            <w:shd w:val="clear" w:color="auto" w:fill="E2EFD9" w:themeFill="accent6" w:themeFillTint="33"/>
          </w:tcPr>
          <w:p w14:paraId="16FF05CC" w14:textId="3D0CC485"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r>
      <w:tr w:rsidR="00346220" w:rsidRPr="001F2BA3" w14:paraId="77B97E2A" w14:textId="77777777" w:rsidTr="00346220">
        <w:trPr>
          <w:trHeight w:val="154"/>
        </w:trPr>
        <w:tc>
          <w:tcPr>
            <w:tcW w:w="866" w:type="pct"/>
          </w:tcPr>
          <w:p w14:paraId="77BD1660" w14:textId="4E0CCA5F" w:rsidR="00B83655" w:rsidRPr="001F2BA3" w:rsidRDefault="00ED533D" w:rsidP="00B42AEB">
            <w:pPr>
              <w:pStyle w:val="Table"/>
              <w:rPr>
                <w:rFonts w:ascii="Arial" w:hAnsi="Arial"/>
                <w:noProof/>
                <w:sz w:val="24"/>
                <w:lang w:val="lv-LV"/>
              </w:rPr>
            </w:pPr>
            <w:r w:rsidRPr="001F2BA3">
              <w:rPr>
                <w:rFonts w:ascii="Arial" w:hAnsi="Arial"/>
                <w:noProof/>
                <w:sz w:val="24"/>
                <w:lang w:val="lv-LV"/>
              </w:rPr>
              <w:t>Igaunija</w:t>
            </w:r>
          </w:p>
        </w:tc>
        <w:tc>
          <w:tcPr>
            <w:tcW w:w="464" w:type="pct"/>
            <w:shd w:val="clear" w:color="auto" w:fill="FFF2CC" w:themeFill="accent4" w:themeFillTint="33"/>
          </w:tcPr>
          <w:p w14:paraId="2C104FEC" w14:textId="71F1DDD5"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87" w:type="pct"/>
            <w:shd w:val="clear" w:color="auto" w:fill="E2EFD9" w:themeFill="accent6" w:themeFillTint="33"/>
          </w:tcPr>
          <w:p w14:paraId="08D6CBB5" w14:textId="6AB60417"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426" w:type="pct"/>
            <w:shd w:val="clear" w:color="auto" w:fill="E2EFD9" w:themeFill="accent6" w:themeFillTint="33"/>
          </w:tcPr>
          <w:p w14:paraId="3351905C" w14:textId="04414C04"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385" w:type="pct"/>
            <w:shd w:val="clear" w:color="auto" w:fill="FFF2CC" w:themeFill="accent4" w:themeFillTint="33"/>
          </w:tcPr>
          <w:p w14:paraId="5B1BD656" w14:textId="0FF8A35C"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91" w:type="pct"/>
            <w:shd w:val="clear" w:color="auto" w:fill="E2EFD9" w:themeFill="accent6" w:themeFillTint="33"/>
          </w:tcPr>
          <w:p w14:paraId="55FA94EE" w14:textId="2A03D4BF"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417" w:type="pct"/>
            <w:shd w:val="clear" w:color="auto" w:fill="FFF2CC" w:themeFill="accent4" w:themeFillTint="33"/>
          </w:tcPr>
          <w:p w14:paraId="093059B0" w14:textId="190A78A3"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60" w:type="pct"/>
            <w:shd w:val="clear" w:color="auto" w:fill="FFF2CC" w:themeFill="accent4" w:themeFillTint="33"/>
          </w:tcPr>
          <w:p w14:paraId="1EED65A5" w14:textId="660911E9"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21" w:type="pct"/>
            <w:shd w:val="clear" w:color="auto" w:fill="E2EFD9" w:themeFill="accent6" w:themeFillTint="33"/>
          </w:tcPr>
          <w:p w14:paraId="146120F8" w14:textId="19100061"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382" w:type="pct"/>
            <w:shd w:val="clear" w:color="auto" w:fill="E2EFD9" w:themeFill="accent6" w:themeFillTint="33"/>
          </w:tcPr>
          <w:p w14:paraId="6D3A7C25" w14:textId="009B5B15"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r>
      <w:tr w:rsidR="00346220" w:rsidRPr="001F2BA3" w14:paraId="6113D5DE" w14:textId="77777777" w:rsidTr="00346220">
        <w:trPr>
          <w:trHeight w:val="154"/>
        </w:trPr>
        <w:tc>
          <w:tcPr>
            <w:tcW w:w="866" w:type="pct"/>
          </w:tcPr>
          <w:p w14:paraId="222A12A9" w14:textId="1CF2149B" w:rsidR="00B83655" w:rsidRPr="001F2BA3" w:rsidRDefault="00ED533D" w:rsidP="00B42AEB">
            <w:pPr>
              <w:pStyle w:val="Table"/>
              <w:rPr>
                <w:rFonts w:ascii="Arial" w:hAnsi="Arial"/>
                <w:noProof/>
                <w:sz w:val="24"/>
                <w:lang w:val="lv-LV"/>
              </w:rPr>
            </w:pPr>
            <w:r w:rsidRPr="001F2BA3">
              <w:rPr>
                <w:rFonts w:ascii="Arial" w:hAnsi="Arial"/>
                <w:noProof/>
                <w:sz w:val="24"/>
                <w:lang w:val="lv-LV"/>
              </w:rPr>
              <w:t>Grieķija</w:t>
            </w:r>
          </w:p>
        </w:tc>
        <w:tc>
          <w:tcPr>
            <w:tcW w:w="464" w:type="pct"/>
            <w:shd w:val="clear" w:color="auto" w:fill="FFF2CC" w:themeFill="accent4" w:themeFillTint="33"/>
          </w:tcPr>
          <w:p w14:paraId="431AAB8B" w14:textId="13AF6C05"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87" w:type="pct"/>
            <w:shd w:val="clear" w:color="auto" w:fill="FFF2CC" w:themeFill="accent4" w:themeFillTint="33"/>
          </w:tcPr>
          <w:p w14:paraId="7133DEA4" w14:textId="79930145"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26" w:type="pct"/>
            <w:shd w:val="clear" w:color="auto" w:fill="FFF2CC" w:themeFill="accent4" w:themeFillTint="33"/>
          </w:tcPr>
          <w:p w14:paraId="6DF1300A" w14:textId="217CD13B"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385" w:type="pct"/>
            <w:shd w:val="clear" w:color="auto" w:fill="FFF2CC" w:themeFill="accent4" w:themeFillTint="33"/>
          </w:tcPr>
          <w:p w14:paraId="58CCD037" w14:textId="07E273C1"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91" w:type="pct"/>
            <w:shd w:val="clear" w:color="auto" w:fill="FFF2CC" w:themeFill="accent4" w:themeFillTint="33"/>
          </w:tcPr>
          <w:p w14:paraId="445CAD11" w14:textId="5621C2E9"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17" w:type="pct"/>
            <w:shd w:val="clear" w:color="auto" w:fill="FFF2CC" w:themeFill="accent4" w:themeFillTint="33"/>
          </w:tcPr>
          <w:p w14:paraId="32682BE9" w14:textId="5F88F2FB"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60" w:type="pct"/>
            <w:shd w:val="clear" w:color="auto" w:fill="FFF2CC" w:themeFill="accent4" w:themeFillTint="33"/>
          </w:tcPr>
          <w:p w14:paraId="61694F1A" w14:textId="28C0AC60"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21" w:type="pct"/>
            <w:shd w:val="clear" w:color="auto" w:fill="E2EFD9" w:themeFill="accent6" w:themeFillTint="33"/>
          </w:tcPr>
          <w:p w14:paraId="200C80E6" w14:textId="5A8B6CFB"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382" w:type="pct"/>
            <w:shd w:val="clear" w:color="auto" w:fill="E2EFD9" w:themeFill="accent6" w:themeFillTint="33"/>
          </w:tcPr>
          <w:p w14:paraId="1AB9B2FA" w14:textId="173A7C95"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r>
      <w:tr w:rsidR="00346220" w:rsidRPr="001F2BA3" w14:paraId="45DA51FF" w14:textId="77777777" w:rsidTr="00346220">
        <w:trPr>
          <w:trHeight w:val="154"/>
        </w:trPr>
        <w:tc>
          <w:tcPr>
            <w:tcW w:w="866" w:type="pct"/>
          </w:tcPr>
          <w:p w14:paraId="51009691" w14:textId="0EDCD72D" w:rsidR="001168CE" w:rsidRPr="001F2BA3" w:rsidRDefault="001168CE" w:rsidP="001168CE">
            <w:pPr>
              <w:pStyle w:val="Table"/>
              <w:rPr>
                <w:rFonts w:ascii="Arial" w:hAnsi="Arial"/>
                <w:noProof/>
                <w:sz w:val="24"/>
                <w:lang w:val="lv-LV"/>
              </w:rPr>
            </w:pPr>
            <w:bookmarkStart w:id="106" w:name="_Hlk152587548"/>
            <w:r w:rsidRPr="001F2BA3">
              <w:rPr>
                <w:rFonts w:ascii="Arial" w:hAnsi="Arial"/>
                <w:noProof/>
                <w:sz w:val="24"/>
                <w:lang w:val="lv-LV"/>
              </w:rPr>
              <w:t>Spānija</w:t>
            </w:r>
          </w:p>
        </w:tc>
        <w:tc>
          <w:tcPr>
            <w:tcW w:w="464" w:type="pct"/>
            <w:shd w:val="clear" w:color="auto" w:fill="E2EFD9" w:themeFill="accent6" w:themeFillTint="33"/>
          </w:tcPr>
          <w:p w14:paraId="1E9D0841" w14:textId="1B5E7074"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c>
          <w:tcPr>
            <w:tcW w:w="487" w:type="pct"/>
            <w:shd w:val="clear" w:color="auto" w:fill="E2EFD9" w:themeFill="accent6" w:themeFillTint="33"/>
          </w:tcPr>
          <w:p w14:paraId="09525559" w14:textId="126992F4"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c>
          <w:tcPr>
            <w:tcW w:w="426" w:type="pct"/>
            <w:shd w:val="clear" w:color="auto" w:fill="E2EFD9" w:themeFill="accent6" w:themeFillTint="33"/>
          </w:tcPr>
          <w:p w14:paraId="36A0DF7F" w14:textId="33C95BC4"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c>
          <w:tcPr>
            <w:tcW w:w="385" w:type="pct"/>
            <w:shd w:val="clear" w:color="auto" w:fill="E2EFD9" w:themeFill="accent6" w:themeFillTint="33"/>
          </w:tcPr>
          <w:p w14:paraId="54AACC66" w14:textId="74D7B784"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c>
          <w:tcPr>
            <w:tcW w:w="591" w:type="pct"/>
            <w:shd w:val="clear" w:color="auto" w:fill="E2EFD9" w:themeFill="accent6" w:themeFillTint="33"/>
          </w:tcPr>
          <w:p w14:paraId="377046E9" w14:textId="5D69F896"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c>
          <w:tcPr>
            <w:tcW w:w="417" w:type="pct"/>
            <w:shd w:val="clear" w:color="auto" w:fill="FFF2CC" w:themeFill="accent4" w:themeFillTint="33"/>
          </w:tcPr>
          <w:p w14:paraId="695D3B06" w14:textId="5E981447" w:rsidR="001168CE" w:rsidRPr="001F2BA3" w:rsidRDefault="001168CE" w:rsidP="001168CE">
            <w:pPr>
              <w:pStyle w:val="Table"/>
              <w:rPr>
                <w:rFonts w:ascii="Arial" w:hAnsi="Arial"/>
                <w:noProof/>
                <w:sz w:val="24"/>
                <w:lang w:val="lv-LV"/>
              </w:rPr>
            </w:pPr>
            <w:r w:rsidRPr="001F2BA3">
              <w:rPr>
                <w:rFonts w:ascii="Arial" w:hAnsi="Arial"/>
                <w:noProof/>
                <w:sz w:val="24"/>
                <w:lang w:val="lv-LV"/>
              </w:rPr>
              <w:t>Nē</w:t>
            </w:r>
          </w:p>
        </w:tc>
        <w:tc>
          <w:tcPr>
            <w:tcW w:w="560" w:type="pct"/>
            <w:shd w:val="clear" w:color="auto" w:fill="E2EFD9" w:themeFill="accent6" w:themeFillTint="33"/>
          </w:tcPr>
          <w:p w14:paraId="38AE41FA" w14:textId="5695324B"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c>
          <w:tcPr>
            <w:tcW w:w="421" w:type="pct"/>
            <w:shd w:val="clear" w:color="auto" w:fill="E2EFD9" w:themeFill="accent6" w:themeFillTint="33"/>
          </w:tcPr>
          <w:p w14:paraId="1025E3C6" w14:textId="76C70976"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c>
          <w:tcPr>
            <w:tcW w:w="382" w:type="pct"/>
            <w:shd w:val="clear" w:color="auto" w:fill="E2EFD9" w:themeFill="accent6" w:themeFillTint="33"/>
          </w:tcPr>
          <w:p w14:paraId="189FCF24" w14:textId="6C625C25"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r>
      <w:bookmarkEnd w:id="106"/>
      <w:tr w:rsidR="00346220" w:rsidRPr="001F2BA3" w14:paraId="76153A3B" w14:textId="77777777" w:rsidTr="00346220">
        <w:trPr>
          <w:trHeight w:val="154"/>
        </w:trPr>
        <w:tc>
          <w:tcPr>
            <w:tcW w:w="866" w:type="pct"/>
          </w:tcPr>
          <w:p w14:paraId="63888D22" w14:textId="627291F0" w:rsidR="001168CE" w:rsidRPr="001F2BA3" w:rsidRDefault="001168CE" w:rsidP="001168CE">
            <w:pPr>
              <w:pStyle w:val="Table"/>
              <w:rPr>
                <w:rFonts w:ascii="Arial" w:hAnsi="Arial"/>
                <w:noProof/>
                <w:sz w:val="24"/>
                <w:lang w:val="lv-LV"/>
              </w:rPr>
            </w:pPr>
            <w:r w:rsidRPr="001F2BA3">
              <w:rPr>
                <w:rFonts w:ascii="Arial" w:hAnsi="Arial"/>
                <w:noProof/>
                <w:sz w:val="24"/>
                <w:lang w:val="lv-LV"/>
              </w:rPr>
              <w:t>Somija</w:t>
            </w:r>
          </w:p>
        </w:tc>
        <w:tc>
          <w:tcPr>
            <w:tcW w:w="464" w:type="pct"/>
            <w:shd w:val="clear" w:color="auto" w:fill="E2EFD9" w:themeFill="accent6" w:themeFillTint="33"/>
          </w:tcPr>
          <w:p w14:paraId="089B47F7" w14:textId="0B70F4DD"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c>
          <w:tcPr>
            <w:tcW w:w="487" w:type="pct"/>
            <w:shd w:val="clear" w:color="auto" w:fill="E2EFD9" w:themeFill="accent6" w:themeFillTint="33"/>
          </w:tcPr>
          <w:p w14:paraId="482496D0" w14:textId="1FC6143F"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c>
          <w:tcPr>
            <w:tcW w:w="426" w:type="pct"/>
            <w:shd w:val="clear" w:color="auto" w:fill="E2EFD9" w:themeFill="accent6" w:themeFillTint="33"/>
          </w:tcPr>
          <w:p w14:paraId="3EBA795D" w14:textId="614C96B1"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c>
          <w:tcPr>
            <w:tcW w:w="385" w:type="pct"/>
            <w:shd w:val="clear" w:color="auto" w:fill="FFF2CC" w:themeFill="accent4" w:themeFillTint="33"/>
          </w:tcPr>
          <w:p w14:paraId="12CEA96C" w14:textId="68BA6643" w:rsidR="001168CE" w:rsidRPr="001F2BA3" w:rsidRDefault="001168CE" w:rsidP="001168CE">
            <w:pPr>
              <w:pStyle w:val="Table"/>
              <w:rPr>
                <w:rFonts w:ascii="Arial" w:hAnsi="Arial"/>
                <w:noProof/>
                <w:sz w:val="24"/>
                <w:lang w:val="lv-LV"/>
              </w:rPr>
            </w:pPr>
            <w:r w:rsidRPr="001F2BA3">
              <w:rPr>
                <w:rFonts w:ascii="Arial" w:hAnsi="Arial"/>
                <w:noProof/>
                <w:sz w:val="24"/>
                <w:lang w:val="lv-LV"/>
              </w:rPr>
              <w:t>Nē</w:t>
            </w:r>
          </w:p>
        </w:tc>
        <w:tc>
          <w:tcPr>
            <w:tcW w:w="591" w:type="pct"/>
            <w:shd w:val="clear" w:color="auto" w:fill="FFF2CC" w:themeFill="accent4" w:themeFillTint="33"/>
          </w:tcPr>
          <w:p w14:paraId="1D465666" w14:textId="4BB08BB1" w:rsidR="001168CE" w:rsidRPr="001F2BA3" w:rsidRDefault="001168CE" w:rsidP="001168CE">
            <w:pPr>
              <w:pStyle w:val="Table"/>
              <w:rPr>
                <w:rFonts w:ascii="Arial" w:hAnsi="Arial"/>
                <w:noProof/>
                <w:sz w:val="24"/>
                <w:lang w:val="lv-LV"/>
              </w:rPr>
            </w:pPr>
            <w:r w:rsidRPr="001F2BA3">
              <w:rPr>
                <w:rFonts w:ascii="Arial" w:hAnsi="Arial"/>
                <w:noProof/>
                <w:sz w:val="24"/>
                <w:lang w:val="lv-LV"/>
              </w:rPr>
              <w:t>Nē</w:t>
            </w:r>
          </w:p>
        </w:tc>
        <w:tc>
          <w:tcPr>
            <w:tcW w:w="417" w:type="pct"/>
            <w:shd w:val="clear" w:color="auto" w:fill="FFF2CC" w:themeFill="accent4" w:themeFillTint="33"/>
          </w:tcPr>
          <w:p w14:paraId="2E6D4971" w14:textId="48B706F1" w:rsidR="001168CE" w:rsidRPr="001F2BA3" w:rsidRDefault="001168CE" w:rsidP="001168CE">
            <w:pPr>
              <w:pStyle w:val="Table"/>
              <w:rPr>
                <w:rFonts w:ascii="Arial" w:hAnsi="Arial"/>
                <w:noProof/>
                <w:sz w:val="24"/>
                <w:lang w:val="lv-LV"/>
              </w:rPr>
            </w:pPr>
            <w:r w:rsidRPr="001F2BA3">
              <w:rPr>
                <w:rFonts w:ascii="Arial" w:hAnsi="Arial"/>
                <w:noProof/>
                <w:sz w:val="24"/>
                <w:lang w:val="lv-LV"/>
              </w:rPr>
              <w:t>Nē</w:t>
            </w:r>
          </w:p>
        </w:tc>
        <w:tc>
          <w:tcPr>
            <w:tcW w:w="560" w:type="pct"/>
            <w:shd w:val="clear" w:color="auto" w:fill="FFF2CC" w:themeFill="accent4" w:themeFillTint="33"/>
          </w:tcPr>
          <w:p w14:paraId="31A74B58" w14:textId="7160C29E" w:rsidR="001168CE" w:rsidRPr="001F2BA3" w:rsidRDefault="001168CE" w:rsidP="001168CE">
            <w:pPr>
              <w:pStyle w:val="Table"/>
              <w:rPr>
                <w:rFonts w:ascii="Arial" w:hAnsi="Arial"/>
                <w:noProof/>
                <w:sz w:val="24"/>
                <w:lang w:val="lv-LV"/>
              </w:rPr>
            </w:pPr>
            <w:r w:rsidRPr="001F2BA3">
              <w:rPr>
                <w:rFonts w:ascii="Arial" w:hAnsi="Arial"/>
                <w:noProof/>
                <w:sz w:val="24"/>
                <w:lang w:val="lv-LV"/>
              </w:rPr>
              <w:t>Nē</w:t>
            </w:r>
          </w:p>
        </w:tc>
        <w:tc>
          <w:tcPr>
            <w:tcW w:w="421" w:type="pct"/>
            <w:shd w:val="clear" w:color="auto" w:fill="E2EFD9" w:themeFill="accent6" w:themeFillTint="33"/>
          </w:tcPr>
          <w:p w14:paraId="7A0239E5" w14:textId="2F0648A2"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c>
          <w:tcPr>
            <w:tcW w:w="382" w:type="pct"/>
            <w:shd w:val="clear" w:color="auto" w:fill="E2EFD9" w:themeFill="accent6" w:themeFillTint="33"/>
          </w:tcPr>
          <w:p w14:paraId="4273F89B" w14:textId="3FBCF405"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r>
      <w:tr w:rsidR="00346220" w:rsidRPr="001F2BA3" w14:paraId="0F2F6156" w14:textId="77777777" w:rsidTr="00346220">
        <w:trPr>
          <w:trHeight w:val="154"/>
        </w:trPr>
        <w:tc>
          <w:tcPr>
            <w:tcW w:w="866" w:type="pct"/>
          </w:tcPr>
          <w:p w14:paraId="2767E72A" w14:textId="17E72207" w:rsidR="001168CE" w:rsidRPr="001F2BA3" w:rsidRDefault="001168CE" w:rsidP="001168CE">
            <w:pPr>
              <w:pStyle w:val="Table"/>
              <w:rPr>
                <w:rFonts w:ascii="Arial" w:hAnsi="Arial"/>
                <w:noProof/>
                <w:sz w:val="24"/>
                <w:lang w:val="lv-LV"/>
              </w:rPr>
            </w:pPr>
            <w:r w:rsidRPr="001F2BA3">
              <w:rPr>
                <w:rFonts w:ascii="Arial" w:hAnsi="Arial"/>
                <w:noProof/>
                <w:sz w:val="24"/>
                <w:lang w:val="lv-LV"/>
              </w:rPr>
              <w:t>Francija</w:t>
            </w:r>
          </w:p>
        </w:tc>
        <w:tc>
          <w:tcPr>
            <w:tcW w:w="464" w:type="pct"/>
            <w:shd w:val="clear" w:color="auto" w:fill="FFF2CC" w:themeFill="accent4" w:themeFillTint="33"/>
          </w:tcPr>
          <w:p w14:paraId="581C084E" w14:textId="1B5150F4" w:rsidR="001168CE" w:rsidRPr="001F2BA3" w:rsidRDefault="001168CE" w:rsidP="001168CE">
            <w:pPr>
              <w:pStyle w:val="Table"/>
              <w:rPr>
                <w:rFonts w:ascii="Arial" w:hAnsi="Arial"/>
                <w:noProof/>
                <w:sz w:val="24"/>
                <w:lang w:val="lv-LV"/>
              </w:rPr>
            </w:pPr>
            <w:r w:rsidRPr="001F2BA3">
              <w:rPr>
                <w:rFonts w:ascii="Arial" w:hAnsi="Arial"/>
                <w:noProof/>
                <w:sz w:val="24"/>
                <w:lang w:val="lv-LV"/>
              </w:rPr>
              <w:t>Nē</w:t>
            </w:r>
          </w:p>
        </w:tc>
        <w:tc>
          <w:tcPr>
            <w:tcW w:w="487" w:type="pct"/>
            <w:shd w:val="clear" w:color="auto" w:fill="FFF2CC" w:themeFill="accent4" w:themeFillTint="33"/>
          </w:tcPr>
          <w:p w14:paraId="46776E34" w14:textId="792D1B17" w:rsidR="001168CE" w:rsidRPr="001F2BA3" w:rsidRDefault="001168CE" w:rsidP="001168CE">
            <w:pPr>
              <w:pStyle w:val="Table"/>
              <w:rPr>
                <w:rFonts w:ascii="Arial" w:hAnsi="Arial"/>
                <w:noProof/>
                <w:sz w:val="24"/>
                <w:lang w:val="lv-LV"/>
              </w:rPr>
            </w:pPr>
            <w:r w:rsidRPr="001F2BA3">
              <w:rPr>
                <w:rFonts w:ascii="Arial" w:hAnsi="Arial"/>
                <w:noProof/>
                <w:sz w:val="24"/>
                <w:lang w:val="lv-LV"/>
              </w:rPr>
              <w:t>Nē</w:t>
            </w:r>
          </w:p>
        </w:tc>
        <w:tc>
          <w:tcPr>
            <w:tcW w:w="426" w:type="pct"/>
            <w:shd w:val="clear" w:color="auto" w:fill="E2EFD9" w:themeFill="accent6" w:themeFillTint="33"/>
          </w:tcPr>
          <w:p w14:paraId="6ECBA0DF" w14:textId="09385FA2"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c>
          <w:tcPr>
            <w:tcW w:w="385" w:type="pct"/>
            <w:shd w:val="clear" w:color="auto" w:fill="E2EFD9" w:themeFill="accent6" w:themeFillTint="33"/>
          </w:tcPr>
          <w:p w14:paraId="14E77F01" w14:textId="3829BC1B"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c>
          <w:tcPr>
            <w:tcW w:w="591" w:type="pct"/>
            <w:shd w:val="clear" w:color="auto" w:fill="FFF2CC" w:themeFill="accent4" w:themeFillTint="33"/>
          </w:tcPr>
          <w:p w14:paraId="100003BC" w14:textId="76610847" w:rsidR="001168CE" w:rsidRPr="001F2BA3" w:rsidRDefault="001168CE" w:rsidP="001168CE">
            <w:pPr>
              <w:pStyle w:val="Table"/>
              <w:rPr>
                <w:rFonts w:ascii="Arial" w:hAnsi="Arial"/>
                <w:noProof/>
                <w:sz w:val="24"/>
                <w:lang w:val="lv-LV"/>
              </w:rPr>
            </w:pPr>
            <w:r w:rsidRPr="001F2BA3">
              <w:rPr>
                <w:rFonts w:ascii="Arial" w:hAnsi="Arial"/>
                <w:noProof/>
                <w:sz w:val="24"/>
                <w:lang w:val="lv-LV"/>
              </w:rPr>
              <w:t>Nē</w:t>
            </w:r>
          </w:p>
        </w:tc>
        <w:tc>
          <w:tcPr>
            <w:tcW w:w="417" w:type="pct"/>
            <w:shd w:val="clear" w:color="auto" w:fill="E2EFD9" w:themeFill="accent6" w:themeFillTint="33"/>
          </w:tcPr>
          <w:p w14:paraId="6B9C09E1" w14:textId="0D036B23"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c>
          <w:tcPr>
            <w:tcW w:w="560" w:type="pct"/>
            <w:shd w:val="clear" w:color="auto" w:fill="FFF2CC" w:themeFill="accent4" w:themeFillTint="33"/>
          </w:tcPr>
          <w:p w14:paraId="5C33DA9F" w14:textId="01912D48" w:rsidR="001168CE" w:rsidRPr="001F2BA3" w:rsidRDefault="001168CE" w:rsidP="001168CE">
            <w:pPr>
              <w:pStyle w:val="Table"/>
              <w:rPr>
                <w:rFonts w:ascii="Arial" w:hAnsi="Arial"/>
                <w:noProof/>
                <w:sz w:val="24"/>
                <w:lang w:val="lv-LV"/>
              </w:rPr>
            </w:pPr>
            <w:r w:rsidRPr="001F2BA3">
              <w:rPr>
                <w:rFonts w:ascii="Arial" w:hAnsi="Arial"/>
                <w:noProof/>
                <w:sz w:val="24"/>
                <w:lang w:val="lv-LV"/>
              </w:rPr>
              <w:t>Nē</w:t>
            </w:r>
          </w:p>
        </w:tc>
        <w:tc>
          <w:tcPr>
            <w:tcW w:w="421" w:type="pct"/>
            <w:shd w:val="clear" w:color="auto" w:fill="E2EFD9" w:themeFill="accent6" w:themeFillTint="33"/>
          </w:tcPr>
          <w:p w14:paraId="4C56F687" w14:textId="19DA1D6A"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c>
          <w:tcPr>
            <w:tcW w:w="382" w:type="pct"/>
            <w:shd w:val="clear" w:color="auto" w:fill="E2EFD9" w:themeFill="accent6" w:themeFillTint="33"/>
          </w:tcPr>
          <w:p w14:paraId="3F3C810B" w14:textId="2D7B6BC2"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r>
      <w:tr w:rsidR="00346220" w:rsidRPr="001F2BA3" w14:paraId="4F388F78" w14:textId="77777777" w:rsidTr="00346220">
        <w:trPr>
          <w:trHeight w:val="154"/>
        </w:trPr>
        <w:tc>
          <w:tcPr>
            <w:tcW w:w="866" w:type="pct"/>
          </w:tcPr>
          <w:p w14:paraId="27B5C7A8" w14:textId="401AF514" w:rsidR="001168CE" w:rsidRPr="001F2BA3" w:rsidRDefault="001168CE" w:rsidP="001168CE">
            <w:pPr>
              <w:pStyle w:val="Table"/>
              <w:rPr>
                <w:rFonts w:ascii="Arial" w:hAnsi="Arial"/>
                <w:noProof/>
                <w:sz w:val="24"/>
                <w:lang w:val="lv-LV"/>
              </w:rPr>
            </w:pPr>
            <w:r w:rsidRPr="001F2BA3">
              <w:rPr>
                <w:rFonts w:ascii="Arial" w:hAnsi="Arial"/>
                <w:noProof/>
                <w:sz w:val="24"/>
                <w:lang w:val="lv-LV"/>
              </w:rPr>
              <w:t>Horvātija</w:t>
            </w:r>
          </w:p>
        </w:tc>
        <w:tc>
          <w:tcPr>
            <w:tcW w:w="464" w:type="pct"/>
            <w:shd w:val="clear" w:color="auto" w:fill="E2EFD9" w:themeFill="accent6" w:themeFillTint="33"/>
          </w:tcPr>
          <w:p w14:paraId="03B94057" w14:textId="58C0B0F0"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c>
          <w:tcPr>
            <w:tcW w:w="487" w:type="pct"/>
            <w:shd w:val="clear" w:color="auto" w:fill="FFF2CC" w:themeFill="accent4" w:themeFillTint="33"/>
          </w:tcPr>
          <w:p w14:paraId="74E607F1" w14:textId="6C81EA3C" w:rsidR="001168CE" w:rsidRPr="001F2BA3" w:rsidRDefault="001168CE" w:rsidP="001168CE">
            <w:pPr>
              <w:pStyle w:val="Table"/>
              <w:rPr>
                <w:rFonts w:ascii="Arial" w:hAnsi="Arial"/>
                <w:noProof/>
                <w:sz w:val="24"/>
                <w:lang w:val="lv-LV"/>
              </w:rPr>
            </w:pPr>
            <w:r w:rsidRPr="001F2BA3">
              <w:rPr>
                <w:rFonts w:ascii="Arial" w:hAnsi="Arial"/>
                <w:noProof/>
                <w:sz w:val="24"/>
                <w:lang w:val="lv-LV"/>
              </w:rPr>
              <w:t>Nē</w:t>
            </w:r>
          </w:p>
        </w:tc>
        <w:tc>
          <w:tcPr>
            <w:tcW w:w="426" w:type="pct"/>
            <w:shd w:val="clear" w:color="auto" w:fill="E2EFD9" w:themeFill="accent6" w:themeFillTint="33"/>
          </w:tcPr>
          <w:p w14:paraId="37CBAD8D" w14:textId="7BB97ED5"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c>
          <w:tcPr>
            <w:tcW w:w="385" w:type="pct"/>
            <w:shd w:val="clear" w:color="auto" w:fill="E2EFD9" w:themeFill="accent6" w:themeFillTint="33"/>
          </w:tcPr>
          <w:p w14:paraId="1BCDBD96" w14:textId="3E0072E0"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c>
          <w:tcPr>
            <w:tcW w:w="591" w:type="pct"/>
            <w:shd w:val="clear" w:color="auto" w:fill="E2EFD9" w:themeFill="accent6" w:themeFillTint="33"/>
          </w:tcPr>
          <w:p w14:paraId="3EEEE248" w14:textId="70518566"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c>
          <w:tcPr>
            <w:tcW w:w="417" w:type="pct"/>
            <w:shd w:val="clear" w:color="auto" w:fill="FFF2CC" w:themeFill="accent4" w:themeFillTint="33"/>
          </w:tcPr>
          <w:p w14:paraId="6D6BC63C" w14:textId="67F98C50" w:rsidR="001168CE" w:rsidRPr="001F2BA3" w:rsidRDefault="001168CE" w:rsidP="001168CE">
            <w:pPr>
              <w:pStyle w:val="Table"/>
              <w:rPr>
                <w:rFonts w:ascii="Arial" w:hAnsi="Arial"/>
                <w:noProof/>
                <w:sz w:val="24"/>
                <w:lang w:val="lv-LV"/>
              </w:rPr>
            </w:pPr>
            <w:r w:rsidRPr="001F2BA3">
              <w:rPr>
                <w:rFonts w:ascii="Arial" w:hAnsi="Arial"/>
                <w:noProof/>
                <w:sz w:val="24"/>
                <w:lang w:val="lv-LV"/>
              </w:rPr>
              <w:t>Nē</w:t>
            </w:r>
          </w:p>
        </w:tc>
        <w:tc>
          <w:tcPr>
            <w:tcW w:w="560" w:type="pct"/>
            <w:shd w:val="clear" w:color="auto" w:fill="FFF2CC" w:themeFill="accent4" w:themeFillTint="33"/>
          </w:tcPr>
          <w:p w14:paraId="5AA0E315" w14:textId="7A0CCE01" w:rsidR="001168CE" w:rsidRPr="001F2BA3" w:rsidRDefault="001168CE" w:rsidP="001168CE">
            <w:pPr>
              <w:pStyle w:val="Table"/>
              <w:rPr>
                <w:rFonts w:ascii="Arial" w:hAnsi="Arial"/>
                <w:noProof/>
                <w:sz w:val="24"/>
                <w:lang w:val="lv-LV"/>
              </w:rPr>
            </w:pPr>
            <w:r w:rsidRPr="001F2BA3">
              <w:rPr>
                <w:rFonts w:ascii="Arial" w:hAnsi="Arial"/>
                <w:noProof/>
                <w:sz w:val="24"/>
                <w:lang w:val="lv-LV"/>
              </w:rPr>
              <w:t>Nē</w:t>
            </w:r>
          </w:p>
        </w:tc>
        <w:tc>
          <w:tcPr>
            <w:tcW w:w="421" w:type="pct"/>
            <w:shd w:val="clear" w:color="auto" w:fill="E2EFD9" w:themeFill="accent6" w:themeFillTint="33"/>
          </w:tcPr>
          <w:p w14:paraId="69347D0F" w14:textId="3F579F51"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c>
          <w:tcPr>
            <w:tcW w:w="382" w:type="pct"/>
            <w:shd w:val="clear" w:color="auto" w:fill="E2EFD9" w:themeFill="accent6" w:themeFillTint="33"/>
          </w:tcPr>
          <w:p w14:paraId="1DAE9FE3" w14:textId="33DF90C9"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r>
      <w:tr w:rsidR="00346220" w:rsidRPr="001F2BA3" w14:paraId="0CBA1BB1" w14:textId="77777777" w:rsidTr="00346220">
        <w:trPr>
          <w:trHeight w:val="154"/>
        </w:trPr>
        <w:tc>
          <w:tcPr>
            <w:tcW w:w="866" w:type="pct"/>
          </w:tcPr>
          <w:p w14:paraId="47E4DDCA" w14:textId="79F1DD7E" w:rsidR="001168CE" w:rsidRPr="001F2BA3" w:rsidRDefault="001168CE" w:rsidP="001168CE">
            <w:pPr>
              <w:pStyle w:val="Table"/>
              <w:rPr>
                <w:rFonts w:ascii="Arial" w:hAnsi="Arial"/>
                <w:noProof/>
                <w:sz w:val="24"/>
                <w:lang w:val="lv-LV"/>
              </w:rPr>
            </w:pPr>
            <w:r w:rsidRPr="001F2BA3">
              <w:rPr>
                <w:rFonts w:ascii="Arial" w:hAnsi="Arial"/>
                <w:noProof/>
                <w:sz w:val="24"/>
                <w:lang w:val="lv-LV"/>
              </w:rPr>
              <w:t>Ungārija</w:t>
            </w:r>
          </w:p>
        </w:tc>
        <w:tc>
          <w:tcPr>
            <w:tcW w:w="464" w:type="pct"/>
            <w:shd w:val="clear" w:color="auto" w:fill="E2EFD9" w:themeFill="accent6" w:themeFillTint="33"/>
          </w:tcPr>
          <w:p w14:paraId="321D5724" w14:textId="139164AA"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c>
          <w:tcPr>
            <w:tcW w:w="487" w:type="pct"/>
            <w:shd w:val="clear" w:color="auto" w:fill="FFF2CC" w:themeFill="accent4" w:themeFillTint="33"/>
          </w:tcPr>
          <w:p w14:paraId="2AA4C1DE" w14:textId="5B7AA663" w:rsidR="001168CE" w:rsidRPr="001F2BA3" w:rsidRDefault="001168CE" w:rsidP="001168CE">
            <w:pPr>
              <w:pStyle w:val="Table"/>
              <w:rPr>
                <w:rFonts w:ascii="Arial" w:hAnsi="Arial"/>
                <w:noProof/>
                <w:sz w:val="24"/>
                <w:lang w:val="lv-LV"/>
              </w:rPr>
            </w:pPr>
            <w:r w:rsidRPr="001F2BA3">
              <w:rPr>
                <w:rFonts w:ascii="Arial" w:hAnsi="Arial"/>
                <w:noProof/>
                <w:sz w:val="24"/>
                <w:lang w:val="lv-LV"/>
              </w:rPr>
              <w:t>Nē</w:t>
            </w:r>
          </w:p>
        </w:tc>
        <w:tc>
          <w:tcPr>
            <w:tcW w:w="426" w:type="pct"/>
            <w:shd w:val="clear" w:color="auto" w:fill="FFF2CC" w:themeFill="accent4" w:themeFillTint="33"/>
          </w:tcPr>
          <w:p w14:paraId="0DAE278F" w14:textId="4E7E066C" w:rsidR="001168CE" w:rsidRPr="001F2BA3" w:rsidRDefault="001168CE" w:rsidP="001168CE">
            <w:pPr>
              <w:pStyle w:val="Table"/>
              <w:rPr>
                <w:rFonts w:ascii="Arial" w:hAnsi="Arial"/>
                <w:noProof/>
                <w:sz w:val="24"/>
                <w:lang w:val="lv-LV"/>
              </w:rPr>
            </w:pPr>
            <w:r w:rsidRPr="001F2BA3">
              <w:rPr>
                <w:rFonts w:ascii="Arial" w:hAnsi="Arial"/>
                <w:noProof/>
                <w:sz w:val="24"/>
                <w:lang w:val="lv-LV"/>
              </w:rPr>
              <w:t>Nē</w:t>
            </w:r>
          </w:p>
        </w:tc>
        <w:tc>
          <w:tcPr>
            <w:tcW w:w="385" w:type="pct"/>
            <w:shd w:val="clear" w:color="auto" w:fill="FFF2CC" w:themeFill="accent4" w:themeFillTint="33"/>
          </w:tcPr>
          <w:p w14:paraId="6D305E7B" w14:textId="6C85E0B7" w:rsidR="001168CE" w:rsidRPr="001F2BA3" w:rsidRDefault="001168CE" w:rsidP="001168CE">
            <w:pPr>
              <w:pStyle w:val="Table"/>
              <w:rPr>
                <w:rFonts w:ascii="Arial" w:hAnsi="Arial"/>
                <w:noProof/>
                <w:sz w:val="24"/>
                <w:lang w:val="lv-LV"/>
              </w:rPr>
            </w:pPr>
            <w:r w:rsidRPr="001F2BA3">
              <w:rPr>
                <w:rFonts w:ascii="Arial" w:hAnsi="Arial"/>
                <w:noProof/>
                <w:sz w:val="24"/>
                <w:lang w:val="lv-LV"/>
              </w:rPr>
              <w:t>Nē</w:t>
            </w:r>
          </w:p>
        </w:tc>
        <w:tc>
          <w:tcPr>
            <w:tcW w:w="591" w:type="pct"/>
            <w:shd w:val="clear" w:color="auto" w:fill="FFF2CC" w:themeFill="accent4" w:themeFillTint="33"/>
          </w:tcPr>
          <w:p w14:paraId="73A58419" w14:textId="20C070E9" w:rsidR="001168CE" w:rsidRPr="001F2BA3" w:rsidRDefault="001168CE" w:rsidP="001168CE">
            <w:pPr>
              <w:pStyle w:val="Table"/>
              <w:rPr>
                <w:rFonts w:ascii="Arial" w:hAnsi="Arial"/>
                <w:noProof/>
                <w:sz w:val="24"/>
                <w:lang w:val="lv-LV"/>
              </w:rPr>
            </w:pPr>
            <w:r w:rsidRPr="001F2BA3">
              <w:rPr>
                <w:rFonts w:ascii="Arial" w:hAnsi="Arial"/>
                <w:noProof/>
                <w:sz w:val="24"/>
                <w:lang w:val="lv-LV"/>
              </w:rPr>
              <w:t>Nē</w:t>
            </w:r>
          </w:p>
        </w:tc>
        <w:tc>
          <w:tcPr>
            <w:tcW w:w="417" w:type="pct"/>
            <w:shd w:val="clear" w:color="auto" w:fill="E2EFD9" w:themeFill="accent6" w:themeFillTint="33"/>
          </w:tcPr>
          <w:p w14:paraId="2FC9B72F" w14:textId="7407DC2C"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c>
          <w:tcPr>
            <w:tcW w:w="560" w:type="pct"/>
            <w:shd w:val="clear" w:color="auto" w:fill="E2EFD9" w:themeFill="accent6" w:themeFillTint="33"/>
          </w:tcPr>
          <w:p w14:paraId="6885428A" w14:textId="62351B65"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c>
          <w:tcPr>
            <w:tcW w:w="421" w:type="pct"/>
            <w:shd w:val="clear" w:color="auto" w:fill="E2EFD9" w:themeFill="accent6" w:themeFillTint="33"/>
          </w:tcPr>
          <w:p w14:paraId="5B569860" w14:textId="12C4E187"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c>
          <w:tcPr>
            <w:tcW w:w="382" w:type="pct"/>
            <w:shd w:val="clear" w:color="auto" w:fill="E2EFD9" w:themeFill="accent6" w:themeFillTint="33"/>
          </w:tcPr>
          <w:p w14:paraId="24207876" w14:textId="507B8F36"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r>
      <w:tr w:rsidR="00346220" w:rsidRPr="001F2BA3" w14:paraId="12A0A442" w14:textId="77777777" w:rsidTr="00346220">
        <w:trPr>
          <w:trHeight w:val="154"/>
        </w:trPr>
        <w:tc>
          <w:tcPr>
            <w:tcW w:w="866" w:type="pct"/>
          </w:tcPr>
          <w:p w14:paraId="5AC4FA17" w14:textId="3AD015D8" w:rsidR="001168CE" w:rsidRPr="001F2BA3" w:rsidRDefault="001168CE" w:rsidP="001168CE">
            <w:pPr>
              <w:pStyle w:val="Table"/>
              <w:rPr>
                <w:rFonts w:ascii="Arial" w:hAnsi="Arial"/>
                <w:noProof/>
                <w:sz w:val="24"/>
                <w:lang w:val="lv-LV"/>
              </w:rPr>
            </w:pPr>
            <w:r w:rsidRPr="001F2BA3">
              <w:rPr>
                <w:rFonts w:ascii="Arial" w:hAnsi="Arial"/>
                <w:noProof/>
                <w:sz w:val="24"/>
                <w:lang w:val="lv-LV"/>
              </w:rPr>
              <w:t>Īrija</w:t>
            </w:r>
          </w:p>
        </w:tc>
        <w:tc>
          <w:tcPr>
            <w:tcW w:w="464" w:type="pct"/>
            <w:shd w:val="clear" w:color="auto" w:fill="E2EFD9" w:themeFill="accent6" w:themeFillTint="33"/>
          </w:tcPr>
          <w:p w14:paraId="51BB2550" w14:textId="2769B5F0"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c>
          <w:tcPr>
            <w:tcW w:w="487" w:type="pct"/>
            <w:shd w:val="clear" w:color="auto" w:fill="FFF2CC" w:themeFill="accent4" w:themeFillTint="33"/>
          </w:tcPr>
          <w:p w14:paraId="1393498E" w14:textId="6B6535B6" w:rsidR="001168CE" w:rsidRPr="001F2BA3" w:rsidRDefault="001168CE" w:rsidP="001168CE">
            <w:pPr>
              <w:pStyle w:val="Table"/>
              <w:rPr>
                <w:rFonts w:ascii="Arial" w:hAnsi="Arial"/>
                <w:noProof/>
                <w:sz w:val="24"/>
                <w:lang w:val="lv-LV"/>
              </w:rPr>
            </w:pPr>
            <w:r w:rsidRPr="001F2BA3">
              <w:rPr>
                <w:rFonts w:ascii="Arial" w:hAnsi="Arial"/>
                <w:noProof/>
                <w:sz w:val="24"/>
                <w:lang w:val="lv-LV"/>
              </w:rPr>
              <w:t>Nē</w:t>
            </w:r>
          </w:p>
        </w:tc>
        <w:tc>
          <w:tcPr>
            <w:tcW w:w="426" w:type="pct"/>
            <w:shd w:val="clear" w:color="auto" w:fill="E2EFD9" w:themeFill="accent6" w:themeFillTint="33"/>
          </w:tcPr>
          <w:p w14:paraId="147977BF" w14:textId="3F2E4DB8"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c>
          <w:tcPr>
            <w:tcW w:w="385" w:type="pct"/>
            <w:shd w:val="clear" w:color="auto" w:fill="FFF2CC" w:themeFill="accent4" w:themeFillTint="33"/>
          </w:tcPr>
          <w:p w14:paraId="12F3A5D8" w14:textId="03A5C0CA" w:rsidR="001168CE" w:rsidRPr="001F2BA3" w:rsidRDefault="001168CE" w:rsidP="001168CE">
            <w:pPr>
              <w:pStyle w:val="Table"/>
              <w:rPr>
                <w:rFonts w:ascii="Arial" w:hAnsi="Arial"/>
                <w:noProof/>
                <w:sz w:val="24"/>
                <w:lang w:val="lv-LV"/>
              </w:rPr>
            </w:pPr>
            <w:r w:rsidRPr="001F2BA3">
              <w:rPr>
                <w:rFonts w:ascii="Arial" w:hAnsi="Arial"/>
                <w:noProof/>
                <w:sz w:val="24"/>
                <w:lang w:val="lv-LV"/>
              </w:rPr>
              <w:t>Nē</w:t>
            </w:r>
          </w:p>
        </w:tc>
        <w:tc>
          <w:tcPr>
            <w:tcW w:w="591" w:type="pct"/>
            <w:shd w:val="clear" w:color="auto" w:fill="FFF2CC" w:themeFill="accent4" w:themeFillTint="33"/>
          </w:tcPr>
          <w:p w14:paraId="282DFF93" w14:textId="58FEA4C1" w:rsidR="001168CE" w:rsidRPr="001F2BA3" w:rsidRDefault="001168CE" w:rsidP="001168CE">
            <w:pPr>
              <w:pStyle w:val="Table"/>
              <w:rPr>
                <w:rFonts w:ascii="Arial" w:hAnsi="Arial"/>
                <w:noProof/>
                <w:sz w:val="24"/>
                <w:lang w:val="lv-LV"/>
              </w:rPr>
            </w:pPr>
            <w:r w:rsidRPr="001F2BA3">
              <w:rPr>
                <w:rFonts w:ascii="Arial" w:hAnsi="Arial"/>
                <w:noProof/>
                <w:sz w:val="24"/>
                <w:lang w:val="lv-LV"/>
              </w:rPr>
              <w:t>Nē</w:t>
            </w:r>
          </w:p>
        </w:tc>
        <w:tc>
          <w:tcPr>
            <w:tcW w:w="417" w:type="pct"/>
            <w:shd w:val="clear" w:color="auto" w:fill="E2EFD9" w:themeFill="accent6" w:themeFillTint="33"/>
          </w:tcPr>
          <w:p w14:paraId="07B27569" w14:textId="36E0B2EF"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c>
          <w:tcPr>
            <w:tcW w:w="560" w:type="pct"/>
            <w:shd w:val="clear" w:color="auto" w:fill="E2EFD9" w:themeFill="accent6" w:themeFillTint="33"/>
          </w:tcPr>
          <w:p w14:paraId="644EE9CD" w14:textId="7E613E5B"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c>
          <w:tcPr>
            <w:tcW w:w="421" w:type="pct"/>
            <w:shd w:val="clear" w:color="auto" w:fill="E2EFD9" w:themeFill="accent6" w:themeFillTint="33"/>
          </w:tcPr>
          <w:p w14:paraId="426C4134" w14:textId="2DFC0DC3"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c>
          <w:tcPr>
            <w:tcW w:w="382" w:type="pct"/>
            <w:shd w:val="clear" w:color="auto" w:fill="E2EFD9" w:themeFill="accent6" w:themeFillTint="33"/>
          </w:tcPr>
          <w:p w14:paraId="4E0E38AA" w14:textId="19DFF7CD"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r>
      <w:tr w:rsidR="00346220" w:rsidRPr="001F2BA3" w14:paraId="52DF6AC7" w14:textId="77777777" w:rsidTr="00346220">
        <w:trPr>
          <w:trHeight w:val="154"/>
        </w:trPr>
        <w:tc>
          <w:tcPr>
            <w:tcW w:w="866" w:type="pct"/>
          </w:tcPr>
          <w:p w14:paraId="37CA2AEE" w14:textId="4619EEA0" w:rsidR="001168CE" w:rsidRPr="001F2BA3" w:rsidRDefault="001168CE" w:rsidP="001168CE">
            <w:pPr>
              <w:pStyle w:val="Table"/>
              <w:rPr>
                <w:rFonts w:ascii="Arial" w:hAnsi="Arial"/>
                <w:noProof/>
                <w:sz w:val="24"/>
                <w:lang w:val="lv-LV"/>
              </w:rPr>
            </w:pPr>
            <w:r w:rsidRPr="001F2BA3">
              <w:rPr>
                <w:rFonts w:ascii="Arial" w:hAnsi="Arial"/>
                <w:noProof/>
                <w:sz w:val="24"/>
                <w:lang w:val="lv-LV"/>
              </w:rPr>
              <w:t>Itālija</w:t>
            </w:r>
          </w:p>
        </w:tc>
        <w:tc>
          <w:tcPr>
            <w:tcW w:w="464" w:type="pct"/>
            <w:shd w:val="clear" w:color="auto" w:fill="FFF2CC" w:themeFill="accent4" w:themeFillTint="33"/>
          </w:tcPr>
          <w:p w14:paraId="61DDB3B7" w14:textId="67CF951D" w:rsidR="001168CE" w:rsidRPr="001F2BA3" w:rsidRDefault="001168CE" w:rsidP="001168CE">
            <w:pPr>
              <w:pStyle w:val="Table"/>
              <w:rPr>
                <w:rFonts w:ascii="Arial" w:hAnsi="Arial"/>
                <w:noProof/>
                <w:sz w:val="24"/>
                <w:lang w:val="lv-LV"/>
              </w:rPr>
            </w:pPr>
            <w:r w:rsidRPr="001F2BA3">
              <w:rPr>
                <w:rFonts w:ascii="Arial" w:hAnsi="Arial"/>
                <w:noProof/>
                <w:sz w:val="24"/>
                <w:lang w:val="lv-LV"/>
              </w:rPr>
              <w:t>Nē</w:t>
            </w:r>
          </w:p>
        </w:tc>
        <w:tc>
          <w:tcPr>
            <w:tcW w:w="487" w:type="pct"/>
            <w:shd w:val="clear" w:color="auto" w:fill="FFF2CC" w:themeFill="accent4" w:themeFillTint="33"/>
          </w:tcPr>
          <w:p w14:paraId="114469B8" w14:textId="6CB1F0CF" w:rsidR="001168CE" w:rsidRPr="001F2BA3" w:rsidRDefault="001168CE" w:rsidP="001168CE">
            <w:pPr>
              <w:pStyle w:val="Table"/>
              <w:rPr>
                <w:rFonts w:ascii="Arial" w:hAnsi="Arial"/>
                <w:noProof/>
                <w:sz w:val="24"/>
                <w:lang w:val="lv-LV"/>
              </w:rPr>
            </w:pPr>
            <w:r w:rsidRPr="001F2BA3">
              <w:rPr>
                <w:rFonts w:ascii="Arial" w:hAnsi="Arial"/>
                <w:noProof/>
                <w:sz w:val="24"/>
                <w:lang w:val="lv-LV"/>
              </w:rPr>
              <w:t>Nē</w:t>
            </w:r>
          </w:p>
        </w:tc>
        <w:tc>
          <w:tcPr>
            <w:tcW w:w="426" w:type="pct"/>
            <w:shd w:val="clear" w:color="auto" w:fill="FFF2CC" w:themeFill="accent4" w:themeFillTint="33"/>
          </w:tcPr>
          <w:p w14:paraId="08988373" w14:textId="4927DD4E" w:rsidR="001168CE" w:rsidRPr="001F2BA3" w:rsidRDefault="001168CE" w:rsidP="001168CE">
            <w:pPr>
              <w:pStyle w:val="Table"/>
              <w:rPr>
                <w:rFonts w:ascii="Arial" w:hAnsi="Arial"/>
                <w:noProof/>
                <w:sz w:val="24"/>
                <w:lang w:val="lv-LV"/>
              </w:rPr>
            </w:pPr>
            <w:r w:rsidRPr="001F2BA3">
              <w:rPr>
                <w:rFonts w:ascii="Arial" w:hAnsi="Arial"/>
                <w:noProof/>
                <w:sz w:val="24"/>
                <w:lang w:val="lv-LV"/>
              </w:rPr>
              <w:t>Nē</w:t>
            </w:r>
          </w:p>
        </w:tc>
        <w:tc>
          <w:tcPr>
            <w:tcW w:w="385" w:type="pct"/>
            <w:shd w:val="clear" w:color="auto" w:fill="FFF2CC" w:themeFill="accent4" w:themeFillTint="33"/>
          </w:tcPr>
          <w:p w14:paraId="5DF790D1" w14:textId="59036194" w:rsidR="001168CE" w:rsidRPr="001F2BA3" w:rsidRDefault="001168CE" w:rsidP="001168CE">
            <w:pPr>
              <w:pStyle w:val="Table"/>
              <w:rPr>
                <w:rFonts w:ascii="Arial" w:hAnsi="Arial"/>
                <w:noProof/>
                <w:sz w:val="24"/>
                <w:lang w:val="lv-LV"/>
              </w:rPr>
            </w:pPr>
            <w:r w:rsidRPr="001F2BA3">
              <w:rPr>
                <w:rFonts w:ascii="Arial" w:hAnsi="Arial"/>
                <w:noProof/>
                <w:sz w:val="24"/>
                <w:lang w:val="lv-LV"/>
              </w:rPr>
              <w:t>Nē</w:t>
            </w:r>
          </w:p>
        </w:tc>
        <w:tc>
          <w:tcPr>
            <w:tcW w:w="591" w:type="pct"/>
            <w:shd w:val="clear" w:color="auto" w:fill="FFF2CC" w:themeFill="accent4" w:themeFillTint="33"/>
          </w:tcPr>
          <w:p w14:paraId="7D7B8B0C" w14:textId="6B53FE2B" w:rsidR="001168CE" w:rsidRPr="001F2BA3" w:rsidRDefault="001168CE" w:rsidP="001168CE">
            <w:pPr>
              <w:pStyle w:val="Table"/>
              <w:rPr>
                <w:rFonts w:ascii="Arial" w:hAnsi="Arial"/>
                <w:noProof/>
                <w:sz w:val="24"/>
                <w:lang w:val="lv-LV"/>
              </w:rPr>
            </w:pPr>
            <w:r w:rsidRPr="001F2BA3">
              <w:rPr>
                <w:rFonts w:ascii="Arial" w:hAnsi="Arial"/>
                <w:noProof/>
                <w:sz w:val="24"/>
                <w:lang w:val="lv-LV"/>
              </w:rPr>
              <w:t>Nē</w:t>
            </w:r>
          </w:p>
        </w:tc>
        <w:tc>
          <w:tcPr>
            <w:tcW w:w="417" w:type="pct"/>
            <w:shd w:val="clear" w:color="auto" w:fill="FFF2CC" w:themeFill="accent4" w:themeFillTint="33"/>
          </w:tcPr>
          <w:p w14:paraId="0792457F" w14:textId="1A840D8B" w:rsidR="001168CE" w:rsidRPr="001F2BA3" w:rsidRDefault="001168CE" w:rsidP="001168CE">
            <w:pPr>
              <w:pStyle w:val="Table"/>
              <w:rPr>
                <w:rFonts w:ascii="Arial" w:hAnsi="Arial"/>
                <w:noProof/>
                <w:sz w:val="24"/>
                <w:lang w:val="lv-LV"/>
              </w:rPr>
            </w:pPr>
            <w:r w:rsidRPr="001F2BA3">
              <w:rPr>
                <w:rFonts w:ascii="Arial" w:hAnsi="Arial"/>
                <w:noProof/>
                <w:sz w:val="24"/>
                <w:lang w:val="lv-LV"/>
              </w:rPr>
              <w:t>Nē</w:t>
            </w:r>
          </w:p>
        </w:tc>
        <w:tc>
          <w:tcPr>
            <w:tcW w:w="560" w:type="pct"/>
            <w:shd w:val="clear" w:color="auto" w:fill="FFF2CC" w:themeFill="accent4" w:themeFillTint="33"/>
          </w:tcPr>
          <w:p w14:paraId="1180CF9D" w14:textId="75BC5F14" w:rsidR="001168CE" w:rsidRPr="001F2BA3" w:rsidRDefault="001168CE" w:rsidP="001168CE">
            <w:pPr>
              <w:pStyle w:val="Table"/>
              <w:rPr>
                <w:rFonts w:ascii="Arial" w:hAnsi="Arial"/>
                <w:noProof/>
                <w:sz w:val="24"/>
                <w:lang w:val="lv-LV"/>
              </w:rPr>
            </w:pPr>
            <w:r w:rsidRPr="001F2BA3">
              <w:rPr>
                <w:rFonts w:ascii="Arial" w:hAnsi="Arial"/>
                <w:noProof/>
                <w:sz w:val="24"/>
                <w:lang w:val="lv-LV"/>
              </w:rPr>
              <w:t>Nē</w:t>
            </w:r>
          </w:p>
        </w:tc>
        <w:tc>
          <w:tcPr>
            <w:tcW w:w="421" w:type="pct"/>
            <w:shd w:val="clear" w:color="auto" w:fill="E2EFD9" w:themeFill="accent6" w:themeFillTint="33"/>
          </w:tcPr>
          <w:p w14:paraId="15A96F89" w14:textId="1DDD93F3"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c>
          <w:tcPr>
            <w:tcW w:w="382" w:type="pct"/>
            <w:shd w:val="clear" w:color="auto" w:fill="E2EFD9" w:themeFill="accent6" w:themeFillTint="33"/>
          </w:tcPr>
          <w:p w14:paraId="2028A8C6" w14:textId="7E0AB80C" w:rsidR="001168CE" w:rsidRPr="001F2BA3" w:rsidRDefault="001168CE" w:rsidP="001168CE">
            <w:pPr>
              <w:pStyle w:val="Table"/>
              <w:rPr>
                <w:rFonts w:ascii="Arial" w:hAnsi="Arial"/>
                <w:noProof/>
                <w:sz w:val="24"/>
                <w:lang w:val="lv-LV"/>
              </w:rPr>
            </w:pPr>
            <w:r w:rsidRPr="001F2BA3">
              <w:rPr>
                <w:rFonts w:ascii="Arial" w:hAnsi="Arial"/>
                <w:noProof/>
                <w:sz w:val="24"/>
                <w:lang w:val="lv-LV"/>
              </w:rPr>
              <w:t>Jā</w:t>
            </w:r>
          </w:p>
        </w:tc>
      </w:tr>
      <w:tr w:rsidR="00346220" w:rsidRPr="001F2BA3" w14:paraId="413D88A9" w14:textId="77777777" w:rsidTr="00346220">
        <w:trPr>
          <w:trHeight w:val="154"/>
        </w:trPr>
        <w:tc>
          <w:tcPr>
            <w:tcW w:w="866" w:type="pct"/>
          </w:tcPr>
          <w:p w14:paraId="60102CA2" w14:textId="51BA9F6F" w:rsidR="00C93552" w:rsidRPr="001F2BA3" w:rsidRDefault="00C93552" w:rsidP="00C93552">
            <w:pPr>
              <w:pStyle w:val="Table"/>
              <w:rPr>
                <w:rFonts w:ascii="Arial" w:hAnsi="Arial"/>
                <w:noProof/>
                <w:sz w:val="24"/>
                <w:lang w:val="lv-LV"/>
              </w:rPr>
            </w:pPr>
            <w:r w:rsidRPr="001F2BA3">
              <w:rPr>
                <w:rFonts w:ascii="Arial" w:hAnsi="Arial"/>
                <w:noProof/>
                <w:sz w:val="24"/>
                <w:lang w:val="lv-LV"/>
              </w:rPr>
              <w:t>Lietuva</w:t>
            </w:r>
          </w:p>
        </w:tc>
        <w:tc>
          <w:tcPr>
            <w:tcW w:w="464" w:type="pct"/>
            <w:shd w:val="clear" w:color="auto" w:fill="E2EFD9" w:themeFill="accent6" w:themeFillTint="33"/>
          </w:tcPr>
          <w:p w14:paraId="678D229C" w14:textId="47D0F3B8"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487" w:type="pct"/>
            <w:shd w:val="clear" w:color="auto" w:fill="E2EFD9" w:themeFill="accent6" w:themeFillTint="33"/>
          </w:tcPr>
          <w:p w14:paraId="2C7599C2" w14:textId="6E7079EE"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426" w:type="pct"/>
            <w:shd w:val="clear" w:color="auto" w:fill="E2EFD9" w:themeFill="accent6" w:themeFillTint="33"/>
          </w:tcPr>
          <w:p w14:paraId="36986E36" w14:textId="3A835C37"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385" w:type="pct"/>
            <w:shd w:val="clear" w:color="auto" w:fill="E2EFD9" w:themeFill="accent6" w:themeFillTint="33"/>
          </w:tcPr>
          <w:p w14:paraId="10C8D314" w14:textId="20C53E31"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591" w:type="pct"/>
            <w:shd w:val="clear" w:color="auto" w:fill="E2EFD9" w:themeFill="accent6" w:themeFillTint="33"/>
          </w:tcPr>
          <w:p w14:paraId="0356685B" w14:textId="082C10E1"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417" w:type="pct"/>
            <w:shd w:val="clear" w:color="auto" w:fill="FFF2CC" w:themeFill="accent4" w:themeFillTint="33"/>
          </w:tcPr>
          <w:p w14:paraId="24EE267B" w14:textId="331CEF6A"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560" w:type="pct"/>
            <w:shd w:val="clear" w:color="auto" w:fill="FFF2CC" w:themeFill="accent4" w:themeFillTint="33"/>
          </w:tcPr>
          <w:p w14:paraId="5F46F1BB" w14:textId="36C43E31"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421" w:type="pct"/>
            <w:shd w:val="clear" w:color="auto" w:fill="E2EFD9" w:themeFill="accent6" w:themeFillTint="33"/>
          </w:tcPr>
          <w:p w14:paraId="3FB483DA" w14:textId="7A6B2302"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382" w:type="pct"/>
            <w:shd w:val="clear" w:color="auto" w:fill="E2EFD9" w:themeFill="accent6" w:themeFillTint="33"/>
          </w:tcPr>
          <w:p w14:paraId="0B3311C6" w14:textId="3B3FDED9"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r>
      <w:tr w:rsidR="00346220" w:rsidRPr="001F2BA3" w14:paraId="07F8AE1A" w14:textId="77777777" w:rsidTr="00346220">
        <w:trPr>
          <w:trHeight w:val="154"/>
        </w:trPr>
        <w:tc>
          <w:tcPr>
            <w:tcW w:w="866" w:type="pct"/>
          </w:tcPr>
          <w:p w14:paraId="70B089EB" w14:textId="08ACEDBF" w:rsidR="00C93552" w:rsidRPr="001F2BA3" w:rsidRDefault="00C93552" w:rsidP="00C93552">
            <w:pPr>
              <w:pStyle w:val="Table"/>
              <w:rPr>
                <w:rFonts w:ascii="Arial" w:hAnsi="Arial"/>
                <w:noProof/>
                <w:sz w:val="24"/>
                <w:lang w:val="lv-LV"/>
              </w:rPr>
            </w:pPr>
            <w:r w:rsidRPr="001F2BA3">
              <w:rPr>
                <w:rFonts w:ascii="Arial" w:hAnsi="Arial"/>
                <w:noProof/>
                <w:sz w:val="24"/>
                <w:lang w:val="lv-LV"/>
              </w:rPr>
              <w:t>Luksemburga</w:t>
            </w:r>
          </w:p>
        </w:tc>
        <w:tc>
          <w:tcPr>
            <w:tcW w:w="464" w:type="pct"/>
            <w:shd w:val="clear" w:color="auto" w:fill="E2EFD9" w:themeFill="accent6" w:themeFillTint="33"/>
          </w:tcPr>
          <w:p w14:paraId="3FA7E3FF" w14:textId="03B556C4"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487" w:type="pct"/>
            <w:shd w:val="clear" w:color="auto" w:fill="FFF2CC" w:themeFill="accent4" w:themeFillTint="33"/>
          </w:tcPr>
          <w:p w14:paraId="26E28F92" w14:textId="0635CB2C"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426" w:type="pct"/>
            <w:shd w:val="clear" w:color="auto" w:fill="E2EFD9" w:themeFill="accent6" w:themeFillTint="33"/>
          </w:tcPr>
          <w:p w14:paraId="5CAA9706" w14:textId="2ACF0256"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385" w:type="pct"/>
            <w:shd w:val="clear" w:color="auto" w:fill="FFF2CC" w:themeFill="accent4" w:themeFillTint="33"/>
          </w:tcPr>
          <w:p w14:paraId="1770A9DB" w14:textId="5CC546DD"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591" w:type="pct"/>
            <w:shd w:val="clear" w:color="auto" w:fill="FFF2CC" w:themeFill="accent4" w:themeFillTint="33"/>
          </w:tcPr>
          <w:p w14:paraId="583106E1" w14:textId="0326AB4D"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417" w:type="pct"/>
            <w:shd w:val="clear" w:color="auto" w:fill="FFF2CC" w:themeFill="accent4" w:themeFillTint="33"/>
          </w:tcPr>
          <w:p w14:paraId="6BE1DB26" w14:textId="26843A3B"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560" w:type="pct"/>
            <w:shd w:val="clear" w:color="auto" w:fill="E2EFD9" w:themeFill="accent6" w:themeFillTint="33"/>
          </w:tcPr>
          <w:p w14:paraId="52A132D8" w14:textId="2FA629EA"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421" w:type="pct"/>
            <w:shd w:val="clear" w:color="auto" w:fill="E2EFD9" w:themeFill="accent6" w:themeFillTint="33"/>
          </w:tcPr>
          <w:p w14:paraId="0D2873FF" w14:textId="40553FD2"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382" w:type="pct"/>
            <w:shd w:val="clear" w:color="auto" w:fill="E2EFD9" w:themeFill="accent6" w:themeFillTint="33"/>
          </w:tcPr>
          <w:p w14:paraId="63F6A3D9" w14:textId="02643DAE"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r>
      <w:tr w:rsidR="00346220" w:rsidRPr="001F2BA3" w14:paraId="7281270B" w14:textId="77777777" w:rsidTr="00346220">
        <w:trPr>
          <w:trHeight w:val="154"/>
        </w:trPr>
        <w:tc>
          <w:tcPr>
            <w:tcW w:w="866" w:type="pct"/>
          </w:tcPr>
          <w:p w14:paraId="6A3BCEFE" w14:textId="54497F4E" w:rsidR="00C93552" w:rsidRPr="001F2BA3" w:rsidRDefault="00C93552" w:rsidP="00C93552">
            <w:pPr>
              <w:pStyle w:val="Table"/>
              <w:rPr>
                <w:rFonts w:ascii="Arial" w:hAnsi="Arial"/>
                <w:noProof/>
                <w:sz w:val="24"/>
                <w:lang w:val="lv-LV"/>
              </w:rPr>
            </w:pPr>
            <w:r w:rsidRPr="001F2BA3">
              <w:rPr>
                <w:rFonts w:ascii="Arial" w:hAnsi="Arial"/>
                <w:noProof/>
                <w:sz w:val="24"/>
                <w:lang w:val="lv-LV"/>
              </w:rPr>
              <w:t>Latvija</w:t>
            </w:r>
          </w:p>
        </w:tc>
        <w:tc>
          <w:tcPr>
            <w:tcW w:w="464" w:type="pct"/>
            <w:shd w:val="clear" w:color="auto" w:fill="FFF2CC" w:themeFill="accent4" w:themeFillTint="33"/>
          </w:tcPr>
          <w:p w14:paraId="1380E548" w14:textId="487B58CC"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487" w:type="pct"/>
            <w:shd w:val="clear" w:color="auto" w:fill="FFF2CC" w:themeFill="accent4" w:themeFillTint="33"/>
          </w:tcPr>
          <w:p w14:paraId="52E8AA0F" w14:textId="0D38EC7C"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426" w:type="pct"/>
            <w:shd w:val="clear" w:color="auto" w:fill="FFF2CC" w:themeFill="accent4" w:themeFillTint="33"/>
          </w:tcPr>
          <w:p w14:paraId="42D0F66A" w14:textId="19A7B17D"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385" w:type="pct"/>
            <w:shd w:val="clear" w:color="auto" w:fill="E2EFD9" w:themeFill="accent6" w:themeFillTint="33"/>
          </w:tcPr>
          <w:p w14:paraId="658A08BD" w14:textId="1F71F833"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591" w:type="pct"/>
            <w:shd w:val="clear" w:color="auto" w:fill="FFF2CC" w:themeFill="accent4" w:themeFillTint="33"/>
          </w:tcPr>
          <w:p w14:paraId="7B7E1864" w14:textId="2184024B"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417" w:type="pct"/>
            <w:shd w:val="clear" w:color="auto" w:fill="FFF2CC" w:themeFill="accent4" w:themeFillTint="33"/>
          </w:tcPr>
          <w:p w14:paraId="2F7ABD73" w14:textId="4832237F"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560" w:type="pct"/>
            <w:shd w:val="clear" w:color="auto" w:fill="FFF2CC" w:themeFill="accent4" w:themeFillTint="33"/>
          </w:tcPr>
          <w:p w14:paraId="12C2A7D7" w14:textId="7F285A18"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421" w:type="pct"/>
            <w:shd w:val="clear" w:color="auto" w:fill="E2EFD9" w:themeFill="accent6" w:themeFillTint="33"/>
          </w:tcPr>
          <w:p w14:paraId="50ADAC62" w14:textId="54A9F5CD"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382" w:type="pct"/>
            <w:shd w:val="clear" w:color="auto" w:fill="E2EFD9" w:themeFill="accent6" w:themeFillTint="33"/>
          </w:tcPr>
          <w:p w14:paraId="31BB1E2B" w14:textId="2F054015"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r>
      <w:tr w:rsidR="00346220" w:rsidRPr="001F2BA3" w14:paraId="1819B6C7" w14:textId="77777777" w:rsidTr="00346220">
        <w:trPr>
          <w:trHeight w:val="154"/>
        </w:trPr>
        <w:tc>
          <w:tcPr>
            <w:tcW w:w="866" w:type="pct"/>
          </w:tcPr>
          <w:p w14:paraId="5FC3BF84" w14:textId="6BE06DF5" w:rsidR="00C93552" w:rsidRPr="001F2BA3" w:rsidRDefault="00C93552" w:rsidP="00C93552">
            <w:pPr>
              <w:pStyle w:val="Table"/>
              <w:rPr>
                <w:rFonts w:ascii="Arial" w:hAnsi="Arial"/>
                <w:noProof/>
                <w:sz w:val="24"/>
                <w:lang w:val="lv-LV"/>
              </w:rPr>
            </w:pPr>
            <w:r w:rsidRPr="001F2BA3">
              <w:rPr>
                <w:rFonts w:ascii="Arial" w:hAnsi="Arial"/>
                <w:noProof/>
                <w:sz w:val="24"/>
                <w:lang w:val="lv-LV"/>
              </w:rPr>
              <w:t>Malta</w:t>
            </w:r>
          </w:p>
        </w:tc>
        <w:tc>
          <w:tcPr>
            <w:tcW w:w="464" w:type="pct"/>
            <w:shd w:val="clear" w:color="auto" w:fill="E2EFD9" w:themeFill="accent6" w:themeFillTint="33"/>
          </w:tcPr>
          <w:p w14:paraId="739701CB" w14:textId="58C08BF1"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487" w:type="pct"/>
            <w:shd w:val="clear" w:color="auto" w:fill="FFF2CC" w:themeFill="accent4" w:themeFillTint="33"/>
          </w:tcPr>
          <w:p w14:paraId="032CB698" w14:textId="2F638069"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426" w:type="pct"/>
            <w:shd w:val="clear" w:color="auto" w:fill="E2EFD9" w:themeFill="accent6" w:themeFillTint="33"/>
          </w:tcPr>
          <w:p w14:paraId="6565A3C8" w14:textId="4B392D8D"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385" w:type="pct"/>
            <w:shd w:val="clear" w:color="auto" w:fill="E2EFD9" w:themeFill="accent6" w:themeFillTint="33"/>
          </w:tcPr>
          <w:p w14:paraId="07492334" w14:textId="5C64A8DC"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591" w:type="pct"/>
            <w:shd w:val="clear" w:color="auto" w:fill="FFF2CC" w:themeFill="accent4" w:themeFillTint="33"/>
          </w:tcPr>
          <w:p w14:paraId="1BD82975" w14:textId="5D43D6DD"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417" w:type="pct"/>
            <w:shd w:val="clear" w:color="auto" w:fill="FFF2CC" w:themeFill="accent4" w:themeFillTint="33"/>
          </w:tcPr>
          <w:p w14:paraId="4EBB1D62" w14:textId="49DAF882"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560" w:type="pct"/>
            <w:shd w:val="clear" w:color="auto" w:fill="E2EFD9" w:themeFill="accent6" w:themeFillTint="33"/>
          </w:tcPr>
          <w:p w14:paraId="7B63150F" w14:textId="7DE73CD9"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421" w:type="pct"/>
            <w:shd w:val="clear" w:color="auto" w:fill="E2EFD9" w:themeFill="accent6" w:themeFillTint="33"/>
          </w:tcPr>
          <w:p w14:paraId="232BE633" w14:textId="1354CAD4"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382" w:type="pct"/>
            <w:shd w:val="clear" w:color="auto" w:fill="E2EFD9" w:themeFill="accent6" w:themeFillTint="33"/>
          </w:tcPr>
          <w:p w14:paraId="662AEED8" w14:textId="1205375A"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r>
      <w:tr w:rsidR="00346220" w:rsidRPr="001F2BA3" w14:paraId="3E06C38B" w14:textId="77777777" w:rsidTr="00346220">
        <w:trPr>
          <w:trHeight w:val="154"/>
        </w:trPr>
        <w:tc>
          <w:tcPr>
            <w:tcW w:w="866" w:type="pct"/>
          </w:tcPr>
          <w:p w14:paraId="2D85AFC2" w14:textId="43911C5F" w:rsidR="00C93552" w:rsidRPr="001F2BA3" w:rsidRDefault="000F5E0B" w:rsidP="00C93552">
            <w:pPr>
              <w:pStyle w:val="Table"/>
              <w:rPr>
                <w:rFonts w:ascii="Arial" w:hAnsi="Arial"/>
                <w:noProof/>
                <w:sz w:val="24"/>
                <w:lang w:val="lv-LV"/>
              </w:rPr>
            </w:pPr>
            <w:r w:rsidRPr="001F2BA3">
              <w:rPr>
                <w:rFonts w:ascii="Arial" w:hAnsi="Arial"/>
                <w:noProof/>
                <w:sz w:val="24"/>
                <w:lang w:val="lv-LV"/>
              </w:rPr>
              <w:t>Nīderlande</w:t>
            </w:r>
          </w:p>
        </w:tc>
        <w:tc>
          <w:tcPr>
            <w:tcW w:w="464" w:type="pct"/>
            <w:shd w:val="clear" w:color="auto" w:fill="E2EFD9" w:themeFill="accent6" w:themeFillTint="33"/>
          </w:tcPr>
          <w:p w14:paraId="7CB4798B" w14:textId="61051629"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487" w:type="pct"/>
            <w:shd w:val="clear" w:color="auto" w:fill="E2EFD9" w:themeFill="accent6" w:themeFillTint="33"/>
          </w:tcPr>
          <w:p w14:paraId="32A7C20F" w14:textId="1E9D2054"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426" w:type="pct"/>
            <w:shd w:val="clear" w:color="auto" w:fill="E2EFD9" w:themeFill="accent6" w:themeFillTint="33"/>
          </w:tcPr>
          <w:p w14:paraId="68CC76F7" w14:textId="2080EC91"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385" w:type="pct"/>
            <w:shd w:val="clear" w:color="auto" w:fill="FFF2CC" w:themeFill="accent4" w:themeFillTint="33"/>
          </w:tcPr>
          <w:p w14:paraId="06FCC072" w14:textId="70F810C4"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591" w:type="pct"/>
            <w:shd w:val="clear" w:color="auto" w:fill="E2EFD9" w:themeFill="accent6" w:themeFillTint="33"/>
          </w:tcPr>
          <w:p w14:paraId="296F794E" w14:textId="5ACB26ED"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417" w:type="pct"/>
            <w:shd w:val="clear" w:color="auto" w:fill="E2EFD9" w:themeFill="accent6" w:themeFillTint="33"/>
          </w:tcPr>
          <w:p w14:paraId="348D7F67" w14:textId="47956E11"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560" w:type="pct"/>
            <w:shd w:val="clear" w:color="auto" w:fill="FFF2CC" w:themeFill="accent4" w:themeFillTint="33"/>
          </w:tcPr>
          <w:p w14:paraId="335D52A2" w14:textId="09D93E69"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421" w:type="pct"/>
            <w:shd w:val="clear" w:color="auto" w:fill="E2EFD9" w:themeFill="accent6" w:themeFillTint="33"/>
          </w:tcPr>
          <w:p w14:paraId="1E37DDE1" w14:textId="52278D8E"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382" w:type="pct"/>
            <w:shd w:val="clear" w:color="auto" w:fill="E2EFD9" w:themeFill="accent6" w:themeFillTint="33"/>
          </w:tcPr>
          <w:p w14:paraId="6047D016" w14:textId="6EC956AE"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r>
      <w:tr w:rsidR="00346220" w:rsidRPr="001F2BA3" w14:paraId="7E35379F" w14:textId="77777777" w:rsidTr="00346220">
        <w:trPr>
          <w:trHeight w:val="154"/>
        </w:trPr>
        <w:tc>
          <w:tcPr>
            <w:tcW w:w="866" w:type="pct"/>
          </w:tcPr>
          <w:p w14:paraId="24888663" w14:textId="5FE4CF58" w:rsidR="00C93552" w:rsidRPr="001F2BA3" w:rsidRDefault="00C93552" w:rsidP="00C93552">
            <w:pPr>
              <w:pStyle w:val="Table"/>
              <w:rPr>
                <w:rFonts w:ascii="Arial" w:hAnsi="Arial"/>
                <w:noProof/>
                <w:sz w:val="24"/>
                <w:lang w:val="lv-LV"/>
              </w:rPr>
            </w:pPr>
            <w:r w:rsidRPr="001F2BA3">
              <w:rPr>
                <w:rFonts w:ascii="Arial" w:hAnsi="Arial"/>
                <w:noProof/>
                <w:sz w:val="24"/>
                <w:lang w:val="lv-LV"/>
              </w:rPr>
              <w:t>Polija</w:t>
            </w:r>
          </w:p>
        </w:tc>
        <w:tc>
          <w:tcPr>
            <w:tcW w:w="464" w:type="pct"/>
            <w:shd w:val="clear" w:color="auto" w:fill="E2EFD9" w:themeFill="accent6" w:themeFillTint="33"/>
          </w:tcPr>
          <w:p w14:paraId="2498441B" w14:textId="0EC76BDD"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487" w:type="pct"/>
            <w:shd w:val="clear" w:color="auto" w:fill="FFF2CC" w:themeFill="accent4" w:themeFillTint="33"/>
          </w:tcPr>
          <w:p w14:paraId="007985DF" w14:textId="0F8F4C50"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426" w:type="pct"/>
            <w:shd w:val="clear" w:color="auto" w:fill="E2EFD9" w:themeFill="accent6" w:themeFillTint="33"/>
          </w:tcPr>
          <w:p w14:paraId="5111691E" w14:textId="71475BEE"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385" w:type="pct"/>
            <w:shd w:val="clear" w:color="auto" w:fill="FFF2CC" w:themeFill="accent4" w:themeFillTint="33"/>
          </w:tcPr>
          <w:p w14:paraId="23FA8B14" w14:textId="558188AA"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591" w:type="pct"/>
            <w:shd w:val="clear" w:color="auto" w:fill="FFF2CC" w:themeFill="accent4" w:themeFillTint="33"/>
          </w:tcPr>
          <w:p w14:paraId="5DB641C6" w14:textId="6501E84E"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417" w:type="pct"/>
            <w:shd w:val="clear" w:color="auto" w:fill="FFF2CC" w:themeFill="accent4" w:themeFillTint="33"/>
          </w:tcPr>
          <w:p w14:paraId="34063C05" w14:textId="6685D6EA"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560" w:type="pct"/>
            <w:shd w:val="clear" w:color="auto" w:fill="FFF2CC" w:themeFill="accent4" w:themeFillTint="33"/>
          </w:tcPr>
          <w:p w14:paraId="6E3965A7" w14:textId="12C00359"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421" w:type="pct"/>
            <w:shd w:val="clear" w:color="auto" w:fill="E2EFD9" w:themeFill="accent6" w:themeFillTint="33"/>
          </w:tcPr>
          <w:p w14:paraId="2AFDAFB4" w14:textId="3A3F9554"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382" w:type="pct"/>
            <w:shd w:val="clear" w:color="auto" w:fill="E2EFD9" w:themeFill="accent6" w:themeFillTint="33"/>
          </w:tcPr>
          <w:p w14:paraId="614A65EE" w14:textId="11EDC158"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r>
      <w:tr w:rsidR="00346220" w:rsidRPr="001F2BA3" w14:paraId="6B4F1DA0" w14:textId="77777777" w:rsidTr="00346220">
        <w:trPr>
          <w:trHeight w:val="154"/>
        </w:trPr>
        <w:tc>
          <w:tcPr>
            <w:tcW w:w="866" w:type="pct"/>
          </w:tcPr>
          <w:p w14:paraId="5AA3B8A2" w14:textId="296FCE72" w:rsidR="00C93552" w:rsidRPr="001F2BA3" w:rsidRDefault="00C93552" w:rsidP="00C93552">
            <w:pPr>
              <w:pStyle w:val="Table"/>
              <w:rPr>
                <w:rFonts w:ascii="Arial" w:hAnsi="Arial"/>
                <w:noProof/>
                <w:sz w:val="24"/>
                <w:lang w:val="lv-LV"/>
              </w:rPr>
            </w:pPr>
            <w:r w:rsidRPr="001F2BA3">
              <w:rPr>
                <w:rFonts w:ascii="Arial" w:hAnsi="Arial"/>
                <w:noProof/>
                <w:sz w:val="24"/>
                <w:lang w:val="lv-LV"/>
              </w:rPr>
              <w:t>Portugāle</w:t>
            </w:r>
          </w:p>
        </w:tc>
        <w:tc>
          <w:tcPr>
            <w:tcW w:w="464" w:type="pct"/>
            <w:shd w:val="clear" w:color="auto" w:fill="E2EFD9" w:themeFill="accent6" w:themeFillTint="33"/>
          </w:tcPr>
          <w:p w14:paraId="55EF1204" w14:textId="69351AFC"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487" w:type="pct"/>
            <w:shd w:val="clear" w:color="auto" w:fill="FFF2CC" w:themeFill="accent4" w:themeFillTint="33"/>
          </w:tcPr>
          <w:p w14:paraId="4F930443" w14:textId="0B68DA6C"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426" w:type="pct"/>
            <w:shd w:val="clear" w:color="auto" w:fill="FFF2CC" w:themeFill="accent4" w:themeFillTint="33"/>
          </w:tcPr>
          <w:p w14:paraId="56174BE4" w14:textId="448843FE"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385" w:type="pct"/>
            <w:shd w:val="clear" w:color="auto" w:fill="FFF2CC" w:themeFill="accent4" w:themeFillTint="33"/>
          </w:tcPr>
          <w:p w14:paraId="56C74397" w14:textId="72077876"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591" w:type="pct"/>
            <w:shd w:val="clear" w:color="auto" w:fill="FFF2CC" w:themeFill="accent4" w:themeFillTint="33"/>
          </w:tcPr>
          <w:p w14:paraId="3578E8EC" w14:textId="1528E05C"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417" w:type="pct"/>
            <w:shd w:val="clear" w:color="auto" w:fill="FFF2CC" w:themeFill="accent4" w:themeFillTint="33"/>
          </w:tcPr>
          <w:p w14:paraId="7A8C833E" w14:textId="4EB0BE14"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560" w:type="pct"/>
            <w:shd w:val="clear" w:color="auto" w:fill="E2EFD9" w:themeFill="accent6" w:themeFillTint="33"/>
          </w:tcPr>
          <w:p w14:paraId="7B93D5BC" w14:textId="36BE22F9"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421" w:type="pct"/>
            <w:shd w:val="clear" w:color="auto" w:fill="E2EFD9" w:themeFill="accent6" w:themeFillTint="33"/>
          </w:tcPr>
          <w:p w14:paraId="717B8302" w14:textId="231635A4"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382" w:type="pct"/>
            <w:shd w:val="clear" w:color="auto" w:fill="E2EFD9" w:themeFill="accent6" w:themeFillTint="33"/>
          </w:tcPr>
          <w:p w14:paraId="2A5DCB5B" w14:textId="017FBB8A"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r>
      <w:tr w:rsidR="00346220" w:rsidRPr="001F2BA3" w14:paraId="61E5BC20" w14:textId="77777777" w:rsidTr="00346220">
        <w:trPr>
          <w:trHeight w:val="154"/>
        </w:trPr>
        <w:tc>
          <w:tcPr>
            <w:tcW w:w="866" w:type="pct"/>
          </w:tcPr>
          <w:p w14:paraId="55306C79" w14:textId="364901CC" w:rsidR="00C93552" w:rsidRPr="001F2BA3" w:rsidRDefault="00C93552" w:rsidP="00C93552">
            <w:pPr>
              <w:pStyle w:val="Table"/>
              <w:rPr>
                <w:rFonts w:ascii="Arial" w:hAnsi="Arial"/>
                <w:noProof/>
                <w:sz w:val="24"/>
                <w:lang w:val="lv-LV"/>
              </w:rPr>
            </w:pPr>
            <w:r w:rsidRPr="001F2BA3">
              <w:rPr>
                <w:rFonts w:ascii="Arial" w:hAnsi="Arial"/>
                <w:noProof/>
                <w:sz w:val="24"/>
                <w:lang w:val="lv-LV"/>
              </w:rPr>
              <w:t>Rumānija</w:t>
            </w:r>
          </w:p>
        </w:tc>
        <w:tc>
          <w:tcPr>
            <w:tcW w:w="464" w:type="pct"/>
            <w:shd w:val="clear" w:color="auto" w:fill="FFF2CC" w:themeFill="accent4" w:themeFillTint="33"/>
          </w:tcPr>
          <w:p w14:paraId="3DBE46C8" w14:textId="4FB25063"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487" w:type="pct"/>
            <w:shd w:val="clear" w:color="auto" w:fill="FFF2CC" w:themeFill="accent4" w:themeFillTint="33"/>
          </w:tcPr>
          <w:p w14:paraId="47AE44EA" w14:textId="7970060E"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426" w:type="pct"/>
            <w:shd w:val="clear" w:color="auto" w:fill="FFF2CC" w:themeFill="accent4" w:themeFillTint="33"/>
          </w:tcPr>
          <w:p w14:paraId="0396B22F" w14:textId="339E7FCA"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385" w:type="pct"/>
            <w:shd w:val="clear" w:color="auto" w:fill="FFF2CC" w:themeFill="accent4" w:themeFillTint="33"/>
          </w:tcPr>
          <w:p w14:paraId="473E5B23" w14:textId="285866E1"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591" w:type="pct"/>
            <w:shd w:val="clear" w:color="auto" w:fill="FFF2CC" w:themeFill="accent4" w:themeFillTint="33"/>
          </w:tcPr>
          <w:p w14:paraId="3E3B320B" w14:textId="6B1992AC"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417" w:type="pct"/>
            <w:shd w:val="clear" w:color="auto" w:fill="FFF2CC" w:themeFill="accent4" w:themeFillTint="33"/>
          </w:tcPr>
          <w:p w14:paraId="7FFBB226" w14:textId="1FD21DDC"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560" w:type="pct"/>
            <w:shd w:val="clear" w:color="auto" w:fill="FFF2CC" w:themeFill="accent4" w:themeFillTint="33"/>
          </w:tcPr>
          <w:p w14:paraId="75EE5A0E" w14:textId="057BE4EC"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421" w:type="pct"/>
            <w:shd w:val="clear" w:color="auto" w:fill="E2EFD9" w:themeFill="accent6" w:themeFillTint="33"/>
          </w:tcPr>
          <w:p w14:paraId="5401CDD6" w14:textId="6AB29A74"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382" w:type="pct"/>
            <w:shd w:val="clear" w:color="auto" w:fill="E2EFD9" w:themeFill="accent6" w:themeFillTint="33"/>
          </w:tcPr>
          <w:p w14:paraId="6442633B" w14:textId="7E170720"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r>
      <w:tr w:rsidR="00346220" w:rsidRPr="001F2BA3" w14:paraId="5FF8B4D2" w14:textId="77777777" w:rsidTr="00346220">
        <w:trPr>
          <w:trHeight w:val="154"/>
        </w:trPr>
        <w:tc>
          <w:tcPr>
            <w:tcW w:w="866" w:type="pct"/>
          </w:tcPr>
          <w:p w14:paraId="456F14D5" w14:textId="19D489B1" w:rsidR="00C93552" w:rsidRPr="001F2BA3" w:rsidRDefault="00C93552" w:rsidP="00C93552">
            <w:pPr>
              <w:pStyle w:val="Table"/>
              <w:rPr>
                <w:rFonts w:ascii="Arial" w:hAnsi="Arial"/>
                <w:noProof/>
                <w:sz w:val="24"/>
                <w:lang w:val="lv-LV"/>
              </w:rPr>
            </w:pPr>
            <w:r w:rsidRPr="001F2BA3">
              <w:rPr>
                <w:rFonts w:ascii="Arial" w:hAnsi="Arial"/>
                <w:noProof/>
                <w:sz w:val="24"/>
                <w:lang w:val="lv-LV"/>
              </w:rPr>
              <w:t>Zviedrija</w:t>
            </w:r>
          </w:p>
        </w:tc>
        <w:tc>
          <w:tcPr>
            <w:tcW w:w="464" w:type="pct"/>
            <w:shd w:val="clear" w:color="auto" w:fill="FFF2CC" w:themeFill="accent4" w:themeFillTint="33"/>
          </w:tcPr>
          <w:p w14:paraId="517EF6DC" w14:textId="7F7FFC3A"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487" w:type="pct"/>
            <w:shd w:val="clear" w:color="auto" w:fill="E2EFD9" w:themeFill="accent6" w:themeFillTint="33"/>
          </w:tcPr>
          <w:p w14:paraId="0ED13AB4" w14:textId="04285275"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r w:rsidRPr="001F2BA3">
              <w:rPr>
                <w:rStyle w:val="FootnoteReference"/>
                <w:noProof/>
                <w:lang w:val="lv-LV"/>
              </w:rPr>
              <w:t>(</w:t>
            </w:r>
            <w:r w:rsidRPr="001F2BA3">
              <w:rPr>
                <w:rStyle w:val="FootnoteReference"/>
                <w:noProof/>
                <w:lang w:val="lv-LV"/>
              </w:rPr>
              <w:footnoteReference w:id="123"/>
            </w:r>
            <w:r w:rsidRPr="001F2BA3">
              <w:rPr>
                <w:rStyle w:val="FootnoteReference"/>
                <w:noProof/>
                <w:lang w:val="lv-LV"/>
              </w:rPr>
              <w:t>))</w:t>
            </w:r>
          </w:p>
        </w:tc>
        <w:tc>
          <w:tcPr>
            <w:tcW w:w="426" w:type="pct"/>
            <w:shd w:val="clear" w:color="auto" w:fill="FFF2CC" w:themeFill="accent4" w:themeFillTint="33"/>
          </w:tcPr>
          <w:p w14:paraId="0BC5CAA2" w14:textId="447D128F"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385" w:type="pct"/>
            <w:shd w:val="clear" w:color="auto" w:fill="FFF2CC" w:themeFill="accent4" w:themeFillTint="33"/>
          </w:tcPr>
          <w:p w14:paraId="3DFB6804" w14:textId="18247E5E"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591" w:type="pct"/>
            <w:shd w:val="clear" w:color="auto" w:fill="FFF2CC" w:themeFill="accent4" w:themeFillTint="33"/>
          </w:tcPr>
          <w:p w14:paraId="70D24003" w14:textId="56E3ED77"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417" w:type="pct"/>
            <w:shd w:val="clear" w:color="auto" w:fill="FFF2CC" w:themeFill="accent4" w:themeFillTint="33"/>
          </w:tcPr>
          <w:p w14:paraId="4CEE95C5" w14:textId="588704E5"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560" w:type="pct"/>
            <w:shd w:val="clear" w:color="auto" w:fill="E2EFD9" w:themeFill="accent6" w:themeFillTint="33"/>
          </w:tcPr>
          <w:p w14:paraId="77F488F2" w14:textId="53EDD9F5"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r w:rsidRPr="001F2BA3">
              <w:rPr>
                <w:rStyle w:val="FootnoteReference"/>
                <w:noProof/>
                <w:lang w:val="lv-LV"/>
              </w:rPr>
              <w:t>(</w:t>
            </w:r>
            <w:r w:rsidRPr="001F2BA3">
              <w:rPr>
                <w:rStyle w:val="FootnoteReference"/>
                <w:noProof/>
                <w:lang w:val="lv-LV"/>
              </w:rPr>
              <w:footnoteReference w:id="124"/>
            </w:r>
            <w:r w:rsidRPr="001F2BA3">
              <w:rPr>
                <w:rStyle w:val="FootnoteReference"/>
                <w:noProof/>
                <w:lang w:val="lv-LV"/>
              </w:rPr>
              <w:t>))</w:t>
            </w:r>
          </w:p>
        </w:tc>
        <w:tc>
          <w:tcPr>
            <w:tcW w:w="421" w:type="pct"/>
            <w:shd w:val="clear" w:color="auto" w:fill="E2EFD9" w:themeFill="accent6" w:themeFillTint="33"/>
          </w:tcPr>
          <w:p w14:paraId="7B3698B5" w14:textId="5C54B0D6"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382" w:type="pct"/>
            <w:shd w:val="clear" w:color="auto" w:fill="E2EFD9" w:themeFill="accent6" w:themeFillTint="33"/>
          </w:tcPr>
          <w:p w14:paraId="788D4E10" w14:textId="799F567B"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r>
      <w:tr w:rsidR="00346220" w:rsidRPr="001F2BA3" w14:paraId="26339347" w14:textId="77777777" w:rsidTr="00346220">
        <w:trPr>
          <w:trHeight w:val="154"/>
        </w:trPr>
        <w:tc>
          <w:tcPr>
            <w:tcW w:w="866" w:type="pct"/>
          </w:tcPr>
          <w:p w14:paraId="633DC39D" w14:textId="3621BB80" w:rsidR="00C93552" w:rsidRPr="001F2BA3" w:rsidRDefault="00C93552" w:rsidP="00C93552">
            <w:pPr>
              <w:pStyle w:val="Table"/>
              <w:rPr>
                <w:rFonts w:ascii="Arial" w:hAnsi="Arial"/>
                <w:noProof/>
                <w:sz w:val="24"/>
                <w:lang w:val="lv-LV"/>
              </w:rPr>
            </w:pPr>
            <w:r w:rsidRPr="001F2BA3">
              <w:rPr>
                <w:rFonts w:ascii="Arial" w:hAnsi="Arial"/>
                <w:noProof/>
                <w:sz w:val="24"/>
                <w:lang w:val="lv-LV"/>
              </w:rPr>
              <w:t>Slovēnija</w:t>
            </w:r>
          </w:p>
        </w:tc>
        <w:tc>
          <w:tcPr>
            <w:tcW w:w="464" w:type="pct"/>
            <w:shd w:val="clear" w:color="auto" w:fill="E2EFD9" w:themeFill="accent6" w:themeFillTint="33"/>
          </w:tcPr>
          <w:p w14:paraId="53864A61" w14:textId="66FCDADF"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487" w:type="pct"/>
            <w:shd w:val="clear" w:color="auto" w:fill="FFF2CC" w:themeFill="accent4" w:themeFillTint="33"/>
          </w:tcPr>
          <w:p w14:paraId="61E05E1A" w14:textId="29717D0F"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426" w:type="pct"/>
            <w:shd w:val="clear" w:color="auto" w:fill="E2EFD9" w:themeFill="accent6" w:themeFillTint="33"/>
          </w:tcPr>
          <w:p w14:paraId="7786F6BD" w14:textId="0D502409"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385" w:type="pct"/>
            <w:shd w:val="clear" w:color="auto" w:fill="FFF2CC" w:themeFill="accent4" w:themeFillTint="33"/>
          </w:tcPr>
          <w:p w14:paraId="0FB4B510" w14:textId="40E82280"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591" w:type="pct"/>
            <w:shd w:val="clear" w:color="auto" w:fill="FFF2CC" w:themeFill="accent4" w:themeFillTint="33"/>
          </w:tcPr>
          <w:p w14:paraId="2292D8CB" w14:textId="69894BF7"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417" w:type="pct"/>
            <w:shd w:val="clear" w:color="auto" w:fill="E2EFD9" w:themeFill="accent6" w:themeFillTint="33"/>
          </w:tcPr>
          <w:p w14:paraId="76939D23" w14:textId="0215B3D6"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560" w:type="pct"/>
            <w:shd w:val="clear" w:color="auto" w:fill="FFF2CC" w:themeFill="accent4" w:themeFillTint="33"/>
          </w:tcPr>
          <w:p w14:paraId="18004D2A" w14:textId="11A05A0F"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421" w:type="pct"/>
            <w:shd w:val="clear" w:color="auto" w:fill="E2EFD9" w:themeFill="accent6" w:themeFillTint="33"/>
          </w:tcPr>
          <w:p w14:paraId="5E9D0B10" w14:textId="531DE528"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382" w:type="pct"/>
            <w:shd w:val="clear" w:color="auto" w:fill="E2EFD9" w:themeFill="accent6" w:themeFillTint="33"/>
          </w:tcPr>
          <w:p w14:paraId="49BE579A" w14:textId="6F5912FB"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r>
      <w:tr w:rsidR="00346220" w:rsidRPr="001F2BA3" w14:paraId="0D57B21B" w14:textId="77777777" w:rsidTr="00346220">
        <w:trPr>
          <w:trHeight w:val="154"/>
        </w:trPr>
        <w:tc>
          <w:tcPr>
            <w:tcW w:w="866" w:type="pct"/>
          </w:tcPr>
          <w:p w14:paraId="23A5C696" w14:textId="76AC8089" w:rsidR="00C93552" w:rsidRPr="001F2BA3" w:rsidRDefault="00C93552" w:rsidP="00C93552">
            <w:pPr>
              <w:pStyle w:val="Table"/>
              <w:rPr>
                <w:rFonts w:ascii="Arial" w:hAnsi="Arial"/>
                <w:noProof/>
                <w:sz w:val="24"/>
                <w:lang w:val="lv-LV"/>
              </w:rPr>
            </w:pPr>
            <w:r w:rsidRPr="001F2BA3">
              <w:rPr>
                <w:rFonts w:ascii="Arial" w:hAnsi="Arial"/>
                <w:noProof/>
                <w:sz w:val="24"/>
                <w:lang w:val="lv-LV"/>
              </w:rPr>
              <w:t>Slovākija</w:t>
            </w:r>
          </w:p>
        </w:tc>
        <w:tc>
          <w:tcPr>
            <w:tcW w:w="464" w:type="pct"/>
            <w:shd w:val="clear" w:color="auto" w:fill="FFF2CC" w:themeFill="accent4" w:themeFillTint="33"/>
          </w:tcPr>
          <w:p w14:paraId="29C04062" w14:textId="079521C1"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487" w:type="pct"/>
            <w:shd w:val="clear" w:color="auto" w:fill="FFF2CC" w:themeFill="accent4" w:themeFillTint="33"/>
          </w:tcPr>
          <w:p w14:paraId="4F72CBEA" w14:textId="553308CD"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426" w:type="pct"/>
            <w:shd w:val="clear" w:color="auto" w:fill="FFF2CC" w:themeFill="accent4" w:themeFillTint="33"/>
          </w:tcPr>
          <w:p w14:paraId="0205A175" w14:textId="7B41A45A"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385" w:type="pct"/>
            <w:shd w:val="clear" w:color="auto" w:fill="FFF2CC" w:themeFill="accent4" w:themeFillTint="33"/>
          </w:tcPr>
          <w:p w14:paraId="2D0FC9FD" w14:textId="7ACE598F"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591" w:type="pct"/>
            <w:shd w:val="clear" w:color="auto" w:fill="FFF2CC" w:themeFill="accent4" w:themeFillTint="33"/>
          </w:tcPr>
          <w:p w14:paraId="51C4C980" w14:textId="3A180994"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417" w:type="pct"/>
            <w:shd w:val="clear" w:color="auto" w:fill="FFF2CC" w:themeFill="accent4" w:themeFillTint="33"/>
          </w:tcPr>
          <w:p w14:paraId="05731523" w14:textId="3B6BD37E" w:rsidR="00C93552" w:rsidRPr="001F2BA3" w:rsidRDefault="00C93552" w:rsidP="00C93552">
            <w:pPr>
              <w:pStyle w:val="Table"/>
              <w:rPr>
                <w:rFonts w:ascii="Arial" w:hAnsi="Arial"/>
                <w:noProof/>
                <w:sz w:val="24"/>
                <w:lang w:val="lv-LV"/>
              </w:rPr>
            </w:pPr>
            <w:r w:rsidRPr="001F2BA3">
              <w:rPr>
                <w:rFonts w:ascii="Arial" w:hAnsi="Arial"/>
                <w:noProof/>
                <w:sz w:val="24"/>
                <w:lang w:val="lv-LV"/>
              </w:rPr>
              <w:t>Nē</w:t>
            </w:r>
          </w:p>
        </w:tc>
        <w:tc>
          <w:tcPr>
            <w:tcW w:w="560" w:type="pct"/>
            <w:shd w:val="clear" w:color="auto" w:fill="FFF2CC" w:themeFill="accent4" w:themeFillTint="33"/>
          </w:tcPr>
          <w:p w14:paraId="2AFE86D4" w14:textId="5844F095" w:rsidR="00C93552" w:rsidRPr="001F2BA3" w:rsidRDefault="00C93552" w:rsidP="00C93552">
            <w:pPr>
              <w:pStyle w:val="Table"/>
              <w:rPr>
                <w:rFonts w:ascii="Arial" w:hAnsi="Arial"/>
                <w:noProof/>
                <w:sz w:val="24"/>
                <w:lang w:val="lv-LV"/>
              </w:rPr>
            </w:pPr>
            <w:r w:rsidRPr="001F2BA3">
              <w:rPr>
                <w:rFonts w:ascii="Arial" w:hAnsi="Arial"/>
                <w:noProof/>
                <w:sz w:val="24"/>
                <w:lang w:val="lv-LV"/>
              </w:rPr>
              <w:t xml:space="preserve">Nē </w:t>
            </w:r>
          </w:p>
        </w:tc>
        <w:tc>
          <w:tcPr>
            <w:tcW w:w="421" w:type="pct"/>
            <w:shd w:val="clear" w:color="auto" w:fill="E2EFD9" w:themeFill="accent6" w:themeFillTint="33"/>
          </w:tcPr>
          <w:p w14:paraId="018745D1" w14:textId="18A7A519"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c>
          <w:tcPr>
            <w:tcW w:w="382" w:type="pct"/>
            <w:shd w:val="clear" w:color="auto" w:fill="E2EFD9" w:themeFill="accent6" w:themeFillTint="33"/>
          </w:tcPr>
          <w:p w14:paraId="3D8E0B63" w14:textId="1D454D71" w:rsidR="00C93552" w:rsidRPr="001F2BA3" w:rsidRDefault="00C93552" w:rsidP="00C93552">
            <w:pPr>
              <w:pStyle w:val="Table"/>
              <w:rPr>
                <w:rFonts w:ascii="Arial" w:hAnsi="Arial"/>
                <w:noProof/>
                <w:sz w:val="24"/>
                <w:lang w:val="lv-LV"/>
              </w:rPr>
            </w:pPr>
            <w:r w:rsidRPr="001F2BA3">
              <w:rPr>
                <w:rFonts w:ascii="Arial" w:hAnsi="Arial"/>
                <w:noProof/>
                <w:sz w:val="24"/>
                <w:lang w:val="lv-LV"/>
              </w:rPr>
              <w:t>Jā</w:t>
            </w:r>
          </w:p>
        </w:tc>
      </w:tr>
    </w:tbl>
    <w:p w14:paraId="733EE204" w14:textId="5702A9E9" w:rsidR="00B83655" w:rsidRPr="001F2BA3" w:rsidRDefault="00B83655" w:rsidP="00ED533D">
      <w:pPr>
        <w:pStyle w:val="Heading1"/>
        <w:spacing w:before="360" w:after="240" w:line="288" w:lineRule="auto"/>
        <w:rPr>
          <w:noProof/>
          <w:lang w:val="lv-LV"/>
        </w:rPr>
      </w:pPr>
      <w:bookmarkStart w:id="107" w:name="_Toc148718613"/>
      <w:bookmarkStart w:id="108" w:name="_Toc158022347"/>
      <w:r w:rsidRPr="001F2BA3">
        <w:rPr>
          <w:noProof/>
          <w:lang w:val="lv-LV"/>
        </w:rPr>
        <w:t>11. pielikums. Papildu balsošanas iespējas personām ar invaliditāti ES dalībvalstīs</w:t>
      </w:r>
      <w:r w:rsidRPr="001F2BA3">
        <w:rPr>
          <w:rStyle w:val="FootnoteReference"/>
          <w:noProof/>
          <w:lang w:val="lv-LV"/>
        </w:rPr>
        <w:t>(</w:t>
      </w:r>
      <w:r w:rsidRPr="001F2BA3">
        <w:rPr>
          <w:rStyle w:val="FootnoteReference"/>
          <w:noProof/>
          <w:lang w:val="lv-LV"/>
        </w:rPr>
        <w:footnoteReference w:id="125"/>
      </w:r>
      <w:r w:rsidRPr="001F2BA3">
        <w:rPr>
          <w:rStyle w:val="FootnoteReference"/>
          <w:noProof/>
          <w:lang w:val="lv-LV"/>
        </w:rPr>
        <w:t>))</w:t>
      </w:r>
      <w:bookmarkEnd w:id="107"/>
      <w:bookmarkEnd w:id="108"/>
    </w:p>
    <w:tbl>
      <w:tblPr>
        <w:tblStyle w:val="TableGrid"/>
        <w:tblW w:w="5000" w:type="pct"/>
        <w:tblCellMar>
          <w:top w:w="113" w:type="dxa"/>
          <w:bottom w:w="113" w:type="dxa"/>
        </w:tblCellMar>
        <w:tblLook w:val="04A0" w:firstRow="1" w:lastRow="0" w:firstColumn="1" w:lastColumn="0" w:noHBand="0" w:noVBand="1"/>
      </w:tblPr>
      <w:tblGrid>
        <w:gridCol w:w="1671"/>
        <w:gridCol w:w="1113"/>
        <w:gridCol w:w="827"/>
        <w:gridCol w:w="828"/>
        <w:gridCol w:w="828"/>
        <w:gridCol w:w="989"/>
        <w:gridCol w:w="989"/>
        <w:gridCol w:w="828"/>
        <w:gridCol w:w="987"/>
      </w:tblGrid>
      <w:tr w:rsidR="00346220" w:rsidRPr="001F2BA3" w14:paraId="1995CB00" w14:textId="77777777" w:rsidTr="00346220">
        <w:trPr>
          <w:trHeight w:val="2002"/>
          <w:tblHeader/>
        </w:trPr>
        <w:tc>
          <w:tcPr>
            <w:tcW w:w="856" w:type="pct"/>
            <w:shd w:val="clear" w:color="auto" w:fill="D9D9D9" w:themeFill="background1" w:themeFillShade="D9"/>
            <w:vAlign w:val="center"/>
          </w:tcPr>
          <w:p w14:paraId="794599F3" w14:textId="77777777" w:rsidR="00B83655" w:rsidRPr="001F2BA3" w:rsidRDefault="00B83655" w:rsidP="00ED533D">
            <w:pPr>
              <w:pStyle w:val="Table"/>
              <w:jc w:val="left"/>
              <w:rPr>
                <w:rFonts w:ascii="Arial" w:hAnsi="Arial"/>
                <w:b/>
                <w:noProof/>
                <w:sz w:val="24"/>
                <w:lang w:val="lv-LV"/>
              </w:rPr>
            </w:pPr>
            <w:r w:rsidRPr="001F2BA3">
              <w:rPr>
                <w:rFonts w:ascii="Arial" w:hAnsi="Arial"/>
                <w:b/>
                <w:noProof/>
                <w:sz w:val="24"/>
                <w:lang w:val="lv-LV"/>
              </w:rPr>
              <w:t>Valsts</w:t>
            </w:r>
          </w:p>
        </w:tc>
        <w:tc>
          <w:tcPr>
            <w:tcW w:w="623" w:type="pct"/>
            <w:shd w:val="clear" w:color="auto" w:fill="D9D9D9" w:themeFill="background1" w:themeFillShade="D9"/>
            <w:textDirection w:val="btLr"/>
            <w:vAlign w:val="center"/>
          </w:tcPr>
          <w:p w14:paraId="7E2FFCB4" w14:textId="70FD051F" w:rsidR="00B83655" w:rsidRPr="001F2BA3" w:rsidRDefault="00B83655" w:rsidP="00ED533D">
            <w:pPr>
              <w:pStyle w:val="Table"/>
              <w:jc w:val="left"/>
              <w:rPr>
                <w:rFonts w:ascii="Arial" w:hAnsi="Arial"/>
                <w:b/>
                <w:noProof/>
                <w:sz w:val="24"/>
                <w:lang w:val="lv-LV"/>
              </w:rPr>
            </w:pPr>
            <w:r w:rsidRPr="001F2BA3">
              <w:rPr>
                <w:rFonts w:ascii="Arial" w:hAnsi="Arial"/>
                <w:b/>
                <w:noProof/>
                <w:sz w:val="24"/>
                <w:lang w:val="lv-LV"/>
              </w:rPr>
              <w:t>Mobilā balsošana</w:t>
            </w:r>
            <w:r w:rsidRPr="001F2BA3">
              <w:rPr>
                <w:rStyle w:val="FootnoteReference"/>
                <w:b/>
                <w:noProof/>
                <w:lang w:val="lv-LV"/>
              </w:rPr>
              <w:t>(</w:t>
            </w:r>
            <w:r w:rsidRPr="001F2BA3">
              <w:rPr>
                <w:rStyle w:val="FootnoteReference"/>
                <w:b/>
                <w:noProof/>
                <w:lang w:val="lv-LV"/>
              </w:rPr>
              <w:footnoteReference w:id="126"/>
            </w:r>
            <w:r w:rsidRPr="001F2BA3">
              <w:rPr>
                <w:rStyle w:val="FootnoteReference"/>
                <w:b/>
                <w:noProof/>
                <w:lang w:val="lv-LV"/>
              </w:rPr>
              <w:t>))</w:t>
            </w:r>
          </w:p>
        </w:tc>
        <w:tc>
          <w:tcPr>
            <w:tcW w:w="465" w:type="pct"/>
            <w:shd w:val="clear" w:color="auto" w:fill="D9D9D9" w:themeFill="background1" w:themeFillShade="D9"/>
            <w:textDirection w:val="btLr"/>
            <w:vAlign w:val="center"/>
          </w:tcPr>
          <w:p w14:paraId="11FE884B" w14:textId="765199BF" w:rsidR="00B83655" w:rsidRPr="001F2BA3" w:rsidRDefault="00B83655" w:rsidP="00ED533D">
            <w:pPr>
              <w:pStyle w:val="Table"/>
              <w:jc w:val="left"/>
              <w:rPr>
                <w:rFonts w:ascii="Arial" w:hAnsi="Arial"/>
                <w:b/>
                <w:noProof/>
                <w:sz w:val="24"/>
                <w:lang w:val="lv-LV"/>
              </w:rPr>
            </w:pPr>
            <w:r w:rsidRPr="001F2BA3">
              <w:rPr>
                <w:rFonts w:ascii="Arial" w:hAnsi="Arial"/>
                <w:b/>
                <w:noProof/>
                <w:sz w:val="24"/>
                <w:lang w:val="lv-LV"/>
              </w:rPr>
              <w:t>Balsošana ārpus vēlēšanu iecirkņa ēkas</w:t>
            </w:r>
            <w:r w:rsidRPr="001F2BA3">
              <w:rPr>
                <w:rStyle w:val="FootnoteReference"/>
                <w:b/>
                <w:noProof/>
                <w:lang w:val="lv-LV"/>
              </w:rPr>
              <w:t>(</w:t>
            </w:r>
            <w:r w:rsidRPr="001F2BA3">
              <w:rPr>
                <w:rStyle w:val="FootnoteReference"/>
                <w:b/>
                <w:noProof/>
                <w:lang w:val="lv-LV"/>
              </w:rPr>
              <w:footnoteReference w:id="127"/>
            </w:r>
            <w:r w:rsidRPr="001F2BA3">
              <w:rPr>
                <w:rStyle w:val="FootnoteReference"/>
                <w:b/>
                <w:noProof/>
                <w:lang w:val="lv-LV"/>
              </w:rPr>
              <w:t>))</w:t>
            </w:r>
          </w:p>
        </w:tc>
        <w:tc>
          <w:tcPr>
            <w:tcW w:w="465" w:type="pct"/>
            <w:shd w:val="clear" w:color="auto" w:fill="D9D9D9" w:themeFill="background1" w:themeFillShade="D9"/>
            <w:textDirection w:val="btLr"/>
            <w:vAlign w:val="center"/>
          </w:tcPr>
          <w:p w14:paraId="6CBF654F" w14:textId="52D6D4D1" w:rsidR="00B83655" w:rsidRPr="001F2BA3" w:rsidRDefault="00B83655" w:rsidP="00ED533D">
            <w:pPr>
              <w:pStyle w:val="Table"/>
              <w:jc w:val="left"/>
              <w:rPr>
                <w:rFonts w:ascii="Arial" w:hAnsi="Arial"/>
                <w:b/>
                <w:noProof/>
                <w:sz w:val="24"/>
                <w:lang w:val="lv-LV"/>
              </w:rPr>
            </w:pPr>
            <w:r w:rsidRPr="001F2BA3">
              <w:rPr>
                <w:rFonts w:ascii="Arial" w:hAnsi="Arial"/>
                <w:b/>
                <w:noProof/>
                <w:sz w:val="24"/>
                <w:lang w:val="lv-LV"/>
              </w:rPr>
              <w:t>Vēlēšanu iecirkņa izvēle</w:t>
            </w:r>
            <w:r w:rsidRPr="001F2BA3">
              <w:rPr>
                <w:rStyle w:val="FootnoteReference"/>
                <w:b/>
                <w:noProof/>
                <w:lang w:val="lv-LV"/>
              </w:rPr>
              <w:t>(</w:t>
            </w:r>
            <w:r w:rsidRPr="001F2BA3">
              <w:rPr>
                <w:rStyle w:val="FootnoteReference"/>
                <w:b/>
                <w:noProof/>
                <w:lang w:val="lv-LV"/>
              </w:rPr>
              <w:footnoteReference w:id="128"/>
            </w:r>
            <w:r w:rsidRPr="001F2BA3">
              <w:rPr>
                <w:rStyle w:val="FootnoteReference"/>
                <w:b/>
                <w:noProof/>
                <w:lang w:val="lv-LV"/>
              </w:rPr>
              <w:t>))</w:t>
            </w:r>
          </w:p>
        </w:tc>
        <w:tc>
          <w:tcPr>
            <w:tcW w:w="465" w:type="pct"/>
            <w:shd w:val="clear" w:color="auto" w:fill="D9D9D9" w:themeFill="background1" w:themeFillShade="D9"/>
            <w:textDirection w:val="btLr"/>
            <w:vAlign w:val="center"/>
          </w:tcPr>
          <w:p w14:paraId="059E6D28" w14:textId="6C9E90F7" w:rsidR="00B83655" w:rsidRPr="001F2BA3" w:rsidRDefault="00B83655" w:rsidP="00ED533D">
            <w:pPr>
              <w:pStyle w:val="Table"/>
              <w:jc w:val="left"/>
              <w:rPr>
                <w:rFonts w:ascii="Arial" w:hAnsi="Arial"/>
                <w:b/>
                <w:noProof/>
                <w:sz w:val="24"/>
                <w:lang w:val="lv-LV"/>
              </w:rPr>
            </w:pPr>
            <w:r w:rsidRPr="001F2BA3">
              <w:rPr>
                <w:rFonts w:ascii="Arial" w:hAnsi="Arial"/>
                <w:b/>
                <w:noProof/>
                <w:sz w:val="24"/>
                <w:lang w:val="lv-LV"/>
              </w:rPr>
              <w:t>Iepriekšēja balsošana</w:t>
            </w:r>
            <w:r w:rsidRPr="001F2BA3">
              <w:rPr>
                <w:rStyle w:val="FootnoteReference"/>
                <w:b/>
                <w:noProof/>
                <w:lang w:val="lv-LV"/>
              </w:rPr>
              <w:t>(</w:t>
            </w:r>
            <w:r w:rsidRPr="001F2BA3">
              <w:rPr>
                <w:rStyle w:val="FootnoteReference"/>
                <w:b/>
                <w:noProof/>
                <w:lang w:val="lv-LV"/>
              </w:rPr>
              <w:footnoteReference w:id="129"/>
            </w:r>
            <w:r w:rsidRPr="001F2BA3">
              <w:rPr>
                <w:rStyle w:val="FootnoteReference"/>
                <w:b/>
                <w:noProof/>
                <w:lang w:val="lv-LV"/>
              </w:rPr>
              <w:t>))</w:t>
            </w:r>
          </w:p>
        </w:tc>
        <w:tc>
          <w:tcPr>
            <w:tcW w:w="554" w:type="pct"/>
            <w:shd w:val="clear" w:color="auto" w:fill="D9D9D9" w:themeFill="background1" w:themeFillShade="D9"/>
            <w:textDirection w:val="btLr"/>
            <w:vAlign w:val="center"/>
          </w:tcPr>
          <w:p w14:paraId="29CE48E9" w14:textId="0A962F16" w:rsidR="00B83655" w:rsidRPr="001F2BA3" w:rsidRDefault="00B83655" w:rsidP="00ED533D">
            <w:pPr>
              <w:pStyle w:val="Table"/>
              <w:jc w:val="left"/>
              <w:rPr>
                <w:rFonts w:ascii="Arial" w:hAnsi="Arial"/>
                <w:b/>
                <w:noProof/>
                <w:sz w:val="24"/>
                <w:lang w:val="lv-LV"/>
              </w:rPr>
            </w:pPr>
            <w:r w:rsidRPr="001F2BA3">
              <w:rPr>
                <w:rFonts w:ascii="Arial" w:hAnsi="Arial"/>
                <w:b/>
                <w:noProof/>
                <w:sz w:val="24"/>
                <w:lang w:val="lv-LV"/>
              </w:rPr>
              <w:t>Balsošana pa pastu</w:t>
            </w:r>
            <w:r w:rsidRPr="001F2BA3">
              <w:rPr>
                <w:rStyle w:val="FootnoteReference"/>
                <w:b/>
                <w:noProof/>
                <w:lang w:val="lv-LV"/>
              </w:rPr>
              <w:t>(</w:t>
            </w:r>
            <w:r w:rsidRPr="001F2BA3">
              <w:rPr>
                <w:rStyle w:val="FootnoteReference"/>
                <w:b/>
                <w:noProof/>
                <w:lang w:val="lv-LV"/>
              </w:rPr>
              <w:footnoteReference w:id="130"/>
            </w:r>
            <w:r w:rsidRPr="001F2BA3">
              <w:rPr>
                <w:rStyle w:val="FootnoteReference"/>
                <w:b/>
                <w:noProof/>
                <w:lang w:val="lv-LV"/>
              </w:rPr>
              <w:t>))</w:t>
            </w:r>
          </w:p>
        </w:tc>
        <w:tc>
          <w:tcPr>
            <w:tcW w:w="554" w:type="pct"/>
            <w:shd w:val="clear" w:color="auto" w:fill="D9D9D9" w:themeFill="background1" w:themeFillShade="D9"/>
            <w:textDirection w:val="btLr"/>
            <w:vAlign w:val="center"/>
          </w:tcPr>
          <w:p w14:paraId="69CFE104" w14:textId="22AA1554" w:rsidR="00B83655" w:rsidRPr="001F2BA3" w:rsidRDefault="00B83655" w:rsidP="00ED533D">
            <w:pPr>
              <w:pStyle w:val="Table"/>
              <w:jc w:val="left"/>
              <w:rPr>
                <w:rFonts w:ascii="Arial" w:hAnsi="Arial"/>
                <w:b/>
                <w:noProof/>
                <w:sz w:val="24"/>
                <w:lang w:val="lv-LV"/>
              </w:rPr>
            </w:pPr>
            <w:r w:rsidRPr="001F2BA3">
              <w:rPr>
                <w:rFonts w:ascii="Arial" w:hAnsi="Arial"/>
                <w:b/>
                <w:noProof/>
                <w:sz w:val="24"/>
                <w:lang w:val="lv-LV"/>
              </w:rPr>
              <w:t>Balsošana ar palīdzību</w:t>
            </w:r>
            <w:r w:rsidRPr="001F2BA3">
              <w:rPr>
                <w:rStyle w:val="FootnoteReference"/>
                <w:b/>
                <w:noProof/>
                <w:lang w:val="lv-LV"/>
              </w:rPr>
              <w:t>(</w:t>
            </w:r>
            <w:r w:rsidRPr="001F2BA3">
              <w:rPr>
                <w:rStyle w:val="FootnoteReference"/>
                <w:b/>
                <w:noProof/>
                <w:lang w:val="lv-LV"/>
              </w:rPr>
              <w:footnoteReference w:id="131"/>
            </w:r>
            <w:r w:rsidRPr="001F2BA3">
              <w:rPr>
                <w:rStyle w:val="FootnoteReference"/>
                <w:b/>
                <w:noProof/>
                <w:lang w:val="lv-LV"/>
              </w:rPr>
              <w:t>))</w:t>
            </w:r>
          </w:p>
        </w:tc>
        <w:tc>
          <w:tcPr>
            <w:tcW w:w="465" w:type="pct"/>
            <w:shd w:val="clear" w:color="auto" w:fill="D9D9D9" w:themeFill="background1" w:themeFillShade="D9"/>
            <w:textDirection w:val="btLr"/>
            <w:vAlign w:val="center"/>
          </w:tcPr>
          <w:p w14:paraId="66F85681" w14:textId="5B6EF822" w:rsidR="00B83655" w:rsidRPr="001F2BA3" w:rsidRDefault="00B83655" w:rsidP="00ED533D">
            <w:pPr>
              <w:pStyle w:val="Table"/>
              <w:jc w:val="left"/>
              <w:rPr>
                <w:rFonts w:ascii="Arial" w:hAnsi="Arial"/>
                <w:b/>
                <w:noProof/>
                <w:sz w:val="24"/>
                <w:lang w:val="lv-LV"/>
              </w:rPr>
            </w:pPr>
            <w:r w:rsidRPr="001F2BA3">
              <w:rPr>
                <w:rFonts w:ascii="Arial" w:hAnsi="Arial"/>
                <w:b/>
                <w:noProof/>
                <w:sz w:val="24"/>
                <w:lang w:val="lv-LV"/>
              </w:rPr>
              <w:t>Balsošana ar pilnvarojumu</w:t>
            </w:r>
            <w:r w:rsidRPr="001F2BA3">
              <w:rPr>
                <w:rStyle w:val="FootnoteReference"/>
                <w:b/>
                <w:noProof/>
                <w:lang w:val="lv-LV"/>
              </w:rPr>
              <w:t>(</w:t>
            </w:r>
            <w:r w:rsidRPr="001F2BA3">
              <w:rPr>
                <w:rStyle w:val="FootnoteReference"/>
                <w:b/>
                <w:noProof/>
                <w:lang w:val="lv-LV"/>
              </w:rPr>
              <w:footnoteReference w:id="132"/>
            </w:r>
            <w:r w:rsidRPr="001F2BA3">
              <w:rPr>
                <w:rStyle w:val="FootnoteReference"/>
                <w:b/>
                <w:noProof/>
                <w:lang w:val="lv-LV"/>
              </w:rPr>
              <w:t>))</w:t>
            </w:r>
          </w:p>
        </w:tc>
        <w:tc>
          <w:tcPr>
            <w:tcW w:w="554" w:type="pct"/>
            <w:shd w:val="clear" w:color="auto" w:fill="D9D9D9" w:themeFill="background1" w:themeFillShade="D9"/>
            <w:textDirection w:val="btLr"/>
            <w:vAlign w:val="center"/>
          </w:tcPr>
          <w:p w14:paraId="601B7CF6" w14:textId="26A23210" w:rsidR="00B83655" w:rsidRPr="001F2BA3" w:rsidRDefault="00B83655" w:rsidP="00ED533D">
            <w:pPr>
              <w:pStyle w:val="Table"/>
              <w:jc w:val="left"/>
              <w:rPr>
                <w:rFonts w:ascii="Arial" w:hAnsi="Arial"/>
                <w:b/>
                <w:noProof/>
                <w:sz w:val="24"/>
                <w:lang w:val="lv-LV"/>
              </w:rPr>
            </w:pPr>
            <w:r w:rsidRPr="001F2BA3">
              <w:rPr>
                <w:rFonts w:ascii="Arial" w:hAnsi="Arial"/>
                <w:b/>
                <w:noProof/>
                <w:sz w:val="24"/>
                <w:lang w:val="lv-LV"/>
              </w:rPr>
              <w:t>Balsošana internetā</w:t>
            </w:r>
            <w:r w:rsidRPr="001F2BA3">
              <w:rPr>
                <w:rStyle w:val="FootnoteReference"/>
                <w:b/>
                <w:noProof/>
                <w:lang w:val="lv-LV"/>
              </w:rPr>
              <w:t>(</w:t>
            </w:r>
            <w:r w:rsidRPr="001F2BA3">
              <w:rPr>
                <w:rStyle w:val="FootnoteReference"/>
                <w:b/>
                <w:noProof/>
                <w:lang w:val="lv-LV"/>
              </w:rPr>
              <w:footnoteReference w:id="133"/>
            </w:r>
            <w:r w:rsidRPr="001F2BA3">
              <w:rPr>
                <w:rStyle w:val="FootnoteReference"/>
                <w:b/>
                <w:noProof/>
                <w:lang w:val="lv-LV"/>
              </w:rPr>
              <w:t>))</w:t>
            </w:r>
          </w:p>
        </w:tc>
      </w:tr>
      <w:tr w:rsidR="00346220" w:rsidRPr="001F2BA3" w14:paraId="49A94E3D" w14:textId="77777777" w:rsidTr="00346220">
        <w:trPr>
          <w:trHeight w:val="242"/>
        </w:trPr>
        <w:tc>
          <w:tcPr>
            <w:tcW w:w="856" w:type="pct"/>
          </w:tcPr>
          <w:p w14:paraId="22998C7A" w14:textId="654D3496" w:rsidR="00B83655" w:rsidRPr="001F2BA3" w:rsidRDefault="00B83655" w:rsidP="00B42AEB">
            <w:pPr>
              <w:pStyle w:val="Table"/>
              <w:rPr>
                <w:rFonts w:ascii="Arial" w:hAnsi="Arial"/>
                <w:noProof/>
                <w:sz w:val="24"/>
                <w:lang w:val="lv-LV"/>
              </w:rPr>
            </w:pPr>
            <w:r w:rsidRPr="001F2BA3">
              <w:rPr>
                <w:rFonts w:ascii="Arial" w:hAnsi="Arial"/>
                <w:noProof/>
                <w:sz w:val="24"/>
                <w:lang w:val="lv-LV"/>
              </w:rPr>
              <w:t>Austrija</w:t>
            </w:r>
          </w:p>
        </w:tc>
        <w:tc>
          <w:tcPr>
            <w:tcW w:w="623" w:type="pct"/>
            <w:shd w:val="clear" w:color="auto" w:fill="E2EFD9" w:themeFill="accent6" w:themeFillTint="33"/>
          </w:tcPr>
          <w:p w14:paraId="77AEF71D" w14:textId="09516621"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0E4B08BA" w14:textId="71D571D3"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E2EFD9" w:themeFill="accent6" w:themeFillTint="33"/>
          </w:tcPr>
          <w:p w14:paraId="6F9A7E57" w14:textId="1253ACDF"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14EDC758" w14:textId="5CEB2CF7"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E2EFD9" w:themeFill="accent6" w:themeFillTint="33"/>
          </w:tcPr>
          <w:p w14:paraId="010538A4" w14:textId="51C0368C"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554" w:type="pct"/>
            <w:shd w:val="clear" w:color="auto" w:fill="E2EFD9" w:themeFill="accent6" w:themeFillTint="33"/>
          </w:tcPr>
          <w:p w14:paraId="405A8B7F" w14:textId="5D1C956C"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6CA66F83" w14:textId="4AA2AE0C"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FFF2CC" w:themeFill="accent4" w:themeFillTint="33"/>
          </w:tcPr>
          <w:p w14:paraId="4810DADE" w14:textId="23AE3185"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r>
      <w:tr w:rsidR="00346220" w:rsidRPr="001F2BA3" w14:paraId="11059DBD" w14:textId="77777777" w:rsidTr="00346220">
        <w:trPr>
          <w:trHeight w:val="242"/>
        </w:trPr>
        <w:tc>
          <w:tcPr>
            <w:tcW w:w="856" w:type="pct"/>
          </w:tcPr>
          <w:p w14:paraId="7F2B60F5" w14:textId="3A936484" w:rsidR="00B83655" w:rsidRPr="001F2BA3" w:rsidRDefault="00B83655" w:rsidP="00B42AEB">
            <w:pPr>
              <w:pStyle w:val="Table"/>
              <w:rPr>
                <w:rFonts w:ascii="Arial" w:hAnsi="Arial"/>
                <w:noProof/>
                <w:sz w:val="24"/>
                <w:lang w:val="lv-LV"/>
              </w:rPr>
            </w:pPr>
            <w:r w:rsidRPr="001F2BA3">
              <w:rPr>
                <w:rFonts w:ascii="Arial" w:hAnsi="Arial"/>
                <w:noProof/>
                <w:sz w:val="24"/>
                <w:lang w:val="lv-LV"/>
              </w:rPr>
              <w:t>Beļģija</w:t>
            </w:r>
          </w:p>
        </w:tc>
        <w:tc>
          <w:tcPr>
            <w:tcW w:w="623" w:type="pct"/>
            <w:shd w:val="clear" w:color="auto" w:fill="FFF2CC" w:themeFill="accent4" w:themeFillTint="33"/>
          </w:tcPr>
          <w:p w14:paraId="3E339F4D" w14:textId="7B9DCAC0"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FFF2CC" w:themeFill="accent4" w:themeFillTint="33"/>
          </w:tcPr>
          <w:p w14:paraId="5D731008" w14:textId="6E70DB18"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E2EFD9" w:themeFill="accent6" w:themeFillTint="33"/>
          </w:tcPr>
          <w:p w14:paraId="223AF28D" w14:textId="27B1068E"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4A77D76D" w14:textId="5188B7B5"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E2EFD9" w:themeFill="accent6" w:themeFillTint="33"/>
          </w:tcPr>
          <w:p w14:paraId="72904005" w14:textId="1B65E51B"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r w:rsidRPr="001F2BA3">
              <w:rPr>
                <w:rStyle w:val="FootnoteReference"/>
                <w:noProof/>
                <w:lang w:val="lv-LV"/>
              </w:rPr>
              <w:t>(</w:t>
            </w:r>
            <w:r w:rsidRPr="001F2BA3">
              <w:rPr>
                <w:rStyle w:val="FootnoteReference"/>
                <w:noProof/>
                <w:lang w:val="lv-LV"/>
              </w:rPr>
              <w:footnoteReference w:id="134"/>
            </w:r>
            <w:r w:rsidRPr="001F2BA3">
              <w:rPr>
                <w:rStyle w:val="FootnoteReference"/>
                <w:noProof/>
                <w:lang w:val="lv-LV"/>
              </w:rPr>
              <w:t>))</w:t>
            </w:r>
          </w:p>
        </w:tc>
        <w:tc>
          <w:tcPr>
            <w:tcW w:w="554" w:type="pct"/>
            <w:shd w:val="clear" w:color="auto" w:fill="E2EFD9" w:themeFill="accent6" w:themeFillTint="33"/>
          </w:tcPr>
          <w:p w14:paraId="22F4EE56" w14:textId="271CB317"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E2EFD9" w:themeFill="accent6" w:themeFillTint="33"/>
          </w:tcPr>
          <w:p w14:paraId="29683016" w14:textId="4B51155B"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554" w:type="pct"/>
            <w:shd w:val="clear" w:color="auto" w:fill="FFF2CC" w:themeFill="accent4" w:themeFillTint="33"/>
          </w:tcPr>
          <w:p w14:paraId="1D09837A" w14:textId="66A6DF25"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r>
      <w:tr w:rsidR="00346220" w:rsidRPr="001F2BA3" w14:paraId="49B401AE" w14:textId="77777777" w:rsidTr="00346220">
        <w:trPr>
          <w:trHeight w:val="242"/>
        </w:trPr>
        <w:tc>
          <w:tcPr>
            <w:tcW w:w="856" w:type="pct"/>
          </w:tcPr>
          <w:p w14:paraId="1F811AE7" w14:textId="28BEA2D3" w:rsidR="00B83655" w:rsidRPr="001F2BA3" w:rsidRDefault="00B83655" w:rsidP="00B42AEB">
            <w:pPr>
              <w:pStyle w:val="Table"/>
              <w:rPr>
                <w:rFonts w:ascii="Arial" w:hAnsi="Arial"/>
                <w:noProof/>
                <w:sz w:val="24"/>
                <w:lang w:val="lv-LV"/>
              </w:rPr>
            </w:pPr>
            <w:r w:rsidRPr="001F2BA3">
              <w:rPr>
                <w:rFonts w:ascii="Arial" w:hAnsi="Arial"/>
                <w:noProof/>
                <w:sz w:val="24"/>
                <w:lang w:val="lv-LV"/>
              </w:rPr>
              <w:t>Bulgārija</w:t>
            </w:r>
          </w:p>
        </w:tc>
        <w:tc>
          <w:tcPr>
            <w:tcW w:w="623" w:type="pct"/>
            <w:shd w:val="clear" w:color="auto" w:fill="E2EFD9" w:themeFill="accent6" w:themeFillTint="33"/>
          </w:tcPr>
          <w:p w14:paraId="36F1CF15" w14:textId="0E54FBBA"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75A2372F" w14:textId="5A0A5134"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E2EFD9" w:themeFill="accent6" w:themeFillTint="33"/>
          </w:tcPr>
          <w:p w14:paraId="6B2C0F1E" w14:textId="435B0FE0"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144CD448" w14:textId="43E3A234"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FFF2CC" w:themeFill="accent4" w:themeFillTint="33"/>
          </w:tcPr>
          <w:p w14:paraId="627894A9" w14:textId="3EB60230"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E2EFD9" w:themeFill="accent6" w:themeFillTint="33"/>
          </w:tcPr>
          <w:p w14:paraId="46EC14AD" w14:textId="2CA4F2CF"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69E1FF4C" w14:textId="069F383E"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FFF2CC" w:themeFill="accent4" w:themeFillTint="33"/>
          </w:tcPr>
          <w:p w14:paraId="1E0BE745" w14:textId="3E16044B"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r>
      <w:tr w:rsidR="00346220" w:rsidRPr="001F2BA3" w14:paraId="5F8F24B6" w14:textId="77777777" w:rsidTr="00346220">
        <w:trPr>
          <w:trHeight w:val="70"/>
        </w:trPr>
        <w:tc>
          <w:tcPr>
            <w:tcW w:w="856" w:type="pct"/>
          </w:tcPr>
          <w:p w14:paraId="19B15238" w14:textId="24C53319" w:rsidR="00B83655" w:rsidRPr="001F2BA3" w:rsidRDefault="00B83655" w:rsidP="00B42AEB">
            <w:pPr>
              <w:pStyle w:val="Table"/>
              <w:rPr>
                <w:rFonts w:ascii="Arial" w:hAnsi="Arial"/>
                <w:noProof/>
                <w:sz w:val="24"/>
                <w:lang w:val="lv-LV"/>
              </w:rPr>
            </w:pPr>
            <w:r w:rsidRPr="001F2BA3">
              <w:rPr>
                <w:rFonts w:ascii="Arial" w:hAnsi="Arial"/>
                <w:noProof/>
                <w:sz w:val="24"/>
                <w:lang w:val="lv-LV"/>
              </w:rPr>
              <w:t>Kipra</w:t>
            </w:r>
          </w:p>
        </w:tc>
        <w:tc>
          <w:tcPr>
            <w:tcW w:w="623" w:type="pct"/>
            <w:shd w:val="clear" w:color="auto" w:fill="FFF2CC" w:themeFill="accent4" w:themeFillTint="33"/>
          </w:tcPr>
          <w:p w14:paraId="42ABF84C" w14:textId="7FCB7B71"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FFF2CC" w:themeFill="accent4" w:themeFillTint="33"/>
          </w:tcPr>
          <w:p w14:paraId="5A616029" w14:textId="397392D9"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FFF2CC" w:themeFill="accent4" w:themeFillTint="33"/>
          </w:tcPr>
          <w:p w14:paraId="64B2FBF4" w14:textId="112C1688"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FFF2CC" w:themeFill="accent4" w:themeFillTint="33"/>
          </w:tcPr>
          <w:p w14:paraId="4178B188" w14:textId="545073E1"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FFF2CC" w:themeFill="accent4" w:themeFillTint="33"/>
          </w:tcPr>
          <w:p w14:paraId="4E3F8BD7" w14:textId="4C98F56D"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E2EFD9" w:themeFill="accent6" w:themeFillTint="33"/>
          </w:tcPr>
          <w:p w14:paraId="76E4A459" w14:textId="5D1C6F22"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3C81E417" w14:textId="2426FBD2"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FFF2CC" w:themeFill="accent4" w:themeFillTint="33"/>
          </w:tcPr>
          <w:p w14:paraId="5E1826A3" w14:textId="7A536269"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r>
      <w:tr w:rsidR="00346220" w:rsidRPr="001F2BA3" w14:paraId="352D1E24" w14:textId="77777777" w:rsidTr="00346220">
        <w:trPr>
          <w:trHeight w:val="70"/>
        </w:trPr>
        <w:tc>
          <w:tcPr>
            <w:tcW w:w="856" w:type="pct"/>
          </w:tcPr>
          <w:p w14:paraId="118050BB" w14:textId="079E0F9A" w:rsidR="00B83655" w:rsidRPr="001F2BA3" w:rsidRDefault="00B83655" w:rsidP="00B42AEB">
            <w:pPr>
              <w:pStyle w:val="Table"/>
              <w:rPr>
                <w:rFonts w:ascii="Arial" w:hAnsi="Arial"/>
                <w:noProof/>
                <w:sz w:val="24"/>
                <w:lang w:val="lv-LV"/>
              </w:rPr>
            </w:pPr>
            <w:r w:rsidRPr="001F2BA3">
              <w:rPr>
                <w:rFonts w:ascii="Arial" w:hAnsi="Arial"/>
                <w:noProof/>
                <w:sz w:val="24"/>
                <w:lang w:val="lv-LV"/>
              </w:rPr>
              <w:t>Čehija</w:t>
            </w:r>
          </w:p>
        </w:tc>
        <w:tc>
          <w:tcPr>
            <w:tcW w:w="623" w:type="pct"/>
            <w:shd w:val="clear" w:color="auto" w:fill="E2EFD9" w:themeFill="accent6" w:themeFillTint="33"/>
          </w:tcPr>
          <w:p w14:paraId="02A5DE05" w14:textId="0851D1DE"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E2EFD9" w:themeFill="accent6" w:themeFillTint="33"/>
          </w:tcPr>
          <w:p w14:paraId="30430F41" w14:textId="2D9A3D3A"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E2EFD9" w:themeFill="accent6" w:themeFillTint="33"/>
          </w:tcPr>
          <w:p w14:paraId="17ACF541" w14:textId="53880FFD"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6149716A" w14:textId="7169C452"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FFF2CC" w:themeFill="accent4" w:themeFillTint="33"/>
          </w:tcPr>
          <w:p w14:paraId="5990CF31" w14:textId="0FA165EC"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E2EFD9" w:themeFill="accent6" w:themeFillTint="33"/>
          </w:tcPr>
          <w:p w14:paraId="236962EB" w14:textId="426A1348"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1D049C3A" w14:textId="694E6CC7"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FFF2CC" w:themeFill="accent4" w:themeFillTint="33"/>
          </w:tcPr>
          <w:p w14:paraId="54EA2227" w14:textId="78188A22"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r>
      <w:tr w:rsidR="00346220" w:rsidRPr="001F2BA3" w14:paraId="0C3D4126" w14:textId="77777777" w:rsidTr="00346220">
        <w:trPr>
          <w:trHeight w:val="70"/>
        </w:trPr>
        <w:tc>
          <w:tcPr>
            <w:tcW w:w="856" w:type="pct"/>
          </w:tcPr>
          <w:p w14:paraId="1EEA1B1B" w14:textId="13D2927B" w:rsidR="00B83655" w:rsidRPr="001F2BA3" w:rsidRDefault="00ED533D" w:rsidP="00B42AEB">
            <w:pPr>
              <w:pStyle w:val="Table"/>
              <w:rPr>
                <w:rFonts w:ascii="Arial" w:hAnsi="Arial"/>
                <w:noProof/>
                <w:sz w:val="24"/>
                <w:lang w:val="lv-LV"/>
              </w:rPr>
            </w:pPr>
            <w:r w:rsidRPr="001F2BA3">
              <w:rPr>
                <w:rFonts w:ascii="Arial" w:hAnsi="Arial"/>
                <w:noProof/>
                <w:sz w:val="24"/>
                <w:lang w:val="lv-LV"/>
              </w:rPr>
              <w:t>Vācija</w:t>
            </w:r>
          </w:p>
        </w:tc>
        <w:tc>
          <w:tcPr>
            <w:tcW w:w="623" w:type="pct"/>
            <w:shd w:val="clear" w:color="auto" w:fill="FFF2CC" w:themeFill="accent4" w:themeFillTint="33"/>
          </w:tcPr>
          <w:p w14:paraId="161E8DFD" w14:textId="7C2C7C2B"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FFF2CC" w:themeFill="accent4" w:themeFillTint="33"/>
          </w:tcPr>
          <w:p w14:paraId="2D39D8B6" w14:textId="2E847916"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E2EFD9" w:themeFill="accent6" w:themeFillTint="33"/>
          </w:tcPr>
          <w:p w14:paraId="1F3B81A1" w14:textId="152902E2"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48E8CA37" w14:textId="700B4D1C"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E2EFD9" w:themeFill="accent6" w:themeFillTint="33"/>
          </w:tcPr>
          <w:p w14:paraId="25A279D2" w14:textId="488AA40E"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554" w:type="pct"/>
            <w:shd w:val="clear" w:color="auto" w:fill="E2EFD9" w:themeFill="accent6" w:themeFillTint="33"/>
          </w:tcPr>
          <w:p w14:paraId="65283EF5" w14:textId="53E63EDB"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54043CC1" w14:textId="3DE9DCCD"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FFF2CC" w:themeFill="accent4" w:themeFillTint="33"/>
          </w:tcPr>
          <w:p w14:paraId="419BACB4" w14:textId="5B1E03A9"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r>
      <w:tr w:rsidR="00346220" w:rsidRPr="001F2BA3" w14:paraId="6C1EF066" w14:textId="77777777" w:rsidTr="00346220">
        <w:trPr>
          <w:trHeight w:val="70"/>
        </w:trPr>
        <w:tc>
          <w:tcPr>
            <w:tcW w:w="856" w:type="pct"/>
          </w:tcPr>
          <w:p w14:paraId="24F8F46C" w14:textId="429F4773" w:rsidR="00B83655" w:rsidRPr="001F2BA3" w:rsidRDefault="00B83655" w:rsidP="00B42AEB">
            <w:pPr>
              <w:pStyle w:val="Table"/>
              <w:rPr>
                <w:rFonts w:ascii="Arial" w:hAnsi="Arial"/>
                <w:noProof/>
                <w:sz w:val="24"/>
                <w:lang w:val="lv-LV"/>
              </w:rPr>
            </w:pPr>
            <w:r w:rsidRPr="001F2BA3">
              <w:rPr>
                <w:rFonts w:ascii="Arial" w:hAnsi="Arial"/>
                <w:noProof/>
                <w:sz w:val="24"/>
                <w:lang w:val="lv-LV"/>
              </w:rPr>
              <w:t>Dānija</w:t>
            </w:r>
          </w:p>
        </w:tc>
        <w:tc>
          <w:tcPr>
            <w:tcW w:w="623" w:type="pct"/>
            <w:shd w:val="clear" w:color="auto" w:fill="E2EFD9" w:themeFill="accent6" w:themeFillTint="33"/>
          </w:tcPr>
          <w:p w14:paraId="7DC58DC0" w14:textId="5F17EDEF"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E2EFD9" w:themeFill="accent6" w:themeFillTint="33"/>
          </w:tcPr>
          <w:p w14:paraId="1EDBF9A2" w14:textId="5CA6D8DC"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E2EFD9" w:themeFill="accent6" w:themeFillTint="33"/>
          </w:tcPr>
          <w:p w14:paraId="7804917E" w14:textId="5C860CEC"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E2EFD9" w:themeFill="accent6" w:themeFillTint="33"/>
          </w:tcPr>
          <w:p w14:paraId="624E8037" w14:textId="38C04877"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554" w:type="pct"/>
            <w:shd w:val="clear" w:color="auto" w:fill="FFF2CC" w:themeFill="accent4" w:themeFillTint="33"/>
          </w:tcPr>
          <w:p w14:paraId="7899981E" w14:textId="170F8DEE"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E2EFD9" w:themeFill="accent6" w:themeFillTint="33"/>
          </w:tcPr>
          <w:p w14:paraId="376DA472" w14:textId="3E24ACA9"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044A7279" w14:textId="75D624B7"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FFF2CC" w:themeFill="accent4" w:themeFillTint="33"/>
          </w:tcPr>
          <w:p w14:paraId="37164341" w14:textId="707263E4"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r>
      <w:tr w:rsidR="00346220" w:rsidRPr="001F2BA3" w14:paraId="263A1622" w14:textId="77777777" w:rsidTr="00346220">
        <w:trPr>
          <w:trHeight w:val="154"/>
        </w:trPr>
        <w:tc>
          <w:tcPr>
            <w:tcW w:w="856" w:type="pct"/>
          </w:tcPr>
          <w:p w14:paraId="79F96672" w14:textId="1BD0F21A" w:rsidR="00B83655" w:rsidRPr="001F2BA3" w:rsidRDefault="00B83655" w:rsidP="00B42AEB">
            <w:pPr>
              <w:pStyle w:val="Table"/>
              <w:rPr>
                <w:rFonts w:ascii="Arial" w:hAnsi="Arial"/>
                <w:noProof/>
                <w:sz w:val="24"/>
                <w:lang w:val="lv-LV"/>
              </w:rPr>
            </w:pPr>
            <w:r w:rsidRPr="001F2BA3">
              <w:rPr>
                <w:rFonts w:ascii="Arial" w:hAnsi="Arial"/>
                <w:noProof/>
                <w:sz w:val="24"/>
                <w:lang w:val="lv-LV"/>
              </w:rPr>
              <w:t>Igaunija</w:t>
            </w:r>
          </w:p>
        </w:tc>
        <w:tc>
          <w:tcPr>
            <w:tcW w:w="623" w:type="pct"/>
            <w:shd w:val="clear" w:color="auto" w:fill="E2EFD9" w:themeFill="accent6" w:themeFillTint="33"/>
          </w:tcPr>
          <w:p w14:paraId="6FDC2B1B" w14:textId="5554E9DD"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6C6EA936" w14:textId="130F5A63"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E2EFD9" w:themeFill="accent6" w:themeFillTint="33"/>
          </w:tcPr>
          <w:p w14:paraId="6C5E66F0" w14:textId="554D1A66"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E2EFD9" w:themeFill="accent6" w:themeFillTint="33"/>
          </w:tcPr>
          <w:p w14:paraId="7C9FFBCC" w14:textId="6DCA1FE1"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554" w:type="pct"/>
            <w:shd w:val="clear" w:color="auto" w:fill="FFF2CC" w:themeFill="accent4" w:themeFillTint="33"/>
          </w:tcPr>
          <w:p w14:paraId="208BAFA1" w14:textId="7D72AA07"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E2EFD9" w:themeFill="accent6" w:themeFillTint="33"/>
          </w:tcPr>
          <w:p w14:paraId="29DD8A55" w14:textId="733CF718"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3310A65D" w14:textId="031675CF"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E2EFD9" w:themeFill="accent6" w:themeFillTint="33"/>
          </w:tcPr>
          <w:p w14:paraId="20CAFC34" w14:textId="2C315FCB"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p>
        </w:tc>
      </w:tr>
      <w:tr w:rsidR="00346220" w:rsidRPr="001F2BA3" w14:paraId="06965B5C" w14:textId="77777777" w:rsidTr="00346220">
        <w:trPr>
          <w:trHeight w:val="154"/>
        </w:trPr>
        <w:tc>
          <w:tcPr>
            <w:tcW w:w="856" w:type="pct"/>
          </w:tcPr>
          <w:p w14:paraId="1D6FD585" w14:textId="483B4FAB" w:rsidR="00B83655" w:rsidRPr="001F2BA3" w:rsidRDefault="00ED533D" w:rsidP="00B42AEB">
            <w:pPr>
              <w:pStyle w:val="Table"/>
              <w:rPr>
                <w:rFonts w:ascii="Arial" w:hAnsi="Arial"/>
                <w:noProof/>
                <w:sz w:val="24"/>
                <w:lang w:val="lv-LV"/>
              </w:rPr>
            </w:pPr>
            <w:r w:rsidRPr="001F2BA3">
              <w:rPr>
                <w:rFonts w:ascii="Arial" w:hAnsi="Arial"/>
                <w:noProof/>
                <w:sz w:val="24"/>
                <w:lang w:val="lv-LV"/>
              </w:rPr>
              <w:t>Grieķija</w:t>
            </w:r>
          </w:p>
        </w:tc>
        <w:tc>
          <w:tcPr>
            <w:tcW w:w="623" w:type="pct"/>
            <w:shd w:val="clear" w:color="auto" w:fill="FFF2CC" w:themeFill="accent4" w:themeFillTint="33"/>
          </w:tcPr>
          <w:p w14:paraId="665F0783" w14:textId="4210E265"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FFF2CC" w:themeFill="accent4" w:themeFillTint="33"/>
          </w:tcPr>
          <w:p w14:paraId="66B00F45" w14:textId="0F78F4F6"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FFF2CC" w:themeFill="accent4" w:themeFillTint="33"/>
          </w:tcPr>
          <w:p w14:paraId="0B46AC60" w14:textId="56E0862C"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FFF2CC" w:themeFill="accent4" w:themeFillTint="33"/>
          </w:tcPr>
          <w:p w14:paraId="314F9E57" w14:textId="4972D9B8"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FFF2CC" w:themeFill="accent4" w:themeFillTint="33"/>
          </w:tcPr>
          <w:p w14:paraId="567A43AD" w14:textId="53A1BADE"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E2EFD9" w:themeFill="accent6" w:themeFillTint="33"/>
          </w:tcPr>
          <w:p w14:paraId="2B83160C" w14:textId="605E9DBD" w:rsidR="00B83655" w:rsidRPr="001F2BA3" w:rsidRDefault="00D56964" w:rsidP="00B42AEB">
            <w:pPr>
              <w:pStyle w:val="Table"/>
              <w:rPr>
                <w:rFonts w:ascii="Arial" w:hAnsi="Arial"/>
                <w:noProof/>
                <w:sz w:val="24"/>
                <w:lang w:val="lv-LV"/>
              </w:rPr>
            </w:pPr>
            <w:r w:rsidRPr="001F2BA3">
              <w:rPr>
                <w:rFonts w:ascii="Arial" w:hAnsi="Arial"/>
                <w:noProof/>
                <w:sz w:val="24"/>
                <w:lang w:val="lv-LV"/>
              </w:rPr>
              <w:t>Jā</w:t>
            </w:r>
            <w:r w:rsidRPr="001F2BA3">
              <w:rPr>
                <w:rStyle w:val="FootnoteReference"/>
                <w:noProof/>
                <w:lang w:val="lv-LV"/>
              </w:rPr>
              <w:t>(</w:t>
            </w:r>
            <w:r w:rsidRPr="001F2BA3">
              <w:rPr>
                <w:rStyle w:val="FootnoteReference"/>
                <w:noProof/>
                <w:lang w:val="lv-LV"/>
              </w:rPr>
              <w:footnoteReference w:id="135"/>
            </w:r>
            <w:r w:rsidRPr="001F2BA3">
              <w:rPr>
                <w:rStyle w:val="FootnoteReference"/>
                <w:noProof/>
                <w:lang w:val="lv-LV"/>
              </w:rPr>
              <w:t>))</w:t>
            </w:r>
          </w:p>
        </w:tc>
        <w:tc>
          <w:tcPr>
            <w:tcW w:w="465" w:type="pct"/>
            <w:shd w:val="clear" w:color="auto" w:fill="FFF2CC" w:themeFill="accent4" w:themeFillTint="33"/>
          </w:tcPr>
          <w:p w14:paraId="5EF187CD" w14:textId="2C421ED2"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FFF2CC" w:themeFill="accent4" w:themeFillTint="33"/>
          </w:tcPr>
          <w:p w14:paraId="72F39B36" w14:textId="7F8CA57C" w:rsidR="00B83655" w:rsidRPr="001F2BA3" w:rsidRDefault="00D56964" w:rsidP="00B42AEB">
            <w:pPr>
              <w:pStyle w:val="Table"/>
              <w:rPr>
                <w:rFonts w:ascii="Arial" w:hAnsi="Arial"/>
                <w:noProof/>
                <w:sz w:val="24"/>
                <w:lang w:val="lv-LV"/>
              </w:rPr>
            </w:pPr>
            <w:r w:rsidRPr="001F2BA3">
              <w:rPr>
                <w:rFonts w:ascii="Arial" w:hAnsi="Arial"/>
                <w:noProof/>
                <w:sz w:val="24"/>
                <w:lang w:val="lv-LV"/>
              </w:rPr>
              <w:t>Nē</w:t>
            </w:r>
          </w:p>
        </w:tc>
      </w:tr>
      <w:tr w:rsidR="00346220" w:rsidRPr="001F2BA3" w14:paraId="1C1F370B" w14:textId="77777777" w:rsidTr="00346220">
        <w:trPr>
          <w:trHeight w:val="154"/>
        </w:trPr>
        <w:tc>
          <w:tcPr>
            <w:tcW w:w="856" w:type="pct"/>
          </w:tcPr>
          <w:p w14:paraId="513B8BE6" w14:textId="0741552F" w:rsidR="00203B22" w:rsidRPr="001F2BA3" w:rsidRDefault="00203B22" w:rsidP="00203B22">
            <w:pPr>
              <w:pStyle w:val="Table"/>
              <w:rPr>
                <w:rFonts w:ascii="Arial" w:hAnsi="Arial"/>
                <w:noProof/>
                <w:sz w:val="24"/>
                <w:lang w:val="lv-LV"/>
              </w:rPr>
            </w:pPr>
            <w:r w:rsidRPr="001F2BA3">
              <w:rPr>
                <w:rFonts w:ascii="Arial" w:hAnsi="Arial"/>
                <w:noProof/>
                <w:sz w:val="24"/>
                <w:lang w:val="lv-LV"/>
              </w:rPr>
              <w:t>Spānija</w:t>
            </w:r>
          </w:p>
        </w:tc>
        <w:tc>
          <w:tcPr>
            <w:tcW w:w="623" w:type="pct"/>
            <w:shd w:val="clear" w:color="auto" w:fill="FFF2CC" w:themeFill="accent4" w:themeFillTint="33"/>
          </w:tcPr>
          <w:p w14:paraId="7472C839" w14:textId="2192A728" w:rsidR="00203B22" w:rsidRPr="001F2BA3" w:rsidRDefault="00203B22" w:rsidP="00203B22">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E2EFD9" w:themeFill="accent6" w:themeFillTint="33"/>
          </w:tcPr>
          <w:p w14:paraId="72783275" w14:textId="0C7BBB8E" w:rsidR="00203B22" w:rsidRPr="001F2BA3" w:rsidRDefault="00203B22" w:rsidP="00203B22">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0834A72C" w14:textId="3CD20CA7" w:rsidR="00203B22" w:rsidRPr="001F2BA3" w:rsidRDefault="00203B22" w:rsidP="00203B22">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FFF2CC" w:themeFill="accent4" w:themeFillTint="33"/>
          </w:tcPr>
          <w:p w14:paraId="66FDEF6A" w14:textId="5C7A54F6" w:rsidR="00203B22" w:rsidRPr="001F2BA3" w:rsidRDefault="00203B22" w:rsidP="00203B22">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E2EFD9" w:themeFill="accent6" w:themeFillTint="33"/>
          </w:tcPr>
          <w:p w14:paraId="36D6AAB2" w14:textId="2B31ECC1" w:rsidR="00203B22" w:rsidRPr="001F2BA3" w:rsidRDefault="00203B22" w:rsidP="00203B22">
            <w:pPr>
              <w:pStyle w:val="Table"/>
              <w:rPr>
                <w:rFonts w:ascii="Arial" w:hAnsi="Arial"/>
                <w:noProof/>
                <w:sz w:val="24"/>
                <w:lang w:val="lv-LV"/>
              </w:rPr>
            </w:pPr>
            <w:r w:rsidRPr="001F2BA3">
              <w:rPr>
                <w:rFonts w:ascii="Arial" w:hAnsi="Arial"/>
                <w:noProof/>
                <w:sz w:val="24"/>
                <w:lang w:val="lv-LV"/>
              </w:rPr>
              <w:t>Jā</w:t>
            </w:r>
          </w:p>
        </w:tc>
        <w:tc>
          <w:tcPr>
            <w:tcW w:w="554" w:type="pct"/>
            <w:shd w:val="clear" w:color="auto" w:fill="E2EFD9" w:themeFill="accent6" w:themeFillTint="33"/>
          </w:tcPr>
          <w:p w14:paraId="645F4BCC" w14:textId="0601B6B5" w:rsidR="00203B22" w:rsidRPr="001F2BA3" w:rsidRDefault="00203B22" w:rsidP="00203B22">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36EBC8D8" w14:textId="7715FE23" w:rsidR="00203B22" w:rsidRPr="001F2BA3" w:rsidRDefault="00203B22" w:rsidP="00203B22">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FFF2CC" w:themeFill="accent4" w:themeFillTint="33"/>
          </w:tcPr>
          <w:p w14:paraId="0E84EA5A" w14:textId="623CBACF" w:rsidR="00203B22" w:rsidRPr="001F2BA3" w:rsidRDefault="00203B22" w:rsidP="00203B22">
            <w:pPr>
              <w:pStyle w:val="Table"/>
              <w:rPr>
                <w:rFonts w:ascii="Arial" w:hAnsi="Arial"/>
                <w:noProof/>
                <w:sz w:val="24"/>
                <w:lang w:val="lv-LV"/>
              </w:rPr>
            </w:pPr>
            <w:r w:rsidRPr="001F2BA3">
              <w:rPr>
                <w:rFonts w:ascii="Arial" w:hAnsi="Arial"/>
                <w:noProof/>
                <w:sz w:val="24"/>
                <w:lang w:val="lv-LV"/>
              </w:rPr>
              <w:t>Nē</w:t>
            </w:r>
          </w:p>
        </w:tc>
      </w:tr>
      <w:tr w:rsidR="00346220" w:rsidRPr="001F2BA3" w14:paraId="3D39DC69" w14:textId="77777777" w:rsidTr="00346220">
        <w:trPr>
          <w:trHeight w:val="154"/>
        </w:trPr>
        <w:tc>
          <w:tcPr>
            <w:tcW w:w="856" w:type="pct"/>
          </w:tcPr>
          <w:p w14:paraId="748F6B3F" w14:textId="01658C95" w:rsidR="00203B22" w:rsidRPr="001F2BA3" w:rsidRDefault="00203B22" w:rsidP="00203B22">
            <w:pPr>
              <w:pStyle w:val="Table"/>
              <w:rPr>
                <w:rFonts w:ascii="Arial" w:hAnsi="Arial"/>
                <w:noProof/>
                <w:sz w:val="24"/>
                <w:lang w:val="lv-LV"/>
              </w:rPr>
            </w:pPr>
            <w:r w:rsidRPr="001F2BA3">
              <w:rPr>
                <w:rFonts w:ascii="Arial" w:hAnsi="Arial"/>
                <w:noProof/>
                <w:sz w:val="24"/>
                <w:lang w:val="lv-LV"/>
              </w:rPr>
              <w:t>Somija</w:t>
            </w:r>
          </w:p>
        </w:tc>
        <w:tc>
          <w:tcPr>
            <w:tcW w:w="623" w:type="pct"/>
            <w:shd w:val="clear" w:color="auto" w:fill="E2EFD9" w:themeFill="accent6" w:themeFillTint="33"/>
          </w:tcPr>
          <w:p w14:paraId="3D125050" w14:textId="27027131" w:rsidR="00203B22" w:rsidRPr="001F2BA3" w:rsidRDefault="00203B22" w:rsidP="00203B22">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E2EFD9" w:themeFill="accent6" w:themeFillTint="33"/>
          </w:tcPr>
          <w:p w14:paraId="029FF3CB" w14:textId="2D8EF176" w:rsidR="00203B22" w:rsidRPr="001F2BA3" w:rsidRDefault="00203B22" w:rsidP="00203B22">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4D586758" w14:textId="39D0818A" w:rsidR="00203B22" w:rsidRPr="001F2BA3" w:rsidRDefault="00203B22" w:rsidP="00203B22">
            <w:pPr>
              <w:pStyle w:val="Table"/>
              <w:rPr>
                <w:rFonts w:ascii="Arial" w:hAnsi="Arial"/>
                <w:noProof/>
                <w:sz w:val="24"/>
                <w:lang w:val="lv-LV"/>
              </w:rPr>
            </w:pPr>
            <w:r w:rsidRPr="001F2BA3">
              <w:rPr>
                <w:rFonts w:ascii="Arial" w:hAnsi="Arial"/>
                <w:noProof/>
                <w:sz w:val="24"/>
                <w:lang w:val="lv-LV"/>
              </w:rPr>
              <w:t xml:space="preserve">Nē </w:t>
            </w:r>
          </w:p>
        </w:tc>
        <w:tc>
          <w:tcPr>
            <w:tcW w:w="465" w:type="pct"/>
            <w:shd w:val="clear" w:color="auto" w:fill="E2EFD9" w:themeFill="accent6" w:themeFillTint="33"/>
          </w:tcPr>
          <w:p w14:paraId="53818871" w14:textId="14AC8B13" w:rsidR="00203B22" w:rsidRPr="001F2BA3" w:rsidRDefault="00203B22" w:rsidP="00203B22">
            <w:pPr>
              <w:pStyle w:val="Table"/>
              <w:rPr>
                <w:rFonts w:ascii="Arial" w:hAnsi="Arial"/>
                <w:noProof/>
                <w:sz w:val="24"/>
                <w:lang w:val="lv-LV"/>
              </w:rPr>
            </w:pPr>
            <w:r w:rsidRPr="001F2BA3">
              <w:rPr>
                <w:rFonts w:ascii="Arial" w:hAnsi="Arial"/>
                <w:noProof/>
                <w:sz w:val="24"/>
                <w:lang w:val="lv-LV"/>
              </w:rPr>
              <w:t>Jā</w:t>
            </w:r>
          </w:p>
        </w:tc>
        <w:tc>
          <w:tcPr>
            <w:tcW w:w="554" w:type="pct"/>
            <w:shd w:val="clear" w:color="auto" w:fill="E2EFD9" w:themeFill="accent6" w:themeFillTint="33"/>
          </w:tcPr>
          <w:p w14:paraId="2B5C2FFE" w14:textId="17A40BED" w:rsidR="00203B22" w:rsidRPr="001F2BA3" w:rsidRDefault="00203B22" w:rsidP="00203B22">
            <w:pPr>
              <w:pStyle w:val="Table"/>
              <w:rPr>
                <w:rFonts w:ascii="Arial" w:hAnsi="Arial"/>
                <w:noProof/>
                <w:sz w:val="24"/>
                <w:lang w:val="lv-LV"/>
              </w:rPr>
            </w:pPr>
            <w:r w:rsidRPr="001F2BA3">
              <w:rPr>
                <w:rFonts w:ascii="Arial" w:hAnsi="Arial"/>
                <w:noProof/>
                <w:sz w:val="24"/>
                <w:lang w:val="lv-LV"/>
              </w:rPr>
              <w:t>Jā</w:t>
            </w:r>
            <w:r w:rsidRPr="001F2BA3">
              <w:rPr>
                <w:rStyle w:val="FootnoteReference"/>
                <w:noProof/>
                <w:lang w:val="lv-LV"/>
              </w:rPr>
              <w:t>(</w:t>
            </w:r>
            <w:r w:rsidRPr="001F2BA3">
              <w:rPr>
                <w:rStyle w:val="FootnoteReference"/>
                <w:noProof/>
                <w:lang w:val="lv-LV"/>
              </w:rPr>
              <w:footnoteReference w:id="136"/>
            </w:r>
            <w:r w:rsidRPr="001F2BA3">
              <w:rPr>
                <w:rStyle w:val="FootnoteReference"/>
                <w:noProof/>
                <w:lang w:val="lv-LV"/>
              </w:rPr>
              <w:t>))</w:t>
            </w:r>
          </w:p>
        </w:tc>
        <w:tc>
          <w:tcPr>
            <w:tcW w:w="554" w:type="pct"/>
            <w:shd w:val="clear" w:color="auto" w:fill="E2EFD9" w:themeFill="accent6" w:themeFillTint="33"/>
          </w:tcPr>
          <w:p w14:paraId="0AA9EE0E" w14:textId="31DA808D" w:rsidR="00203B22" w:rsidRPr="001F2BA3" w:rsidRDefault="00203B22" w:rsidP="00203B22">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341E4D34" w14:textId="017C6BBB" w:rsidR="00203B22" w:rsidRPr="001F2BA3" w:rsidRDefault="00203B22" w:rsidP="00203B22">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FFF2CC" w:themeFill="accent4" w:themeFillTint="33"/>
          </w:tcPr>
          <w:p w14:paraId="09848DA0" w14:textId="5EA26A9A" w:rsidR="00203B22" w:rsidRPr="001F2BA3" w:rsidRDefault="00203B22" w:rsidP="00203B22">
            <w:pPr>
              <w:pStyle w:val="Table"/>
              <w:rPr>
                <w:rFonts w:ascii="Arial" w:hAnsi="Arial"/>
                <w:noProof/>
                <w:sz w:val="24"/>
                <w:lang w:val="lv-LV"/>
              </w:rPr>
            </w:pPr>
            <w:r w:rsidRPr="001F2BA3">
              <w:rPr>
                <w:rFonts w:ascii="Arial" w:hAnsi="Arial"/>
                <w:noProof/>
                <w:sz w:val="24"/>
                <w:lang w:val="lv-LV"/>
              </w:rPr>
              <w:t>Nē</w:t>
            </w:r>
          </w:p>
        </w:tc>
      </w:tr>
      <w:tr w:rsidR="00402EFD" w:rsidRPr="001F2BA3" w14:paraId="6F204974" w14:textId="77777777" w:rsidTr="00C32507">
        <w:trPr>
          <w:trHeight w:val="154"/>
        </w:trPr>
        <w:tc>
          <w:tcPr>
            <w:tcW w:w="856" w:type="pct"/>
          </w:tcPr>
          <w:p w14:paraId="6FC98534" w14:textId="4261C7B5" w:rsidR="00402EFD" w:rsidRPr="001F2BA3" w:rsidRDefault="00402EFD" w:rsidP="00402EFD">
            <w:pPr>
              <w:pStyle w:val="Table"/>
              <w:rPr>
                <w:rFonts w:ascii="Arial" w:hAnsi="Arial"/>
                <w:noProof/>
                <w:sz w:val="24"/>
                <w:lang w:val="lv-LV"/>
              </w:rPr>
            </w:pPr>
            <w:r w:rsidRPr="001F2BA3">
              <w:rPr>
                <w:rFonts w:ascii="Arial" w:hAnsi="Arial"/>
                <w:noProof/>
                <w:sz w:val="24"/>
                <w:lang w:val="lv-LV"/>
              </w:rPr>
              <w:t>Francija</w:t>
            </w:r>
          </w:p>
        </w:tc>
        <w:tc>
          <w:tcPr>
            <w:tcW w:w="623" w:type="pct"/>
            <w:shd w:val="clear" w:color="auto" w:fill="FFF2CC" w:themeFill="accent4" w:themeFillTint="33"/>
          </w:tcPr>
          <w:p w14:paraId="21080CA9" w14:textId="19AFE243"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FFF2CC" w:themeFill="accent4" w:themeFillTint="33"/>
          </w:tcPr>
          <w:p w14:paraId="4CDA711B" w14:textId="780460D9"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FFF2CC" w:themeFill="accent4" w:themeFillTint="33"/>
          </w:tcPr>
          <w:p w14:paraId="7331FE1C" w14:textId="5442C964"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FFF2CC" w:themeFill="accent4" w:themeFillTint="33"/>
          </w:tcPr>
          <w:p w14:paraId="5FEE6830" w14:textId="07D0C3DE"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E2EFD9" w:themeFill="accent6" w:themeFillTint="33"/>
          </w:tcPr>
          <w:p w14:paraId="581FE88E" w14:textId="12237CB4"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r w:rsidRPr="001F2BA3">
              <w:rPr>
                <w:rFonts w:ascii="Arial" w:hAnsi="Arial"/>
                <w:noProof/>
                <w:sz w:val="24"/>
                <w:vertAlign w:val="superscript"/>
                <w:lang w:val="lv-LV"/>
              </w:rPr>
              <w:t>(</w:t>
            </w:r>
            <w:r w:rsidRPr="001F2BA3">
              <w:rPr>
                <w:rStyle w:val="FootnoteReference"/>
                <w:noProof/>
                <w:lang w:val="lv-LV"/>
              </w:rPr>
              <w:footnoteReference w:id="137"/>
            </w:r>
            <w:r w:rsidRPr="001F2BA3">
              <w:rPr>
                <w:rFonts w:ascii="Arial" w:hAnsi="Arial"/>
                <w:noProof/>
                <w:sz w:val="24"/>
                <w:vertAlign w:val="superscript"/>
                <w:lang w:val="lv-LV"/>
              </w:rPr>
              <w:t>)</w:t>
            </w:r>
          </w:p>
        </w:tc>
        <w:tc>
          <w:tcPr>
            <w:tcW w:w="554" w:type="pct"/>
            <w:shd w:val="clear" w:color="auto" w:fill="E2EFD9" w:themeFill="accent6" w:themeFillTint="33"/>
          </w:tcPr>
          <w:p w14:paraId="5B2977BC" w14:textId="758CF3EE"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E2EFD9" w:themeFill="accent6" w:themeFillTint="33"/>
          </w:tcPr>
          <w:p w14:paraId="60E35391" w14:textId="5E0D8DE6"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554" w:type="pct"/>
            <w:shd w:val="clear" w:color="auto" w:fill="E2EFD9" w:themeFill="accent6" w:themeFillTint="33"/>
          </w:tcPr>
          <w:p w14:paraId="0C09CD93" w14:textId="3C745769"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r w:rsidRPr="001F2BA3">
              <w:rPr>
                <w:rStyle w:val="FootnoteReference"/>
                <w:noProof/>
                <w:lang w:val="lv-LV"/>
              </w:rPr>
              <w:t>(</w:t>
            </w:r>
            <w:r w:rsidRPr="001F2BA3">
              <w:rPr>
                <w:rStyle w:val="FootnoteReference"/>
                <w:noProof/>
                <w:lang w:val="lv-LV"/>
              </w:rPr>
              <w:footnoteReference w:id="138"/>
            </w:r>
            <w:r w:rsidRPr="001F2BA3">
              <w:rPr>
                <w:rStyle w:val="FootnoteReference"/>
                <w:noProof/>
                <w:lang w:val="lv-LV"/>
              </w:rPr>
              <w:t>))</w:t>
            </w:r>
          </w:p>
        </w:tc>
      </w:tr>
      <w:tr w:rsidR="00402EFD" w:rsidRPr="001F2BA3" w14:paraId="4DB9E644" w14:textId="77777777" w:rsidTr="00346220">
        <w:trPr>
          <w:trHeight w:val="154"/>
        </w:trPr>
        <w:tc>
          <w:tcPr>
            <w:tcW w:w="856" w:type="pct"/>
          </w:tcPr>
          <w:p w14:paraId="44AEEB2A" w14:textId="6B5509A3" w:rsidR="00402EFD" w:rsidRPr="001F2BA3" w:rsidRDefault="00402EFD" w:rsidP="00402EFD">
            <w:pPr>
              <w:pStyle w:val="Table"/>
              <w:rPr>
                <w:rFonts w:ascii="Arial" w:hAnsi="Arial"/>
                <w:noProof/>
                <w:sz w:val="24"/>
                <w:lang w:val="lv-LV"/>
              </w:rPr>
            </w:pPr>
            <w:r w:rsidRPr="001F2BA3">
              <w:rPr>
                <w:rFonts w:ascii="Arial" w:hAnsi="Arial"/>
                <w:noProof/>
                <w:sz w:val="24"/>
                <w:lang w:val="lv-LV"/>
              </w:rPr>
              <w:t>Horvātija</w:t>
            </w:r>
          </w:p>
        </w:tc>
        <w:tc>
          <w:tcPr>
            <w:tcW w:w="623" w:type="pct"/>
            <w:shd w:val="clear" w:color="auto" w:fill="E2EFD9" w:themeFill="accent6" w:themeFillTint="33"/>
          </w:tcPr>
          <w:p w14:paraId="05808633" w14:textId="66E0CD15"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E2EFD9" w:themeFill="accent6" w:themeFillTint="33"/>
          </w:tcPr>
          <w:p w14:paraId="2EA90122" w14:textId="045F9A34"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249D4E71" w14:textId="55E32318"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FFF2CC" w:themeFill="accent4" w:themeFillTint="33"/>
          </w:tcPr>
          <w:p w14:paraId="41D71DC4" w14:textId="21B03C88"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FFF2CC" w:themeFill="accent4" w:themeFillTint="33"/>
          </w:tcPr>
          <w:p w14:paraId="749DC470" w14:textId="36C9E240"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E2EFD9" w:themeFill="accent6" w:themeFillTint="33"/>
          </w:tcPr>
          <w:p w14:paraId="6385ED87" w14:textId="6741A977"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23F6432A" w14:textId="765C82D9"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FFF2CC" w:themeFill="accent4" w:themeFillTint="33"/>
          </w:tcPr>
          <w:p w14:paraId="397B640C" w14:textId="75984683"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r>
      <w:tr w:rsidR="00402EFD" w:rsidRPr="001F2BA3" w14:paraId="596C43C9" w14:textId="77777777" w:rsidTr="00346220">
        <w:trPr>
          <w:trHeight w:val="154"/>
        </w:trPr>
        <w:tc>
          <w:tcPr>
            <w:tcW w:w="856" w:type="pct"/>
          </w:tcPr>
          <w:p w14:paraId="6FC3AA99" w14:textId="04A6EB65" w:rsidR="00402EFD" w:rsidRPr="001F2BA3" w:rsidRDefault="00402EFD" w:rsidP="00402EFD">
            <w:pPr>
              <w:pStyle w:val="Table"/>
              <w:rPr>
                <w:rFonts w:ascii="Arial" w:hAnsi="Arial"/>
                <w:noProof/>
                <w:sz w:val="24"/>
                <w:lang w:val="lv-LV"/>
              </w:rPr>
            </w:pPr>
            <w:r w:rsidRPr="001F2BA3">
              <w:rPr>
                <w:rFonts w:ascii="Arial" w:hAnsi="Arial"/>
                <w:noProof/>
                <w:sz w:val="24"/>
                <w:lang w:val="lv-LV"/>
              </w:rPr>
              <w:t>Ungārija</w:t>
            </w:r>
          </w:p>
        </w:tc>
        <w:tc>
          <w:tcPr>
            <w:tcW w:w="623" w:type="pct"/>
            <w:shd w:val="clear" w:color="auto" w:fill="E2EFD9" w:themeFill="accent6" w:themeFillTint="33"/>
          </w:tcPr>
          <w:p w14:paraId="40749F00" w14:textId="26E0A3F2"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5504A0BC" w14:textId="47CF946D"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E2EFD9" w:themeFill="accent6" w:themeFillTint="33"/>
          </w:tcPr>
          <w:p w14:paraId="2D972F0E" w14:textId="3ED306A5"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1BF4EF00" w14:textId="59C84C26"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E2EFD9" w:themeFill="accent6" w:themeFillTint="33"/>
          </w:tcPr>
          <w:p w14:paraId="1E818E58" w14:textId="22796195"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554" w:type="pct"/>
            <w:shd w:val="clear" w:color="auto" w:fill="E2EFD9" w:themeFill="accent6" w:themeFillTint="33"/>
          </w:tcPr>
          <w:p w14:paraId="6B3E9A69" w14:textId="3B63AB58"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5BB6A32E" w14:textId="4605E981"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FFF2CC" w:themeFill="accent4" w:themeFillTint="33"/>
          </w:tcPr>
          <w:p w14:paraId="089F116D" w14:textId="6D77997D"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r>
      <w:tr w:rsidR="00402EFD" w:rsidRPr="001F2BA3" w14:paraId="3304B66D" w14:textId="77777777" w:rsidTr="00346220">
        <w:trPr>
          <w:trHeight w:val="154"/>
        </w:trPr>
        <w:tc>
          <w:tcPr>
            <w:tcW w:w="856" w:type="pct"/>
          </w:tcPr>
          <w:p w14:paraId="297150E9" w14:textId="701D94BE" w:rsidR="00402EFD" w:rsidRPr="001F2BA3" w:rsidRDefault="00402EFD" w:rsidP="00402EFD">
            <w:pPr>
              <w:pStyle w:val="Table"/>
              <w:rPr>
                <w:rFonts w:ascii="Arial" w:hAnsi="Arial"/>
                <w:noProof/>
                <w:sz w:val="24"/>
                <w:lang w:val="lv-LV"/>
              </w:rPr>
            </w:pPr>
            <w:r w:rsidRPr="001F2BA3">
              <w:rPr>
                <w:rFonts w:ascii="Arial" w:hAnsi="Arial"/>
                <w:noProof/>
                <w:sz w:val="24"/>
                <w:lang w:val="lv-LV"/>
              </w:rPr>
              <w:t>Īrija</w:t>
            </w:r>
          </w:p>
        </w:tc>
        <w:tc>
          <w:tcPr>
            <w:tcW w:w="623" w:type="pct"/>
            <w:shd w:val="clear" w:color="auto" w:fill="E2EFD9" w:themeFill="accent6" w:themeFillTint="33"/>
          </w:tcPr>
          <w:p w14:paraId="7B39BAC8" w14:textId="1E012D28"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70BF7713" w14:textId="0EDC84B8"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E2EFD9" w:themeFill="accent6" w:themeFillTint="33"/>
          </w:tcPr>
          <w:p w14:paraId="7C480DCF" w14:textId="38FB8B4B"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7346AC6A" w14:textId="69DB34C2"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E2EFD9" w:themeFill="accent6" w:themeFillTint="33"/>
          </w:tcPr>
          <w:p w14:paraId="79516633" w14:textId="2E0EDF07"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554" w:type="pct"/>
            <w:shd w:val="clear" w:color="auto" w:fill="E2EFD9" w:themeFill="accent6" w:themeFillTint="33"/>
          </w:tcPr>
          <w:p w14:paraId="42CAB0EE" w14:textId="035A34C3"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74F284C8" w14:textId="739045ED"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FFF2CC" w:themeFill="accent4" w:themeFillTint="33"/>
          </w:tcPr>
          <w:p w14:paraId="16DCE332" w14:textId="6A1A1632"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r>
      <w:tr w:rsidR="00402EFD" w:rsidRPr="001F2BA3" w14:paraId="3FE8324F" w14:textId="77777777" w:rsidTr="00346220">
        <w:trPr>
          <w:trHeight w:val="154"/>
        </w:trPr>
        <w:tc>
          <w:tcPr>
            <w:tcW w:w="856" w:type="pct"/>
          </w:tcPr>
          <w:p w14:paraId="56D75574" w14:textId="04BA1568" w:rsidR="00402EFD" w:rsidRPr="001F2BA3" w:rsidRDefault="00402EFD" w:rsidP="00402EFD">
            <w:pPr>
              <w:pStyle w:val="Table"/>
              <w:rPr>
                <w:rFonts w:ascii="Arial" w:hAnsi="Arial"/>
                <w:noProof/>
                <w:sz w:val="24"/>
                <w:lang w:val="lv-LV"/>
              </w:rPr>
            </w:pPr>
            <w:r w:rsidRPr="001F2BA3">
              <w:rPr>
                <w:rFonts w:ascii="Arial" w:hAnsi="Arial"/>
                <w:noProof/>
                <w:sz w:val="24"/>
                <w:lang w:val="lv-LV"/>
              </w:rPr>
              <w:t>Itālija</w:t>
            </w:r>
          </w:p>
        </w:tc>
        <w:tc>
          <w:tcPr>
            <w:tcW w:w="623" w:type="pct"/>
            <w:shd w:val="clear" w:color="auto" w:fill="E2EFD9" w:themeFill="accent6" w:themeFillTint="33"/>
          </w:tcPr>
          <w:p w14:paraId="1DF62586" w14:textId="309F7A8C"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070A4C1E" w14:textId="763F27B0"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E2EFD9" w:themeFill="accent6" w:themeFillTint="33"/>
          </w:tcPr>
          <w:p w14:paraId="3116C47C" w14:textId="689D7BF4"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517C9B9E" w14:textId="5FA2059A"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FFF2CC" w:themeFill="accent4" w:themeFillTint="33"/>
          </w:tcPr>
          <w:p w14:paraId="346ADCAF" w14:textId="3CE52454"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E2EFD9" w:themeFill="accent6" w:themeFillTint="33"/>
          </w:tcPr>
          <w:p w14:paraId="02A0E8B7" w14:textId="7FBEC448"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720C5E5D" w14:textId="0FEE7A52"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FFF2CC" w:themeFill="accent4" w:themeFillTint="33"/>
          </w:tcPr>
          <w:p w14:paraId="5F8D043B" w14:textId="44784DCD"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r>
      <w:tr w:rsidR="00402EFD" w:rsidRPr="001F2BA3" w14:paraId="3EB2859E" w14:textId="77777777" w:rsidTr="00346220">
        <w:trPr>
          <w:trHeight w:val="154"/>
        </w:trPr>
        <w:tc>
          <w:tcPr>
            <w:tcW w:w="856" w:type="pct"/>
          </w:tcPr>
          <w:p w14:paraId="49DEE999" w14:textId="04579E57" w:rsidR="00402EFD" w:rsidRPr="001F2BA3" w:rsidRDefault="00402EFD" w:rsidP="00402EFD">
            <w:pPr>
              <w:pStyle w:val="Table"/>
              <w:rPr>
                <w:rFonts w:ascii="Arial" w:hAnsi="Arial"/>
                <w:noProof/>
                <w:sz w:val="24"/>
                <w:lang w:val="lv-LV"/>
              </w:rPr>
            </w:pPr>
            <w:r w:rsidRPr="001F2BA3">
              <w:rPr>
                <w:rFonts w:ascii="Arial" w:hAnsi="Arial"/>
                <w:noProof/>
                <w:sz w:val="24"/>
                <w:lang w:val="lv-LV"/>
              </w:rPr>
              <w:t>Lietuva</w:t>
            </w:r>
          </w:p>
        </w:tc>
        <w:tc>
          <w:tcPr>
            <w:tcW w:w="623" w:type="pct"/>
            <w:shd w:val="clear" w:color="auto" w:fill="E2EFD9" w:themeFill="accent6" w:themeFillTint="33"/>
          </w:tcPr>
          <w:p w14:paraId="07B477D0" w14:textId="5922ED95"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31652940" w14:textId="7892C5F9"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E2EFD9" w:themeFill="accent6" w:themeFillTint="33"/>
          </w:tcPr>
          <w:p w14:paraId="10EC490E" w14:textId="4AD269D2"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E2EFD9" w:themeFill="accent6" w:themeFillTint="33"/>
          </w:tcPr>
          <w:p w14:paraId="53BB5887" w14:textId="7EAEC086"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554" w:type="pct"/>
            <w:shd w:val="clear" w:color="auto" w:fill="E2EFD9" w:themeFill="accent6" w:themeFillTint="33"/>
          </w:tcPr>
          <w:p w14:paraId="554026F5" w14:textId="1D92ED6B"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r w:rsidRPr="001F2BA3">
              <w:rPr>
                <w:rStyle w:val="FootnoteReference"/>
                <w:noProof/>
                <w:lang w:val="lv-LV"/>
              </w:rPr>
              <w:t>(</w:t>
            </w:r>
            <w:r w:rsidRPr="001F2BA3">
              <w:rPr>
                <w:rStyle w:val="FootnoteReference"/>
                <w:noProof/>
                <w:lang w:val="lv-LV"/>
              </w:rPr>
              <w:footnoteReference w:id="139"/>
            </w:r>
            <w:r w:rsidRPr="001F2BA3">
              <w:rPr>
                <w:rStyle w:val="FootnoteReference"/>
                <w:noProof/>
                <w:lang w:val="lv-LV"/>
              </w:rPr>
              <w:t>))</w:t>
            </w:r>
          </w:p>
        </w:tc>
        <w:tc>
          <w:tcPr>
            <w:tcW w:w="554" w:type="pct"/>
            <w:shd w:val="clear" w:color="auto" w:fill="E2EFD9" w:themeFill="accent6" w:themeFillTint="33"/>
          </w:tcPr>
          <w:p w14:paraId="19235EC5" w14:textId="579E3389"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7CF77644" w14:textId="735A4067"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FFF2CC" w:themeFill="accent4" w:themeFillTint="33"/>
          </w:tcPr>
          <w:p w14:paraId="3C811294" w14:textId="1C12C659"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r>
      <w:tr w:rsidR="00402EFD" w:rsidRPr="001F2BA3" w14:paraId="5507836D" w14:textId="77777777" w:rsidTr="00346220">
        <w:trPr>
          <w:trHeight w:val="154"/>
        </w:trPr>
        <w:tc>
          <w:tcPr>
            <w:tcW w:w="856" w:type="pct"/>
          </w:tcPr>
          <w:p w14:paraId="61BCCDAC" w14:textId="053FB862" w:rsidR="00402EFD" w:rsidRPr="001F2BA3" w:rsidRDefault="00402EFD" w:rsidP="00402EFD">
            <w:pPr>
              <w:pStyle w:val="Table"/>
              <w:rPr>
                <w:rFonts w:ascii="Arial" w:hAnsi="Arial"/>
                <w:noProof/>
                <w:sz w:val="24"/>
                <w:lang w:val="lv-LV"/>
              </w:rPr>
            </w:pPr>
            <w:r w:rsidRPr="001F2BA3">
              <w:rPr>
                <w:rFonts w:ascii="Arial" w:hAnsi="Arial"/>
                <w:noProof/>
                <w:sz w:val="24"/>
                <w:lang w:val="lv-LV"/>
              </w:rPr>
              <w:t>Luksemburga</w:t>
            </w:r>
          </w:p>
        </w:tc>
        <w:tc>
          <w:tcPr>
            <w:tcW w:w="623" w:type="pct"/>
            <w:shd w:val="clear" w:color="auto" w:fill="FFF2CC" w:themeFill="accent4" w:themeFillTint="33"/>
          </w:tcPr>
          <w:p w14:paraId="232B2012" w14:textId="7297A9B9"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FFF2CC" w:themeFill="accent4" w:themeFillTint="33"/>
          </w:tcPr>
          <w:p w14:paraId="487A0B2F" w14:textId="07BB876C"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E2EFD9" w:themeFill="accent6" w:themeFillTint="33"/>
          </w:tcPr>
          <w:p w14:paraId="0D0BF034" w14:textId="11DD33F0"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1E0AC479" w14:textId="7B3CDABE"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E2EFD9" w:themeFill="accent6" w:themeFillTint="33"/>
          </w:tcPr>
          <w:p w14:paraId="1E2017AC" w14:textId="17E292BE"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554" w:type="pct"/>
            <w:shd w:val="clear" w:color="auto" w:fill="E2EFD9" w:themeFill="accent6" w:themeFillTint="33"/>
          </w:tcPr>
          <w:p w14:paraId="5038E06C" w14:textId="0BD28C96"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31067F41" w14:textId="7853F08A"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FFF2CC" w:themeFill="accent4" w:themeFillTint="33"/>
          </w:tcPr>
          <w:p w14:paraId="614CA94B" w14:textId="76898ED9"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r>
      <w:tr w:rsidR="00402EFD" w:rsidRPr="001F2BA3" w14:paraId="40390455" w14:textId="77777777" w:rsidTr="00346220">
        <w:trPr>
          <w:trHeight w:val="154"/>
        </w:trPr>
        <w:tc>
          <w:tcPr>
            <w:tcW w:w="856" w:type="pct"/>
          </w:tcPr>
          <w:p w14:paraId="1C49DCFE" w14:textId="1C0B99BE" w:rsidR="00402EFD" w:rsidRPr="001F2BA3" w:rsidRDefault="00402EFD" w:rsidP="00402EFD">
            <w:pPr>
              <w:pStyle w:val="Table"/>
              <w:rPr>
                <w:rFonts w:ascii="Arial" w:hAnsi="Arial"/>
                <w:noProof/>
                <w:sz w:val="24"/>
                <w:lang w:val="lv-LV"/>
              </w:rPr>
            </w:pPr>
            <w:r w:rsidRPr="001F2BA3">
              <w:rPr>
                <w:rFonts w:ascii="Arial" w:hAnsi="Arial"/>
                <w:noProof/>
                <w:sz w:val="24"/>
                <w:lang w:val="lv-LV"/>
              </w:rPr>
              <w:t>Latvija</w:t>
            </w:r>
          </w:p>
        </w:tc>
        <w:tc>
          <w:tcPr>
            <w:tcW w:w="623" w:type="pct"/>
            <w:shd w:val="clear" w:color="auto" w:fill="E2EFD9" w:themeFill="accent6" w:themeFillTint="33"/>
          </w:tcPr>
          <w:p w14:paraId="58AFC16E" w14:textId="5F80E7AD"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699C8BE6" w14:textId="4CF2A830"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E2EFD9" w:themeFill="accent6" w:themeFillTint="33"/>
          </w:tcPr>
          <w:p w14:paraId="35AFE8D2" w14:textId="3A3BF4C8"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E2EFD9" w:themeFill="accent6" w:themeFillTint="33"/>
          </w:tcPr>
          <w:p w14:paraId="38839A34" w14:textId="5C13C330"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554" w:type="pct"/>
            <w:shd w:val="clear" w:color="auto" w:fill="FFF2CC" w:themeFill="accent4" w:themeFillTint="33"/>
          </w:tcPr>
          <w:p w14:paraId="2BBF9588" w14:textId="53E87874"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E2EFD9" w:themeFill="accent6" w:themeFillTint="33"/>
          </w:tcPr>
          <w:p w14:paraId="6FD857AC" w14:textId="4D06323D"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59A85672" w14:textId="7FD6CA45"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FFF2CC" w:themeFill="accent4" w:themeFillTint="33"/>
          </w:tcPr>
          <w:p w14:paraId="2A094216" w14:textId="11090BFD"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r>
      <w:tr w:rsidR="00402EFD" w:rsidRPr="001F2BA3" w14:paraId="6423EF05" w14:textId="77777777" w:rsidTr="00346220">
        <w:trPr>
          <w:trHeight w:val="154"/>
        </w:trPr>
        <w:tc>
          <w:tcPr>
            <w:tcW w:w="856" w:type="pct"/>
          </w:tcPr>
          <w:p w14:paraId="66680F83" w14:textId="4F4B94D5" w:rsidR="00402EFD" w:rsidRPr="001F2BA3" w:rsidRDefault="00402EFD" w:rsidP="00402EFD">
            <w:pPr>
              <w:pStyle w:val="Table"/>
              <w:rPr>
                <w:rFonts w:ascii="Arial" w:hAnsi="Arial"/>
                <w:noProof/>
                <w:sz w:val="24"/>
                <w:lang w:val="lv-LV"/>
              </w:rPr>
            </w:pPr>
            <w:r w:rsidRPr="001F2BA3">
              <w:rPr>
                <w:rFonts w:ascii="Arial" w:hAnsi="Arial"/>
                <w:noProof/>
                <w:sz w:val="24"/>
                <w:lang w:val="lv-LV"/>
              </w:rPr>
              <w:t>Malta</w:t>
            </w:r>
          </w:p>
        </w:tc>
        <w:tc>
          <w:tcPr>
            <w:tcW w:w="623" w:type="pct"/>
            <w:shd w:val="clear" w:color="auto" w:fill="FFF2CC" w:themeFill="accent4" w:themeFillTint="33"/>
          </w:tcPr>
          <w:p w14:paraId="4127FE3D" w14:textId="42614F80"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FFF2CC" w:themeFill="accent4" w:themeFillTint="33"/>
          </w:tcPr>
          <w:p w14:paraId="36514859" w14:textId="1B11A806"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FFF2CC" w:themeFill="accent4" w:themeFillTint="33"/>
          </w:tcPr>
          <w:p w14:paraId="67513E2B" w14:textId="19B0CDAA"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E2EFD9" w:themeFill="accent6" w:themeFillTint="33"/>
          </w:tcPr>
          <w:p w14:paraId="32CAEE89" w14:textId="0EDBECD1"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554" w:type="pct"/>
            <w:shd w:val="clear" w:color="auto" w:fill="FFF2CC" w:themeFill="accent4" w:themeFillTint="33"/>
          </w:tcPr>
          <w:p w14:paraId="2E2DBB5D" w14:textId="4D162C11"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E2EFD9" w:themeFill="accent6" w:themeFillTint="33"/>
          </w:tcPr>
          <w:p w14:paraId="2B799E1A" w14:textId="36F03DFC"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r w:rsidRPr="001F2BA3">
              <w:rPr>
                <w:rStyle w:val="FootnoteReference"/>
                <w:noProof/>
                <w:lang w:val="lv-LV"/>
              </w:rPr>
              <w:t>(</w:t>
            </w:r>
            <w:r w:rsidRPr="001F2BA3">
              <w:rPr>
                <w:rStyle w:val="FootnoteReference"/>
                <w:noProof/>
                <w:lang w:val="lv-LV"/>
              </w:rPr>
              <w:footnoteReference w:id="140"/>
            </w:r>
            <w:r w:rsidRPr="001F2BA3">
              <w:rPr>
                <w:rStyle w:val="FootnoteReference"/>
                <w:noProof/>
                <w:lang w:val="lv-LV"/>
              </w:rPr>
              <w:t>))</w:t>
            </w:r>
          </w:p>
        </w:tc>
        <w:tc>
          <w:tcPr>
            <w:tcW w:w="465" w:type="pct"/>
            <w:shd w:val="clear" w:color="auto" w:fill="FFF2CC" w:themeFill="accent4" w:themeFillTint="33"/>
          </w:tcPr>
          <w:p w14:paraId="73B31193" w14:textId="7169083A"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FFF2CC" w:themeFill="accent4" w:themeFillTint="33"/>
          </w:tcPr>
          <w:p w14:paraId="37B63534" w14:textId="361FC0E3"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r>
      <w:tr w:rsidR="00402EFD" w:rsidRPr="001F2BA3" w14:paraId="1354224D" w14:textId="77777777" w:rsidTr="00346220">
        <w:trPr>
          <w:trHeight w:val="154"/>
        </w:trPr>
        <w:tc>
          <w:tcPr>
            <w:tcW w:w="856" w:type="pct"/>
          </w:tcPr>
          <w:p w14:paraId="51957891" w14:textId="528DC603" w:rsidR="00402EFD" w:rsidRPr="001F2BA3" w:rsidRDefault="00402EFD" w:rsidP="00402EFD">
            <w:pPr>
              <w:pStyle w:val="Table"/>
              <w:rPr>
                <w:rFonts w:ascii="Arial" w:hAnsi="Arial"/>
                <w:noProof/>
                <w:sz w:val="24"/>
                <w:lang w:val="lv-LV"/>
              </w:rPr>
            </w:pPr>
            <w:r w:rsidRPr="001F2BA3">
              <w:rPr>
                <w:rFonts w:ascii="Arial" w:hAnsi="Arial"/>
                <w:noProof/>
                <w:sz w:val="24"/>
                <w:lang w:val="lv-LV"/>
              </w:rPr>
              <w:t>Nīderlande</w:t>
            </w:r>
          </w:p>
        </w:tc>
        <w:tc>
          <w:tcPr>
            <w:tcW w:w="623" w:type="pct"/>
            <w:shd w:val="clear" w:color="auto" w:fill="FFF2CC" w:themeFill="accent4" w:themeFillTint="33"/>
          </w:tcPr>
          <w:p w14:paraId="6E3F4623" w14:textId="481F41D7"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FFF2CC" w:themeFill="accent4" w:themeFillTint="33"/>
          </w:tcPr>
          <w:p w14:paraId="0C72A966" w14:textId="71EBF4D1"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E2EFD9" w:themeFill="accent6" w:themeFillTint="33"/>
          </w:tcPr>
          <w:p w14:paraId="25D96B20" w14:textId="26CD4B49"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20EF5F87" w14:textId="3E0375A7"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FFF2CC" w:themeFill="accent4" w:themeFillTint="33"/>
          </w:tcPr>
          <w:p w14:paraId="1A307AAA" w14:textId="1E93FCE9"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E2EFD9" w:themeFill="accent6" w:themeFillTint="33"/>
          </w:tcPr>
          <w:p w14:paraId="50DE7D36" w14:textId="7707C311"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E2EFD9" w:themeFill="accent6" w:themeFillTint="33"/>
          </w:tcPr>
          <w:p w14:paraId="027655F7" w14:textId="687C15E2"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554" w:type="pct"/>
            <w:shd w:val="clear" w:color="auto" w:fill="FFF2CC" w:themeFill="accent4" w:themeFillTint="33"/>
          </w:tcPr>
          <w:p w14:paraId="10CC93F0" w14:textId="5889A555"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r>
      <w:tr w:rsidR="00402EFD" w:rsidRPr="001F2BA3" w14:paraId="18F04CE1" w14:textId="77777777" w:rsidTr="00346220">
        <w:trPr>
          <w:trHeight w:val="154"/>
        </w:trPr>
        <w:tc>
          <w:tcPr>
            <w:tcW w:w="856" w:type="pct"/>
          </w:tcPr>
          <w:p w14:paraId="1DB4B2BA" w14:textId="382A6AEC" w:rsidR="00402EFD" w:rsidRPr="001F2BA3" w:rsidRDefault="00402EFD" w:rsidP="00402EFD">
            <w:pPr>
              <w:pStyle w:val="Table"/>
              <w:rPr>
                <w:rFonts w:ascii="Arial" w:hAnsi="Arial"/>
                <w:noProof/>
                <w:sz w:val="24"/>
                <w:lang w:val="lv-LV"/>
              </w:rPr>
            </w:pPr>
            <w:r w:rsidRPr="001F2BA3">
              <w:rPr>
                <w:rFonts w:ascii="Arial" w:hAnsi="Arial"/>
                <w:noProof/>
                <w:sz w:val="24"/>
                <w:lang w:val="lv-LV"/>
              </w:rPr>
              <w:t>Polija</w:t>
            </w:r>
          </w:p>
        </w:tc>
        <w:tc>
          <w:tcPr>
            <w:tcW w:w="623" w:type="pct"/>
            <w:shd w:val="clear" w:color="auto" w:fill="FFF2CC" w:themeFill="accent4" w:themeFillTint="33"/>
          </w:tcPr>
          <w:p w14:paraId="38393960" w14:textId="7E56471B"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FFF2CC" w:themeFill="accent4" w:themeFillTint="33"/>
          </w:tcPr>
          <w:p w14:paraId="065AED5F" w14:textId="5537FF86"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E2EFD9" w:themeFill="accent6" w:themeFillTint="33"/>
          </w:tcPr>
          <w:p w14:paraId="695112A7" w14:textId="3AE1DFFB"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664572E6" w14:textId="5AD08B0C"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E2EFD9" w:themeFill="accent6" w:themeFillTint="33"/>
          </w:tcPr>
          <w:p w14:paraId="1155C06B" w14:textId="57E58B67"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554" w:type="pct"/>
            <w:shd w:val="clear" w:color="auto" w:fill="E2EFD9" w:themeFill="accent6" w:themeFillTint="33"/>
          </w:tcPr>
          <w:p w14:paraId="21C37AB3" w14:textId="58A48B48"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E2EFD9" w:themeFill="accent6" w:themeFillTint="33"/>
          </w:tcPr>
          <w:p w14:paraId="6346F6D9" w14:textId="420431AF"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554" w:type="pct"/>
            <w:shd w:val="clear" w:color="auto" w:fill="FFF2CC" w:themeFill="accent4" w:themeFillTint="33"/>
          </w:tcPr>
          <w:p w14:paraId="3478CA29" w14:textId="1791AE3E"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r>
      <w:tr w:rsidR="00402EFD" w:rsidRPr="001F2BA3" w14:paraId="092720B1" w14:textId="77777777" w:rsidTr="00346220">
        <w:trPr>
          <w:trHeight w:val="154"/>
        </w:trPr>
        <w:tc>
          <w:tcPr>
            <w:tcW w:w="856" w:type="pct"/>
          </w:tcPr>
          <w:p w14:paraId="55C2203D" w14:textId="7B43ED4D" w:rsidR="00402EFD" w:rsidRPr="001F2BA3" w:rsidRDefault="00402EFD" w:rsidP="00402EFD">
            <w:pPr>
              <w:pStyle w:val="Table"/>
              <w:rPr>
                <w:rFonts w:ascii="Arial" w:hAnsi="Arial"/>
                <w:noProof/>
                <w:sz w:val="24"/>
                <w:lang w:val="lv-LV"/>
              </w:rPr>
            </w:pPr>
            <w:r w:rsidRPr="001F2BA3">
              <w:rPr>
                <w:rFonts w:ascii="Arial" w:hAnsi="Arial"/>
                <w:noProof/>
                <w:sz w:val="24"/>
                <w:lang w:val="lv-LV"/>
              </w:rPr>
              <w:t>Portugāle</w:t>
            </w:r>
          </w:p>
        </w:tc>
        <w:tc>
          <w:tcPr>
            <w:tcW w:w="623" w:type="pct"/>
            <w:shd w:val="clear" w:color="auto" w:fill="E2EFD9" w:themeFill="accent6" w:themeFillTint="33"/>
          </w:tcPr>
          <w:p w14:paraId="135BAF76" w14:textId="3F47EED2"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3F66F98A" w14:textId="180E44BC"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FFF2CC" w:themeFill="accent4" w:themeFillTint="33"/>
          </w:tcPr>
          <w:p w14:paraId="6C7FFB65" w14:textId="31094A2A"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E2EFD9" w:themeFill="accent6" w:themeFillTint="33"/>
          </w:tcPr>
          <w:p w14:paraId="04DC50D9" w14:textId="6B33E3E6"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554" w:type="pct"/>
            <w:shd w:val="clear" w:color="auto" w:fill="FFF2CC" w:themeFill="accent4" w:themeFillTint="33"/>
          </w:tcPr>
          <w:p w14:paraId="131651C0" w14:textId="5831359E"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E2EFD9" w:themeFill="accent6" w:themeFillTint="33"/>
          </w:tcPr>
          <w:p w14:paraId="5A4B0013" w14:textId="5BC5B87C"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0A4EC421" w14:textId="03E03E8A"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FFF2CC" w:themeFill="accent4" w:themeFillTint="33"/>
          </w:tcPr>
          <w:p w14:paraId="0AC6D6B2" w14:textId="45759DDC"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r>
      <w:tr w:rsidR="00402EFD" w:rsidRPr="001F2BA3" w14:paraId="157F85AF" w14:textId="77777777" w:rsidTr="00346220">
        <w:trPr>
          <w:trHeight w:val="154"/>
        </w:trPr>
        <w:tc>
          <w:tcPr>
            <w:tcW w:w="856" w:type="pct"/>
          </w:tcPr>
          <w:p w14:paraId="3D1DD85A" w14:textId="5B6B812B" w:rsidR="00402EFD" w:rsidRPr="001F2BA3" w:rsidRDefault="00402EFD" w:rsidP="00402EFD">
            <w:pPr>
              <w:pStyle w:val="Table"/>
              <w:rPr>
                <w:rFonts w:ascii="Arial" w:hAnsi="Arial"/>
                <w:noProof/>
                <w:sz w:val="24"/>
                <w:lang w:val="lv-LV"/>
              </w:rPr>
            </w:pPr>
            <w:r w:rsidRPr="001F2BA3">
              <w:rPr>
                <w:rFonts w:ascii="Arial" w:hAnsi="Arial"/>
                <w:noProof/>
                <w:sz w:val="24"/>
                <w:lang w:val="lv-LV"/>
              </w:rPr>
              <w:t>Rumānija</w:t>
            </w:r>
          </w:p>
        </w:tc>
        <w:tc>
          <w:tcPr>
            <w:tcW w:w="623" w:type="pct"/>
            <w:shd w:val="clear" w:color="auto" w:fill="E2EFD9" w:themeFill="accent6" w:themeFillTint="33"/>
          </w:tcPr>
          <w:p w14:paraId="3D01DB6C" w14:textId="70C68FD4"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0B4B9933" w14:textId="4B7D60D6"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E2EFD9" w:themeFill="accent6" w:themeFillTint="33"/>
          </w:tcPr>
          <w:p w14:paraId="6E4100A2" w14:textId="74C52604"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4EC22F27" w14:textId="1AA6E4CE"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E2EFD9" w:themeFill="accent6" w:themeFillTint="33"/>
          </w:tcPr>
          <w:p w14:paraId="0A97BF04" w14:textId="1188FD90"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r w:rsidRPr="001F2BA3">
              <w:rPr>
                <w:rStyle w:val="FootnoteReference"/>
                <w:noProof/>
                <w:lang w:val="lv-LV"/>
              </w:rPr>
              <w:t>(</w:t>
            </w:r>
            <w:r w:rsidRPr="001F2BA3">
              <w:rPr>
                <w:rStyle w:val="FootnoteReference"/>
                <w:noProof/>
                <w:lang w:val="lv-LV"/>
              </w:rPr>
              <w:footnoteReference w:id="141"/>
            </w:r>
            <w:r w:rsidRPr="001F2BA3">
              <w:rPr>
                <w:rStyle w:val="FootnoteReference"/>
                <w:noProof/>
                <w:lang w:val="lv-LV"/>
              </w:rPr>
              <w:t>))</w:t>
            </w:r>
          </w:p>
        </w:tc>
        <w:tc>
          <w:tcPr>
            <w:tcW w:w="554" w:type="pct"/>
            <w:shd w:val="clear" w:color="auto" w:fill="E2EFD9" w:themeFill="accent6" w:themeFillTint="33"/>
          </w:tcPr>
          <w:p w14:paraId="7A87B9BE" w14:textId="08409A7A"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43ED9E31" w14:textId="30E49D83"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FFF2CC" w:themeFill="accent4" w:themeFillTint="33"/>
          </w:tcPr>
          <w:p w14:paraId="0DDA947F" w14:textId="1477D9F3"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r>
      <w:tr w:rsidR="00402EFD" w:rsidRPr="001F2BA3" w14:paraId="1B87D2BB" w14:textId="77777777" w:rsidTr="00346220">
        <w:trPr>
          <w:trHeight w:val="154"/>
        </w:trPr>
        <w:tc>
          <w:tcPr>
            <w:tcW w:w="856" w:type="pct"/>
          </w:tcPr>
          <w:p w14:paraId="5838513B" w14:textId="47C3C2C8" w:rsidR="00402EFD" w:rsidRPr="001F2BA3" w:rsidRDefault="00402EFD" w:rsidP="00402EFD">
            <w:pPr>
              <w:pStyle w:val="Table"/>
              <w:rPr>
                <w:rFonts w:ascii="Arial" w:hAnsi="Arial"/>
                <w:noProof/>
                <w:sz w:val="24"/>
                <w:lang w:val="lv-LV"/>
              </w:rPr>
            </w:pPr>
            <w:r w:rsidRPr="001F2BA3">
              <w:rPr>
                <w:rFonts w:ascii="Arial" w:hAnsi="Arial"/>
                <w:noProof/>
                <w:sz w:val="24"/>
                <w:lang w:val="lv-LV"/>
              </w:rPr>
              <w:t>Zviedrija</w:t>
            </w:r>
          </w:p>
        </w:tc>
        <w:tc>
          <w:tcPr>
            <w:tcW w:w="623" w:type="pct"/>
            <w:shd w:val="clear" w:color="auto" w:fill="E2EFD9" w:themeFill="accent6" w:themeFillTint="33"/>
          </w:tcPr>
          <w:p w14:paraId="0391294B" w14:textId="22474F34"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E2EFD9" w:themeFill="accent6" w:themeFillTint="33"/>
          </w:tcPr>
          <w:p w14:paraId="72E9C216" w14:textId="00A425E1"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0CC7CDC4" w14:textId="3BABDBA1"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E2EFD9" w:themeFill="accent6" w:themeFillTint="33"/>
          </w:tcPr>
          <w:p w14:paraId="682D90C6" w14:textId="29FD5C0B"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554" w:type="pct"/>
            <w:shd w:val="clear" w:color="auto" w:fill="E2EFD9" w:themeFill="accent6" w:themeFillTint="33"/>
          </w:tcPr>
          <w:p w14:paraId="3717DB17" w14:textId="6D051E04"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r w:rsidRPr="001F2BA3">
              <w:rPr>
                <w:rStyle w:val="FootnoteReference"/>
                <w:noProof/>
                <w:lang w:val="lv-LV"/>
              </w:rPr>
              <w:t>(</w:t>
            </w:r>
            <w:r w:rsidRPr="001F2BA3">
              <w:rPr>
                <w:rStyle w:val="FootnoteReference"/>
                <w:noProof/>
                <w:lang w:val="lv-LV"/>
              </w:rPr>
              <w:footnoteReference w:id="142"/>
            </w:r>
            <w:r w:rsidRPr="001F2BA3">
              <w:rPr>
                <w:rStyle w:val="FootnoteReference"/>
                <w:noProof/>
                <w:lang w:val="lv-LV"/>
              </w:rPr>
              <w:t>))</w:t>
            </w:r>
          </w:p>
        </w:tc>
        <w:tc>
          <w:tcPr>
            <w:tcW w:w="554" w:type="pct"/>
            <w:shd w:val="clear" w:color="auto" w:fill="E2EFD9" w:themeFill="accent6" w:themeFillTint="33"/>
          </w:tcPr>
          <w:p w14:paraId="293CCF0F" w14:textId="7C9ED621"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E2EFD9" w:themeFill="accent6" w:themeFillTint="33"/>
          </w:tcPr>
          <w:p w14:paraId="1CE033CA" w14:textId="62E28668"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554" w:type="pct"/>
            <w:shd w:val="clear" w:color="auto" w:fill="FFF2CC" w:themeFill="accent4" w:themeFillTint="33"/>
          </w:tcPr>
          <w:p w14:paraId="602F8ED8" w14:textId="13A1346F"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r>
      <w:tr w:rsidR="00402EFD" w:rsidRPr="001F2BA3" w14:paraId="21B5EF6B" w14:textId="77777777" w:rsidTr="00346220">
        <w:trPr>
          <w:trHeight w:val="154"/>
        </w:trPr>
        <w:tc>
          <w:tcPr>
            <w:tcW w:w="856" w:type="pct"/>
          </w:tcPr>
          <w:p w14:paraId="44AC16BE" w14:textId="05AD6153" w:rsidR="00402EFD" w:rsidRPr="001F2BA3" w:rsidRDefault="00402EFD" w:rsidP="00402EFD">
            <w:pPr>
              <w:pStyle w:val="Table"/>
              <w:rPr>
                <w:rFonts w:ascii="Arial" w:hAnsi="Arial"/>
                <w:noProof/>
                <w:sz w:val="24"/>
                <w:lang w:val="lv-LV"/>
              </w:rPr>
            </w:pPr>
            <w:r w:rsidRPr="001F2BA3">
              <w:rPr>
                <w:rFonts w:ascii="Arial" w:hAnsi="Arial"/>
                <w:noProof/>
                <w:sz w:val="24"/>
                <w:lang w:val="lv-LV"/>
              </w:rPr>
              <w:t>Slovēnija</w:t>
            </w:r>
          </w:p>
        </w:tc>
        <w:tc>
          <w:tcPr>
            <w:tcW w:w="623" w:type="pct"/>
            <w:shd w:val="clear" w:color="auto" w:fill="E2EFD9" w:themeFill="accent6" w:themeFillTint="33"/>
          </w:tcPr>
          <w:p w14:paraId="18F14374" w14:textId="094E9C55"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E2EFD9" w:themeFill="accent6" w:themeFillTint="33"/>
          </w:tcPr>
          <w:p w14:paraId="7AB5771A" w14:textId="7591E417"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E2EFD9" w:themeFill="accent6" w:themeFillTint="33"/>
          </w:tcPr>
          <w:p w14:paraId="1EA728F8" w14:textId="00A5BC2F"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E2EFD9" w:themeFill="accent6" w:themeFillTint="33"/>
          </w:tcPr>
          <w:p w14:paraId="0DDB63C6" w14:textId="02998773"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554" w:type="pct"/>
            <w:shd w:val="clear" w:color="auto" w:fill="E2EFD9" w:themeFill="accent6" w:themeFillTint="33"/>
          </w:tcPr>
          <w:p w14:paraId="348F66D1" w14:textId="0352D988"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554" w:type="pct"/>
            <w:shd w:val="clear" w:color="auto" w:fill="E2EFD9" w:themeFill="accent6" w:themeFillTint="33"/>
          </w:tcPr>
          <w:p w14:paraId="7C682921" w14:textId="0D3E2B57"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42FEC296" w14:textId="086CFEE4"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FFF2CC" w:themeFill="accent4" w:themeFillTint="33"/>
          </w:tcPr>
          <w:p w14:paraId="427BC80A" w14:textId="05DF2503"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r>
      <w:tr w:rsidR="00402EFD" w:rsidRPr="001F2BA3" w14:paraId="7BFD7BDF" w14:textId="77777777" w:rsidTr="00346220">
        <w:trPr>
          <w:trHeight w:val="154"/>
        </w:trPr>
        <w:tc>
          <w:tcPr>
            <w:tcW w:w="856" w:type="pct"/>
          </w:tcPr>
          <w:p w14:paraId="5BAE8FCC" w14:textId="50653F1E" w:rsidR="00402EFD" w:rsidRPr="001F2BA3" w:rsidRDefault="00402EFD" w:rsidP="00402EFD">
            <w:pPr>
              <w:pStyle w:val="Table"/>
              <w:rPr>
                <w:rFonts w:ascii="Arial" w:hAnsi="Arial"/>
                <w:noProof/>
                <w:sz w:val="24"/>
                <w:lang w:val="lv-LV"/>
              </w:rPr>
            </w:pPr>
            <w:r w:rsidRPr="001F2BA3">
              <w:rPr>
                <w:rFonts w:ascii="Arial" w:hAnsi="Arial"/>
                <w:noProof/>
                <w:sz w:val="24"/>
                <w:lang w:val="lv-LV"/>
              </w:rPr>
              <w:t>Slovākija</w:t>
            </w:r>
          </w:p>
        </w:tc>
        <w:tc>
          <w:tcPr>
            <w:tcW w:w="623" w:type="pct"/>
            <w:shd w:val="clear" w:color="auto" w:fill="E2EFD9" w:themeFill="accent6" w:themeFillTint="33"/>
          </w:tcPr>
          <w:p w14:paraId="52CF5A3A" w14:textId="2490B41D"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77C54A18" w14:textId="5AA7899A"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465" w:type="pct"/>
            <w:shd w:val="clear" w:color="auto" w:fill="E2EFD9" w:themeFill="accent6" w:themeFillTint="33"/>
          </w:tcPr>
          <w:p w14:paraId="66B8718E" w14:textId="5402B5A6"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4CE931B9" w14:textId="62B38811"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FFF2CC" w:themeFill="accent4" w:themeFillTint="33"/>
          </w:tcPr>
          <w:p w14:paraId="29255795" w14:textId="3E23DEBA"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E2EFD9" w:themeFill="accent6" w:themeFillTint="33"/>
          </w:tcPr>
          <w:p w14:paraId="189DACA6" w14:textId="1565A69D" w:rsidR="00402EFD" w:rsidRPr="001F2BA3" w:rsidRDefault="00402EFD" w:rsidP="00402EFD">
            <w:pPr>
              <w:pStyle w:val="Table"/>
              <w:rPr>
                <w:rFonts w:ascii="Arial" w:hAnsi="Arial"/>
                <w:noProof/>
                <w:sz w:val="24"/>
                <w:lang w:val="lv-LV"/>
              </w:rPr>
            </w:pPr>
            <w:r w:rsidRPr="001F2BA3">
              <w:rPr>
                <w:rFonts w:ascii="Arial" w:hAnsi="Arial"/>
                <w:noProof/>
                <w:sz w:val="24"/>
                <w:lang w:val="lv-LV"/>
              </w:rPr>
              <w:t>Jā</w:t>
            </w:r>
          </w:p>
        </w:tc>
        <w:tc>
          <w:tcPr>
            <w:tcW w:w="465" w:type="pct"/>
            <w:shd w:val="clear" w:color="auto" w:fill="FFF2CC" w:themeFill="accent4" w:themeFillTint="33"/>
          </w:tcPr>
          <w:p w14:paraId="73F514A6" w14:textId="680EB79D"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c>
          <w:tcPr>
            <w:tcW w:w="554" w:type="pct"/>
            <w:shd w:val="clear" w:color="auto" w:fill="FFF2CC" w:themeFill="accent4" w:themeFillTint="33"/>
          </w:tcPr>
          <w:p w14:paraId="1C2614ED" w14:textId="788A2F48" w:rsidR="00402EFD" w:rsidRPr="001F2BA3" w:rsidRDefault="00402EFD" w:rsidP="00402EFD">
            <w:pPr>
              <w:pStyle w:val="Table"/>
              <w:rPr>
                <w:rFonts w:ascii="Arial" w:hAnsi="Arial"/>
                <w:noProof/>
                <w:sz w:val="24"/>
                <w:lang w:val="lv-LV"/>
              </w:rPr>
            </w:pPr>
            <w:r w:rsidRPr="001F2BA3">
              <w:rPr>
                <w:rFonts w:ascii="Arial" w:hAnsi="Arial"/>
                <w:noProof/>
                <w:sz w:val="24"/>
                <w:lang w:val="lv-LV"/>
              </w:rPr>
              <w:t>Nē</w:t>
            </w:r>
          </w:p>
        </w:tc>
      </w:tr>
    </w:tbl>
    <w:p w14:paraId="56CE4BE4" w14:textId="6DCB6C32" w:rsidR="00552F78" w:rsidRPr="001F2BA3" w:rsidRDefault="00552F78" w:rsidP="00ED533D">
      <w:pPr>
        <w:rPr>
          <w:noProof/>
          <w:lang w:val="lv-LV"/>
        </w:rPr>
      </w:pPr>
    </w:p>
    <w:sectPr w:rsidR="00552F78" w:rsidRPr="001F2BA3" w:rsidSect="00DF0764">
      <w:headerReference w:type="even" r:id="rId33"/>
      <w:headerReference w:type="default" r:id="rId34"/>
      <w:footerReference w:type="even" r:id="rId35"/>
      <w:footerReference w:type="default" r:id="rId36"/>
      <w:headerReference w:type="first" r:id="rId37"/>
      <w:footerReference w:type="first" r:id="rId38"/>
      <w:pgSz w:w="11906" w:h="16838"/>
      <w:pgMar w:top="1418" w:right="1418" w:bottom="1418" w:left="1418" w:header="708" w:footer="708"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1BDC53" w14:textId="77777777" w:rsidR="00346220" w:rsidRPr="00365B62" w:rsidRDefault="00346220" w:rsidP="00B42AEB">
      <w:r>
        <w:separator/>
      </w:r>
    </w:p>
  </w:endnote>
  <w:endnote w:type="continuationSeparator" w:id="0">
    <w:p w14:paraId="1D11D629" w14:textId="77777777" w:rsidR="00346220" w:rsidRPr="00365B62" w:rsidRDefault="00346220" w:rsidP="00B42AEB">
      <w:r>
        <w:continuationSeparator/>
      </w:r>
    </w:p>
  </w:endnote>
  <w:endnote w:type="continuationNotice" w:id="1">
    <w:p w14:paraId="680AA943" w14:textId="77777777" w:rsidR="00346220" w:rsidRPr="00365B62" w:rsidRDefault="00346220" w:rsidP="00B42A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YInterstate Light">
    <w:altName w:val="Calibri"/>
    <w:charset w:val="00"/>
    <w:family w:val="auto"/>
    <w:pitch w:val="variable"/>
    <w:sig w:usb0="A00002AF" w:usb1="5000206A" w:usb2="00000000" w:usb3="00000000" w:csb0="0000009F" w:csb1="00000000"/>
  </w:font>
  <w:font w:name="Bell MT">
    <w:panose1 w:val="02020503060305020303"/>
    <w:charset w:val="00"/>
    <w:family w:val="roman"/>
    <w:pitch w:val="variable"/>
    <w:sig w:usb0="00000003" w:usb1="00000000" w:usb2="00000000" w:usb3="00000000" w:csb0="00000001" w:csb1="00000000"/>
  </w:font>
  <w:font w:name="Corbel">
    <w:panose1 w:val="020B0503020204020204"/>
    <w:charset w:val="00"/>
    <w:family w:val="swiss"/>
    <w:pitch w:val="variable"/>
    <w:sig w:usb0="A00002EF" w:usb1="4000A44B" w:usb2="00000000" w:usb3="00000000" w:csb0="000001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Arial Unicode MS">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8E63B5" w14:textId="3996D3D7" w:rsidR="00DE591E" w:rsidRPr="00DE591E" w:rsidRDefault="00DE591E" w:rsidP="00DE591E">
    <w:pPr>
      <w:pStyle w:val="FooterCoverPage"/>
      <w:rPr>
        <w:rFonts w:ascii="Arial" w:hAnsi="Arial" w:cs="Arial"/>
        <w:b/>
        <w:sz w:val="48"/>
      </w:rPr>
    </w:pPr>
    <w:r w:rsidRPr="00DE591E">
      <w:rPr>
        <w:rFonts w:ascii="Arial" w:hAnsi="Arial" w:cs="Arial"/>
        <w:b/>
        <w:sz w:val="48"/>
      </w:rPr>
      <w:t>LV</w:t>
    </w:r>
    <w:r w:rsidRPr="00DE591E">
      <w:rPr>
        <w:rFonts w:ascii="Arial" w:hAnsi="Arial" w:cs="Arial"/>
        <w:b/>
        <w:sz w:val="48"/>
      </w:rPr>
      <w:tab/>
    </w:r>
    <w:r w:rsidRPr="00DE591E">
      <w:rPr>
        <w:rFonts w:ascii="Arial" w:hAnsi="Arial" w:cs="Arial"/>
        <w:b/>
        <w:sz w:val="48"/>
      </w:rPr>
      <w:tab/>
    </w:r>
    <w:r w:rsidRPr="00DE591E">
      <w:tab/>
    </w:r>
    <w:r w:rsidRPr="00DE591E">
      <w:rPr>
        <w:rFonts w:ascii="Arial" w:hAnsi="Arial" w:cs="Arial"/>
        <w:b/>
        <w:sz w:val="48"/>
      </w:rPr>
      <w:t>LV</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312101" w14:textId="064699B6" w:rsidR="00DE591E" w:rsidRPr="00DE591E" w:rsidRDefault="00DE591E" w:rsidP="00DE591E">
    <w:pPr>
      <w:pStyle w:val="FooterCoverPage"/>
      <w:rPr>
        <w:rFonts w:ascii="Arial" w:hAnsi="Arial" w:cs="Arial"/>
        <w:b/>
        <w:sz w:val="48"/>
      </w:rPr>
    </w:pPr>
    <w:r w:rsidRPr="00DE591E">
      <w:rPr>
        <w:rFonts w:ascii="Arial" w:hAnsi="Arial" w:cs="Arial"/>
        <w:b/>
        <w:sz w:val="48"/>
      </w:rPr>
      <w:t>LV</w:t>
    </w:r>
    <w:r w:rsidRPr="00DE591E">
      <w:rPr>
        <w:rFonts w:ascii="Arial" w:hAnsi="Arial" w:cs="Arial"/>
        <w:b/>
        <w:sz w:val="48"/>
      </w:rPr>
      <w:tab/>
    </w:r>
    <w:r w:rsidRPr="00DE591E">
      <w:rPr>
        <w:rFonts w:ascii="Arial" w:hAnsi="Arial" w:cs="Arial"/>
        <w:b/>
        <w:sz w:val="48"/>
      </w:rPr>
      <w:tab/>
    </w:r>
    <w:r w:rsidRPr="00DE591E">
      <w:tab/>
    </w:r>
    <w:r w:rsidRPr="00DE591E">
      <w:rPr>
        <w:rFonts w:ascii="Arial" w:hAnsi="Arial" w:cs="Arial"/>
        <w:b/>
        <w:sz w:val="48"/>
      </w:rPr>
      <w:t>LV</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AF5A03" w14:textId="77777777" w:rsidR="00DE591E" w:rsidRPr="00DE591E" w:rsidRDefault="00DE591E" w:rsidP="00DE591E">
    <w:pPr>
      <w:pStyle w:val="FooterCoverPag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499C04" w14:textId="77777777" w:rsidR="001D7D7F" w:rsidRDefault="001D7D7F" w:rsidP="00B42AEB">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71956141"/>
      <w:docPartObj>
        <w:docPartGallery w:val="Page Numbers (Bottom of Page)"/>
        <w:docPartUnique/>
      </w:docPartObj>
    </w:sdtPr>
    <w:sdtEndPr/>
    <w:sdtContent>
      <w:p w14:paraId="6AAC1C39" w14:textId="2B79A73C" w:rsidR="003F797B" w:rsidRDefault="003F797B">
        <w:pPr>
          <w:pStyle w:val="Footer"/>
          <w:jc w:val="right"/>
        </w:pPr>
        <w:r>
          <w:rPr>
            <w:sz w:val="20"/>
          </w:rPr>
          <w:fldChar w:fldCharType="begin"/>
        </w:r>
        <w:r>
          <w:rPr>
            <w:sz w:val="20"/>
          </w:rPr>
          <w:instrText xml:space="preserve"> PAGE   \* MERGEFORMAT </w:instrText>
        </w:r>
        <w:r>
          <w:rPr>
            <w:sz w:val="20"/>
          </w:rPr>
          <w:fldChar w:fldCharType="separate"/>
        </w:r>
        <w:r w:rsidR="00DE591E">
          <w:rPr>
            <w:noProof/>
            <w:sz w:val="20"/>
          </w:rPr>
          <w:t>2</w:t>
        </w:r>
        <w:r>
          <w:rPr>
            <w:sz w:val="20"/>
          </w:rPr>
          <w:fldChar w:fldCharType="end"/>
        </w:r>
      </w:p>
    </w:sdtContent>
  </w:sdt>
  <w:p w14:paraId="01C3203D" w14:textId="77777777" w:rsidR="006C32DA" w:rsidRPr="00365B62" w:rsidRDefault="006C32DA" w:rsidP="00B42AEB">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82B6F" w14:textId="77777777" w:rsidR="00BD764F" w:rsidRDefault="00BD764F" w:rsidP="00B4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27943C" w14:textId="77777777" w:rsidR="00346220" w:rsidRPr="00365B62" w:rsidRDefault="00346220" w:rsidP="00B42AEB">
      <w:r>
        <w:separator/>
      </w:r>
    </w:p>
  </w:footnote>
  <w:footnote w:type="continuationSeparator" w:id="0">
    <w:p w14:paraId="45F6DDAA" w14:textId="77777777" w:rsidR="00346220" w:rsidRPr="00365B62" w:rsidRDefault="00346220" w:rsidP="00B42AEB">
      <w:r>
        <w:continuationSeparator/>
      </w:r>
    </w:p>
  </w:footnote>
  <w:footnote w:type="continuationNotice" w:id="1">
    <w:p w14:paraId="3BE8650C" w14:textId="77777777" w:rsidR="00346220" w:rsidRPr="00365B62" w:rsidRDefault="00346220" w:rsidP="00B42AEB"/>
  </w:footnote>
  <w:footnote w:id="2">
    <w:p w14:paraId="50404DE2" w14:textId="7673D0B1" w:rsidR="00EE2BB3" w:rsidRPr="006B02A7" w:rsidRDefault="00EE2BB3" w:rsidP="0034629E">
      <w:pPr>
        <w:pStyle w:val="FootnoteText"/>
        <w:spacing w:after="60" w:line="264" w:lineRule="auto"/>
        <w:ind w:left="142" w:hanging="142"/>
        <w:jc w:val="left"/>
        <w:rPr>
          <w:rFonts w:ascii="Arial" w:hAnsi="Arial" w:cs="Arial"/>
        </w:rPr>
      </w:pPr>
      <w:r>
        <w:rPr>
          <w:rStyle w:val="FootnoteReference"/>
          <w:sz w:val="20"/>
        </w:rPr>
        <w:footnoteRef/>
      </w:r>
      <w:r>
        <w:rPr>
          <w:rFonts w:ascii="Arial" w:hAnsi="Arial"/>
        </w:rPr>
        <w:t xml:space="preserve"> </w:t>
      </w:r>
      <w:hyperlink r:id="rId1" w:history="1">
        <w:r>
          <w:rPr>
            <w:rStyle w:val="Hyperlink"/>
            <w:sz w:val="20"/>
          </w:rPr>
          <w:t>Politikas pamatnostādnes nākamajai Eiropas Komisijai (2019–2024)</w:t>
        </w:r>
      </w:hyperlink>
      <w:r>
        <w:rPr>
          <w:rFonts w:ascii="Arial" w:hAnsi="Arial"/>
        </w:rPr>
        <w:t xml:space="preserve">. </w:t>
      </w:r>
    </w:p>
  </w:footnote>
  <w:footnote w:id="3">
    <w:p w14:paraId="5C3E2BAB" w14:textId="064171A2" w:rsidR="00EE2BB3" w:rsidRPr="006B02A7" w:rsidRDefault="00EE2BB3" w:rsidP="0034629E">
      <w:pPr>
        <w:pStyle w:val="FootnoteText"/>
        <w:spacing w:after="60" w:line="264" w:lineRule="auto"/>
        <w:ind w:left="142" w:hanging="142"/>
        <w:jc w:val="left"/>
        <w:rPr>
          <w:rFonts w:ascii="Arial" w:hAnsi="Arial" w:cs="Arial"/>
        </w:rPr>
      </w:pPr>
      <w:r>
        <w:rPr>
          <w:rStyle w:val="FootnoteReference"/>
          <w:rFonts w:eastAsiaTheme="majorEastAsia"/>
          <w:sz w:val="20"/>
        </w:rPr>
        <w:footnoteRef/>
      </w:r>
      <w:r>
        <w:rPr>
          <w:rFonts w:ascii="Arial" w:hAnsi="Arial"/>
        </w:rPr>
        <w:t xml:space="preserve"> </w:t>
      </w:r>
      <w:hyperlink r:id="rId2" w:history="1">
        <w:r>
          <w:rPr>
            <w:rStyle w:val="Hyperlink"/>
            <w:sz w:val="20"/>
          </w:rPr>
          <w:t>Statistika |</w:t>
        </w:r>
      </w:hyperlink>
      <w:hyperlink r:id="rId3" w:history="1">
        <w:r>
          <w:rPr>
            <w:rStyle w:val="Hyperlink"/>
            <w:sz w:val="20"/>
          </w:rPr>
          <w:t xml:space="preserve"> Eurostat (europa.eu)</w:t>
        </w:r>
      </w:hyperlink>
      <w:r>
        <w:rPr>
          <w:rFonts w:ascii="Arial" w:hAnsi="Arial"/>
        </w:rPr>
        <w:t>.</w:t>
      </w:r>
    </w:p>
  </w:footnote>
  <w:footnote w:id="4">
    <w:p w14:paraId="5E0E730A" w14:textId="24C372AE" w:rsidR="00EE2BB3" w:rsidRPr="001F2BA3" w:rsidRDefault="00EE2BB3" w:rsidP="0034629E">
      <w:pPr>
        <w:pStyle w:val="FootnoteText"/>
        <w:spacing w:after="60" w:line="264" w:lineRule="auto"/>
        <w:ind w:left="142" w:hanging="142"/>
        <w:jc w:val="left"/>
        <w:rPr>
          <w:rFonts w:ascii="Arial" w:hAnsi="Arial" w:cs="Arial"/>
          <w:lang w:val="fr-BE"/>
        </w:rPr>
      </w:pPr>
      <w:r>
        <w:rPr>
          <w:rStyle w:val="FootnoteReference"/>
          <w:sz w:val="20"/>
        </w:rPr>
        <w:footnoteRef/>
      </w:r>
      <w:r w:rsidRPr="001F2BA3">
        <w:rPr>
          <w:rFonts w:ascii="Arial" w:hAnsi="Arial"/>
          <w:lang w:val="fr-BE"/>
        </w:rPr>
        <w:t xml:space="preserve"> </w:t>
      </w:r>
      <w:hyperlink r:id="rId4" w:history="1">
        <w:r w:rsidRPr="001F2BA3">
          <w:rPr>
            <w:rStyle w:val="Hyperlink"/>
            <w:sz w:val="20"/>
            <w:lang w:val="fr-BE"/>
          </w:rPr>
          <w:t>Ziņojums par 2019</w:t>
        </w:r>
        <w:r w:rsidR="001F2BA3" w:rsidRPr="001F2BA3">
          <w:rPr>
            <w:rStyle w:val="Hyperlink"/>
            <w:sz w:val="20"/>
            <w:lang w:val="fr-BE"/>
          </w:rPr>
          <w:t>. gad</w:t>
        </w:r>
        <w:r w:rsidRPr="001F2BA3">
          <w:rPr>
            <w:rStyle w:val="Hyperlink"/>
            <w:sz w:val="20"/>
            <w:lang w:val="fr-BE"/>
          </w:rPr>
          <w:t>a Eiropas Parlamenta vēlēšanām</w:t>
        </w:r>
      </w:hyperlink>
      <w:r w:rsidRPr="001F2BA3">
        <w:rPr>
          <w:rFonts w:ascii="Arial" w:hAnsi="Arial"/>
          <w:lang w:val="fr-BE"/>
        </w:rPr>
        <w:t>.</w:t>
      </w:r>
    </w:p>
  </w:footnote>
  <w:footnote w:id="5">
    <w:p w14:paraId="111C1331" w14:textId="7595042D" w:rsidR="00EE2BB3" w:rsidRPr="001F2BA3" w:rsidRDefault="00EE2BB3" w:rsidP="0034629E">
      <w:pPr>
        <w:pStyle w:val="FootnoteText"/>
        <w:spacing w:after="60" w:line="264" w:lineRule="auto"/>
        <w:ind w:left="142" w:hanging="142"/>
        <w:jc w:val="left"/>
        <w:rPr>
          <w:rFonts w:ascii="Arial" w:hAnsi="Arial" w:cs="Arial"/>
          <w:lang w:val="fr-BE"/>
        </w:rPr>
      </w:pPr>
      <w:r>
        <w:rPr>
          <w:rStyle w:val="FootnoteReference"/>
          <w:sz w:val="20"/>
        </w:rPr>
        <w:footnoteRef/>
      </w:r>
      <w:r w:rsidRPr="001F2BA3">
        <w:rPr>
          <w:rFonts w:ascii="Arial" w:hAnsi="Arial"/>
          <w:lang w:val="fr-BE"/>
        </w:rPr>
        <w:t xml:space="preserve"> Komisijas ziņojumā ir arī atsauce uz Eiropas Ekonomikas un sociālo lietu komitejas ziņojumu, kurā lēsts, ka aptuveni 800 000 ES iedzīvotāju no 16 dalībvalstīm varētu būt liegtas tiesības piedalīties 2019</w:t>
      </w:r>
      <w:r w:rsidR="001F2BA3" w:rsidRPr="001F2BA3">
        <w:rPr>
          <w:rFonts w:ascii="Arial" w:hAnsi="Arial"/>
          <w:lang w:val="fr-BE"/>
        </w:rPr>
        <w:t>. gad</w:t>
      </w:r>
      <w:r w:rsidRPr="001F2BA3">
        <w:rPr>
          <w:rFonts w:ascii="Arial" w:hAnsi="Arial"/>
          <w:lang w:val="fr-BE"/>
        </w:rPr>
        <w:t>a Eiropas Parlamenta vēlēšanās.</w:t>
      </w:r>
    </w:p>
  </w:footnote>
  <w:footnote w:id="6">
    <w:p w14:paraId="355B1A66" w14:textId="3F8F17D8" w:rsidR="00EE2BB3" w:rsidRPr="00B6763E" w:rsidRDefault="00EE2BB3" w:rsidP="0034629E">
      <w:pPr>
        <w:pStyle w:val="FootnoteText"/>
        <w:spacing w:after="60" w:line="264" w:lineRule="auto"/>
        <w:ind w:left="142" w:hanging="142"/>
        <w:jc w:val="left"/>
        <w:rPr>
          <w:rFonts w:ascii="Arial" w:hAnsi="Arial" w:cs="Arial"/>
          <w:lang w:val="fr-BE"/>
        </w:rPr>
      </w:pPr>
      <w:r>
        <w:rPr>
          <w:rStyle w:val="FootnoteReference"/>
          <w:sz w:val="20"/>
        </w:rPr>
        <w:footnoteRef/>
      </w:r>
      <w:r w:rsidRPr="00B6763E">
        <w:rPr>
          <w:rFonts w:ascii="Arial" w:hAnsi="Arial"/>
          <w:lang w:val="fr-BE"/>
        </w:rPr>
        <w:t xml:space="preserve"> Sīkāka informācija par </w:t>
      </w:r>
      <w:hyperlink r:id="rId5" w:history="1">
        <w:r w:rsidRPr="00B6763E">
          <w:rPr>
            <w:rStyle w:val="Hyperlink"/>
            <w:sz w:val="20"/>
            <w:lang w:val="fr-BE"/>
          </w:rPr>
          <w:t>Eiropas vēlēšanu sadarbības tīklu</w:t>
        </w:r>
      </w:hyperlink>
      <w:r w:rsidRPr="00B6763E">
        <w:rPr>
          <w:rFonts w:ascii="Arial" w:hAnsi="Arial"/>
          <w:lang w:val="fr-BE"/>
        </w:rPr>
        <w:t xml:space="preserve"> (</w:t>
      </w:r>
      <w:r w:rsidRPr="00B6763E">
        <w:rPr>
          <w:rFonts w:ascii="Arial" w:hAnsi="Arial"/>
          <w:i/>
          <w:iCs/>
          <w:lang w:val="fr-BE"/>
        </w:rPr>
        <w:t>European Cooperation Network on Elections</w:t>
      </w:r>
      <w:r w:rsidRPr="00B6763E">
        <w:rPr>
          <w:rFonts w:ascii="Arial" w:hAnsi="Arial"/>
          <w:lang w:val="fr-BE"/>
        </w:rPr>
        <w:t xml:space="preserve"> — </w:t>
      </w:r>
      <w:r w:rsidRPr="00B6763E">
        <w:rPr>
          <w:rFonts w:ascii="Arial" w:hAnsi="Arial"/>
          <w:i/>
          <w:iCs/>
          <w:lang w:val="fr-BE"/>
        </w:rPr>
        <w:t>ECNE</w:t>
      </w:r>
      <w:r w:rsidRPr="00B6763E">
        <w:rPr>
          <w:rFonts w:ascii="Arial" w:hAnsi="Arial"/>
          <w:lang w:val="fr-BE"/>
        </w:rPr>
        <w:t>).</w:t>
      </w:r>
    </w:p>
  </w:footnote>
  <w:footnote w:id="7">
    <w:p w14:paraId="1E8931A9" w14:textId="31425F4C" w:rsidR="00EE2BB3" w:rsidRPr="00B6763E" w:rsidRDefault="00EE2BB3" w:rsidP="0034629E">
      <w:pPr>
        <w:pStyle w:val="FootnoteText"/>
        <w:spacing w:after="60" w:line="264" w:lineRule="auto"/>
        <w:ind w:left="142" w:hanging="142"/>
        <w:jc w:val="left"/>
        <w:rPr>
          <w:rFonts w:ascii="Arial" w:hAnsi="Arial" w:cs="Arial"/>
          <w:lang w:val="fr-BE"/>
        </w:rPr>
      </w:pPr>
      <w:r>
        <w:rPr>
          <w:rStyle w:val="FootnoteReference"/>
          <w:sz w:val="20"/>
        </w:rPr>
        <w:footnoteRef/>
      </w:r>
      <w:r w:rsidRPr="00B6763E">
        <w:rPr>
          <w:rFonts w:ascii="Arial" w:hAnsi="Arial"/>
          <w:lang w:val="fr-BE"/>
        </w:rPr>
        <w:t xml:space="preserve"> </w:t>
      </w:r>
      <w:hyperlink r:id="rId6" w:history="1">
        <w:r w:rsidRPr="00B6763E">
          <w:rPr>
            <w:rStyle w:val="Hyperlink"/>
            <w:sz w:val="20"/>
            <w:lang w:val="fr-BE"/>
          </w:rPr>
          <w:t>Eiropas Parlamenta 2022</w:t>
        </w:r>
        <w:r w:rsidR="001F2BA3" w:rsidRPr="00B6763E">
          <w:rPr>
            <w:rStyle w:val="Hyperlink"/>
            <w:sz w:val="20"/>
            <w:lang w:val="fr-BE"/>
          </w:rPr>
          <w:t>. gad</w:t>
        </w:r>
        <w:r w:rsidRPr="00B6763E">
          <w:rPr>
            <w:rStyle w:val="Hyperlink"/>
            <w:sz w:val="20"/>
            <w:lang w:val="fr-BE"/>
          </w:rPr>
          <w:t>a 3. maija normatīvā rezolūcija par priekšlikumu Padomes regulai par Eiropas Parlamenta deputātu ievēlēšanu tiešās vispārējās vēlēšanās, ar ko atceļ Padomes Lēmumu (76/787/EOTK, EEK, Euratom) un šim lēmumam pielikumā pievienoto Aktu par Eiropas Parlamenta deputātu ievēlēšanu tiešās vispārējās vēlēšanās</w:t>
        </w:r>
      </w:hyperlink>
      <w:r w:rsidRPr="00B6763E">
        <w:rPr>
          <w:rFonts w:ascii="Arial" w:hAnsi="Arial"/>
          <w:lang w:val="fr-BE"/>
        </w:rPr>
        <w:t xml:space="preserve"> (2020/2220(INL) – 2022/0902(APP)).</w:t>
      </w:r>
    </w:p>
  </w:footnote>
  <w:footnote w:id="8">
    <w:p w14:paraId="7705D86C" w14:textId="77777777" w:rsidR="00EE2BB3" w:rsidRPr="00B6763E" w:rsidRDefault="00EE2BB3" w:rsidP="0034629E">
      <w:pPr>
        <w:pStyle w:val="FootnoteText"/>
        <w:spacing w:after="60" w:line="264" w:lineRule="auto"/>
        <w:ind w:left="142" w:hanging="142"/>
        <w:jc w:val="left"/>
        <w:rPr>
          <w:rFonts w:ascii="Arial" w:hAnsi="Arial" w:cs="Arial"/>
          <w:lang w:val="fr-BE"/>
        </w:rPr>
      </w:pPr>
      <w:r>
        <w:rPr>
          <w:rStyle w:val="FootnoteReference"/>
          <w:sz w:val="20"/>
        </w:rPr>
        <w:footnoteRef/>
      </w:r>
      <w:r w:rsidRPr="00B6763E">
        <w:rPr>
          <w:rFonts w:ascii="Arial" w:hAnsi="Arial"/>
          <w:lang w:val="fr-BE"/>
        </w:rPr>
        <w:t xml:space="preserve"> Parlaments arī “aicina dalībvalstis ieviest pasākumus, lai maksimāli palielinātu vēlēšanu pieejamību iedzīvotājiem ar invaliditāti, cita starpā un attiecīgā gadījumā ietverot balsošanas informāciju un reģistrāciju, vēlēšanu iecirkņus, vēlēšanu kabīnes, balsošanas ierīces un vēlēšanu zīmes; iesaka īstenot atbilstošus pasākumus, kas pielāgoti viņu valsts balsošanas procedūrām, lai atvieglotu pilsoņu ar invaliditāti balsošanu, piemēram, iespēju izvēlēties vēlēšanu iecirkņus, slēgtus vēlēšanu iecirkņus centrālajās vietās, kā arī izmantot palīgtehnoloģijas, formātus un paņēmienus, piemēram, Braila rakstu, liela izmēra druku, audiovizuālu informāciju, taustes trafaretus, viegli lasāmu informāciju un saziņu zīmju valodā; aicina dalībvalstis ļaut personām ar invaliditāti vajadzības gadījumā un pēc viņu pieprasījuma saņemt balsošanas procesā palīdzību no kādas citas personas, ko persona ar invaliditāti ir izvēlējusies”.</w:t>
      </w:r>
    </w:p>
  </w:footnote>
  <w:footnote w:id="9">
    <w:p w14:paraId="3D35A96A" w14:textId="1AD50678" w:rsidR="00EE2BB3" w:rsidRPr="00B6763E" w:rsidRDefault="00EE2BB3" w:rsidP="0034629E">
      <w:pPr>
        <w:pStyle w:val="FootnoteText"/>
        <w:spacing w:after="60" w:line="264" w:lineRule="auto"/>
        <w:ind w:left="154" w:hanging="154"/>
        <w:jc w:val="left"/>
        <w:rPr>
          <w:rFonts w:ascii="Arial" w:hAnsi="Arial" w:cs="Arial"/>
          <w:lang w:val="fr-BE"/>
        </w:rPr>
      </w:pPr>
      <w:r>
        <w:rPr>
          <w:rStyle w:val="FootnoteReference"/>
          <w:sz w:val="20"/>
        </w:rPr>
        <w:footnoteRef/>
      </w:r>
      <w:r w:rsidRPr="00B6763E">
        <w:rPr>
          <w:rFonts w:ascii="Arial" w:hAnsi="Arial"/>
          <w:lang w:val="fr-BE"/>
        </w:rPr>
        <w:t xml:space="preserve"> </w:t>
      </w:r>
      <w:hyperlink r:id="rId7" w:history="1">
        <w:r w:rsidRPr="00B6763E">
          <w:rPr>
            <w:rStyle w:val="Hyperlink"/>
            <w:sz w:val="20"/>
            <w:lang w:val="fr-BE"/>
          </w:rPr>
          <w:t>Eiropas Parlamenta 2022</w:t>
        </w:r>
        <w:r w:rsidR="001F2BA3" w:rsidRPr="00B6763E">
          <w:rPr>
            <w:rStyle w:val="Hyperlink"/>
            <w:sz w:val="20"/>
            <w:lang w:val="fr-BE"/>
          </w:rPr>
          <w:t>. gad</w:t>
        </w:r>
        <w:r w:rsidRPr="00B6763E">
          <w:rPr>
            <w:rStyle w:val="Hyperlink"/>
            <w:sz w:val="20"/>
            <w:lang w:val="fr-BE"/>
          </w:rPr>
          <w:t>a 13. decembra rezolūcija Virzība uz vienlīdzīgu tiesību nodrošināšanu personām ar invaliditāti</w:t>
        </w:r>
      </w:hyperlink>
      <w:r w:rsidRPr="00B6763E">
        <w:rPr>
          <w:rFonts w:ascii="Arial" w:hAnsi="Arial"/>
          <w:lang w:val="fr-BE"/>
        </w:rPr>
        <w:t xml:space="preserve"> (2022/2026(INI)).</w:t>
      </w:r>
    </w:p>
  </w:footnote>
  <w:footnote w:id="10">
    <w:p w14:paraId="6375D8AA" w14:textId="77777777" w:rsidR="00EE2BB3" w:rsidRPr="00B6763E" w:rsidRDefault="00EE2BB3" w:rsidP="0034629E">
      <w:pPr>
        <w:pStyle w:val="FootnoteText"/>
        <w:spacing w:after="60" w:line="264" w:lineRule="auto"/>
        <w:ind w:left="142" w:hanging="142"/>
        <w:jc w:val="left"/>
        <w:rPr>
          <w:rFonts w:ascii="Arial" w:hAnsi="Arial" w:cs="Arial"/>
          <w:lang w:val="fr-BE"/>
        </w:rPr>
      </w:pPr>
      <w:r>
        <w:rPr>
          <w:rStyle w:val="FootnoteReference"/>
          <w:sz w:val="20"/>
        </w:rPr>
        <w:footnoteRef/>
      </w:r>
      <w:r w:rsidRPr="00B6763E">
        <w:rPr>
          <w:rFonts w:ascii="Arial" w:hAnsi="Arial"/>
          <w:lang w:val="fr-BE"/>
        </w:rPr>
        <w:t xml:space="preserve"> Rezolūcijā arī uzsvērta nepieciešamība garantēt personu ar invaliditāti tiesības neatkarīgi un aizklāti balsot un kandidēt, turklāt nodrošināt viņām vienlīdzīgas iespējas uz dalību vēlēšanu kampaņā un nodrošināt, ka vēlēšanu iecirkņi ir pieejami personām ar invaliditāti. Eiropas, valstu, reģionālajām un vietējām politiskajām partijām ir jānodrošina, ka personas ar invaliditāti ir labāk pārstāvētas vēlētāju sarakstos. Dalībvalstu izraudzītās vēlēšanu iestādes ir aicinātas vākt datus par vēlēšanu iecirkņu piekļūstamību, tostarp norādes par to, vai tie ir pielāgoti personu ar invaliditāti vajadzībām, un ziņot par to Komisijai, Padomei un Eiropas Parlamentam ne vēlāk kā vienu gadu pēc Eiropas Parlamenta vēlēšanām.</w:t>
      </w:r>
    </w:p>
  </w:footnote>
  <w:footnote w:id="11">
    <w:p w14:paraId="16568EE6" w14:textId="10364DD6" w:rsidR="00EE2BB3" w:rsidRPr="006B02A7" w:rsidRDefault="00EE2BB3" w:rsidP="0034629E">
      <w:pPr>
        <w:spacing w:after="60" w:line="264" w:lineRule="auto"/>
        <w:ind w:left="196" w:hanging="196"/>
        <w:rPr>
          <w:sz w:val="20"/>
        </w:rPr>
      </w:pPr>
      <w:r>
        <w:rPr>
          <w:rStyle w:val="FootnoteReference"/>
          <w:sz w:val="20"/>
        </w:rPr>
        <w:footnoteRef/>
      </w:r>
      <w:r>
        <w:rPr>
          <w:sz w:val="20"/>
        </w:rPr>
        <w:t xml:space="preserve"> </w:t>
      </w:r>
      <w:hyperlink r:id="rId8" w:history="1">
        <w:r>
          <w:rPr>
            <w:rStyle w:val="Hyperlink"/>
            <w:sz w:val="20"/>
            <w:shd w:val="clear" w:color="auto" w:fill="FFFFFF"/>
          </w:rPr>
          <w:t>Eiropas Parlamenta 2023</w:t>
        </w:r>
        <w:r w:rsidR="001F2BA3">
          <w:rPr>
            <w:rStyle w:val="Hyperlink"/>
            <w:sz w:val="20"/>
            <w:shd w:val="clear" w:color="auto" w:fill="FFFFFF"/>
          </w:rPr>
          <w:t>. gad</w:t>
        </w:r>
        <w:r>
          <w:rPr>
            <w:rStyle w:val="Hyperlink"/>
            <w:sz w:val="20"/>
            <w:shd w:val="clear" w:color="auto" w:fill="FFFFFF"/>
          </w:rPr>
          <w:t>a 14. februāra normatīvā rezolūcija par priekšlikumu Padomes direktīvai, ar kuru paredz sīki izstrādātus noteikumus par to, kā tiesības balsot un kandidēt pašvaldību vēlēšanās izmanto Savienības pilsoņi, kas dzīvo dalībvalstī, kuras pilsoņi tie nav (pārstrādāta redakcija)</w:t>
        </w:r>
      </w:hyperlink>
      <w:r>
        <w:rPr>
          <w:sz w:val="20"/>
          <w:shd w:val="clear" w:color="auto" w:fill="FFFFFF"/>
        </w:rPr>
        <w:t xml:space="preserve"> (COM(2021) 0733 – C9-0022/2022 – 2021/0373(CNS)) </w:t>
      </w:r>
      <w:r>
        <w:rPr>
          <w:sz w:val="20"/>
        </w:rPr>
        <w:t xml:space="preserve">un </w:t>
      </w:r>
      <w:hyperlink r:id="rId9" w:history="1">
        <w:r>
          <w:rPr>
            <w:rStyle w:val="Hyperlink"/>
            <w:sz w:val="20"/>
          </w:rPr>
          <w:t>Eiropas Parlamenta 2023</w:t>
        </w:r>
        <w:r w:rsidR="001F2BA3">
          <w:rPr>
            <w:rStyle w:val="Hyperlink"/>
            <w:sz w:val="20"/>
          </w:rPr>
          <w:t>. gad</w:t>
        </w:r>
        <w:r>
          <w:rPr>
            <w:rStyle w:val="Hyperlink"/>
            <w:sz w:val="20"/>
          </w:rPr>
          <w:t>a 14. februāra normatīvā rezolūcija par priekšlikumu Padomes direktīvai, ar ko nosaka sīki izstrādātu kārtību balsstiesību un tiesību kandidēt Eiropas Parlamenta vēlēšanās izmantošanai Savienības pilsoņiem, kas dzīvo dalībvalstī, kuras pilsoņi tie nav (pārstrādāta redakcija)</w:t>
        </w:r>
      </w:hyperlink>
      <w:r>
        <w:rPr>
          <w:sz w:val="20"/>
        </w:rPr>
        <w:t xml:space="preserve"> (COM(2021) 0732 – C9-0021/2022 – 2021/0372(CNS)).</w:t>
      </w:r>
    </w:p>
  </w:footnote>
  <w:footnote w:id="12">
    <w:p w14:paraId="2CBD2C11" w14:textId="0546226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10" w:history="1">
        <w:r>
          <w:rPr>
            <w:rStyle w:val="Hyperlink"/>
            <w:sz w:val="20"/>
          </w:rPr>
          <w:t>Eiropas Ekonomikas un sociālo lietu komitejas informatīvais ziņojums – Personu ar invaliditāti reālās tiesības balsot Eiropas Parlamenta vēlēšanās</w:t>
        </w:r>
      </w:hyperlink>
      <w:r>
        <w:rPr>
          <w:rFonts w:ascii="Arial" w:hAnsi="Arial"/>
        </w:rPr>
        <w:t>.</w:t>
      </w:r>
    </w:p>
  </w:footnote>
  <w:footnote w:id="13">
    <w:p w14:paraId="4B10AA50"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Ziņojumā minētie paraugprakses piemēri ietver pārvietojamas vēlēšanu kastes personām ar invaliditāti (Bulgārija):</w:t>
      </w:r>
    </w:p>
    <w:p w14:paraId="596296A7" w14:textId="6EA2E86A" w:rsidR="00EE2BB3" w:rsidRPr="006B02A7" w:rsidRDefault="00EE2BB3" w:rsidP="002D36F0">
      <w:pPr>
        <w:pStyle w:val="FootnoteText"/>
        <w:numPr>
          <w:ilvl w:val="0"/>
          <w:numId w:val="7"/>
        </w:numPr>
        <w:spacing w:after="60" w:line="264" w:lineRule="auto"/>
        <w:jc w:val="left"/>
        <w:rPr>
          <w:rFonts w:ascii="Arial" w:hAnsi="Arial" w:cs="Arial"/>
        </w:rPr>
      </w:pPr>
      <w:r>
        <w:rPr>
          <w:rFonts w:ascii="Arial" w:hAnsi="Arial"/>
        </w:rPr>
        <w:t>mērķtiecīgus informatīvos materiālus, kas sagatavoti vienkāršā valodā un Braila rakstā (videomateriālus, brošūras), lai atbalstītu konkrētas grupas dažādās valodās (Beļģija), autonomas elektroniskās balsošanas izmēģinājuma projektu cilvēkiem ar redzes traucējumiem (Beļģija), pieejamus vēlēšanu iecirkņus un vēlēšanu kastes slimnīcās, aprūpes namos vai līdzīgās iestādēs (Īrija);</w:t>
      </w:r>
    </w:p>
    <w:p w14:paraId="363A6B78" w14:textId="7ABB1547" w:rsidR="00EE2BB3" w:rsidRPr="006B02A7" w:rsidRDefault="00D45A6D" w:rsidP="002D36F0">
      <w:pPr>
        <w:pStyle w:val="FootnoteText"/>
        <w:numPr>
          <w:ilvl w:val="0"/>
          <w:numId w:val="7"/>
        </w:numPr>
        <w:spacing w:after="60" w:line="264" w:lineRule="auto"/>
        <w:jc w:val="left"/>
        <w:rPr>
          <w:rFonts w:ascii="Arial" w:hAnsi="Arial" w:cs="Arial"/>
        </w:rPr>
      </w:pPr>
      <w:r>
        <w:rPr>
          <w:rFonts w:ascii="Arial" w:hAnsi="Arial"/>
        </w:rPr>
        <w:t>Braila rakstā apdrukātas vēlēšanu zīmes (Slovākija), pētījumus par šķēršļiem, ar kādiem saskaras politiķi ar invaliditāti, un kādi pasākumi būtu jāveic, lai viņi varētu piedalīties un pildīt savus pienākumus (Nīderlande).</w:t>
      </w:r>
    </w:p>
  </w:footnote>
  <w:footnote w:id="14">
    <w:p w14:paraId="29BD9682" w14:textId="5F55242B" w:rsidR="00EE2BB3" w:rsidRPr="006B02A7" w:rsidRDefault="00EE2BB3" w:rsidP="0034629E">
      <w:pPr>
        <w:pStyle w:val="FootnoteText"/>
        <w:spacing w:after="60" w:line="264" w:lineRule="auto"/>
        <w:ind w:left="224" w:hanging="224"/>
        <w:jc w:val="left"/>
        <w:rPr>
          <w:rFonts w:ascii="Arial" w:hAnsi="Arial" w:cs="Arial"/>
        </w:rPr>
      </w:pPr>
      <w:r>
        <w:rPr>
          <w:rStyle w:val="FootnoteReference"/>
          <w:sz w:val="20"/>
        </w:rPr>
        <w:footnoteRef/>
      </w:r>
      <w:r>
        <w:rPr>
          <w:rFonts w:ascii="Arial" w:hAnsi="Arial"/>
        </w:rPr>
        <w:t xml:space="preserve"> </w:t>
      </w:r>
      <w:hyperlink r:id="rId11" w:history="1">
        <w:r>
          <w:rPr>
            <w:rStyle w:val="Hyperlink"/>
            <w:sz w:val="20"/>
          </w:rPr>
          <w:t>Noslēguma apsvērumi par Eiropas Savienības sākotnējo ziņojumu</w:t>
        </w:r>
      </w:hyperlink>
      <w:r>
        <w:rPr>
          <w:rFonts w:ascii="Arial" w:hAnsi="Arial"/>
        </w:rPr>
        <w:t>, pieņemti 14. sesijā Ženēvā 2015</w:t>
      </w:r>
      <w:r w:rsidR="001F2BA3">
        <w:rPr>
          <w:rFonts w:ascii="Arial" w:hAnsi="Arial"/>
        </w:rPr>
        <w:t>. gad</w:t>
      </w:r>
      <w:r>
        <w:rPr>
          <w:rFonts w:ascii="Arial" w:hAnsi="Arial"/>
        </w:rPr>
        <w:t xml:space="preserve">ā. Skatīt arī </w:t>
      </w:r>
      <w:hyperlink r:id="rId12" w:history="1">
        <w:r>
          <w:rPr>
            <w:rStyle w:val="Hyperlink"/>
            <w:sz w:val="20"/>
          </w:rPr>
          <w:t>ANO īpašā referenta par personu ar invaliditāti tiesībām 2023</w:t>
        </w:r>
        <w:r w:rsidR="001F2BA3">
          <w:rPr>
            <w:rStyle w:val="Hyperlink"/>
            <w:sz w:val="20"/>
          </w:rPr>
          <w:t>. gad</w:t>
        </w:r>
        <w:r>
          <w:rPr>
            <w:rStyle w:val="Hyperlink"/>
            <w:sz w:val="20"/>
          </w:rPr>
          <w:t>ā publicēto ziņojumu</w:t>
        </w:r>
      </w:hyperlink>
      <w:r>
        <w:rPr>
          <w:rFonts w:ascii="Arial" w:hAnsi="Arial"/>
        </w:rPr>
        <w:t>.</w:t>
      </w:r>
    </w:p>
  </w:footnote>
  <w:footnote w:id="15">
    <w:p w14:paraId="774A36C8" w14:textId="6108F405" w:rsidR="00EE2BB3" w:rsidRPr="006B02A7" w:rsidRDefault="00EE2BB3" w:rsidP="0034629E">
      <w:pPr>
        <w:pStyle w:val="FootnoteText"/>
        <w:spacing w:after="60" w:line="264" w:lineRule="auto"/>
        <w:ind w:left="210" w:hanging="210"/>
        <w:jc w:val="left"/>
        <w:rPr>
          <w:rFonts w:ascii="Arial" w:hAnsi="Arial" w:cs="Arial"/>
        </w:rPr>
      </w:pPr>
      <w:r>
        <w:rPr>
          <w:rStyle w:val="FootnoteReference"/>
          <w:sz w:val="20"/>
        </w:rPr>
        <w:footnoteRef/>
      </w:r>
      <w:r>
        <w:rPr>
          <w:rFonts w:ascii="Arial" w:hAnsi="Arial"/>
        </w:rPr>
        <w:t xml:space="preserve"> </w:t>
      </w:r>
      <w:hyperlink r:id="rId13" w:history="1">
        <w:r>
          <w:rPr>
            <w:rStyle w:val="Hyperlink"/>
            <w:sz w:val="20"/>
          </w:rPr>
          <w:t>Savienība, kurā valda līdztiesība:</w:t>
        </w:r>
      </w:hyperlink>
      <w:hyperlink r:id="rId14" w:history="1">
        <w:r>
          <w:rPr>
            <w:rStyle w:val="Hyperlink"/>
            <w:sz w:val="20"/>
          </w:rPr>
          <w:t xml:space="preserve"> “Personu ar invaliditāti tiesību stratēģija 2021.–2030</w:t>
        </w:r>
        <w:r w:rsidR="001F2BA3">
          <w:rPr>
            <w:rStyle w:val="Hyperlink"/>
            <w:sz w:val="20"/>
          </w:rPr>
          <w:t>. gad</w:t>
        </w:r>
        <w:r>
          <w:rPr>
            <w:rStyle w:val="Hyperlink"/>
            <w:sz w:val="20"/>
          </w:rPr>
          <w:t>am”</w:t>
        </w:r>
      </w:hyperlink>
      <w:r>
        <w:rPr>
          <w:rFonts w:ascii="Arial" w:hAnsi="Arial"/>
        </w:rPr>
        <w:t>.</w:t>
      </w:r>
    </w:p>
  </w:footnote>
  <w:footnote w:id="16">
    <w:p w14:paraId="7D6E94BC" w14:textId="7A575A04" w:rsidR="00EE2BB3" w:rsidRPr="006B02A7" w:rsidRDefault="00EE2BB3" w:rsidP="0034629E">
      <w:pPr>
        <w:pStyle w:val="FootnoteText"/>
        <w:spacing w:after="60" w:line="264" w:lineRule="auto"/>
        <w:ind w:left="238" w:hanging="238"/>
        <w:jc w:val="left"/>
        <w:rPr>
          <w:rFonts w:ascii="Arial" w:hAnsi="Arial" w:cs="Arial"/>
        </w:rPr>
      </w:pPr>
      <w:r>
        <w:rPr>
          <w:rStyle w:val="FootnoteReference"/>
          <w:sz w:val="20"/>
        </w:rPr>
        <w:footnoteRef/>
      </w:r>
      <w:r>
        <w:rPr>
          <w:rFonts w:ascii="Arial" w:hAnsi="Arial"/>
        </w:rPr>
        <w:t xml:space="preserve"> Komisija 2021</w:t>
      </w:r>
      <w:r w:rsidR="001F2BA3">
        <w:rPr>
          <w:rFonts w:ascii="Arial" w:hAnsi="Arial"/>
        </w:rPr>
        <w:t>. gad</w:t>
      </w:r>
      <w:r>
        <w:rPr>
          <w:rFonts w:ascii="Arial" w:hAnsi="Arial"/>
        </w:rPr>
        <w:t>a 25. novembrī nāca klajā ar pasākumu kopumu demokrātijas stiprināšanai un vēlēšanu integritātes aizsardzībai. Pasākumu kopumā bija iekļauts paziņojums, kurā ziņots, ka Komisija turpinās Eiropas vēlēšanu sadarbības tīkla darbu, lai atvieglotu un uzlabotu visu ES pilsoņu iespējas izmantot vēlēšanu tiesības, tostarp atbalstīs labas prakses apmaiņu un savstarpēju palīdzību, lai nodrošinātu brīvas un godīgas vēlēšanas, un izveidos kopīgas atsauces uz labo praksi konkrētos vēlēšanu cikla posmos. Tā apņēmās 2023</w:t>
      </w:r>
      <w:r w:rsidR="001F2BA3">
        <w:rPr>
          <w:rFonts w:ascii="Arial" w:hAnsi="Arial"/>
        </w:rPr>
        <w:t>. gad</w:t>
      </w:r>
      <w:r>
        <w:rPr>
          <w:rFonts w:ascii="Arial" w:hAnsi="Arial"/>
        </w:rPr>
        <w:t>a otrajā pusē rīkot augsta līmeņa pasākumu par vēlēšanām un pulcināt dažādas ar vēlēšanām saistītas iestādes, lai risinātu tiesību aktu kopumā aplūkotās problēmas.</w:t>
      </w:r>
    </w:p>
  </w:footnote>
  <w:footnote w:id="17">
    <w:p w14:paraId="37EB63C2" w14:textId="77777777" w:rsidR="00EE2BB3" w:rsidRPr="006B02A7" w:rsidRDefault="00EE2BB3" w:rsidP="0034629E">
      <w:pPr>
        <w:pStyle w:val="FootnoteText"/>
        <w:spacing w:after="0" w:line="264" w:lineRule="auto"/>
        <w:jc w:val="left"/>
        <w:rPr>
          <w:rFonts w:ascii="Arial" w:hAnsi="Arial" w:cs="Arial"/>
        </w:rPr>
      </w:pPr>
      <w:r>
        <w:rPr>
          <w:rStyle w:val="FootnoteReference"/>
          <w:sz w:val="20"/>
        </w:rPr>
        <w:footnoteRef/>
      </w:r>
      <w:r>
        <w:rPr>
          <w:rFonts w:ascii="Arial" w:hAnsi="Arial"/>
        </w:rPr>
        <w:t xml:space="preserve"> Projektu piemēri ir šādi:</w:t>
      </w:r>
    </w:p>
    <w:p w14:paraId="5C5EEDA7" w14:textId="70DA326C" w:rsidR="00EE2BB3" w:rsidRPr="006B02A7" w:rsidRDefault="00DE591E" w:rsidP="002D36F0">
      <w:pPr>
        <w:pStyle w:val="FootnoteText"/>
        <w:numPr>
          <w:ilvl w:val="0"/>
          <w:numId w:val="8"/>
        </w:numPr>
        <w:spacing w:after="0" w:line="264" w:lineRule="auto"/>
        <w:jc w:val="left"/>
        <w:rPr>
          <w:rFonts w:ascii="Arial" w:hAnsi="Arial" w:cs="Arial"/>
        </w:rPr>
      </w:pPr>
      <w:hyperlink r:id="rId15" w:history="1">
        <w:r w:rsidR="00C32507">
          <w:rPr>
            <w:rStyle w:val="Hyperlink"/>
            <w:sz w:val="20"/>
          </w:rPr>
          <w:t>The Future is Ours:</w:t>
        </w:r>
      </w:hyperlink>
      <w:hyperlink r:id="rId16" w:history="1">
        <w:r w:rsidR="00C32507">
          <w:rPr>
            <w:rStyle w:val="Hyperlink"/>
            <w:sz w:val="20"/>
          </w:rPr>
          <w:t xml:space="preserve"> Persons with Disabilities Rebuild Democracy</w:t>
        </w:r>
      </w:hyperlink>
      <w:r w:rsidR="00C32507">
        <w:rPr>
          <w:rFonts w:ascii="Arial" w:hAnsi="Arial"/>
        </w:rPr>
        <w:t xml:space="preserve">. </w:t>
      </w:r>
    </w:p>
    <w:p w14:paraId="40D01A40" w14:textId="4143486F" w:rsidR="00EE2BB3" w:rsidRPr="006B02A7" w:rsidRDefault="00DE591E" w:rsidP="002D36F0">
      <w:pPr>
        <w:pStyle w:val="FootnoteText"/>
        <w:numPr>
          <w:ilvl w:val="0"/>
          <w:numId w:val="8"/>
        </w:numPr>
        <w:spacing w:after="60" w:line="264" w:lineRule="auto"/>
        <w:jc w:val="left"/>
        <w:rPr>
          <w:rFonts w:ascii="Arial" w:hAnsi="Arial" w:cs="Arial"/>
        </w:rPr>
      </w:pPr>
      <w:hyperlink r:id="rId17" w:history="1">
        <w:r w:rsidR="00C32507">
          <w:rPr>
            <w:rStyle w:val="Hyperlink"/>
            <w:sz w:val="20"/>
          </w:rPr>
          <w:t>Ambitions.</w:t>
        </w:r>
      </w:hyperlink>
      <w:hyperlink r:id="rId18" w:history="1">
        <w:r w:rsidR="00C32507">
          <w:rPr>
            <w:rStyle w:val="Hyperlink"/>
            <w:sz w:val="20"/>
          </w:rPr>
          <w:t xml:space="preserve"> Rights.</w:t>
        </w:r>
      </w:hyperlink>
      <w:hyperlink r:id="rId19" w:history="1">
        <w:r w:rsidR="00C32507">
          <w:rPr>
            <w:rStyle w:val="Hyperlink"/>
            <w:sz w:val="20"/>
          </w:rPr>
          <w:t xml:space="preserve"> Belonging.</w:t>
        </w:r>
      </w:hyperlink>
      <w:hyperlink r:id="rId20" w:history="1">
        <w:r w:rsidR="00C32507">
          <w:rPr>
            <w:rStyle w:val="Hyperlink"/>
            <w:sz w:val="20"/>
          </w:rPr>
          <w:t xml:space="preserve"> Keys to inclusion of people with intellectual disabilities</w:t>
        </w:r>
      </w:hyperlink>
      <w:r w:rsidR="00C32507">
        <w:rPr>
          <w:rFonts w:ascii="Arial" w:hAnsi="Arial"/>
        </w:rPr>
        <w:t>.</w:t>
      </w:r>
    </w:p>
  </w:footnote>
  <w:footnote w:id="18">
    <w:p w14:paraId="0DC0F278" w14:textId="5FEDBDD1" w:rsidR="00EE2BB3" w:rsidRPr="006B02A7" w:rsidRDefault="00EE2BB3" w:rsidP="0034629E">
      <w:pPr>
        <w:pStyle w:val="FootnoteText"/>
        <w:spacing w:after="60" w:line="264" w:lineRule="auto"/>
        <w:ind w:left="210" w:hanging="210"/>
        <w:jc w:val="left"/>
        <w:rPr>
          <w:rFonts w:ascii="Arial" w:hAnsi="Arial" w:cs="Arial"/>
        </w:rPr>
      </w:pPr>
      <w:r>
        <w:rPr>
          <w:rStyle w:val="FootnoteReference"/>
          <w:sz w:val="20"/>
        </w:rPr>
        <w:footnoteRef/>
      </w:r>
      <w:r>
        <w:rPr>
          <w:rFonts w:ascii="Arial" w:hAnsi="Arial"/>
        </w:rPr>
        <w:t xml:space="preserve"> 2010</w:t>
      </w:r>
      <w:r w:rsidR="001F2BA3">
        <w:rPr>
          <w:rFonts w:ascii="Arial" w:hAnsi="Arial"/>
        </w:rPr>
        <w:t>. gad</w:t>
      </w:r>
      <w:r>
        <w:rPr>
          <w:rFonts w:ascii="Arial" w:hAnsi="Arial"/>
        </w:rPr>
        <w:t xml:space="preserve">ā </w:t>
      </w:r>
      <w:r>
        <w:rPr>
          <w:rFonts w:ascii="Arial" w:hAnsi="Arial"/>
          <w:i/>
          <w:iCs/>
        </w:rPr>
        <w:t>FRA</w:t>
      </w:r>
      <w:r>
        <w:rPr>
          <w:rFonts w:ascii="Arial" w:hAnsi="Arial"/>
        </w:rPr>
        <w:t xml:space="preserve"> publicēja ziņojumu “Tiesības uz politisko līdzdalību personām ar garīgās veselības problēmām un personām ar intelektuālās attīstības traucējumiem”. 2014</w:t>
      </w:r>
      <w:r w:rsidR="001F2BA3">
        <w:rPr>
          <w:rFonts w:ascii="Arial" w:hAnsi="Arial"/>
        </w:rPr>
        <w:t>. gad</w:t>
      </w:r>
      <w:r>
        <w:rPr>
          <w:rFonts w:ascii="Arial" w:hAnsi="Arial"/>
        </w:rPr>
        <w:t xml:space="preserve">ā aģentūra izstrādāja un papildināja cilvēktiesību rādītājus par cilvēku ar invaliditāti tiesībām uz politisko līdzdalību. Turklāt </w:t>
      </w:r>
      <w:r>
        <w:rPr>
          <w:rFonts w:ascii="Arial" w:hAnsi="Arial"/>
          <w:i/>
          <w:iCs/>
        </w:rPr>
        <w:t>FRA</w:t>
      </w:r>
      <w:r>
        <w:rPr>
          <w:rFonts w:ascii="Arial" w:hAnsi="Arial"/>
        </w:rPr>
        <w:t xml:space="preserve"> publicēja piecas infografikas, lai palīdzētu galvenajiem dalībniekiem uzlabot informētību par cilvēku ar invaliditāti tiesībām balsot. 2019</w:t>
      </w:r>
      <w:r w:rsidR="001F2BA3">
        <w:rPr>
          <w:rFonts w:ascii="Arial" w:hAnsi="Arial"/>
        </w:rPr>
        <w:t>. gad</w:t>
      </w:r>
      <w:r>
        <w:rPr>
          <w:rFonts w:ascii="Arial" w:hAnsi="Arial"/>
        </w:rPr>
        <w:t>ā publicētā dokumentā analizētas saistītās juridiskās reformas dalībvalstīs kopš 2014</w:t>
      </w:r>
      <w:r w:rsidR="001F2BA3">
        <w:rPr>
          <w:rFonts w:ascii="Arial" w:hAnsi="Arial"/>
        </w:rPr>
        <w:t>. gad</w:t>
      </w:r>
      <w:r>
        <w:rPr>
          <w:rFonts w:ascii="Arial" w:hAnsi="Arial"/>
        </w:rPr>
        <w:t>a.</w:t>
      </w:r>
    </w:p>
  </w:footnote>
  <w:footnote w:id="19">
    <w:p w14:paraId="37C9A58C" w14:textId="5B66B93B" w:rsidR="00EE2BB3" w:rsidRPr="006B02A7" w:rsidRDefault="00EE2BB3" w:rsidP="0034629E">
      <w:pPr>
        <w:pStyle w:val="FootnoteText"/>
        <w:spacing w:after="60" w:line="264" w:lineRule="auto"/>
        <w:ind w:left="224" w:hanging="224"/>
        <w:jc w:val="left"/>
        <w:rPr>
          <w:rFonts w:ascii="Arial" w:hAnsi="Arial" w:cs="Arial"/>
        </w:rPr>
      </w:pPr>
      <w:r>
        <w:rPr>
          <w:rStyle w:val="FootnoteReference"/>
          <w:sz w:val="20"/>
        </w:rPr>
        <w:footnoteRef/>
      </w:r>
      <w:r>
        <w:rPr>
          <w:rFonts w:ascii="Arial" w:hAnsi="Arial"/>
        </w:rPr>
        <w:t xml:space="preserve"> 2022</w:t>
      </w:r>
      <w:r w:rsidR="001F2BA3">
        <w:rPr>
          <w:rFonts w:ascii="Arial" w:hAnsi="Arial"/>
        </w:rPr>
        <w:t>. gad</w:t>
      </w:r>
      <w:r>
        <w:rPr>
          <w:rFonts w:ascii="Arial" w:hAnsi="Arial"/>
        </w:rPr>
        <w:t>a 24. janvārī dalībvalstis apsprieda pasākumus, lai uzlabotu vēlēšanu iecirkņu fizisko piekļūstamību, atbalstu uz vietas, vēlēšanu palīglīdzekļus un alternatīvas balsošanas metodes. 2022</w:t>
      </w:r>
      <w:r w:rsidR="001F2BA3">
        <w:rPr>
          <w:rFonts w:ascii="Arial" w:hAnsi="Arial"/>
        </w:rPr>
        <w:t>. gad</w:t>
      </w:r>
      <w:r>
        <w:rPr>
          <w:rFonts w:ascii="Arial" w:hAnsi="Arial"/>
        </w:rPr>
        <w:t>a 21. septembrī Eiropas Invaliditātes foruma pārstāvis iepazīstināja ar 2022</w:t>
      </w:r>
      <w:r w:rsidR="001F2BA3">
        <w:rPr>
          <w:rFonts w:ascii="Arial" w:hAnsi="Arial"/>
        </w:rPr>
        <w:t>. gad</w:t>
      </w:r>
      <w:r>
        <w:rPr>
          <w:rFonts w:ascii="Arial" w:hAnsi="Arial"/>
        </w:rPr>
        <w:t>a Eiropas Invaliditātes foruma ziņojumu par cilvēku ar invaliditāti politisko līdzdalību. 2023</w:t>
      </w:r>
      <w:r w:rsidR="001F2BA3">
        <w:rPr>
          <w:rFonts w:ascii="Arial" w:hAnsi="Arial"/>
        </w:rPr>
        <w:t>. gad</w:t>
      </w:r>
      <w:r>
        <w:rPr>
          <w:rFonts w:ascii="Arial" w:hAnsi="Arial"/>
        </w:rPr>
        <w:t>a 12. jūnijā Eiropas Invaliditātes forums iepazīstināja ar ES finansētu projektu, kura mērķis ir palielināt cilvēku ar invaliditāti līdzdalību 2024</w:t>
      </w:r>
      <w:r w:rsidR="001F2BA3">
        <w:rPr>
          <w:rFonts w:ascii="Arial" w:hAnsi="Arial"/>
        </w:rPr>
        <w:t>. gad</w:t>
      </w:r>
      <w:r>
        <w:rPr>
          <w:rFonts w:ascii="Arial" w:hAnsi="Arial"/>
        </w:rPr>
        <w:t>a Eiropas Parlamenta vēlēšanās.</w:t>
      </w:r>
    </w:p>
  </w:footnote>
  <w:footnote w:id="20">
    <w:p w14:paraId="00EAF4BC" w14:textId="453A75A9" w:rsidR="00EE2BB3" w:rsidRPr="006B02A7" w:rsidRDefault="00EE2BB3" w:rsidP="0034629E">
      <w:pPr>
        <w:spacing w:after="60" w:line="264" w:lineRule="auto"/>
        <w:rPr>
          <w:sz w:val="20"/>
        </w:rPr>
      </w:pPr>
      <w:r>
        <w:rPr>
          <w:rStyle w:val="FootnoteReference"/>
          <w:sz w:val="20"/>
        </w:rPr>
        <w:footnoteRef/>
      </w:r>
      <w:r>
        <w:rPr>
          <w:sz w:val="20"/>
        </w:rPr>
        <w:t xml:space="preserve"> </w:t>
      </w:r>
      <w:hyperlink r:id="rId21" w:history="1">
        <w:r>
          <w:rPr>
            <w:rStyle w:val="Hyperlink"/>
            <w:sz w:val="20"/>
          </w:rPr>
          <w:t>Study on the participation of citizens with disabilities in elections</w:t>
        </w:r>
      </w:hyperlink>
      <w:r>
        <w:rPr>
          <w:rStyle w:val="Hyperlink"/>
          <w:sz w:val="20"/>
        </w:rPr>
        <w:t>.</w:t>
      </w:r>
      <w:r>
        <w:rPr>
          <w:sz w:val="20"/>
        </w:rPr>
        <w:t xml:space="preserve"> </w:t>
      </w:r>
    </w:p>
  </w:footnote>
  <w:footnote w:id="21">
    <w:p w14:paraId="219429CE" w14:textId="46A36B34"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2" w:history="1">
        <w:r>
          <w:rPr>
            <w:rStyle w:val="Hyperlink"/>
            <w:sz w:val="20"/>
          </w:rPr>
          <w:t>Study on Political Participation of Persons with Disabilities</w:t>
        </w:r>
      </w:hyperlink>
      <w:r>
        <w:rPr>
          <w:rFonts w:ascii="Arial" w:hAnsi="Arial"/>
        </w:rPr>
        <w:t>.</w:t>
      </w:r>
    </w:p>
  </w:footnote>
  <w:footnote w:id="22">
    <w:p w14:paraId="7DF72F28" w14:textId="32189095"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3" w:history="1">
        <w:r>
          <w:rPr>
            <w:rStyle w:val="Hyperlink"/>
            <w:sz w:val="20"/>
          </w:rPr>
          <w:t>Study on Political Participation of Persons with Disabilities.</w:t>
        </w:r>
      </w:hyperlink>
      <w:hyperlink r:id="rId24" w:history="1">
        <w:r>
          <w:rPr>
            <w:rStyle w:val="Hyperlink"/>
            <w:sz w:val="20"/>
          </w:rPr>
          <w:t xml:space="preserve"> Update of the 2018 report</w:t>
        </w:r>
      </w:hyperlink>
      <w:r>
        <w:rPr>
          <w:rFonts w:ascii="Arial" w:hAnsi="Arial"/>
        </w:rPr>
        <w:t xml:space="preserve">. </w:t>
      </w:r>
    </w:p>
  </w:footnote>
  <w:footnote w:id="23">
    <w:p w14:paraId="5EE3A416" w14:textId="342CB737" w:rsidR="00EE2BB3" w:rsidRPr="006B02A7" w:rsidRDefault="00EE2BB3" w:rsidP="0034629E">
      <w:pPr>
        <w:spacing w:after="60" w:line="264" w:lineRule="auto"/>
        <w:ind w:left="224" w:hanging="224"/>
        <w:rPr>
          <w:sz w:val="20"/>
        </w:rPr>
      </w:pPr>
      <w:r>
        <w:rPr>
          <w:rStyle w:val="FootnoteReference"/>
          <w:sz w:val="20"/>
        </w:rPr>
        <w:footnoteRef/>
      </w:r>
      <w:r>
        <w:rPr>
          <w:sz w:val="20"/>
        </w:rPr>
        <w:t xml:space="preserve"> 2022</w:t>
      </w:r>
      <w:r w:rsidR="001F2BA3">
        <w:rPr>
          <w:sz w:val="20"/>
        </w:rPr>
        <w:t>. gad</w:t>
      </w:r>
      <w:r>
        <w:rPr>
          <w:sz w:val="20"/>
        </w:rPr>
        <w:t>a 16. maijā un 10. jūnijā un 2023</w:t>
      </w:r>
      <w:r w:rsidR="001F2BA3">
        <w:rPr>
          <w:sz w:val="20"/>
        </w:rPr>
        <w:t>. gad</w:t>
      </w:r>
      <w:r>
        <w:rPr>
          <w:sz w:val="20"/>
        </w:rPr>
        <w:t>a 18. aprīlī un 2. maijā notika sanāksmes ar Eiropas Invaliditātes forumu (</w:t>
      </w:r>
      <w:r>
        <w:rPr>
          <w:i/>
          <w:iCs/>
          <w:sz w:val="20"/>
        </w:rPr>
        <w:t>European Disability Forum</w:t>
      </w:r>
      <w:r>
        <w:rPr>
          <w:sz w:val="20"/>
        </w:rPr>
        <w:t xml:space="preserve">, </w:t>
      </w:r>
      <w:r>
        <w:rPr>
          <w:i/>
          <w:iCs/>
          <w:sz w:val="20"/>
        </w:rPr>
        <w:t>EDF</w:t>
      </w:r>
      <w:r>
        <w:rPr>
          <w:sz w:val="20"/>
        </w:rPr>
        <w:t xml:space="preserve">) par personu ar invaliditāti politisko līdzdalību. </w:t>
      </w:r>
      <w:r>
        <w:rPr>
          <w:i/>
          <w:iCs/>
          <w:sz w:val="20"/>
        </w:rPr>
        <w:t>EDF</w:t>
      </w:r>
      <w:r>
        <w:rPr>
          <w:sz w:val="20"/>
        </w:rPr>
        <w:t xml:space="preserve"> piedalījās Eiropas sadarbības tīkla sanāksmē par vēlēšanām 2022</w:t>
      </w:r>
      <w:r w:rsidR="001F2BA3">
        <w:rPr>
          <w:sz w:val="20"/>
        </w:rPr>
        <w:t>. gad</w:t>
      </w:r>
      <w:r>
        <w:rPr>
          <w:sz w:val="20"/>
        </w:rPr>
        <w:t xml:space="preserve">a 21. septembrī. Tikšanās ar </w:t>
      </w:r>
      <w:r>
        <w:rPr>
          <w:i/>
          <w:iCs/>
          <w:sz w:val="20"/>
        </w:rPr>
        <w:t xml:space="preserve">Organización Nacional de Ciegos Españoles </w:t>
      </w:r>
      <w:r>
        <w:rPr>
          <w:sz w:val="20"/>
        </w:rPr>
        <w:t>pārstāvjiem notika 2022</w:t>
      </w:r>
      <w:r w:rsidR="001F2BA3">
        <w:rPr>
          <w:sz w:val="20"/>
        </w:rPr>
        <w:t>. gad</w:t>
      </w:r>
      <w:r>
        <w:rPr>
          <w:sz w:val="20"/>
        </w:rPr>
        <w:t>a 10. novembrī (komisāre Dalli), 2022</w:t>
      </w:r>
      <w:r w:rsidR="001F2BA3">
        <w:rPr>
          <w:sz w:val="20"/>
        </w:rPr>
        <w:t>. gad</w:t>
      </w:r>
      <w:r>
        <w:rPr>
          <w:sz w:val="20"/>
        </w:rPr>
        <w:t>a 25. novembrī (JUST ĢD) un 2023</w:t>
      </w:r>
      <w:r w:rsidR="001F2BA3">
        <w:rPr>
          <w:sz w:val="20"/>
        </w:rPr>
        <w:t>. gad</w:t>
      </w:r>
      <w:r>
        <w:rPr>
          <w:sz w:val="20"/>
        </w:rPr>
        <w:t xml:space="preserve">a 7. februārī (JUST ĢD). Invaliditātes platformas </w:t>
      </w:r>
      <w:r>
        <w:rPr>
          <w:i/>
          <w:iCs/>
          <w:sz w:val="20"/>
        </w:rPr>
        <w:t>ad hoc</w:t>
      </w:r>
      <w:r>
        <w:rPr>
          <w:sz w:val="20"/>
        </w:rPr>
        <w:t xml:space="preserve"> sanāksme notika 2023</w:t>
      </w:r>
      <w:r w:rsidR="001F2BA3">
        <w:rPr>
          <w:sz w:val="20"/>
        </w:rPr>
        <w:t>. gad</w:t>
      </w:r>
      <w:r>
        <w:rPr>
          <w:sz w:val="20"/>
        </w:rPr>
        <w:t>a 17. novembrī.</w:t>
      </w:r>
    </w:p>
  </w:footnote>
  <w:footnote w:id="24">
    <w:p w14:paraId="35737F8A" w14:textId="074B5584"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25" w:history="1">
        <w:r>
          <w:rPr>
            <w:rStyle w:val="Hyperlink"/>
            <w:sz w:val="20"/>
          </w:rPr>
          <w:t>Eiropas Demokrātijas rīcības plāns</w:t>
        </w:r>
      </w:hyperlink>
      <w:r>
        <w:rPr>
          <w:rFonts w:ascii="Arial" w:hAnsi="Arial"/>
        </w:rPr>
        <w:t xml:space="preserve">. </w:t>
      </w:r>
    </w:p>
  </w:footnote>
  <w:footnote w:id="25">
    <w:p w14:paraId="038F8F69" w14:textId="5A451784"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6" w:history="1">
        <w:r>
          <w:rPr>
            <w:rStyle w:val="Hyperlink"/>
            <w:sz w:val="20"/>
          </w:rPr>
          <w:t>Compendium of e-voting and other ICT practices</w:t>
        </w:r>
      </w:hyperlink>
      <w:r>
        <w:rPr>
          <w:rStyle w:val="Hyperlink"/>
          <w:sz w:val="20"/>
        </w:rPr>
        <w:t>.</w:t>
      </w:r>
      <w:r>
        <w:rPr>
          <w:rFonts w:ascii="Arial" w:hAnsi="Arial"/>
        </w:rPr>
        <w:t xml:space="preserve"> </w:t>
      </w:r>
    </w:p>
  </w:footnote>
  <w:footnote w:id="26">
    <w:p w14:paraId="1789BE97" w14:textId="2058BBB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7" w:history="1">
        <w:r>
          <w:rPr>
            <w:rStyle w:val="Hyperlink"/>
            <w:sz w:val="20"/>
          </w:rPr>
          <w:t>Study on political participation of persons with_disabilities.</w:t>
        </w:r>
      </w:hyperlink>
      <w:r>
        <w:rPr>
          <w:rFonts w:ascii="Arial" w:hAnsi="Arial"/>
        </w:rPr>
        <w:t xml:space="preserve"> </w:t>
      </w:r>
    </w:p>
  </w:footnote>
  <w:footnote w:id="27">
    <w:p w14:paraId="308DDD5D" w14:textId="7ABA2B39"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28" w:history="1">
        <w:r>
          <w:rPr>
            <w:rStyle w:val="Hyperlink"/>
            <w:sz w:val="20"/>
          </w:rPr>
          <w:t>Study on participation of citizens with disabilities in elections</w:t>
        </w:r>
      </w:hyperlink>
      <w:r>
        <w:rPr>
          <w:rFonts w:ascii="Arial" w:hAnsi="Arial"/>
        </w:rPr>
        <w:t xml:space="preserve">.  </w:t>
      </w:r>
    </w:p>
  </w:footnote>
  <w:footnote w:id="28">
    <w:p w14:paraId="05F11ABC" w14:textId="3E25BF91" w:rsidR="00EE2BB3" w:rsidRPr="006B02A7" w:rsidRDefault="00EE2BB3" w:rsidP="0034629E">
      <w:pPr>
        <w:pStyle w:val="FootnoteText"/>
        <w:spacing w:after="60" w:line="264" w:lineRule="auto"/>
        <w:ind w:left="284" w:hanging="284"/>
        <w:jc w:val="left"/>
        <w:rPr>
          <w:rFonts w:ascii="Arial" w:hAnsi="Arial" w:cs="Arial"/>
        </w:rPr>
      </w:pPr>
      <w:r>
        <w:rPr>
          <w:rStyle w:val="FootnoteReference"/>
          <w:sz w:val="20"/>
        </w:rPr>
        <w:footnoteRef/>
      </w:r>
      <w:r>
        <w:rPr>
          <w:rFonts w:ascii="Arial" w:hAnsi="Arial"/>
        </w:rPr>
        <w:t xml:space="preserve"> </w:t>
      </w:r>
      <w:hyperlink r:id="rId29" w:history="1">
        <w:r>
          <w:rPr>
            <w:rStyle w:val="Hyperlink"/>
            <w:sz w:val="20"/>
          </w:rPr>
          <w:t xml:space="preserve">Ar Konvenciju tika izveidota </w:t>
        </w:r>
        <w:r>
          <w:rPr>
            <w:rStyle w:val="Hyperlink"/>
            <w:i/>
            <w:iCs/>
            <w:sz w:val="20"/>
          </w:rPr>
          <w:t>CRPD</w:t>
        </w:r>
        <w:r>
          <w:rPr>
            <w:rStyle w:val="Hyperlink"/>
            <w:sz w:val="20"/>
          </w:rPr>
          <w:t xml:space="preserve"> komiteja — neatkarīga struktūra, kas uzrauga šā līguma piemērošanu</w:t>
        </w:r>
      </w:hyperlink>
      <w:r>
        <w:rPr>
          <w:rFonts w:ascii="Arial" w:hAnsi="Arial"/>
        </w:rPr>
        <w:t>.</w:t>
      </w:r>
    </w:p>
  </w:footnote>
  <w:footnote w:id="29">
    <w:p w14:paraId="2B8C82C2" w14:textId="6DEFDA2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30" w:history="1">
        <w:r>
          <w:rPr>
            <w:rStyle w:val="Hyperlink"/>
            <w:sz w:val="20"/>
          </w:rPr>
          <w:t xml:space="preserve">C-356/12, </w:t>
        </w:r>
        <w:r>
          <w:rPr>
            <w:rStyle w:val="Hyperlink"/>
            <w:i/>
            <w:sz w:val="20"/>
          </w:rPr>
          <w:t>Glatzel</w:t>
        </w:r>
      </w:hyperlink>
      <w:r>
        <w:rPr>
          <w:rFonts w:ascii="Arial" w:hAnsi="Arial"/>
        </w:rPr>
        <w:t>.</w:t>
      </w:r>
    </w:p>
  </w:footnote>
  <w:footnote w:id="30">
    <w:p w14:paraId="360C4538" w14:textId="74779BD3" w:rsidR="00EE2BB3" w:rsidRPr="006B02A7" w:rsidRDefault="00EE2BB3" w:rsidP="0034629E">
      <w:pPr>
        <w:pStyle w:val="FootnoteText"/>
        <w:spacing w:after="60" w:line="264" w:lineRule="auto"/>
        <w:ind w:left="168" w:hanging="168"/>
        <w:jc w:val="left"/>
        <w:rPr>
          <w:rFonts w:ascii="Arial" w:hAnsi="Arial" w:cs="Arial"/>
        </w:rPr>
      </w:pPr>
      <w:r>
        <w:rPr>
          <w:rStyle w:val="FootnoteReference"/>
          <w:sz w:val="20"/>
        </w:rPr>
        <w:footnoteRef/>
      </w:r>
      <w:r>
        <w:rPr>
          <w:rFonts w:ascii="Arial" w:hAnsi="Arial"/>
        </w:rPr>
        <w:t xml:space="preserve"> </w:t>
      </w:r>
      <w:hyperlink r:id="rId31" w:history="1">
        <w:r>
          <w:rPr>
            <w:rStyle w:val="Hyperlink"/>
            <w:sz w:val="20"/>
          </w:rPr>
          <w:t>Akts par Eiropas Parlamenta deputātu ievēlēšanu tiešās vispārējās vēlēšanās.</w:t>
        </w:r>
      </w:hyperlink>
      <w:hyperlink r:id="rId32" w:history="1">
        <w:r>
          <w:rPr>
            <w:rStyle w:val="Hyperlink"/>
            <w:sz w:val="20"/>
          </w:rPr>
          <w:t xml:space="preserve"> Konsolidētais teksts</w:t>
        </w:r>
      </w:hyperlink>
      <w:r>
        <w:rPr>
          <w:rFonts w:ascii="Arial" w:hAnsi="Arial"/>
        </w:rPr>
        <w:t>.</w:t>
      </w:r>
    </w:p>
  </w:footnote>
  <w:footnote w:id="31">
    <w:p w14:paraId="7419373E" w14:textId="5D50E334" w:rsidR="00EE2BB3" w:rsidRPr="006B1A12" w:rsidRDefault="00EE2BB3" w:rsidP="0034629E">
      <w:pPr>
        <w:pStyle w:val="FootnoteText"/>
        <w:spacing w:after="60" w:line="264" w:lineRule="auto"/>
        <w:ind w:left="224" w:hanging="224"/>
        <w:jc w:val="left"/>
        <w:rPr>
          <w:rFonts w:ascii="Arial" w:hAnsi="Arial" w:cs="Arial"/>
        </w:rPr>
      </w:pPr>
      <w:r>
        <w:rPr>
          <w:rStyle w:val="FootnoteReference"/>
          <w:rFonts w:eastAsiaTheme="majorEastAsia"/>
          <w:sz w:val="20"/>
        </w:rPr>
        <w:footnoteRef/>
      </w:r>
      <w:r>
        <w:rPr>
          <w:rFonts w:ascii="Arial" w:hAnsi="Arial"/>
        </w:rPr>
        <w:t xml:space="preserve"> </w:t>
      </w:r>
      <w:hyperlink r:id="rId33" w:history="1">
        <w:r>
          <w:rPr>
            <w:rStyle w:val="Hyperlink"/>
            <w:sz w:val="20"/>
          </w:rPr>
          <w:t xml:space="preserve">Priekšlikums PADOMES REGULAI par Eiropas Parlamenta deputātu ievēlēšanu tiešās vispārējās vēlēšanās, ar ko atceļ Padomes Lēmumu 76/787/EOTK, EEK, </w:t>
        </w:r>
        <w:r>
          <w:rPr>
            <w:rStyle w:val="Hyperlink"/>
            <w:i/>
            <w:iCs/>
            <w:sz w:val="20"/>
          </w:rPr>
          <w:t>Euratom</w:t>
        </w:r>
        <w:r>
          <w:rPr>
            <w:rStyle w:val="Hyperlink"/>
            <w:sz w:val="20"/>
          </w:rPr>
          <w:t xml:space="preserve"> un šim lēmumam pielikumā pievienoto Aktu par Eiropas Parlamenta deputātu ievēlēšanu tiešās vispārējās vēlēšanās</w:t>
        </w:r>
      </w:hyperlink>
      <w:r>
        <w:rPr>
          <w:rFonts w:ascii="Arial" w:hAnsi="Arial"/>
        </w:rPr>
        <w:t>.</w:t>
      </w:r>
    </w:p>
  </w:footnote>
  <w:footnote w:id="32">
    <w:p w14:paraId="5E04927E" w14:textId="77777777" w:rsidR="00EE2BB3" w:rsidRPr="006B02A7" w:rsidRDefault="00EE2BB3" w:rsidP="0034629E">
      <w:pPr>
        <w:pStyle w:val="FootnoteText"/>
        <w:spacing w:after="60" w:line="264" w:lineRule="auto"/>
        <w:ind w:left="224" w:hanging="224"/>
        <w:jc w:val="left"/>
        <w:rPr>
          <w:rFonts w:ascii="Arial" w:hAnsi="Arial" w:cs="Arial"/>
        </w:rPr>
      </w:pPr>
      <w:r>
        <w:rPr>
          <w:rStyle w:val="FootnoteReference"/>
          <w:sz w:val="20"/>
        </w:rPr>
        <w:footnoteRef/>
      </w:r>
      <w:r>
        <w:rPr>
          <w:rFonts w:ascii="Arial" w:hAnsi="Arial"/>
        </w:rPr>
        <w:t xml:space="preserve"> “Ikvienam Savienības pilsonim, kurš sasniedzis 16 gadu vecumu, </w:t>
      </w:r>
      <w:r>
        <w:rPr>
          <w:rFonts w:ascii="Arial" w:hAnsi="Arial"/>
          <w:b/>
          <w:bCs/>
        </w:rPr>
        <w:t>tostarp personām ar invaliditāti neatkarīgi no viņu tiesībspējas un rīcībspējas</w:t>
      </w:r>
      <w:r>
        <w:rPr>
          <w:rFonts w:ascii="Arial" w:hAnsi="Arial"/>
        </w:rPr>
        <w:t>, ir tiesības balsot Eiropas Parlamenta vēlēšanās, neskarot spēkā esošās konstitucionālās sistēmas, kurās noteikts, ka minimālais balsstiesīgais vecums ir 18 vai 17 gadi.”</w:t>
      </w:r>
    </w:p>
  </w:footnote>
  <w:footnote w:id="33">
    <w:p w14:paraId="4F8990C0" w14:textId="77777777" w:rsidR="00EE2BB3" w:rsidRPr="006B02A7" w:rsidRDefault="00EE2BB3" w:rsidP="0034629E">
      <w:pPr>
        <w:spacing w:after="60" w:line="264" w:lineRule="auto"/>
        <w:ind w:left="224" w:hanging="224"/>
        <w:rPr>
          <w:sz w:val="20"/>
        </w:rPr>
      </w:pPr>
      <w:r>
        <w:rPr>
          <w:sz w:val="20"/>
          <w:vertAlign w:val="superscript"/>
        </w:rPr>
        <w:footnoteRef/>
      </w:r>
      <w:r>
        <w:rPr>
          <w:sz w:val="20"/>
        </w:rPr>
        <w:t xml:space="preserve"> Tāpēc visiem ierobežojumiem jāatbilst ES Pamattiesību hartas 52. pantam, un jo īpaši tiem jābūt paredzētiem ar likumu un jāievēro šo tiesību un brīvību būtība. Turklāt ierobežojumus drīkst uzlikt tikai tad, ja tie ir nepieciešami un patiešām atbilst vispārējas nozīmes mērķiem, ko atzinusi ES, vai vajadzībai aizsargāt citu personu tiesības un brīvības, ievērojot proporcionalitātes principu.</w:t>
      </w:r>
    </w:p>
  </w:footnote>
  <w:footnote w:id="34">
    <w:p w14:paraId="0FEA642A" w14:textId="1639F6AE" w:rsidR="00EE2BB3" w:rsidRPr="006B02A7" w:rsidRDefault="00EE2BB3" w:rsidP="0034629E">
      <w:pPr>
        <w:pStyle w:val="FootnoteText"/>
        <w:spacing w:after="60" w:line="264" w:lineRule="auto"/>
        <w:ind w:left="210" w:hanging="210"/>
        <w:jc w:val="left"/>
        <w:rPr>
          <w:rFonts w:ascii="Arial" w:hAnsi="Arial" w:cs="Arial"/>
        </w:rPr>
      </w:pPr>
      <w:r>
        <w:rPr>
          <w:rStyle w:val="FootnoteReference"/>
          <w:sz w:val="20"/>
        </w:rPr>
        <w:footnoteRef/>
      </w:r>
      <w:r>
        <w:rPr>
          <w:rFonts w:ascii="Arial" w:hAnsi="Arial"/>
        </w:rPr>
        <w:t xml:space="preserve"> </w:t>
      </w:r>
      <w:hyperlink r:id="rId34" w:history="1">
        <w:r>
          <w:rPr>
            <w:rStyle w:val="Hyperlink"/>
            <w:sz w:val="20"/>
          </w:rPr>
          <w:t>Padomes 1993</w:t>
        </w:r>
        <w:r w:rsidR="001F2BA3">
          <w:rPr>
            <w:rStyle w:val="Hyperlink"/>
            <w:sz w:val="20"/>
          </w:rPr>
          <w:t>. gad</w:t>
        </w:r>
        <w:r>
          <w:rPr>
            <w:rStyle w:val="Hyperlink"/>
            <w:sz w:val="20"/>
          </w:rPr>
          <w:t>a 6. decembra Direktīva 93/109/EK, ar ko nosaka sīki izstrādātu kārtību balsstiesību un tiesību kandidēt Eiropas Parlamenta vēlēšanās izmantošanai Savienības pilsoņiem, kas dzīvo dalībvalstī, kuras pilsoņi tie nav.</w:t>
        </w:r>
      </w:hyperlink>
      <w:hyperlink r:id="rId35" w:history="1">
        <w:r>
          <w:rPr>
            <w:rStyle w:val="Hyperlink"/>
            <w:sz w:val="20"/>
          </w:rPr>
          <w:t xml:space="preserve"> Konsolidētais teksts</w:t>
        </w:r>
      </w:hyperlink>
      <w:r>
        <w:rPr>
          <w:rFonts w:ascii="Arial" w:hAnsi="Arial"/>
        </w:rPr>
        <w:t>.</w:t>
      </w:r>
    </w:p>
  </w:footnote>
  <w:footnote w:id="35">
    <w:p w14:paraId="0E4480A2" w14:textId="03289573"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36" w:history="1">
        <w:r>
          <w:rPr>
            <w:rStyle w:val="Hyperlink"/>
            <w:sz w:val="20"/>
          </w:rPr>
          <w:t>Padomes Direktīva 94/80/EK (1994</w:t>
        </w:r>
        <w:r w:rsidR="001F2BA3">
          <w:rPr>
            <w:rStyle w:val="Hyperlink"/>
            <w:sz w:val="20"/>
          </w:rPr>
          <w:t>. gad</w:t>
        </w:r>
        <w:r>
          <w:rPr>
            <w:rStyle w:val="Hyperlink"/>
            <w:sz w:val="20"/>
          </w:rPr>
          <w:t>a 19. decembris), ar kuru paredz sīki izstrādātus noteikumus par to, kā tiesības balsot un kandidēt pašvaldību vēlēšanās izmanto Savienības pilsoņi, kas dzīvo dalībvalstī, kuras pilsoņi tie nav.</w:t>
        </w:r>
      </w:hyperlink>
      <w:hyperlink r:id="rId37" w:history="1">
        <w:r>
          <w:rPr>
            <w:rStyle w:val="Hyperlink"/>
            <w:sz w:val="20"/>
          </w:rPr>
          <w:t xml:space="preserve"> Konsolidētais teksts</w:t>
        </w:r>
      </w:hyperlink>
      <w:r>
        <w:rPr>
          <w:rFonts w:ascii="Arial" w:hAnsi="Arial"/>
        </w:rPr>
        <w:t>.</w:t>
      </w:r>
    </w:p>
  </w:footnote>
  <w:footnote w:id="36">
    <w:p w14:paraId="47E5915D" w14:textId="52121C86" w:rsidR="00EE2BB3" w:rsidRPr="00B6763E" w:rsidRDefault="00EE2BB3" w:rsidP="0034629E">
      <w:pPr>
        <w:pStyle w:val="FootnoteText"/>
        <w:spacing w:after="60" w:line="264" w:lineRule="auto"/>
        <w:jc w:val="left"/>
        <w:rPr>
          <w:rFonts w:ascii="Arial" w:hAnsi="Arial" w:cs="Arial"/>
        </w:rPr>
      </w:pPr>
      <w:r>
        <w:rPr>
          <w:rStyle w:val="FootnoteReference"/>
          <w:sz w:val="20"/>
        </w:rPr>
        <w:footnoteRef/>
      </w:r>
      <w:r w:rsidRPr="00B6763E">
        <w:rPr>
          <w:rFonts w:ascii="Arial" w:hAnsi="Arial"/>
        </w:rPr>
        <w:t xml:space="preserve"> </w:t>
      </w:r>
      <w:hyperlink r:id="rId38" w:history="1">
        <w:r w:rsidRPr="00B6763E">
          <w:rPr>
            <w:rStyle w:val="Hyperlink"/>
            <w:sz w:val="20"/>
          </w:rPr>
          <w:t>Demokrātija un vēlēšanu tiesības (europa.eu)</w:t>
        </w:r>
      </w:hyperlink>
      <w:r w:rsidRPr="00B6763E">
        <w:rPr>
          <w:rStyle w:val="Hyperlink"/>
          <w:sz w:val="20"/>
        </w:rPr>
        <w:t>.</w:t>
      </w:r>
    </w:p>
  </w:footnote>
  <w:footnote w:id="37">
    <w:p w14:paraId="52EE9B9A" w14:textId="6D57FDF6" w:rsidR="00EE2BB3" w:rsidRPr="00B6763E" w:rsidRDefault="00EE2BB3" w:rsidP="0034629E">
      <w:pPr>
        <w:spacing w:after="60" w:line="264" w:lineRule="auto"/>
        <w:ind w:left="196" w:hanging="196"/>
        <w:rPr>
          <w:sz w:val="20"/>
        </w:rPr>
      </w:pPr>
      <w:r>
        <w:rPr>
          <w:rStyle w:val="FootnoteReference"/>
          <w:sz w:val="20"/>
        </w:rPr>
        <w:footnoteRef/>
      </w:r>
      <w:r w:rsidRPr="00B6763E">
        <w:rPr>
          <w:sz w:val="20"/>
        </w:rPr>
        <w:t xml:space="preserve"> </w:t>
      </w:r>
      <w:hyperlink r:id="rId39" w:history="1">
        <w:r w:rsidRPr="00B6763E">
          <w:rPr>
            <w:rStyle w:val="Hyperlink"/>
            <w:sz w:val="20"/>
          </w:rPr>
          <w:t>Priekšlikums — Eiropas Parlamenta un Padomes Regula par politiskās reklāmas pārredzamību un mērķorientēšanu</w:t>
        </w:r>
      </w:hyperlink>
      <w:r w:rsidRPr="00B6763E">
        <w:rPr>
          <w:sz w:val="20"/>
        </w:rPr>
        <w:t xml:space="preserve">. </w:t>
      </w:r>
    </w:p>
  </w:footnote>
  <w:footnote w:id="38">
    <w:p w14:paraId="15FD588E" w14:textId="7FC79C62" w:rsidR="00EE2BB3" w:rsidRPr="00A90743" w:rsidRDefault="00EE2BB3" w:rsidP="0034629E">
      <w:pPr>
        <w:pStyle w:val="FootnoteText"/>
        <w:spacing w:after="60" w:line="264" w:lineRule="auto"/>
        <w:ind w:left="196" w:hanging="196"/>
        <w:jc w:val="left"/>
        <w:rPr>
          <w:rFonts w:ascii="Arial" w:hAnsi="Arial" w:cs="Arial"/>
          <w:lang w:val="fr-BE"/>
        </w:rPr>
      </w:pPr>
      <w:r>
        <w:rPr>
          <w:rStyle w:val="FootnoteReference"/>
          <w:rFonts w:eastAsiaTheme="majorEastAsia"/>
          <w:sz w:val="20"/>
        </w:rPr>
        <w:footnoteRef/>
      </w:r>
      <w:r w:rsidRPr="00A90743">
        <w:rPr>
          <w:rFonts w:ascii="Arial" w:hAnsi="Arial"/>
          <w:lang w:val="fr-BE"/>
        </w:rPr>
        <w:t xml:space="preserve"> </w:t>
      </w:r>
      <w:hyperlink r:id="rId40" w:history="1">
        <w:r w:rsidRPr="00A90743">
          <w:rPr>
            <w:rStyle w:val="Hyperlink"/>
            <w:sz w:val="20"/>
            <w:lang w:val="fr-BE"/>
          </w:rPr>
          <w:t>Eiropas Parlamenta un Padomes Direktīva (ES) 2019/882 (2019</w:t>
        </w:r>
        <w:r w:rsidR="001F2BA3">
          <w:rPr>
            <w:rStyle w:val="Hyperlink"/>
            <w:sz w:val="20"/>
            <w:lang w:val="fr-BE"/>
          </w:rPr>
          <w:t>. gad</w:t>
        </w:r>
        <w:r w:rsidRPr="00A90743">
          <w:rPr>
            <w:rStyle w:val="Hyperlink"/>
            <w:sz w:val="20"/>
            <w:lang w:val="fr-BE"/>
          </w:rPr>
          <w:t>a 17. aprīlis) par produktu un pakalpojumu piekļūstamības prasībām</w:t>
        </w:r>
      </w:hyperlink>
      <w:r w:rsidRPr="00A90743">
        <w:rPr>
          <w:rFonts w:ascii="Arial" w:hAnsi="Arial"/>
          <w:lang w:val="fr-BE"/>
        </w:rPr>
        <w:t xml:space="preserve">. </w:t>
      </w:r>
    </w:p>
  </w:footnote>
  <w:footnote w:id="39">
    <w:p w14:paraId="1458CD8C" w14:textId="24B54F9F" w:rsidR="00EE2BB3" w:rsidRPr="00A90743" w:rsidRDefault="00EE2BB3" w:rsidP="0034629E">
      <w:pPr>
        <w:pStyle w:val="FootnoteText"/>
        <w:spacing w:after="60" w:line="264" w:lineRule="auto"/>
        <w:ind w:left="196" w:hanging="196"/>
        <w:jc w:val="left"/>
        <w:rPr>
          <w:rFonts w:ascii="Arial" w:hAnsi="Arial" w:cs="Arial"/>
          <w:lang w:val="fr-BE"/>
        </w:rPr>
      </w:pPr>
      <w:r>
        <w:rPr>
          <w:rStyle w:val="FootnoteReference"/>
          <w:rFonts w:eastAsiaTheme="majorEastAsia"/>
          <w:sz w:val="20"/>
        </w:rPr>
        <w:footnoteRef/>
      </w:r>
      <w:r w:rsidRPr="00A90743">
        <w:rPr>
          <w:rFonts w:ascii="Arial" w:hAnsi="Arial"/>
          <w:lang w:val="fr-BE"/>
        </w:rPr>
        <w:t xml:space="preserve"> </w:t>
      </w:r>
      <w:hyperlink r:id="rId41" w:history="1">
        <w:r w:rsidRPr="00A90743">
          <w:rPr>
            <w:rStyle w:val="Hyperlink"/>
            <w:sz w:val="20"/>
            <w:lang w:val="fr-BE"/>
          </w:rPr>
          <w:t>Eiropas Parlamenta un Padomes Direktīva 2014/24/ES (2014</w:t>
        </w:r>
        <w:r w:rsidR="001F2BA3">
          <w:rPr>
            <w:rStyle w:val="Hyperlink"/>
            <w:sz w:val="20"/>
            <w:lang w:val="fr-BE"/>
          </w:rPr>
          <w:t>. gad</w:t>
        </w:r>
        <w:r w:rsidRPr="00A90743">
          <w:rPr>
            <w:rStyle w:val="Hyperlink"/>
            <w:sz w:val="20"/>
            <w:lang w:val="fr-BE"/>
          </w:rPr>
          <w:t>a 26. februāris) par publisko iepirkumu un ar ko atceļ Direktīvu 2004/18/EK</w:t>
        </w:r>
      </w:hyperlink>
      <w:r w:rsidRPr="00A90743">
        <w:rPr>
          <w:rStyle w:val="Hyperlink"/>
          <w:sz w:val="20"/>
          <w:lang w:val="fr-BE"/>
        </w:rPr>
        <w:t>.</w:t>
      </w:r>
      <w:r w:rsidRPr="00A90743">
        <w:rPr>
          <w:rFonts w:ascii="Arial" w:hAnsi="Arial"/>
          <w:lang w:val="fr-BE"/>
        </w:rPr>
        <w:t xml:space="preserve"> </w:t>
      </w:r>
    </w:p>
  </w:footnote>
  <w:footnote w:id="40">
    <w:p w14:paraId="0734FE8D" w14:textId="04E48760" w:rsidR="00EE2BB3" w:rsidRPr="00A90743" w:rsidRDefault="00EE2BB3" w:rsidP="0034629E">
      <w:pPr>
        <w:pStyle w:val="FootnoteText"/>
        <w:spacing w:after="60" w:line="264" w:lineRule="auto"/>
        <w:ind w:left="196" w:hanging="196"/>
        <w:jc w:val="left"/>
        <w:rPr>
          <w:rFonts w:ascii="Arial" w:hAnsi="Arial" w:cs="Arial"/>
          <w:lang w:val="fr-BE"/>
        </w:rPr>
      </w:pPr>
      <w:r>
        <w:rPr>
          <w:rStyle w:val="FootnoteReference"/>
          <w:rFonts w:eastAsiaTheme="majorEastAsia"/>
          <w:sz w:val="20"/>
        </w:rPr>
        <w:footnoteRef/>
      </w:r>
      <w:r w:rsidRPr="00A90743">
        <w:rPr>
          <w:rFonts w:ascii="Arial" w:hAnsi="Arial"/>
          <w:lang w:val="fr-BE"/>
        </w:rPr>
        <w:t xml:space="preserve"> </w:t>
      </w:r>
      <w:hyperlink r:id="rId42" w:history="1">
        <w:r w:rsidRPr="00A90743">
          <w:rPr>
            <w:rStyle w:val="Hyperlink"/>
            <w:sz w:val="20"/>
            <w:lang w:val="fr-BE"/>
          </w:rPr>
          <w:t>Eiropas Parlamenta un Padomes Direktīva 2014/25/ES (2014</w:t>
        </w:r>
        <w:r w:rsidR="001F2BA3">
          <w:rPr>
            <w:rStyle w:val="Hyperlink"/>
            <w:sz w:val="20"/>
            <w:lang w:val="fr-BE"/>
          </w:rPr>
          <w:t>. gad</w:t>
        </w:r>
        <w:r w:rsidRPr="00A90743">
          <w:rPr>
            <w:rStyle w:val="Hyperlink"/>
            <w:sz w:val="20"/>
            <w:lang w:val="fr-BE"/>
          </w:rPr>
          <w:t>a 26. februāris) par iepirkumu, ko īsteno subjekti, kuri darbojas ūdensapgādes, enerģētikas, transporta un pasta pakalpojumu nozarēs, un ar ko atceļ Direktīvu 2004/17/EK</w:t>
        </w:r>
      </w:hyperlink>
      <w:r w:rsidRPr="00A90743">
        <w:rPr>
          <w:rFonts w:ascii="Arial" w:hAnsi="Arial"/>
          <w:lang w:val="fr-BE"/>
        </w:rPr>
        <w:t>.</w:t>
      </w:r>
    </w:p>
  </w:footnote>
  <w:footnote w:id="41">
    <w:p w14:paraId="212121F0" w14:textId="4173A9B0" w:rsidR="00EE2BB3" w:rsidRPr="00A90743" w:rsidRDefault="00EE2BB3" w:rsidP="0034629E">
      <w:pPr>
        <w:pStyle w:val="FootnoteText"/>
        <w:spacing w:after="60" w:line="264" w:lineRule="auto"/>
        <w:ind w:left="196" w:hanging="196"/>
        <w:jc w:val="left"/>
        <w:rPr>
          <w:rFonts w:ascii="Arial" w:hAnsi="Arial" w:cs="Arial"/>
          <w:lang w:val="fr-BE"/>
        </w:rPr>
      </w:pPr>
      <w:r>
        <w:rPr>
          <w:rStyle w:val="FootnoteReference"/>
          <w:rFonts w:eastAsiaTheme="majorEastAsia"/>
          <w:sz w:val="20"/>
        </w:rPr>
        <w:footnoteRef/>
      </w:r>
      <w:r w:rsidRPr="00A90743">
        <w:rPr>
          <w:rFonts w:ascii="Arial" w:hAnsi="Arial"/>
          <w:lang w:val="fr-BE"/>
        </w:rPr>
        <w:t xml:space="preserve"> </w:t>
      </w:r>
      <w:hyperlink r:id="rId43" w:history="1">
        <w:r w:rsidRPr="00A90743">
          <w:rPr>
            <w:rStyle w:val="Hyperlink"/>
            <w:sz w:val="20"/>
            <w:lang w:val="fr-BE"/>
          </w:rPr>
          <w:t>Eiropas Parlamenta un Padomes Direktīva (ES) 2016/2102 (2016</w:t>
        </w:r>
        <w:r w:rsidR="001F2BA3">
          <w:rPr>
            <w:rStyle w:val="Hyperlink"/>
            <w:sz w:val="20"/>
            <w:lang w:val="fr-BE"/>
          </w:rPr>
          <w:t>. gad</w:t>
        </w:r>
        <w:r w:rsidRPr="00A90743">
          <w:rPr>
            <w:rStyle w:val="Hyperlink"/>
            <w:sz w:val="20"/>
            <w:lang w:val="fr-BE"/>
          </w:rPr>
          <w:t>a 26. oktobris) par publiskā sektora struktūru tīmekļvietņu un mobilo lietotņu piekļūstamību</w:t>
        </w:r>
      </w:hyperlink>
      <w:r w:rsidRPr="00A90743">
        <w:rPr>
          <w:rFonts w:ascii="Arial" w:hAnsi="Arial"/>
          <w:lang w:val="fr-BE"/>
        </w:rPr>
        <w:t>.</w:t>
      </w:r>
    </w:p>
  </w:footnote>
  <w:footnote w:id="42">
    <w:p w14:paraId="2114E3F0" w14:textId="271C44FF" w:rsidR="00EE2BB3" w:rsidRPr="00A90743" w:rsidRDefault="00EE2BB3" w:rsidP="0034629E">
      <w:pPr>
        <w:pStyle w:val="FootnoteText"/>
        <w:spacing w:after="60" w:line="264" w:lineRule="auto"/>
        <w:ind w:left="196" w:hanging="196"/>
        <w:jc w:val="left"/>
        <w:rPr>
          <w:rFonts w:ascii="Arial" w:hAnsi="Arial" w:cs="Arial"/>
          <w:lang w:val="fr-BE"/>
        </w:rPr>
      </w:pPr>
      <w:r>
        <w:rPr>
          <w:rStyle w:val="FootnoteReference"/>
          <w:sz w:val="20"/>
        </w:rPr>
        <w:footnoteRef/>
      </w:r>
      <w:r w:rsidRPr="00A90743">
        <w:rPr>
          <w:rFonts w:ascii="Arial" w:hAnsi="Arial"/>
          <w:lang w:val="fr-BE"/>
        </w:rPr>
        <w:t xml:space="preserve"> </w:t>
      </w:r>
      <w:hyperlink r:id="rId44" w:history="1">
        <w:r w:rsidRPr="00A90743">
          <w:rPr>
            <w:rStyle w:val="Hyperlink"/>
            <w:sz w:val="20"/>
            <w:lang w:val="fr-BE"/>
          </w:rPr>
          <w:t>Eiropas Parlamenta un Padomes Direktīva 2010/13/ES (2010</w:t>
        </w:r>
        <w:r w:rsidR="001F2BA3">
          <w:rPr>
            <w:rStyle w:val="Hyperlink"/>
            <w:sz w:val="20"/>
            <w:lang w:val="fr-BE"/>
          </w:rPr>
          <w:t>. gad</w:t>
        </w:r>
        <w:r w:rsidRPr="00A90743">
          <w:rPr>
            <w:rStyle w:val="Hyperlink"/>
            <w:sz w:val="20"/>
            <w:lang w:val="fr-BE"/>
          </w:rPr>
          <w:t>a 10. marts), par to, lai koordinētu dažus dalībvalstu normatīvajos un administratīvajos aktos paredzētus noteikumus par audiovizuālo mediju pakalpojumu sniegšanu (Audiovizuālo mediju pakalpojumu direktīva)</w:t>
        </w:r>
      </w:hyperlink>
      <w:r w:rsidRPr="00A90743">
        <w:rPr>
          <w:rFonts w:ascii="Arial" w:hAnsi="Arial"/>
          <w:lang w:val="fr-BE"/>
        </w:rPr>
        <w:t xml:space="preserve"> </w:t>
      </w:r>
    </w:p>
  </w:footnote>
  <w:footnote w:id="43">
    <w:p w14:paraId="31B6330F" w14:textId="77B8DA87" w:rsidR="00EE2BB3" w:rsidRPr="00A90743" w:rsidRDefault="00EE2BB3" w:rsidP="0034629E">
      <w:pPr>
        <w:pStyle w:val="FootnoteText"/>
        <w:spacing w:after="60" w:line="264" w:lineRule="auto"/>
        <w:ind w:left="196" w:hanging="196"/>
        <w:jc w:val="left"/>
        <w:rPr>
          <w:rFonts w:ascii="Arial" w:hAnsi="Arial" w:cs="Arial"/>
          <w:lang w:val="fr-BE"/>
        </w:rPr>
      </w:pPr>
      <w:r>
        <w:rPr>
          <w:rStyle w:val="FootnoteReference"/>
          <w:sz w:val="20"/>
        </w:rPr>
        <w:footnoteRef/>
      </w:r>
      <w:r w:rsidRPr="00A90743">
        <w:rPr>
          <w:rFonts w:ascii="Arial" w:hAnsi="Arial"/>
          <w:lang w:val="fr-BE"/>
        </w:rPr>
        <w:t xml:space="preserve"> </w:t>
      </w:r>
      <w:hyperlink r:id="rId45" w:history="1">
        <w:r w:rsidRPr="00A90743">
          <w:rPr>
            <w:rStyle w:val="Hyperlink"/>
            <w:sz w:val="20"/>
            <w:lang w:val="fr-BE"/>
          </w:rPr>
          <w:t>Priekšlikums Eiropas Parlamenta un Padomes direktīvai, ar ko izveido Eiropas invaliditātes karti un Eiropas invalīdu stāvvietas izmantošanas karti</w:t>
        </w:r>
      </w:hyperlink>
      <w:r w:rsidRPr="00A90743">
        <w:rPr>
          <w:rFonts w:ascii="Arial" w:hAnsi="Arial"/>
          <w:lang w:val="fr-BE"/>
        </w:rPr>
        <w:t>. EST ir aplūkojusi invaliditātes jēdzienu/definīciju vairākās lietās, piemēram: lietā C-13/05,</w:t>
      </w:r>
      <w:r w:rsidRPr="00A90743">
        <w:rPr>
          <w:rFonts w:ascii="Arial" w:hAnsi="Arial"/>
          <w:i/>
          <w:iCs/>
          <w:lang w:val="fr-BE"/>
        </w:rPr>
        <w:t xml:space="preserve"> Chacón Navas</w:t>
      </w:r>
      <w:r w:rsidRPr="00A90743">
        <w:rPr>
          <w:rFonts w:ascii="Arial" w:hAnsi="Arial"/>
          <w:lang w:val="fr-BE"/>
        </w:rPr>
        <w:t xml:space="preserve"> / </w:t>
      </w:r>
      <w:r w:rsidRPr="00A90743">
        <w:rPr>
          <w:rFonts w:ascii="Arial" w:hAnsi="Arial"/>
          <w:i/>
          <w:iCs/>
          <w:lang w:val="fr-BE"/>
        </w:rPr>
        <w:t>Eurest Colectividades SA</w:t>
      </w:r>
      <w:r w:rsidRPr="00A90743">
        <w:rPr>
          <w:rFonts w:ascii="Arial" w:hAnsi="Arial"/>
          <w:lang w:val="fr-BE"/>
        </w:rPr>
        <w:t xml:space="preserve">, ECLI:EU:C:2006:456; lietā C–303/06, </w:t>
      </w:r>
      <w:r w:rsidRPr="00A90743">
        <w:rPr>
          <w:rFonts w:ascii="Arial" w:hAnsi="Arial"/>
          <w:i/>
          <w:iCs/>
          <w:lang w:val="fr-BE"/>
        </w:rPr>
        <w:t>Collmēr</w:t>
      </w:r>
      <w:r w:rsidRPr="00A90743">
        <w:rPr>
          <w:rFonts w:ascii="Arial" w:hAnsi="Arial"/>
          <w:lang w:val="fr-BE"/>
        </w:rPr>
        <w:t xml:space="preserve"> / </w:t>
      </w:r>
      <w:r w:rsidRPr="00A90743">
        <w:rPr>
          <w:rFonts w:ascii="Arial" w:hAnsi="Arial"/>
          <w:i/>
          <w:iCs/>
          <w:lang w:val="fr-BE"/>
        </w:rPr>
        <w:t>Attridge Law</w:t>
      </w:r>
      <w:r w:rsidRPr="00A90743">
        <w:rPr>
          <w:rFonts w:ascii="Arial" w:hAnsi="Arial"/>
          <w:lang w:val="fr-BE"/>
        </w:rPr>
        <w:t xml:space="preserve">, ECLI:EU:C:2008:415; apvienotajās lietas C-335/11 un C-337/11, </w:t>
      </w:r>
      <w:r w:rsidRPr="00A90743">
        <w:rPr>
          <w:rFonts w:ascii="Arial" w:hAnsi="Arial"/>
          <w:i/>
          <w:iCs/>
          <w:lang w:val="fr-BE"/>
        </w:rPr>
        <w:t>HK Danmark</w:t>
      </w:r>
      <w:r w:rsidRPr="00A90743">
        <w:rPr>
          <w:rFonts w:ascii="Arial" w:hAnsi="Arial"/>
          <w:lang w:val="fr-BE"/>
        </w:rPr>
        <w:t xml:space="preserve">, kas darbojas </w:t>
      </w:r>
      <w:r w:rsidRPr="00A90743">
        <w:rPr>
          <w:rFonts w:ascii="Arial" w:hAnsi="Arial"/>
          <w:i/>
          <w:iCs/>
          <w:lang w:val="fr-BE"/>
        </w:rPr>
        <w:t>Jette Ring</w:t>
      </w:r>
      <w:r w:rsidRPr="00A90743">
        <w:rPr>
          <w:rFonts w:ascii="Arial" w:hAnsi="Arial"/>
          <w:lang w:val="fr-BE"/>
        </w:rPr>
        <w:t xml:space="preserve"> vārdā / </w:t>
      </w:r>
      <w:r w:rsidRPr="00A90743">
        <w:rPr>
          <w:rFonts w:ascii="Arial" w:hAnsi="Arial"/>
          <w:i/>
          <w:iCs/>
          <w:lang w:val="fr-BE"/>
        </w:rPr>
        <w:t>Dansk almennyttigt Boligselskab</w:t>
      </w:r>
      <w:r w:rsidRPr="00A90743">
        <w:rPr>
          <w:rFonts w:ascii="Arial" w:hAnsi="Arial"/>
          <w:lang w:val="fr-BE"/>
        </w:rPr>
        <w:t xml:space="preserve"> un </w:t>
      </w:r>
      <w:r w:rsidRPr="00A90743">
        <w:rPr>
          <w:rFonts w:ascii="Arial" w:hAnsi="Arial"/>
          <w:i/>
          <w:iCs/>
          <w:lang w:val="fr-BE"/>
        </w:rPr>
        <w:t>HK Danmark</w:t>
      </w:r>
      <w:r w:rsidRPr="00A90743">
        <w:rPr>
          <w:rFonts w:ascii="Arial" w:hAnsi="Arial"/>
          <w:lang w:val="fr-BE"/>
        </w:rPr>
        <w:t xml:space="preserve">, kas darbojas </w:t>
      </w:r>
      <w:r w:rsidRPr="00A90743">
        <w:rPr>
          <w:rFonts w:ascii="Arial" w:hAnsi="Arial"/>
          <w:i/>
          <w:iCs/>
          <w:lang w:val="fr-BE"/>
        </w:rPr>
        <w:t>Lone Skouboe Werge</w:t>
      </w:r>
      <w:r w:rsidRPr="00A90743">
        <w:rPr>
          <w:rFonts w:ascii="Arial" w:hAnsi="Arial"/>
          <w:lang w:val="fr-BE"/>
        </w:rPr>
        <w:t xml:space="preserve"> vārdā / </w:t>
      </w:r>
      <w:r w:rsidRPr="00A90743">
        <w:rPr>
          <w:rFonts w:ascii="Arial" w:hAnsi="Arial"/>
          <w:i/>
          <w:iCs/>
          <w:lang w:val="fr-BE"/>
        </w:rPr>
        <w:t>Dansk Arbejdsgiverforening</w:t>
      </w:r>
      <w:r w:rsidRPr="00A90743">
        <w:rPr>
          <w:rFonts w:ascii="Arial" w:hAnsi="Arial"/>
          <w:lang w:val="fr-BE"/>
        </w:rPr>
        <w:t xml:space="preserve">, kas darbojas </w:t>
      </w:r>
      <w:r w:rsidRPr="00A90743">
        <w:rPr>
          <w:rFonts w:ascii="Arial" w:hAnsi="Arial"/>
          <w:i/>
          <w:iCs/>
          <w:lang w:val="fr-BE"/>
        </w:rPr>
        <w:t>Pro Display A/S</w:t>
      </w:r>
      <w:r w:rsidRPr="00A90743">
        <w:rPr>
          <w:rFonts w:ascii="Arial" w:hAnsi="Arial"/>
          <w:lang w:val="fr-BE"/>
        </w:rPr>
        <w:t xml:space="preserve"> vārdā (</w:t>
      </w:r>
      <w:r w:rsidRPr="00A90743">
        <w:rPr>
          <w:rFonts w:ascii="Arial" w:hAnsi="Arial"/>
          <w:i/>
          <w:iCs/>
          <w:lang w:val="fr-BE"/>
        </w:rPr>
        <w:t>Ring</w:t>
      </w:r>
      <w:r w:rsidRPr="00A90743">
        <w:rPr>
          <w:rFonts w:ascii="Arial" w:hAnsi="Arial"/>
          <w:lang w:val="fr-BE"/>
        </w:rPr>
        <w:t xml:space="preserve"> un </w:t>
      </w:r>
      <w:r w:rsidRPr="00A90743">
        <w:rPr>
          <w:rFonts w:ascii="Arial" w:hAnsi="Arial"/>
          <w:i/>
          <w:iCs/>
          <w:lang w:val="fr-BE"/>
        </w:rPr>
        <w:t>Skoube Werge</w:t>
      </w:r>
      <w:r w:rsidRPr="00A90743">
        <w:rPr>
          <w:rFonts w:ascii="Arial" w:hAnsi="Arial"/>
          <w:lang w:val="fr-BE"/>
        </w:rPr>
        <w:t xml:space="preserve">), ECLI:EU:C:2013:222; lietā C-363/12, Z. / </w:t>
      </w:r>
      <w:r w:rsidRPr="00A90743">
        <w:rPr>
          <w:rFonts w:ascii="Arial" w:hAnsi="Arial"/>
          <w:i/>
          <w:iCs/>
          <w:lang w:val="fr-BE"/>
        </w:rPr>
        <w:t>A Government department</w:t>
      </w:r>
      <w:r w:rsidRPr="00A90743">
        <w:rPr>
          <w:rFonts w:ascii="Arial" w:hAnsi="Arial"/>
          <w:lang w:val="fr-BE"/>
        </w:rPr>
        <w:t xml:space="preserve">, </w:t>
      </w:r>
      <w:r w:rsidRPr="00A90743">
        <w:rPr>
          <w:rFonts w:ascii="Arial" w:hAnsi="Arial"/>
          <w:i/>
          <w:iCs/>
          <w:lang w:val="fr-BE"/>
        </w:rPr>
        <w:t>The Board of management of a community school</w:t>
      </w:r>
      <w:r w:rsidRPr="00A90743">
        <w:rPr>
          <w:rFonts w:ascii="Arial" w:hAnsi="Arial"/>
          <w:lang w:val="fr-BE"/>
        </w:rPr>
        <w:t xml:space="preserve">, ECLI:EU:C:2014:159; lietā C-354/13, </w:t>
      </w:r>
      <w:r w:rsidRPr="00A90743">
        <w:rPr>
          <w:rFonts w:ascii="Arial" w:hAnsi="Arial"/>
          <w:i/>
          <w:iCs/>
          <w:lang w:val="fr-BE"/>
        </w:rPr>
        <w:t>FOA</w:t>
      </w:r>
      <w:r w:rsidRPr="00A90743">
        <w:rPr>
          <w:rFonts w:ascii="Arial" w:hAnsi="Arial"/>
          <w:lang w:val="fr-BE"/>
        </w:rPr>
        <w:t xml:space="preserve">, kas darbojas </w:t>
      </w:r>
      <w:r w:rsidRPr="00A90743">
        <w:rPr>
          <w:rFonts w:ascii="Arial" w:hAnsi="Arial"/>
          <w:i/>
          <w:iCs/>
          <w:lang w:val="fr-BE"/>
        </w:rPr>
        <w:t>Karsten Kaltoft</w:t>
      </w:r>
      <w:r w:rsidRPr="00A90743">
        <w:rPr>
          <w:rFonts w:ascii="Arial" w:hAnsi="Arial"/>
          <w:lang w:val="fr-BE"/>
        </w:rPr>
        <w:t xml:space="preserve"> vārdā, ECLI:EU:C:2014:2463; lietā C-395/15, </w:t>
      </w:r>
      <w:r w:rsidRPr="00A90743">
        <w:rPr>
          <w:rFonts w:ascii="Arial" w:hAnsi="Arial"/>
          <w:i/>
          <w:iCs/>
          <w:lang w:val="fr-BE"/>
        </w:rPr>
        <w:t>Daouidi</w:t>
      </w:r>
      <w:r w:rsidRPr="00A90743">
        <w:rPr>
          <w:rFonts w:ascii="Arial" w:hAnsi="Arial"/>
          <w:lang w:val="fr-BE"/>
        </w:rPr>
        <w:t xml:space="preserve"> / </w:t>
      </w:r>
      <w:r w:rsidRPr="00A90743">
        <w:rPr>
          <w:rFonts w:ascii="Arial" w:hAnsi="Arial"/>
          <w:i/>
          <w:iCs/>
          <w:lang w:val="fr-BE"/>
        </w:rPr>
        <w:t>Bootes Plus SL</w:t>
      </w:r>
      <w:r w:rsidRPr="00A90743">
        <w:rPr>
          <w:rFonts w:ascii="Arial" w:hAnsi="Arial"/>
          <w:lang w:val="fr-BE"/>
        </w:rPr>
        <w:t xml:space="preserve"> u. c., ECLI:EU:C:2016:917; lietā C-270/16, </w:t>
      </w:r>
      <w:r w:rsidRPr="00A90743">
        <w:rPr>
          <w:rFonts w:ascii="Arial" w:hAnsi="Arial"/>
          <w:i/>
          <w:iCs/>
          <w:lang w:val="fr-BE"/>
        </w:rPr>
        <w:t>Ruiz Conejero</w:t>
      </w:r>
      <w:r w:rsidRPr="00A90743">
        <w:rPr>
          <w:rFonts w:ascii="Arial" w:hAnsi="Arial"/>
          <w:lang w:val="fr-BE"/>
        </w:rPr>
        <w:t>, ECLI:EU:C:2018:17; lietā C-406/15 Milkova, ECLI:EU:C:2017:198.</w:t>
      </w:r>
    </w:p>
  </w:footnote>
  <w:footnote w:id="44">
    <w:p w14:paraId="1B7D4E8C" w14:textId="745FCEC7" w:rsidR="00EE2BB3" w:rsidRPr="00A90743" w:rsidRDefault="00EE2BB3"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w:t>
      </w:r>
      <w:hyperlink r:id="rId46" w:history="1">
        <w:r w:rsidRPr="00A90743">
          <w:rPr>
            <w:rStyle w:val="Hyperlink"/>
            <w:sz w:val="20"/>
            <w:lang w:val="fr-BE"/>
          </w:rPr>
          <w:t>Eiropas Cilvēktiesību konvencija (coe.int)</w:t>
        </w:r>
      </w:hyperlink>
      <w:r w:rsidRPr="00A90743">
        <w:rPr>
          <w:rFonts w:ascii="Arial" w:hAnsi="Arial"/>
          <w:lang w:val="fr-BE"/>
        </w:rPr>
        <w:t>.</w:t>
      </w:r>
    </w:p>
  </w:footnote>
  <w:footnote w:id="45">
    <w:p w14:paraId="2952C560" w14:textId="2621C29A" w:rsidR="00EE2BB3" w:rsidRPr="00A90743" w:rsidRDefault="00EE2BB3"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w:t>
      </w:r>
      <w:hyperlink r:id="rId47" w:history="1">
        <w:r w:rsidRPr="00A90743">
          <w:rPr>
            <w:rStyle w:val="Hyperlink"/>
            <w:sz w:val="20"/>
            <w:lang w:val="fr-BE"/>
          </w:rPr>
          <w:t>Personu ar invaliditāti politiskās tiesības:</w:t>
        </w:r>
      </w:hyperlink>
      <w:hyperlink r:id="rId48" w:history="1">
        <w:r w:rsidRPr="00A90743">
          <w:rPr>
            <w:rStyle w:val="Hyperlink"/>
            <w:sz w:val="20"/>
            <w:lang w:val="fr-BE"/>
          </w:rPr>
          <w:t xml:space="preserve"> demokrātijas jautājums</w:t>
        </w:r>
      </w:hyperlink>
      <w:r w:rsidRPr="00A90743">
        <w:rPr>
          <w:rFonts w:ascii="Arial" w:hAnsi="Arial"/>
          <w:lang w:val="fr-BE"/>
        </w:rPr>
        <w:t>.</w:t>
      </w:r>
    </w:p>
  </w:footnote>
  <w:footnote w:id="46">
    <w:p w14:paraId="7774CE87" w14:textId="0CE0FDA3"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49" w:anchor="{%22itemid%22:[%22001-98800%22]}" w:history="1">
        <w:r>
          <w:rPr>
            <w:rStyle w:val="Hyperlink"/>
            <w:sz w:val="20"/>
          </w:rPr>
          <w:t xml:space="preserve">Lieta </w:t>
        </w:r>
        <w:r>
          <w:rPr>
            <w:rStyle w:val="Hyperlink"/>
            <w:i/>
            <w:iCs/>
            <w:sz w:val="20"/>
          </w:rPr>
          <w:t>Alajos Kiss</w:t>
        </w:r>
        <w:r>
          <w:rPr>
            <w:rStyle w:val="Hyperlink"/>
            <w:sz w:val="20"/>
          </w:rPr>
          <w:t xml:space="preserve"> pret Ungāriju</w:t>
        </w:r>
      </w:hyperlink>
      <w:r>
        <w:rPr>
          <w:rFonts w:ascii="Arial" w:hAnsi="Arial"/>
        </w:rPr>
        <w:t>.</w:t>
      </w:r>
    </w:p>
  </w:footnote>
  <w:footnote w:id="47">
    <w:p w14:paraId="4FB2B478" w14:textId="33AB90EA" w:rsidR="00EE2BB3" w:rsidRPr="00A90743" w:rsidRDefault="00EE2BB3"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w:t>
      </w:r>
      <w:hyperlink r:id="rId50" w:anchor="{%22itemid%22:[%22001-215603%22]}" w:history="1">
        <w:r w:rsidRPr="00A90743">
          <w:rPr>
            <w:rStyle w:val="Hyperlink"/>
            <w:sz w:val="20"/>
            <w:lang w:val="fr-BE"/>
          </w:rPr>
          <w:t xml:space="preserve">Lieta </w:t>
        </w:r>
        <w:r w:rsidRPr="00A90743">
          <w:rPr>
            <w:rStyle w:val="Hyperlink"/>
            <w:i/>
            <w:iCs/>
            <w:sz w:val="20"/>
            <w:lang w:val="fr-BE"/>
          </w:rPr>
          <w:t>Anatoliy Marinov</w:t>
        </w:r>
        <w:r w:rsidRPr="00A90743">
          <w:rPr>
            <w:rStyle w:val="Hyperlink"/>
            <w:sz w:val="20"/>
            <w:lang w:val="fr-BE"/>
          </w:rPr>
          <w:t xml:space="preserve"> pret Bulgāriju</w:t>
        </w:r>
      </w:hyperlink>
      <w:r w:rsidRPr="00A90743">
        <w:rPr>
          <w:rFonts w:ascii="Arial" w:hAnsi="Arial"/>
          <w:lang w:val="fr-BE"/>
        </w:rPr>
        <w:t>.</w:t>
      </w:r>
    </w:p>
  </w:footnote>
  <w:footnote w:id="48">
    <w:p w14:paraId="172C72AC" w14:textId="4611D701" w:rsidR="00EE2BB3" w:rsidRPr="00A90743" w:rsidRDefault="00EE2BB3"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w:t>
      </w:r>
      <w:hyperlink r:id="rId51" w:anchor="{%22itemid%22:[%22001-207667%22]}" w:history="1">
        <w:r w:rsidRPr="00A90743">
          <w:rPr>
            <w:rStyle w:val="Hyperlink"/>
            <w:sz w:val="20"/>
            <w:lang w:val="fr-BE"/>
          </w:rPr>
          <w:t xml:space="preserve">Lieta </w:t>
        </w:r>
        <w:r w:rsidRPr="00A90743">
          <w:rPr>
            <w:rStyle w:val="Hyperlink"/>
            <w:i/>
            <w:iCs/>
            <w:sz w:val="20"/>
            <w:lang w:val="fr-BE"/>
          </w:rPr>
          <w:t>Strøbye</w:t>
        </w:r>
        <w:r w:rsidRPr="00A90743">
          <w:rPr>
            <w:rStyle w:val="Hyperlink"/>
            <w:sz w:val="20"/>
            <w:lang w:val="fr-BE"/>
          </w:rPr>
          <w:t xml:space="preserve"> un </w:t>
        </w:r>
        <w:r w:rsidRPr="00A90743">
          <w:rPr>
            <w:rStyle w:val="Hyperlink"/>
            <w:i/>
            <w:iCs/>
            <w:sz w:val="20"/>
            <w:lang w:val="fr-BE"/>
          </w:rPr>
          <w:t>Rosenlind</w:t>
        </w:r>
        <w:r w:rsidRPr="00A90743">
          <w:rPr>
            <w:rStyle w:val="Hyperlink"/>
            <w:sz w:val="20"/>
            <w:lang w:val="fr-BE"/>
          </w:rPr>
          <w:t xml:space="preserve"> pret Dāniju</w:t>
        </w:r>
      </w:hyperlink>
      <w:r w:rsidRPr="00A90743">
        <w:rPr>
          <w:rFonts w:ascii="Arial" w:hAnsi="Arial"/>
          <w:lang w:val="fr-BE"/>
        </w:rPr>
        <w:t>.</w:t>
      </w:r>
    </w:p>
  </w:footnote>
  <w:footnote w:id="49">
    <w:p w14:paraId="449369E1" w14:textId="05705BB1" w:rsidR="00EE2BB3" w:rsidRPr="00A90743" w:rsidRDefault="00EE2BB3"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w:t>
      </w:r>
      <w:hyperlink r:id="rId52" w:anchor="{%22itemid%22:[%22001-210089%22]}" w:history="1">
        <w:r w:rsidRPr="00A90743">
          <w:rPr>
            <w:rStyle w:val="Hyperlink"/>
            <w:sz w:val="20"/>
            <w:lang w:val="fr-BE"/>
          </w:rPr>
          <w:t xml:space="preserve">Lieta </w:t>
        </w:r>
        <w:r w:rsidRPr="00A90743">
          <w:rPr>
            <w:rStyle w:val="Hyperlink"/>
            <w:i/>
            <w:iCs/>
            <w:sz w:val="20"/>
            <w:lang w:val="fr-BE"/>
          </w:rPr>
          <w:t>Caamaño Valle</w:t>
        </w:r>
        <w:r w:rsidRPr="00A90743">
          <w:rPr>
            <w:rStyle w:val="Hyperlink"/>
            <w:sz w:val="20"/>
            <w:lang w:val="fr-BE"/>
          </w:rPr>
          <w:t xml:space="preserve"> pret Spāniju</w:t>
        </w:r>
      </w:hyperlink>
      <w:r w:rsidRPr="00A90743">
        <w:rPr>
          <w:rFonts w:ascii="Arial" w:hAnsi="Arial"/>
          <w:lang w:val="fr-BE"/>
        </w:rPr>
        <w:t>.</w:t>
      </w:r>
    </w:p>
  </w:footnote>
  <w:footnote w:id="50">
    <w:p w14:paraId="6CB71C3A" w14:textId="32ACFD16"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3" w:anchor="{%22itemid%22:[%22001-75427%22]}" w:history="1">
        <w:r>
          <w:rPr>
            <w:rStyle w:val="Hyperlink"/>
            <w:sz w:val="20"/>
          </w:rPr>
          <w:t xml:space="preserve">Lieta </w:t>
        </w:r>
        <w:r>
          <w:rPr>
            <w:rStyle w:val="Hyperlink"/>
            <w:i/>
            <w:iCs/>
            <w:sz w:val="20"/>
          </w:rPr>
          <w:t>Mółka</w:t>
        </w:r>
        <w:r>
          <w:rPr>
            <w:rStyle w:val="Hyperlink"/>
            <w:sz w:val="20"/>
          </w:rPr>
          <w:t xml:space="preserve"> pret Poliju, 2006</w:t>
        </w:r>
      </w:hyperlink>
      <w:r>
        <w:rPr>
          <w:rStyle w:val="Hyperlink"/>
          <w:sz w:val="20"/>
          <w:u w:val="none"/>
        </w:rPr>
        <w:t>.</w:t>
      </w:r>
    </w:p>
  </w:footnote>
  <w:footnote w:id="51">
    <w:p w14:paraId="37514EAF" w14:textId="6217B1C9"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54" w:history="1">
        <w:r>
          <w:rPr>
            <w:rStyle w:val="Hyperlink"/>
            <w:sz w:val="20"/>
          </w:rPr>
          <w:t>Revised Interpretative Declaration to the Code of Good Practice in Electoral Matters on the Participation of People with Disabilities in Elections</w:t>
        </w:r>
      </w:hyperlink>
      <w:r>
        <w:rPr>
          <w:rFonts w:ascii="Arial" w:hAnsi="Arial"/>
        </w:rPr>
        <w:t>.</w:t>
      </w:r>
    </w:p>
  </w:footnote>
  <w:footnote w:id="52">
    <w:p w14:paraId="6D0DFAD8" w14:textId="71734C93"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Plašākai informācijai skatīt Eiropas Drošības un sadarbības organizācijas (EDSO) </w:t>
      </w:r>
      <w:hyperlink r:id="rId55" w:history="1">
        <w:r>
          <w:rPr>
            <w:rStyle w:val="Hyperlink"/>
            <w:sz w:val="20"/>
          </w:rPr>
          <w:t>rakstu “Elections”</w:t>
        </w:r>
      </w:hyperlink>
      <w:r>
        <w:rPr>
          <w:rFonts w:ascii="Arial" w:hAnsi="Arial"/>
        </w:rPr>
        <w:t>.</w:t>
      </w:r>
    </w:p>
  </w:footnote>
  <w:footnote w:id="53">
    <w:p w14:paraId="53749B8D" w14:textId="39F17333" w:rsidR="00EE2BB3" w:rsidRPr="006B02A7" w:rsidRDefault="00EE2BB3" w:rsidP="0034629E">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w:t>
      </w:r>
      <w:hyperlink r:id="rId56" w:history="1">
        <w:r>
          <w:rPr>
            <w:rStyle w:val="Hyperlink"/>
            <w:sz w:val="20"/>
          </w:rPr>
          <w:t>Strategia națională „O Românie echitabilă”, 2022-2027 – Autoritatea Naţională pentru Protecția Drepturilor Persoanelor cu Dizabilități (gov.ro)</w:t>
        </w:r>
      </w:hyperlink>
      <w:r>
        <w:rPr>
          <w:rFonts w:ascii="Arial" w:hAnsi="Arial"/>
        </w:rPr>
        <w:t>.</w:t>
      </w:r>
    </w:p>
  </w:footnote>
  <w:footnote w:id="54">
    <w:p w14:paraId="0FB02EE1" w14:textId="7EDD419E"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Style w:val="FootnoteReference"/>
          <w:sz w:val="20"/>
        </w:rPr>
        <w:t xml:space="preserve"> </w:t>
      </w:r>
      <w:r>
        <w:rPr>
          <w:rStyle w:val="FootnoteReference"/>
          <w:sz w:val="20"/>
          <w:vertAlign w:val="baseline"/>
        </w:rPr>
        <w:t>Skatīt, piemēram</w:t>
      </w:r>
      <w:r>
        <w:rPr>
          <w:rFonts w:ascii="Arial" w:hAnsi="Arial"/>
        </w:rPr>
        <w:t xml:space="preserve"> </w:t>
      </w:r>
      <w:hyperlink r:id="rId57" w:history="1">
        <w:r>
          <w:rPr>
            <w:rStyle w:val="Hyperlink"/>
            <w:sz w:val="20"/>
          </w:rPr>
          <w:t>Yle broadcasts municipal election debate in 'Easy Finnish'</w:t>
        </w:r>
      </w:hyperlink>
      <w:r>
        <w:rPr>
          <w:rFonts w:ascii="Arial" w:hAnsi="Arial"/>
        </w:rPr>
        <w:t>.</w:t>
      </w:r>
    </w:p>
  </w:footnote>
  <w:footnote w:id="55">
    <w:p w14:paraId="5A689CB4" w14:textId="72680C01"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8" w:history="1">
        <w:r>
          <w:rPr>
            <w:rStyle w:val="Hyperlink"/>
            <w:sz w:val="20"/>
          </w:rPr>
          <w:t>Ireland’s Statutory, Independent Electoral Commission</w:t>
        </w:r>
      </w:hyperlink>
      <w:r>
        <w:rPr>
          <w:rFonts w:ascii="Arial" w:hAnsi="Arial"/>
        </w:rPr>
        <w:t>.</w:t>
      </w:r>
    </w:p>
  </w:footnote>
  <w:footnote w:id="56">
    <w:p w14:paraId="5C129B4B" w14:textId="633F644B"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9" w:history="1">
        <w:r>
          <w:rPr>
            <w:rStyle w:val="Hyperlink"/>
            <w:sz w:val="20"/>
          </w:rPr>
          <w:t>Disability Rights in the European Elections (DREE)</w:t>
        </w:r>
      </w:hyperlink>
      <w:r>
        <w:rPr>
          <w:rFonts w:ascii="Arial" w:hAnsi="Arial"/>
        </w:rPr>
        <w:t>.</w:t>
      </w:r>
    </w:p>
  </w:footnote>
  <w:footnote w:id="57">
    <w:p w14:paraId="3FAAE41A" w14:textId="1330BAB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0" w:history="1">
        <w:r>
          <w:rPr>
            <w:rStyle w:val="Hyperlink"/>
            <w:sz w:val="20"/>
          </w:rPr>
          <w:t>Creating successful campaigns for more accessible elections (inclusion-europe.eu)</w:t>
        </w:r>
      </w:hyperlink>
      <w:r>
        <w:rPr>
          <w:rFonts w:ascii="Arial" w:hAnsi="Arial"/>
        </w:rPr>
        <w:t>.</w:t>
      </w:r>
    </w:p>
  </w:footnote>
  <w:footnote w:id="58">
    <w:p w14:paraId="72C76E2B" w14:textId="0149167A"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1" w:history="1">
        <w:r>
          <w:rPr>
            <w:rStyle w:val="Hyperlink"/>
            <w:sz w:val="20"/>
          </w:rPr>
          <w:t>Recommendations for Accessible Elections in Europe</w:t>
        </w:r>
      </w:hyperlink>
      <w:r>
        <w:rPr>
          <w:rFonts w:ascii="Arial" w:hAnsi="Arial"/>
        </w:rPr>
        <w:t>.</w:t>
      </w:r>
    </w:p>
  </w:footnote>
  <w:footnote w:id="59">
    <w:p w14:paraId="66B7E8A4" w14:textId="0805AA72"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2" w:history="1">
        <w:r>
          <w:rPr>
            <w:rStyle w:val="Hyperlink"/>
            <w:sz w:val="20"/>
          </w:rPr>
          <w:t>Good Practices for Accessible Elections in Europe</w:t>
        </w:r>
      </w:hyperlink>
      <w:r>
        <w:rPr>
          <w:rFonts w:ascii="Arial" w:hAnsi="Arial"/>
        </w:rPr>
        <w:t>.</w:t>
      </w:r>
    </w:p>
  </w:footnote>
  <w:footnote w:id="60">
    <w:p w14:paraId="1E692DCD" w14:textId="5D397C59" w:rsidR="00EE2BB3" w:rsidRPr="006B02A7" w:rsidRDefault="00EE2BB3" w:rsidP="0034629E">
      <w:pPr>
        <w:pStyle w:val="FootnoteText"/>
        <w:spacing w:after="60" w:line="264" w:lineRule="auto"/>
        <w:jc w:val="left"/>
        <w:rPr>
          <w:rFonts w:ascii="Arial" w:hAnsi="Arial" w:cs="Arial"/>
          <w:color w:val="002060"/>
        </w:rPr>
      </w:pPr>
      <w:r>
        <w:rPr>
          <w:rStyle w:val="FootnoteReference"/>
          <w:sz w:val="20"/>
        </w:rPr>
        <w:footnoteRef/>
      </w:r>
      <w:r>
        <w:rPr>
          <w:rFonts w:ascii="Arial" w:hAnsi="Arial"/>
        </w:rPr>
        <w:t xml:space="preserve"> </w:t>
      </w:r>
      <w:hyperlink r:id="rId63" w:history="1">
        <w:r>
          <w:rPr>
            <w:rStyle w:val="Hyperlink"/>
            <w:i/>
            <w:iCs/>
            <w:sz w:val="20"/>
          </w:rPr>
          <w:t>ONCE</w:t>
        </w:r>
        <w:r>
          <w:rPr>
            <w:rStyle w:val="Hyperlink"/>
            <w:sz w:val="20"/>
          </w:rPr>
          <w:t xml:space="preserve"> tīmekļvietne</w:t>
        </w:r>
      </w:hyperlink>
      <w:r>
        <w:rPr>
          <w:rFonts w:ascii="Arial" w:hAnsi="Arial"/>
        </w:rPr>
        <w:t>.</w:t>
      </w:r>
    </w:p>
  </w:footnote>
  <w:footnote w:id="61">
    <w:p w14:paraId="168F3D8E" w14:textId="20AB7795"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4" w:history="1">
        <w:r>
          <w:rPr>
            <w:rStyle w:val="Hyperlink"/>
            <w:sz w:val="20"/>
          </w:rPr>
          <w:t>Accessibility</w:t>
        </w:r>
      </w:hyperlink>
      <w:r>
        <w:rPr>
          <w:rFonts w:ascii="Arial" w:hAnsi="Arial"/>
        </w:rPr>
        <w:t xml:space="preserve">. Elecciones Generales Julio 2023.  </w:t>
      </w:r>
    </w:p>
  </w:footnote>
  <w:footnote w:id="62">
    <w:p w14:paraId="2142C31E" w14:textId="5D38531B" w:rsidR="0034629E" w:rsidRPr="00A90743" w:rsidRDefault="0034629E"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2023</w:t>
      </w:r>
      <w:r w:rsidR="001F2BA3">
        <w:rPr>
          <w:rFonts w:ascii="Arial" w:hAnsi="Arial"/>
          <w:lang w:val="fr-BE"/>
        </w:rPr>
        <w:t>. gad</w:t>
      </w:r>
      <w:r w:rsidRPr="00A90743">
        <w:rPr>
          <w:rFonts w:ascii="Arial" w:hAnsi="Arial"/>
          <w:lang w:val="fr-BE"/>
        </w:rPr>
        <w:t>a 28. maijs.</w:t>
      </w:r>
    </w:p>
  </w:footnote>
  <w:footnote w:id="63">
    <w:p w14:paraId="46DD268D" w14:textId="4217523E" w:rsidR="00EE2BB3" w:rsidRPr="00A90743" w:rsidRDefault="00EE2BB3" w:rsidP="0034629E">
      <w:pPr>
        <w:pStyle w:val="FootnoteText"/>
        <w:spacing w:after="60" w:line="264" w:lineRule="auto"/>
        <w:rPr>
          <w:rFonts w:ascii="Arial" w:hAnsi="Arial" w:cs="Arial"/>
          <w:lang w:val="fr-BE"/>
        </w:rPr>
      </w:pPr>
      <w:r>
        <w:rPr>
          <w:rStyle w:val="FootnoteReference"/>
          <w:sz w:val="20"/>
        </w:rPr>
        <w:footnoteRef/>
      </w:r>
      <w:r w:rsidRPr="00A90743">
        <w:rPr>
          <w:rFonts w:ascii="Arial" w:hAnsi="Arial"/>
          <w:lang w:val="fr-BE"/>
        </w:rPr>
        <w:t xml:space="preserve"> </w:t>
      </w:r>
      <w:hyperlink r:id="rId65" w:history="1">
        <w:r w:rsidRPr="00A90743">
          <w:rPr>
            <w:rStyle w:val="Hyperlink"/>
            <w:sz w:val="20"/>
            <w:lang w:val="fr-BE"/>
          </w:rPr>
          <w:t>Guía para señalizar los colegios electorales</w:t>
        </w:r>
      </w:hyperlink>
      <w:r w:rsidRPr="00A90743">
        <w:rPr>
          <w:rFonts w:ascii="Arial" w:hAnsi="Arial"/>
          <w:lang w:val="fr-BE"/>
        </w:rPr>
        <w:t xml:space="preserve">. </w:t>
      </w:r>
    </w:p>
  </w:footnote>
  <w:footnote w:id="64">
    <w:p w14:paraId="4F47FDCE" w14:textId="485E8D54" w:rsidR="00EE2BB3" w:rsidRPr="00A90743" w:rsidRDefault="00EE2BB3"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Piemēram, Beļģijā, Dānijā, Horvātijā, Igaunijā, Īrijā, Kiprā, Lietuvā, Portugālē, Rumānijā, Spānijā, Zviedrijā.</w:t>
      </w:r>
    </w:p>
  </w:footnote>
  <w:footnote w:id="65">
    <w:p w14:paraId="5FDC8244" w14:textId="5FC9C2F5"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6" w:history="1">
        <w:r>
          <w:rPr>
            <w:rStyle w:val="Hyperlink"/>
            <w:sz w:val="20"/>
          </w:rPr>
          <w:t>Accessible and inclusive elections in the Netherlands</w:t>
        </w:r>
      </w:hyperlink>
      <w:r>
        <w:rPr>
          <w:rFonts w:ascii="Arial" w:hAnsi="Arial"/>
        </w:rPr>
        <w:t>.</w:t>
      </w:r>
    </w:p>
  </w:footnote>
  <w:footnote w:id="66">
    <w:p w14:paraId="5AF32945" w14:textId="77777777" w:rsidR="00EE2BB3" w:rsidRPr="006B02A7" w:rsidRDefault="00EE2BB3" w:rsidP="007F0EBB">
      <w:pPr>
        <w:pStyle w:val="FootnoteText"/>
        <w:spacing w:after="60" w:line="264" w:lineRule="auto"/>
        <w:ind w:left="196" w:hanging="196"/>
        <w:jc w:val="left"/>
        <w:rPr>
          <w:rFonts w:ascii="Arial" w:hAnsi="Arial" w:cs="Arial"/>
        </w:rPr>
      </w:pPr>
      <w:r>
        <w:rPr>
          <w:rStyle w:val="FootnoteReference"/>
          <w:sz w:val="20"/>
        </w:rPr>
        <w:footnoteRef/>
      </w:r>
      <w:r>
        <w:rPr>
          <w:rFonts w:ascii="Arial" w:hAnsi="Arial"/>
        </w:rPr>
        <w:t xml:space="preserve"> Šos pakalpojumus var pieprasīt apgabala vēlēšanu komisijai rakstveidā septiņu dienu laikā pēc paziņojuma par iecelšanu.</w:t>
      </w:r>
    </w:p>
  </w:footnote>
  <w:footnote w:id="67">
    <w:p w14:paraId="4DC31D77" w14:textId="21F23D6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7" w:history="1">
        <w:r>
          <w:rPr>
            <w:rStyle w:val="Hyperlink"/>
            <w:sz w:val="20"/>
          </w:rPr>
          <w:t>WCAG 2 Overview of the Web Accessibility Initiative (WAI) - W3C</w:t>
        </w:r>
      </w:hyperlink>
      <w:r>
        <w:rPr>
          <w:rFonts w:ascii="Arial" w:hAnsi="Arial"/>
        </w:rPr>
        <w:t>.</w:t>
      </w:r>
    </w:p>
  </w:footnote>
  <w:footnote w:id="68">
    <w:p w14:paraId="7378D3BC" w14:textId="655CBE4E" w:rsidR="00EE2BB3" w:rsidRPr="00A90743" w:rsidRDefault="00EE2BB3"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w:t>
      </w:r>
      <w:hyperlink r:id="rId68" w:history="1">
        <w:r w:rsidRPr="00A90743">
          <w:rPr>
            <w:rStyle w:val="Hyperlink"/>
            <w:sz w:val="20"/>
            <w:lang w:val="fr-BE"/>
          </w:rPr>
          <w:t>Guide de mise en image de la Langue des signes française</w:t>
        </w:r>
      </w:hyperlink>
      <w:r w:rsidRPr="00A90743">
        <w:rPr>
          <w:rFonts w:ascii="Arial" w:hAnsi="Arial"/>
          <w:lang w:val="fr-BE"/>
        </w:rPr>
        <w:t>.</w:t>
      </w:r>
    </w:p>
  </w:footnote>
  <w:footnote w:id="69">
    <w:p w14:paraId="12CA5256" w14:textId="30EB57D1" w:rsidR="00EE2BB3" w:rsidRPr="00A90743" w:rsidRDefault="00EE2BB3"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w:t>
      </w:r>
      <w:hyperlink r:id="rId69" w:history="1">
        <w:r w:rsidRPr="00A90743">
          <w:rPr>
            <w:rStyle w:val="Hyperlink"/>
            <w:sz w:val="20"/>
            <w:lang w:val="fr-BE"/>
          </w:rPr>
          <w:t>Présidentielle 2022 :</w:t>
        </w:r>
      </w:hyperlink>
      <w:hyperlink r:id="rId70" w:history="1">
        <w:r w:rsidRPr="00A90743">
          <w:rPr>
            <w:rStyle w:val="Hyperlink"/>
            <w:sz w:val="20"/>
            <w:lang w:val="fr-BE"/>
          </w:rPr>
          <w:t xml:space="preserve"> comment l'Arcom renforce l'accessibilité de la campagne électorale</w:t>
        </w:r>
      </w:hyperlink>
      <w:r w:rsidRPr="00A90743">
        <w:rPr>
          <w:rFonts w:ascii="Arial" w:hAnsi="Arial"/>
          <w:lang w:val="fr-BE"/>
        </w:rPr>
        <w:t>.</w:t>
      </w:r>
    </w:p>
  </w:footnote>
  <w:footnote w:id="70">
    <w:p w14:paraId="05BD2DDA" w14:textId="31D5B1ED" w:rsidR="00EE2BB3" w:rsidRPr="00A90743" w:rsidRDefault="00EE2BB3"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w:t>
      </w:r>
      <w:hyperlink r:id="rId71" w:history="1">
        <w:r w:rsidRPr="00A90743">
          <w:rPr>
            <w:rStyle w:val="Hyperlink"/>
            <w:sz w:val="20"/>
            <w:lang w:val="fr-BE"/>
          </w:rPr>
          <w:t>Autorité de régulation de la communication audiovisuelle et numérique</w:t>
        </w:r>
      </w:hyperlink>
      <w:r w:rsidRPr="00A90743">
        <w:rPr>
          <w:rFonts w:ascii="Arial" w:hAnsi="Arial"/>
          <w:lang w:val="fr-BE"/>
        </w:rPr>
        <w:t>.</w:t>
      </w:r>
    </w:p>
  </w:footnote>
  <w:footnote w:id="71">
    <w:p w14:paraId="0804A282" w14:textId="4B699F4C" w:rsidR="00EE2BB3" w:rsidRPr="00B6763E" w:rsidRDefault="00EE2BB3"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w:t>
      </w:r>
      <w:hyperlink r:id="rId72" w:history="1">
        <w:r w:rsidRPr="00A90743">
          <w:rPr>
            <w:rStyle w:val="Hyperlink"/>
            <w:sz w:val="20"/>
            <w:lang w:val="fr-BE"/>
          </w:rPr>
          <w:t>Le vote des personnes en situation de handicap:</w:t>
        </w:r>
      </w:hyperlink>
      <w:hyperlink r:id="rId73" w:history="1">
        <w:r w:rsidRPr="00A90743">
          <w:rPr>
            <w:rStyle w:val="Hyperlink"/>
            <w:sz w:val="20"/>
            <w:lang w:val="fr-BE"/>
          </w:rPr>
          <w:t xml:space="preserve"> l’accessibilité des opérations de vote.</w:t>
        </w:r>
      </w:hyperlink>
      <w:hyperlink r:id="rId74" w:history="1">
        <w:r w:rsidRPr="00A90743">
          <w:rPr>
            <w:rStyle w:val="Hyperlink"/>
            <w:sz w:val="20"/>
            <w:lang w:val="fr-BE"/>
          </w:rPr>
          <w:t xml:space="preserve"> </w:t>
        </w:r>
        <w:r w:rsidRPr="00B6763E">
          <w:rPr>
            <w:rStyle w:val="Hyperlink"/>
            <w:sz w:val="20"/>
            <w:lang w:val="fr-BE"/>
          </w:rPr>
          <w:t>Les élections en France</w:t>
        </w:r>
      </w:hyperlink>
      <w:r w:rsidRPr="00B6763E">
        <w:rPr>
          <w:rFonts w:ascii="Arial" w:hAnsi="Arial"/>
          <w:lang w:val="fr-BE"/>
        </w:rPr>
        <w:t>.</w:t>
      </w:r>
    </w:p>
  </w:footnote>
  <w:footnote w:id="72">
    <w:p w14:paraId="4B1A0D6F" w14:textId="5A6E669E" w:rsidR="00EE2BB3" w:rsidRPr="00B6763E" w:rsidRDefault="00EE2BB3" w:rsidP="0034629E">
      <w:pPr>
        <w:pStyle w:val="FootnoteText"/>
        <w:spacing w:after="60" w:line="264" w:lineRule="auto"/>
        <w:jc w:val="left"/>
        <w:rPr>
          <w:rFonts w:ascii="Arial" w:hAnsi="Arial" w:cs="Arial"/>
          <w:lang w:val="fr-BE"/>
        </w:rPr>
      </w:pPr>
      <w:r>
        <w:rPr>
          <w:rStyle w:val="FootnoteReference"/>
          <w:sz w:val="20"/>
        </w:rPr>
        <w:footnoteRef/>
      </w:r>
      <w:r w:rsidRPr="00B6763E">
        <w:rPr>
          <w:rFonts w:ascii="Arial" w:hAnsi="Arial"/>
          <w:lang w:val="fr-BE"/>
        </w:rPr>
        <w:t xml:space="preserve"> Tīmekļvietnē </w:t>
      </w:r>
      <w:hyperlink r:id="rId75" w:history="1">
        <w:r w:rsidRPr="00B6763E">
          <w:rPr>
            <w:rStyle w:val="Hyperlink"/>
            <w:sz w:val="20"/>
            <w:lang w:val="fr-BE"/>
          </w:rPr>
          <w:t>Alle stembureaus in Nederland</w:t>
        </w:r>
      </w:hyperlink>
      <w:r w:rsidRPr="00B6763E">
        <w:rPr>
          <w:rFonts w:ascii="Arial" w:hAnsi="Arial"/>
          <w:lang w:val="fr-BE"/>
        </w:rPr>
        <w:t xml:space="preserve"> ir informācija par vēlēšanu iecirkņu atrašanās vietām un to, cik lielā mērā tie ir (papildus) pieejami.</w:t>
      </w:r>
    </w:p>
  </w:footnote>
  <w:footnote w:id="73">
    <w:p w14:paraId="64BFD0A7" w14:textId="77777777" w:rsidR="00EE2BB3" w:rsidRPr="00A90743" w:rsidRDefault="00EE2BB3"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RGAA: référentiel général d’amélioration de l’accessibilité, décret No 2009-546 du 14 mai 2009 modifié en septembre 2019.</w:t>
      </w:r>
    </w:p>
  </w:footnote>
  <w:footnote w:id="74">
    <w:p w14:paraId="6156A8F8" w14:textId="26BD242D" w:rsidR="00EE2BB3" w:rsidRPr="00B6763E" w:rsidRDefault="00EE2BB3" w:rsidP="0034629E">
      <w:pPr>
        <w:pStyle w:val="FootnoteText"/>
        <w:spacing w:after="60" w:line="264" w:lineRule="auto"/>
        <w:jc w:val="left"/>
        <w:rPr>
          <w:rFonts w:ascii="Arial" w:hAnsi="Arial" w:cs="Arial"/>
          <w:lang w:val="fr-FR"/>
        </w:rPr>
      </w:pPr>
      <w:r>
        <w:rPr>
          <w:rStyle w:val="FootnoteReference"/>
          <w:sz w:val="20"/>
        </w:rPr>
        <w:footnoteRef/>
      </w:r>
      <w:r w:rsidRPr="00A90743">
        <w:rPr>
          <w:rFonts w:ascii="Arial" w:hAnsi="Arial"/>
          <w:lang w:val="fr-BE"/>
        </w:rPr>
        <w:t xml:space="preserve"> </w:t>
      </w:r>
      <w:hyperlink r:id="rId76" w:history="1">
        <w:r w:rsidRPr="00A90743">
          <w:rPr>
            <w:rStyle w:val="Hyperlink"/>
            <w:sz w:val="20"/>
            <w:lang w:val="fr-BE"/>
          </w:rPr>
          <w:t>Le vote des personnes en situation de handicap:</w:t>
        </w:r>
      </w:hyperlink>
      <w:hyperlink r:id="rId77" w:history="1">
        <w:r w:rsidRPr="00A90743">
          <w:rPr>
            <w:rStyle w:val="Hyperlink"/>
            <w:sz w:val="20"/>
            <w:lang w:val="fr-BE"/>
          </w:rPr>
          <w:t xml:space="preserve"> l’accessibilité des opérations de vote.</w:t>
        </w:r>
      </w:hyperlink>
      <w:hyperlink r:id="rId78" w:history="1">
        <w:r w:rsidRPr="00A90743">
          <w:rPr>
            <w:rStyle w:val="Hyperlink"/>
            <w:sz w:val="20"/>
            <w:lang w:val="fr-BE"/>
          </w:rPr>
          <w:t xml:space="preserve"> </w:t>
        </w:r>
        <w:r w:rsidRPr="00B6763E">
          <w:rPr>
            <w:rStyle w:val="Hyperlink"/>
            <w:sz w:val="20"/>
            <w:lang w:val="fr-FR"/>
          </w:rPr>
          <w:t>Les élections en France</w:t>
        </w:r>
      </w:hyperlink>
      <w:r w:rsidRPr="00B6763E">
        <w:rPr>
          <w:rStyle w:val="Hyperlink"/>
          <w:sz w:val="20"/>
          <w:lang w:val="fr-FR"/>
        </w:rPr>
        <w:t>.</w:t>
      </w:r>
    </w:p>
  </w:footnote>
  <w:footnote w:id="75">
    <w:p w14:paraId="6BE980DB" w14:textId="1645B129" w:rsidR="00EE2BB3" w:rsidRPr="00B6763E" w:rsidRDefault="00EE2BB3" w:rsidP="0034629E">
      <w:pPr>
        <w:pStyle w:val="FootnoteText"/>
        <w:spacing w:after="60" w:line="264" w:lineRule="auto"/>
        <w:jc w:val="left"/>
        <w:rPr>
          <w:rFonts w:ascii="Arial" w:hAnsi="Arial" w:cs="Arial"/>
          <w:lang w:val="fr-FR"/>
        </w:rPr>
      </w:pPr>
      <w:r>
        <w:rPr>
          <w:rStyle w:val="FootnoteReference"/>
          <w:sz w:val="20"/>
        </w:rPr>
        <w:footnoteRef/>
      </w:r>
      <w:r w:rsidRPr="00B6763E">
        <w:rPr>
          <w:rFonts w:ascii="Arial" w:hAnsi="Arial"/>
          <w:lang w:val="fr-FR"/>
        </w:rPr>
        <w:t xml:space="preserve"> </w:t>
      </w:r>
      <w:hyperlink r:id="rId79" w:history="1">
        <w:r w:rsidRPr="00B6763E">
          <w:rPr>
            <w:rStyle w:val="Hyperlink"/>
            <w:sz w:val="20"/>
            <w:lang w:val="fr-FR"/>
          </w:rPr>
          <w:t xml:space="preserve">Sertifikātu pasniegšanas ceremonija — Vācijas Neredzīgo un vājredzīgo asociācija. </w:t>
        </w:r>
      </w:hyperlink>
    </w:p>
  </w:footnote>
  <w:footnote w:id="76">
    <w:p w14:paraId="563003C7" w14:textId="77777777" w:rsidR="00EE2BB3" w:rsidRPr="00B6763E" w:rsidRDefault="00EE2BB3" w:rsidP="0034629E">
      <w:pPr>
        <w:pStyle w:val="FootnoteText"/>
        <w:spacing w:after="60" w:line="264" w:lineRule="auto"/>
        <w:jc w:val="left"/>
        <w:rPr>
          <w:rFonts w:ascii="Arial" w:hAnsi="Arial" w:cs="Arial"/>
          <w:lang w:val="fr-FR"/>
        </w:rPr>
      </w:pPr>
      <w:r>
        <w:rPr>
          <w:rStyle w:val="FootnoteReference"/>
          <w:sz w:val="20"/>
        </w:rPr>
        <w:footnoteRef/>
      </w:r>
      <w:r w:rsidRPr="00B6763E">
        <w:rPr>
          <w:rFonts w:ascii="Arial" w:hAnsi="Arial"/>
          <w:lang w:val="fr-FR"/>
        </w:rPr>
        <w:t xml:space="preserve"> Parlamenta vēlēšanu gadījumā.</w:t>
      </w:r>
    </w:p>
  </w:footnote>
  <w:footnote w:id="77">
    <w:p w14:paraId="210C9A61" w14:textId="77777777" w:rsidR="00EE2BB3" w:rsidRPr="00B6763E" w:rsidRDefault="00EE2BB3" w:rsidP="007F0EBB">
      <w:pPr>
        <w:pStyle w:val="FootnoteText"/>
        <w:spacing w:after="60" w:line="264" w:lineRule="auto"/>
        <w:ind w:left="196" w:hanging="196"/>
        <w:jc w:val="left"/>
        <w:rPr>
          <w:rFonts w:ascii="Arial" w:hAnsi="Arial" w:cs="Arial"/>
          <w:lang w:val="fr-FR"/>
        </w:rPr>
      </w:pPr>
      <w:r>
        <w:rPr>
          <w:rStyle w:val="FootnoteReference"/>
          <w:sz w:val="20"/>
        </w:rPr>
        <w:footnoteRef/>
      </w:r>
      <w:r w:rsidRPr="00B6763E">
        <w:rPr>
          <w:rFonts w:ascii="Arial" w:hAnsi="Arial"/>
          <w:lang w:val="fr-FR"/>
        </w:rPr>
        <w:t xml:space="preserve"> Austrija, Beļģija, Bulgārija, Dānija, Francija, Grieķija, Igaunija, Itālija, Īrija, Latvija, Lietuva, Luksemburga, Nīderlande, Polija, Portugāle, Rumānija, Slovēnija, Somija, Spānija, Ungārija, Vācija un Zviedrija.</w:t>
      </w:r>
    </w:p>
  </w:footnote>
  <w:footnote w:id="78">
    <w:p w14:paraId="0C481AF5" w14:textId="00AC5AC5" w:rsidR="00EE2BB3" w:rsidRPr="00B6763E" w:rsidRDefault="00EE2BB3" w:rsidP="007F0EBB">
      <w:pPr>
        <w:pStyle w:val="FootnoteText"/>
        <w:spacing w:after="60" w:line="264" w:lineRule="auto"/>
        <w:ind w:left="196" w:hanging="196"/>
        <w:jc w:val="left"/>
        <w:rPr>
          <w:rFonts w:ascii="Arial" w:hAnsi="Arial" w:cs="Arial"/>
          <w:lang w:val="fr-FR"/>
        </w:rPr>
      </w:pPr>
      <w:r>
        <w:rPr>
          <w:rStyle w:val="FootnoteReference"/>
          <w:sz w:val="20"/>
        </w:rPr>
        <w:footnoteRef/>
      </w:r>
      <w:r w:rsidRPr="00B6763E">
        <w:rPr>
          <w:rFonts w:ascii="Arial" w:hAnsi="Arial"/>
          <w:lang w:val="fr-FR"/>
        </w:rPr>
        <w:t xml:space="preserve"> Saskaņā ar 2023</w:t>
      </w:r>
      <w:r w:rsidR="001F2BA3" w:rsidRPr="00B6763E">
        <w:rPr>
          <w:rFonts w:ascii="Arial" w:hAnsi="Arial"/>
          <w:lang w:val="fr-FR"/>
        </w:rPr>
        <w:t>. gad</w:t>
      </w:r>
      <w:r w:rsidRPr="00B6763E">
        <w:rPr>
          <w:rFonts w:ascii="Arial" w:hAnsi="Arial"/>
          <w:lang w:val="fr-FR"/>
        </w:rPr>
        <w:t>a Tiesību balsot grozījumu likumu (</w:t>
      </w:r>
      <w:r w:rsidRPr="00B6763E">
        <w:rPr>
          <w:rFonts w:ascii="Arial" w:hAnsi="Arial"/>
          <w:i/>
          <w:lang w:val="fr-FR"/>
        </w:rPr>
        <w:t>Wahlrechtsänderungsgesetz</w:t>
      </w:r>
      <w:r w:rsidRPr="00B6763E">
        <w:rPr>
          <w:rFonts w:ascii="Arial" w:hAnsi="Arial"/>
          <w:lang w:val="fr-FR"/>
        </w:rPr>
        <w:t xml:space="preserve"> 2023) no 2024</w:t>
      </w:r>
      <w:r w:rsidR="001F2BA3" w:rsidRPr="00B6763E">
        <w:rPr>
          <w:rFonts w:ascii="Arial" w:hAnsi="Arial"/>
          <w:lang w:val="fr-FR"/>
        </w:rPr>
        <w:t>. gad</w:t>
      </w:r>
      <w:r w:rsidRPr="00B6763E">
        <w:rPr>
          <w:rFonts w:ascii="Arial" w:hAnsi="Arial"/>
          <w:lang w:val="fr-FR"/>
        </w:rPr>
        <w:t xml:space="preserve">a visiem vēlēšanu iecirkņiem jāatbilst </w:t>
      </w:r>
      <w:r w:rsidRPr="00B6763E">
        <w:rPr>
          <w:rFonts w:ascii="Arial" w:hAnsi="Arial"/>
          <w:i/>
          <w:lang w:val="fr-FR"/>
        </w:rPr>
        <w:t>Bundes-Behindertengleichstellungsgesetz</w:t>
      </w:r>
      <w:r w:rsidRPr="00B6763E">
        <w:rPr>
          <w:rFonts w:ascii="Arial" w:hAnsi="Arial"/>
          <w:lang w:val="fr-FR"/>
        </w:rPr>
        <w:t xml:space="preserve"> (Federālais likums par vienlīdzīgām iespējām personām ar invaliditāti) 6. punkta pamatnosacījumiem. Saskaņā ar šo noteikumu visiem vēlēšanu iecirkņiem jābūt pieejamiem cilvēkiem ar invaliditāti bez šķēršļiem, ņemot vērā tehniskās iespējas. Jebkurā gadījumā katrā ēkā, kurā ir izveidots vēlēšanu iecirknis, vismaz viens vēlēšanu iecirknis ar vēlēšanu kabīnēm ir jādara pieejams cilvēkiem ar invaliditāti. No 2028</w:t>
      </w:r>
      <w:r w:rsidR="001F2BA3" w:rsidRPr="00B6763E">
        <w:rPr>
          <w:rFonts w:ascii="Arial" w:hAnsi="Arial"/>
          <w:lang w:val="fr-FR"/>
        </w:rPr>
        <w:t>. gad</w:t>
      </w:r>
      <w:r w:rsidRPr="00B6763E">
        <w:rPr>
          <w:rFonts w:ascii="Arial" w:hAnsi="Arial"/>
          <w:lang w:val="fr-FR"/>
        </w:rPr>
        <w:t>a visiem vēlēšanu iecirkņiem Austrijā (tostarp vēlēšanu kabīnēm) bez izņēmuma jābūt bez šķēršļiem.</w:t>
      </w:r>
    </w:p>
  </w:footnote>
  <w:footnote w:id="79">
    <w:p w14:paraId="36EE937C" w14:textId="084364B2" w:rsidR="0085267A" w:rsidRPr="00B6763E" w:rsidRDefault="0085267A">
      <w:pPr>
        <w:pStyle w:val="FootnoteText"/>
        <w:rPr>
          <w:lang w:val="fr-FR"/>
        </w:rPr>
      </w:pPr>
      <w:r>
        <w:rPr>
          <w:rStyle w:val="FootnoteReference"/>
          <w:sz w:val="20"/>
        </w:rPr>
        <w:footnoteRef/>
      </w:r>
      <w:r w:rsidRPr="00B6763E">
        <w:rPr>
          <w:lang w:val="fr-FR"/>
        </w:rPr>
        <w:t xml:space="preserve"> </w:t>
      </w:r>
      <w:r w:rsidRPr="00B6763E">
        <w:rPr>
          <w:rFonts w:ascii="Arial" w:hAnsi="Arial"/>
          <w:lang w:val="fr-FR"/>
        </w:rPr>
        <w:t>Saskaņā ar</w:t>
      </w:r>
      <w:r w:rsidRPr="00B6763E">
        <w:rPr>
          <w:lang w:val="fr-FR"/>
        </w:rPr>
        <w:t xml:space="preserve"> </w:t>
      </w:r>
      <w:hyperlink r:id="rId80" w:history="1">
        <w:r w:rsidRPr="00B6763E">
          <w:rPr>
            <w:rStyle w:val="Hyperlink"/>
            <w:sz w:val="20"/>
            <w:lang w:val="fr-FR"/>
          </w:rPr>
          <w:t>3. jūnija rīkojumu INT/511/2022</w:t>
        </w:r>
      </w:hyperlink>
      <w:r w:rsidRPr="00B6763E">
        <w:rPr>
          <w:rFonts w:ascii="Arial" w:hAnsi="Arial"/>
          <w:lang w:val="fr-FR"/>
        </w:rPr>
        <w:t xml:space="preserve">, ar ko groza </w:t>
      </w:r>
      <w:hyperlink r:id="rId81" w:history="1">
        <w:r w:rsidRPr="00B6763E">
          <w:rPr>
            <w:rStyle w:val="Hyperlink"/>
            <w:sz w:val="20"/>
            <w:lang w:val="fr-FR"/>
          </w:rPr>
          <w:t>Karaļa 16. aprīļa Dekrēta 605/1999 par vēlēšanu procesu papildu regulējumu</w:t>
        </w:r>
      </w:hyperlink>
      <w:r w:rsidRPr="00B6763E">
        <w:rPr>
          <w:rFonts w:ascii="Arial" w:hAnsi="Arial"/>
          <w:lang w:val="fr-FR"/>
        </w:rPr>
        <w:t xml:space="preserve"> prasības, vēlēšanu kabīnēm jābūt pilnībā pieejamām. </w:t>
      </w:r>
    </w:p>
  </w:footnote>
  <w:footnote w:id="80">
    <w:p w14:paraId="5B09A1D4" w14:textId="04E886A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82" w:history="1">
        <w:r>
          <w:rPr>
            <w:rStyle w:val="Hyperlink"/>
            <w:sz w:val="20"/>
          </w:rPr>
          <w:t xml:space="preserve">Pastāvīgās vēlēšanu iestādes lēmums </w:t>
        </w:r>
        <w:r w:rsidR="001F2BA3">
          <w:rPr>
            <w:rStyle w:val="Hyperlink"/>
            <w:sz w:val="20"/>
          </w:rPr>
          <w:t>Nr. </w:t>
        </w:r>
        <w:r>
          <w:rPr>
            <w:rStyle w:val="Hyperlink"/>
            <w:sz w:val="20"/>
          </w:rPr>
          <w:t xml:space="preserve">44/2016 par minimālo nosacījumu kopumu, kas jāievēro vēlēšanu iecirkņu darbības vietās, un to minimālo aprīkojumu. </w:t>
        </w:r>
      </w:hyperlink>
      <w:r>
        <w:rPr>
          <w:rFonts w:ascii="Arial" w:hAnsi="Arial"/>
        </w:rPr>
        <w:t xml:space="preserve"> </w:t>
      </w:r>
    </w:p>
  </w:footnote>
  <w:footnote w:id="81">
    <w:p w14:paraId="0D156D0C" w14:textId="7777777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Tikai referendumos, kur var balsot tikai ar “jā” vai “nē”.</w:t>
      </w:r>
    </w:p>
  </w:footnote>
  <w:footnote w:id="82">
    <w:p w14:paraId="09A762EA" w14:textId="77777777" w:rsidR="00EE2BB3" w:rsidRPr="00A90743" w:rsidRDefault="00EE2BB3" w:rsidP="007F0EBB">
      <w:pPr>
        <w:pStyle w:val="FootnoteText"/>
        <w:spacing w:after="60" w:line="264" w:lineRule="auto"/>
        <w:ind w:left="196" w:hanging="196"/>
        <w:jc w:val="left"/>
        <w:rPr>
          <w:rFonts w:ascii="Arial" w:hAnsi="Arial" w:cs="Arial"/>
          <w:lang w:val="fr-BE"/>
        </w:rPr>
      </w:pPr>
      <w:r>
        <w:rPr>
          <w:rStyle w:val="FootnoteReference"/>
          <w:sz w:val="20"/>
        </w:rPr>
        <w:footnoteRef/>
      </w:r>
      <w:r w:rsidRPr="00A90743">
        <w:rPr>
          <w:rFonts w:ascii="Arial" w:hAnsi="Arial"/>
          <w:lang w:val="fr-BE"/>
        </w:rPr>
        <w:t xml:space="preserve"> Sadarbībā ar </w:t>
      </w:r>
      <w:r w:rsidRPr="00A90743">
        <w:rPr>
          <w:rFonts w:ascii="Arial" w:hAnsi="Arial"/>
          <w:i/>
          <w:iCs/>
          <w:lang w:val="fr-BE"/>
        </w:rPr>
        <w:t>Centre pour le développement des compétences relatives à la vue</w:t>
      </w:r>
      <w:r w:rsidRPr="00A90743">
        <w:rPr>
          <w:rFonts w:ascii="Arial" w:hAnsi="Arial"/>
          <w:lang w:val="fr-BE"/>
        </w:rPr>
        <w:t xml:space="preserve"> (</w:t>
      </w:r>
      <w:r w:rsidRPr="00A90743">
        <w:rPr>
          <w:rFonts w:ascii="Arial" w:hAnsi="Arial"/>
          <w:i/>
          <w:iCs/>
          <w:lang w:val="fr-BE"/>
        </w:rPr>
        <w:t>CDV</w:t>
      </w:r>
      <w:r w:rsidRPr="00A90743">
        <w:rPr>
          <w:rFonts w:ascii="Arial" w:hAnsi="Arial"/>
          <w:lang w:val="fr-BE"/>
        </w:rPr>
        <w:t xml:space="preserve">) valdība vēlēšanu dienā vēlētājiem ar redzes invaliditāti nodrošinās taktilās balsošanas modeli. Šis taktilās balsošanas modelis būs pieejams katrā vēlēšanu iecirknī, un vēlētājs to varēs pasūtīt arī tieši no </w:t>
      </w:r>
      <w:r w:rsidRPr="00A90743">
        <w:rPr>
          <w:rFonts w:ascii="Arial" w:hAnsi="Arial"/>
          <w:i/>
          <w:iCs/>
          <w:lang w:val="fr-BE"/>
        </w:rPr>
        <w:t>CDV</w:t>
      </w:r>
      <w:r w:rsidRPr="00A90743">
        <w:rPr>
          <w:rFonts w:ascii="Arial" w:hAnsi="Arial"/>
          <w:lang w:val="fr-BE"/>
        </w:rPr>
        <w:t>, lai tas būtu pieejams vēlētājam, ja viņš ir izvēlējies balsot pa pastu.</w:t>
      </w:r>
    </w:p>
  </w:footnote>
  <w:footnote w:id="83">
    <w:p w14:paraId="227D9A08" w14:textId="4220FE62" w:rsidR="007F0EBB" w:rsidRPr="00A90743" w:rsidRDefault="007F0EBB" w:rsidP="007F0EBB">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w:t>
      </w:r>
      <w:hyperlink r:id="rId83" w:history="1">
        <w:r w:rsidRPr="00A90743">
          <w:rPr>
            <w:rStyle w:val="Hyperlink"/>
            <w:sz w:val="20"/>
            <w:lang w:val="fr-BE"/>
          </w:rPr>
          <w:t>Kā notiek balsošana?</w:t>
        </w:r>
      </w:hyperlink>
      <w:r w:rsidRPr="00A90743">
        <w:rPr>
          <w:rFonts w:ascii="Arial" w:hAnsi="Arial"/>
          <w:lang w:val="fr-BE"/>
        </w:rPr>
        <w:t xml:space="preserve"> </w:t>
      </w:r>
    </w:p>
  </w:footnote>
  <w:footnote w:id="84">
    <w:p w14:paraId="1AF73524" w14:textId="52873FE2" w:rsidR="00EE2BB3" w:rsidRPr="00A90743" w:rsidRDefault="00EE2BB3" w:rsidP="007F0EBB">
      <w:pPr>
        <w:pStyle w:val="FootnoteText"/>
        <w:spacing w:after="60" w:line="264" w:lineRule="auto"/>
        <w:ind w:left="196" w:hanging="196"/>
        <w:jc w:val="left"/>
        <w:rPr>
          <w:rFonts w:ascii="Arial" w:hAnsi="Arial" w:cs="Arial"/>
          <w:lang w:val="fr-BE"/>
        </w:rPr>
      </w:pPr>
      <w:r>
        <w:rPr>
          <w:rStyle w:val="FootnoteReference"/>
          <w:sz w:val="20"/>
        </w:rPr>
        <w:footnoteRef/>
      </w:r>
      <w:r w:rsidRPr="00A90743">
        <w:rPr>
          <w:rFonts w:ascii="Arial" w:hAnsi="Arial"/>
          <w:lang w:val="fr-BE"/>
        </w:rPr>
        <w:t xml:space="preserve"> </w:t>
      </w:r>
      <w:hyperlink r:id="rId84" w:history="1">
        <w:r w:rsidRPr="00A90743">
          <w:rPr>
            <w:rStyle w:val="Hyperlink"/>
            <w:sz w:val="20"/>
            <w:lang w:val="fr-BE"/>
          </w:rPr>
          <w:t>Comparative study regarding methods, procedures and technical instruments used by other states to ensure the accessibility of electoral processes for individuals with disabilities (Salīdzinošs pētījums par metodēm, procedūrām un tehniskajiem instrumentiem, ko izmanto citas valstis, lai personām ar invaliditāti nodrošinātu piekļūstamību vēlēšanu procesiem)</w:t>
        </w:r>
      </w:hyperlink>
      <w:r w:rsidRPr="00A90743">
        <w:rPr>
          <w:rFonts w:ascii="Arial" w:hAnsi="Arial"/>
          <w:lang w:val="fr-BE"/>
        </w:rPr>
        <w:t xml:space="preserve">, izstrādājusi Pastāvīgā vēlēšanu iestāde. </w:t>
      </w:r>
    </w:p>
  </w:footnote>
  <w:footnote w:id="85">
    <w:p w14:paraId="553F63DE" w14:textId="602F11A3" w:rsidR="00EE2BB3" w:rsidRPr="00A90743" w:rsidRDefault="00EE2BB3" w:rsidP="007F0EBB">
      <w:pPr>
        <w:pStyle w:val="FootnoteText"/>
        <w:spacing w:after="60" w:line="264" w:lineRule="auto"/>
        <w:ind w:left="210" w:hanging="210"/>
        <w:jc w:val="left"/>
        <w:rPr>
          <w:rFonts w:ascii="Arial" w:hAnsi="Arial" w:cs="Arial"/>
          <w:lang w:val="fr-BE"/>
        </w:rPr>
      </w:pPr>
      <w:r>
        <w:rPr>
          <w:rStyle w:val="FootnoteReference"/>
          <w:sz w:val="20"/>
        </w:rPr>
        <w:footnoteRef/>
      </w:r>
      <w:r w:rsidRPr="00A90743">
        <w:rPr>
          <w:rFonts w:ascii="Arial" w:hAnsi="Arial"/>
          <w:lang w:val="fr-BE"/>
        </w:rPr>
        <w:t xml:space="preserve"> Likumdevējs ņēma vērā balsošanas iekārtu izmantošanas apjomu katrās vēlēšanās, balsošanas iekārtu izmantošanas izmaksas budžetam, kā arī citu ES dalībvalstu noteikumus. </w:t>
      </w:r>
    </w:p>
  </w:footnote>
  <w:footnote w:id="86">
    <w:p w14:paraId="605F41D3" w14:textId="77777777" w:rsidR="00EE2BB3" w:rsidRPr="00A90743" w:rsidRDefault="00EE2BB3"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Balsošana pa pastu, kā noteikts Austrijas tiesību aktos.</w:t>
      </w:r>
    </w:p>
  </w:footnote>
  <w:footnote w:id="87">
    <w:p w14:paraId="39FE11EC" w14:textId="77777777" w:rsidR="00EE2BB3" w:rsidRPr="00A90743" w:rsidRDefault="00EE2BB3"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Prezidenta vēlēšanas.</w:t>
      </w:r>
    </w:p>
  </w:footnote>
  <w:footnote w:id="88">
    <w:p w14:paraId="1ED19B21" w14:textId="77777777" w:rsidR="00EE2BB3" w:rsidRPr="00A90743" w:rsidRDefault="00EE2BB3" w:rsidP="00566D60">
      <w:pPr>
        <w:pStyle w:val="FootnoteText"/>
        <w:spacing w:after="60" w:line="264" w:lineRule="auto"/>
        <w:ind w:left="196" w:hanging="196"/>
        <w:jc w:val="left"/>
        <w:rPr>
          <w:rFonts w:ascii="Arial" w:hAnsi="Arial" w:cs="Arial"/>
          <w:lang w:val="fr-BE"/>
        </w:rPr>
      </w:pPr>
      <w:r>
        <w:rPr>
          <w:rStyle w:val="FootnoteReference"/>
          <w:sz w:val="20"/>
        </w:rPr>
        <w:footnoteRef/>
      </w:r>
      <w:r w:rsidRPr="00A90743">
        <w:rPr>
          <w:rFonts w:ascii="Arial" w:hAnsi="Arial"/>
          <w:lang w:val="fr-BE"/>
        </w:rPr>
        <w:t xml:space="preserve"> </w:t>
      </w:r>
      <w:r w:rsidRPr="00A90743">
        <w:rPr>
          <w:rFonts w:ascii="Arial" w:hAnsi="Arial"/>
          <w:i/>
          <w:iCs/>
          <w:lang w:val="fr-BE"/>
        </w:rPr>
        <w:t>Adapto</w:t>
      </w:r>
      <w:r w:rsidRPr="00A90743">
        <w:rPr>
          <w:rFonts w:ascii="Arial" w:hAnsi="Arial"/>
          <w:lang w:val="fr-BE"/>
        </w:rPr>
        <w:t xml:space="preserve"> īpašā transporta pakalpojuma lietotāji, kuriem ir </w:t>
      </w:r>
      <w:r w:rsidRPr="00A90743">
        <w:rPr>
          <w:rFonts w:ascii="Arial" w:hAnsi="Arial"/>
          <w:i/>
          <w:iCs/>
          <w:lang w:val="fr-BE"/>
        </w:rPr>
        <w:t>Adapto</w:t>
      </w:r>
      <w:r w:rsidRPr="00A90743">
        <w:rPr>
          <w:rFonts w:ascii="Arial" w:hAnsi="Arial"/>
          <w:lang w:val="fr-BE"/>
        </w:rPr>
        <w:t xml:space="preserve"> karte, var doties uz vēlēšanu iecirkni, izmantojot </w:t>
      </w:r>
      <w:r w:rsidRPr="00A90743">
        <w:rPr>
          <w:rFonts w:ascii="Arial" w:hAnsi="Arial"/>
          <w:i/>
          <w:iCs/>
          <w:lang w:val="fr-BE"/>
        </w:rPr>
        <w:t>Adapto</w:t>
      </w:r>
      <w:r w:rsidRPr="00A90743">
        <w:rPr>
          <w:rFonts w:ascii="Arial" w:hAnsi="Arial"/>
          <w:lang w:val="fr-BE"/>
        </w:rPr>
        <w:t xml:space="preserve"> pakalpojumu. Braucieni uz vēlēšanu iecirkni un atpakaļ netiks atskaitīti no ikgadējās izmantojamās </w:t>
      </w:r>
      <w:r w:rsidRPr="00A90743">
        <w:rPr>
          <w:rFonts w:ascii="Arial" w:hAnsi="Arial"/>
          <w:i/>
          <w:iCs/>
          <w:lang w:val="fr-BE"/>
        </w:rPr>
        <w:t>Adapto</w:t>
      </w:r>
      <w:r w:rsidRPr="00A90743">
        <w:rPr>
          <w:rFonts w:ascii="Arial" w:hAnsi="Arial"/>
          <w:lang w:val="fr-BE"/>
        </w:rPr>
        <w:t xml:space="preserve"> braucienu kvotas. Lai pieprasītu šādu pakalpojumu, lietotāji var zvanīt dienestam mobiliteit.lu pa tālruni 2465-2465 vai veikt rezervāciju, izmantojot mobilo lietotni adapto.lu, izvēloties “Elections/Wahlen”.</w:t>
      </w:r>
    </w:p>
  </w:footnote>
  <w:footnote w:id="89">
    <w:p w14:paraId="46F9B30C" w14:textId="1901D463" w:rsidR="00EE2BB3" w:rsidRPr="00B6763E" w:rsidRDefault="00EE2BB3" w:rsidP="0034629E">
      <w:pPr>
        <w:pStyle w:val="FootnoteText"/>
        <w:spacing w:after="60" w:line="264" w:lineRule="auto"/>
        <w:jc w:val="left"/>
        <w:rPr>
          <w:rFonts w:ascii="Arial" w:hAnsi="Arial" w:cs="Arial"/>
          <w:lang w:val="fr-FR"/>
        </w:rPr>
      </w:pPr>
      <w:r>
        <w:rPr>
          <w:rStyle w:val="FootnoteReference"/>
          <w:sz w:val="20"/>
        </w:rPr>
        <w:footnoteRef/>
      </w:r>
      <w:r w:rsidRPr="00A90743">
        <w:rPr>
          <w:rFonts w:ascii="Arial" w:hAnsi="Arial"/>
          <w:lang w:val="fr-BE"/>
        </w:rPr>
        <w:t xml:space="preserve"> </w:t>
      </w:r>
      <w:hyperlink r:id="rId85" w:history="1">
        <w:r w:rsidRPr="00A90743">
          <w:rPr>
            <w:rStyle w:val="Hyperlink"/>
            <w:sz w:val="20"/>
            <w:lang w:val="fr-BE"/>
          </w:rPr>
          <w:t>Présentation du vote par internet.</w:t>
        </w:r>
      </w:hyperlink>
      <w:hyperlink r:id="rId86" w:history="1">
        <w:r w:rsidRPr="00A90743">
          <w:rPr>
            <w:rStyle w:val="Hyperlink"/>
            <w:sz w:val="20"/>
            <w:lang w:val="fr-BE"/>
          </w:rPr>
          <w:t xml:space="preserve"> </w:t>
        </w:r>
        <w:r w:rsidRPr="00B6763E">
          <w:rPr>
            <w:rStyle w:val="Hyperlink"/>
            <w:sz w:val="20"/>
            <w:lang w:val="fr-FR"/>
          </w:rPr>
          <w:t>Ministère de l’Europe et des Affaires étrangères</w:t>
        </w:r>
      </w:hyperlink>
      <w:r w:rsidRPr="00B6763E">
        <w:rPr>
          <w:rFonts w:ascii="Arial" w:hAnsi="Arial"/>
          <w:lang w:val="fr-FR"/>
        </w:rPr>
        <w:t>.</w:t>
      </w:r>
    </w:p>
  </w:footnote>
  <w:footnote w:id="90">
    <w:p w14:paraId="6B2ADE21" w14:textId="293447C8" w:rsidR="00EE2BB3" w:rsidRPr="00B6763E" w:rsidRDefault="00EE2BB3" w:rsidP="0034629E">
      <w:pPr>
        <w:pStyle w:val="FootnoteText"/>
        <w:spacing w:after="60" w:line="264" w:lineRule="auto"/>
        <w:jc w:val="left"/>
        <w:rPr>
          <w:rFonts w:ascii="Arial" w:hAnsi="Arial" w:cs="Arial"/>
          <w:lang w:val="fr-FR"/>
        </w:rPr>
      </w:pPr>
      <w:r>
        <w:rPr>
          <w:rStyle w:val="FootnoteReference"/>
          <w:sz w:val="20"/>
        </w:rPr>
        <w:footnoteRef/>
      </w:r>
      <w:r w:rsidRPr="00B6763E">
        <w:rPr>
          <w:rFonts w:ascii="Arial" w:hAnsi="Arial"/>
          <w:lang w:val="fr-FR"/>
        </w:rPr>
        <w:t xml:space="preserve"> </w:t>
      </w:r>
      <w:hyperlink r:id="rId87" w:history="1">
        <w:r w:rsidRPr="00B6763E">
          <w:rPr>
            <w:rStyle w:val="Hyperlink"/>
            <w:sz w:val="20"/>
            <w:lang w:val="fr-FR"/>
          </w:rPr>
          <w:t>Tiešsaistes balsošana veicina sociālās vēlēšanas Vācijā</w:t>
        </w:r>
      </w:hyperlink>
      <w:r w:rsidRPr="00B6763E">
        <w:rPr>
          <w:rFonts w:ascii="Arial" w:hAnsi="Arial"/>
          <w:lang w:val="fr-FR"/>
        </w:rPr>
        <w:t>.</w:t>
      </w:r>
    </w:p>
  </w:footnote>
  <w:footnote w:id="91">
    <w:p w14:paraId="6AFB43C2" w14:textId="282FE739" w:rsidR="00EE2BB3" w:rsidRPr="00A90743" w:rsidRDefault="00EE2BB3" w:rsidP="0034629E">
      <w:pPr>
        <w:pStyle w:val="FootnoteText"/>
        <w:spacing w:after="60" w:line="264" w:lineRule="auto"/>
        <w:jc w:val="left"/>
        <w:rPr>
          <w:rFonts w:ascii="Arial" w:hAnsi="Arial" w:cs="Arial"/>
          <w:lang w:val="de-DE"/>
        </w:rPr>
      </w:pPr>
      <w:r>
        <w:rPr>
          <w:rStyle w:val="FootnoteReference"/>
          <w:sz w:val="20"/>
        </w:rPr>
        <w:footnoteRef/>
      </w:r>
      <w:r w:rsidRPr="00A90743">
        <w:rPr>
          <w:rFonts w:ascii="Arial" w:hAnsi="Arial"/>
          <w:lang w:val="de-DE"/>
        </w:rPr>
        <w:t xml:space="preserve"> </w:t>
      </w:r>
      <w:hyperlink r:id="rId88" w:history="1">
        <w:r w:rsidRPr="00A90743">
          <w:rPr>
            <w:rStyle w:val="Hyperlink"/>
            <w:sz w:val="20"/>
            <w:lang w:val="de-DE"/>
          </w:rPr>
          <w:t>22022</w:t>
        </w:r>
        <w:r w:rsidR="001F2BA3">
          <w:rPr>
            <w:rStyle w:val="Hyperlink"/>
            <w:sz w:val="20"/>
            <w:lang w:val="de-DE"/>
          </w:rPr>
          <w:t>. gad</w:t>
        </w:r>
        <w:r w:rsidRPr="00A90743">
          <w:rPr>
            <w:rStyle w:val="Hyperlink"/>
            <w:sz w:val="20"/>
            <w:lang w:val="de-DE"/>
          </w:rPr>
          <w:t>a ES rezultātu apkopojums tiesiskuma jomā</w:t>
        </w:r>
      </w:hyperlink>
      <w:r w:rsidRPr="00A90743">
        <w:rPr>
          <w:rFonts w:ascii="Arial" w:hAnsi="Arial"/>
          <w:lang w:val="de-DE"/>
        </w:rPr>
        <w:t>.</w:t>
      </w:r>
    </w:p>
  </w:footnote>
  <w:footnote w:id="92">
    <w:p w14:paraId="13344400" w14:textId="33752B2C" w:rsidR="00EE2BB3" w:rsidRPr="00A90743" w:rsidRDefault="00EE2BB3"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w:t>
      </w:r>
      <w:hyperlink r:id="rId89" w:history="1">
        <w:r w:rsidRPr="00A90743">
          <w:rPr>
            <w:rStyle w:val="Hyperlink"/>
            <w:sz w:val="20"/>
            <w:lang w:val="fr-BE"/>
          </w:rPr>
          <w:t>Observatoire de l’accessibilité des campagnes électorales et des scrutins de 2022</w:t>
        </w:r>
      </w:hyperlink>
      <w:r w:rsidRPr="00A90743">
        <w:rPr>
          <w:rFonts w:ascii="Arial" w:hAnsi="Arial"/>
          <w:lang w:val="fr-BE"/>
        </w:rPr>
        <w:t>.</w:t>
      </w:r>
    </w:p>
  </w:footnote>
  <w:footnote w:id="93">
    <w:p w14:paraId="69852E27" w14:textId="77777777" w:rsidR="00EE2BB3" w:rsidRPr="00A90743" w:rsidRDefault="00EE2BB3"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w:t>
      </w:r>
      <w:bookmarkStart w:id="83" w:name="_Hlk151393575"/>
      <w:r w:rsidRPr="00A90743">
        <w:rPr>
          <w:rFonts w:ascii="Arial" w:hAnsi="Arial"/>
          <w:lang w:val="fr-BE"/>
        </w:rPr>
        <w:t>Lielākā daļa pasākumu labvēlīgi ietekmē visu grupu, tostarp vecāka gadagājuma cilvēku, piekļuvi vēlēšanām.</w:t>
      </w:r>
      <w:bookmarkEnd w:id="83"/>
    </w:p>
  </w:footnote>
  <w:footnote w:id="94">
    <w:p w14:paraId="0C31A6D7" w14:textId="77777777" w:rsidR="00EE2BB3" w:rsidRPr="00A90743" w:rsidRDefault="00EE2BB3"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Skatīt, piemēram, nesen pieņemto Īrijas Vēlēšanu reformas likumu (2022).</w:t>
      </w:r>
    </w:p>
  </w:footnote>
  <w:footnote w:id="95">
    <w:p w14:paraId="18B023FC" w14:textId="5F974B1D" w:rsidR="00EE2BB3" w:rsidRPr="00A90743" w:rsidRDefault="00EE2BB3"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Skatīt Rumānijas priekšlikumu tiesību aktu grozījumiem, lai sniegtu finansiālu atbalstu.</w:t>
      </w:r>
    </w:p>
  </w:footnote>
  <w:footnote w:id="96">
    <w:p w14:paraId="1D76B737" w14:textId="235F6A57" w:rsidR="00EE2BB3" w:rsidRPr="00A90743" w:rsidRDefault="00EE2BB3"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w:t>
      </w:r>
      <w:hyperlink r:id="rId90" w:history="1">
        <w:r w:rsidRPr="00A90743">
          <w:rPr>
            <w:rStyle w:val="Hyperlink"/>
            <w:sz w:val="20"/>
            <w:lang w:val="fr-BE"/>
          </w:rPr>
          <w:t>Eiropas Iekļaujošās izdevējdarbības forums</w:t>
        </w:r>
      </w:hyperlink>
      <w:r w:rsidRPr="00A90743">
        <w:rPr>
          <w:rFonts w:ascii="Arial" w:hAnsi="Arial"/>
          <w:lang w:val="fr-BE"/>
        </w:rPr>
        <w:t>.</w:t>
      </w:r>
    </w:p>
  </w:footnote>
  <w:footnote w:id="97">
    <w:p w14:paraId="1ABF4F7E" w14:textId="7172DB99" w:rsidR="00EE2BB3" w:rsidRPr="00A90743" w:rsidRDefault="00EE2BB3"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w:t>
      </w:r>
      <w:hyperlink r:id="rId91" w:history="1">
        <w:r w:rsidRPr="00A90743">
          <w:rPr>
            <w:rStyle w:val="Hyperlink"/>
            <w:sz w:val="20"/>
            <w:lang w:val="fr-BE"/>
          </w:rPr>
          <w:t>Invalidiliitto, ’Äänestyspaikkojen esteettömyyden tarkistuslista’</w:t>
        </w:r>
      </w:hyperlink>
      <w:r w:rsidRPr="00A90743">
        <w:rPr>
          <w:rFonts w:ascii="Arial" w:hAnsi="Arial"/>
          <w:lang w:val="fr-BE"/>
        </w:rPr>
        <w:t>.</w:t>
      </w:r>
    </w:p>
  </w:footnote>
  <w:footnote w:id="98">
    <w:p w14:paraId="32626F0E" w14:textId="1F1D17F7" w:rsidR="00EE2BB3" w:rsidRPr="00A90743" w:rsidRDefault="00EE2BB3"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w:t>
      </w:r>
      <w:hyperlink r:id="rId92" w:history="1">
        <w:r w:rsidRPr="00A90743">
          <w:rPr>
            <w:rStyle w:val="Hyperlink"/>
            <w:sz w:val="20"/>
            <w:lang w:val="fr-BE"/>
          </w:rPr>
          <w:t>Accessibilite_des_bureaux_de_vote.</w:t>
        </w:r>
      </w:hyperlink>
      <w:r w:rsidRPr="00A90743">
        <w:rPr>
          <w:rFonts w:ascii="Arial" w:hAnsi="Arial"/>
          <w:lang w:val="fr-BE"/>
        </w:rPr>
        <w:t xml:space="preserve"> </w:t>
      </w:r>
    </w:p>
  </w:footnote>
  <w:footnote w:id="99">
    <w:p w14:paraId="30416320" w14:textId="79A62565" w:rsidR="00EE2BB3" w:rsidRPr="00A90743" w:rsidRDefault="00EE2BB3"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w:t>
      </w:r>
      <w:hyperlink r:id="rId93" w:history="1">
        <w:r w:rsidRPr="00A90743">
          <w:rPr>
            <w:rStyle w:val="Hyperlink"/>
            <w:sz w:val="20"/>
            <w:lang w:val="fr-BE"/>
          </w:rPr>
          <w:t>Accessibilite_des_bureaux_de_vote.</w:t>
        </w:r>
      </w:hyperlink>
      <w:r w:rsidRPr="00A90743">
        <w:rPr>
          <w:rFonts w:ascii="Arial" w:hAnsi="Arial"/>
          <w:lang w:val="fr-BE"/>
        </w:rPr>
        <w:t xml:space="preserve"> </w:t>
      </w:r>
    </w:p>
  </w:footnote>
  <w:footnote w:id="100">
    <w:p w14:paraId="7AD79085" w14:textId="2F22D854" w:rsidR="00EE2BB3" w:rsidRPr="00A90743" w:rsidRDefault="00EE2BB3"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w:t>
      </w:r>
      <w:hyperlink r:id="rId94" w:history="1">
        <w:r w:rsidRPr="00A90743">
          <w:rPr>
            <w:rStyle w:val="Hyperlink"/>
            <w:sz w:val="20"/>
            <w:lang w:val="fr-BE"/>
          </w:rPr>
          <w:t>Accessibilite_des_bureaux_de_vote.</w:t>
        </w:r>
      </w:hyperlink>
      <w:r w:rsidRPr="00A90743">
        <w:rPr>
          <w:rFonts w:ascii="Arial" w:hAnsi="Arial"/>
          <w:lang w:val="fr-BE"/>
        </w:rPr>
        <w:t xml:space="preserve"> </w:t>
      </w:r>
    </w:p>
  </w:footnote>
  <w:footnote w:id="101">
    <w:p w14:paraId="194121B4" w14:textId="631FFCF1" w:rsidR="00EE2BB3" w:rsidRPr="00A90743" w:rsidRDefault="00EE2BB3" w:rsidP="0034629E">
      <w:pPr>
        <w:spacing w:after="60" w:line="264" w:lineRule="auto"/>
        <w:rPr>
          <w:sz w:val="20"/>
          <w:lang w:val="fr-BE"/>
        </w:rPr>
      </w:pPr>
      <w:r>
        <w:rPr>
          <w:rStyle w:val="FootnoteReference"/>
          <w:sz w:val="20"/>
        </w:rPr>
        <w:footnoteRef/>
      </w:r>
      <w:r w:rsidRPr="00A90743">
        <w:rPr>
          <w:sz w:val="20"/>
          <w:lang w:val="fr-BE"/>
        </w:rPr>
        <w:t xml:space="preserve"> 2018</w:t>
      </w:r>
      <w:r w:rsidR="001F2BA3">
        <w:rPr>
          <w:sz w:val="20"/>
          <w:lang w:val="fr-BE"/>
        </w:rPr>
        <w:t>. gad</w:t>
      </w:r>
      <w:r w:rsidRPr="00A90743">
        <w:rPr>
          <w:sz w:val="20"/>
          <w:lang w:val="fr-BE"/>
        </w:rPr>
        <w:t>ā Spānijā tika grozīts Vēlēšanu likuma 3. pants.</w:t>
      </w:r>
    </w:p>
  </w:footnote>
  <w:footnote w:id="102">
    <w:p w14:paraId="2744C486" w14:textId="11779E64" w:rsidR="00EE2BB3" w:rsidRPr="00A90743" w:rsidRDefault="00EE2BB3"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29. augusta Dekrētlikums </w:t>
      </w:r>
      <w:r w:rsidR="001F2BA3">
        <w:rPr>
          <w:rFonts w:ascii="Arial" w:hAnsi="Arial"/>
          <w:lang w:val="fr-BE"/>
        </w:rPr>
        <w:t>Nr. </w:t>
      </w:r>
      <w:r w:rsidRPr="00A90743">
        <w:rPr>
          <w:rFonts w:ascii="Arial" w:hAnsi="Arial"/>
          <w:lang w:val="fr-BE"/>
        </w:rPr>
        <w:t>58/2016.</w:t>
      </w:r>
    </w:p>
  </w:footnote>
  <w:footnote w:id="103">
    <w:p w14:paraId="5324ABF5" w14:textId="3A8C6D64" w:rsidR="00EE2BB3" w:rsidRPr="00A90743" w:rsidRDefault="00EE2BB3" w:rsidP="005A432A">
      <w:pPr>
        <w:pStyle w:val="FootnoteText"/>
        <w:spacing w:after="60" w:line="264" w:lineRule="auto"/>
        <w:ind w:left="266" w:hanging="266"/>
        <w:jc w:val="left"/>
        <w:rPr>
          <w:rFonts w:ascii="Arial" w:hAnsi="Arial" w:cs="Arial"/>
          <w:lang w:val="fr-BE"/>
        </w:rPr>
      </w:pPr>
      <w:r>
        <w:rPr>
          <w:rStyle w:val="FootnoteReference"/>
          <w:rFonts w:eastAsiaTheme="majorEastAsia"/>
          <w:sz w:val="20"/>
        </w:rPr>
        <w:footnoteRef/>
      </w:r>
      <w:r w:rsidRPr="00A90743">
        <w:rPr>
          <w:rFonts w:ascii="Arial" w:hAnsi="Arial"/>
          <w:lang w:val="fr-BE"/>
        </w:rPr>
        <w:t xml:space="preserve"> </w:t>
      </w:r>
      <w:hyperlink r:id="rId95" w:history="1">
        <w:r w:rsidRPr="00A90743">
          <w:rPr>
            <w:rStyle w:val="Hyperlink"/>
            <w:sz w:val="20"/>
            <w:lang w:val="fr-BE"/>
          </w:rPr>
          <w:t>Eiropas Parlamenta un Padomes Direktīva (ES) 2019/882 (2019</w:t>
        </w:r>
        <w:r w:rsidR="001F2BA3">
          <w:rPr>
            <w:rStyle w:val="Hyperlink"/>
            <w:sz w:val="20"/>
            <w:lang w:val="fr-BE"/>
          </w:rPr>
          <w:t>. gad</w:t>
        </w:r>
        <w:r w:rsidRPr="00A90743">
          <w:rPr>
            <w:rStyle w:val="Hyperlink"/>
            <w:sz w:val="20"/>
            <w:lang w:val="fr-BE"/>
          </w:rPr>
          <w:t>a 17. aprīlis) par produktu un pakalpojumu piekļūstamības prasībām</w:t>
        </w:r>
      </w:hyperlink>
      <w:r w:rsidRPr="00A90743">
        <w:rPr>
          <w:rFonts w:ascii="Arial" w:hAnsi="Arial"/>
          <w:lang w:val="fr-BE"/>
        </w:rPr>
        <w:t>.</w:t>
      </w:r>
    </w:p>
  </w:footnote>
  <w:footnote w:id="104">
    <w:p w14:paraId="7F95D160" w14:textId="13DFBD13" w:rsidR="00EE2BB3" w:rsidRPr="00A90743" w:rsidRDefault="00EE2BB3" w:rsidP="005A432A">
      <w:pPr>
        <w:pStyle w:val="FootnoteText"/>
        <w:spacing w:after="60" w:line="264" w:lineRule="auto"/>
        <w:ind w:left="266" w:hanging="266"/>
        <w:jc w:val="left"/>
        <w:rPr>
          <w:rFonts w:ascii="Arial" w:hAnsi="Arial" w:cs="Arial"/>
          <w:lang w:val="fr-BE"/>
        </w:rPr>
      </w:pPr>
      <w:r>
        <w:rPr>
          <w:rStyle w:val="FootnoteReference"/>
          <w:rFonts w:eastAsiaTheme="majorEastAsia"/>
          <w:sz w:val="20"/>
        </w:rPr>
        <w:footnoteRef/>
      </w:r>
      <w:r w:rsidRPr="00A90743">
        <w:rPr>
          <w:rFonts w:ascii="Arial" w:hAnsi="Arial"/>
          <w:lang w:val="fr-BE"/>
        </w:rPr>
        <w:t xml:space="preserve"> Direktīvas 2. pielikumā ir sniegti piemēri, kas varētu attiekties uz balsošanas procedūrām.</w:t>
      </w:r>
    </w:p>
  </w:footnote>
  <w:footnote w:id="105">
    <w:p w14:paraId="636CB85F" w14:textId="0C83A3BF" w:rsidR="00EE2BB3" w:rsidRPr="00A90743" w:rsidRDefault="00EE2BB3" w:rsidP="005A432A">
      <w:pPr>
        <w:pStyle w:val="FootnoteText"/>
        <w:spacing w:after="60" w:line="264" w:lineRule="auto"/>
        <w:ind w:left="266" w:hanging="266"/>
        <w:jc w:val="left"/>
        <w:rPr>
          <w:rFonts w:ascii="Arial" w:hAnsi="Arial" w:cs="Arial"/>
          <w:lang w:val="fr-BE"/>
        </w:rPr>
      </w:pPr>
      <w:r>
        <w:rPr>
          <w:rStyle w:val="FootnoteReference"/>
          <w:rFonts w:eastAsiaTheme="majorEastAsia"/>
          <w:sz w:val="20"/>
        </w:rPr>
        <w:footnoteRef/>
      </w:r>
      <w:r w:rsidRPr="00A90743">
        <w:rPr>
          <w:rFonts w:ascii="Arial" w:hAnsi="Arial"/>
          <w:lang w:val="fr-BE"/>
        </w:rPr>
        <w:t xml:space="preserve"> </w:t>
      </w:r>
      <w:hyperlink r:id="rId96" w:history="1">
        <w:r w:rsidRPr="00A90743">
          <w:rPr>
            <w:rStyle w:val="Hyperlink"/>
            <w:sz w:val="20"/>
            <w:lang w:val="fr-BE"/>
          </w:rPr>
          <w:t>Eiropas Parlamenta un Padomes Direktīva 2014/24/ES (2014</w:t>
        </w:r>
        <w:r w:rsidR="001F2BA3">
          <w:rPr>
            <w:rStyle w:val="Hyperlink"/>
            <w:sz w:val="20"/>
            <w:lang w:val="fr-BE"/>
          </w:rPr>
          <w:t>. gad</w:t>
        </w:r>
        <w:r w:rsidRPr="00A90743">
          <w:rPr>
            <w:rStyle w:val="Hyperlink"/>
            <w:sz w:val="20"/>
            <w:lang w:val="fr-BE"/>
          </w:rPr>
          <w:t>a 26. februāris) par publisko iepirkumu un ar ko atceļ Direktīvu 2004/18/EK</w:t>
        </w:r>
      </w:hyperlink>
      <w:r w:rsidRPr="00A90743">
        <w:rPr>
          <w:rFonts w:ascii="Arial" w:hAnsi="Arial"/>
          <w:lang w:val="fr-BE"/>
        </w:rPr>
        <w:t xml:space="preserve">. Konsolidētais teksts. </w:t>
      </w:r>
    </w:p>
  </w:footnote>
  <w:footnote w:id="106">
    <w:p w14:paraId="22D00D00" w14:textId="3BFA6A5A" w:rsidR="00EE2BB3" w:rsidRPr="00A90743" w:rsidRDefault="00EE2BB3" w:rsidP="005A432A">
      <w:pPr>
        <w:pStyle w:val="FootnoteText"/>
        <w:spacing w:after="60" w:line="264" w:lineRule="auto"/>
        <w:ind w:left="266" w:hanging="266"/>
        <w:jc w:val="left"/>
        <w:rPr>
          <w:rFonts w:ascii="Arial" w:hAnsi="Arial" w:cs="Arial"/>
          <w:lang w:val="fr-BE"/>
        </w:rPr>
      </w:pPr>
      <w:r>
        <w:rPr>
          <w:rStyle w:val="FootnoteReference"/>
          <w:rFonts w:eastAsiaTheme="majorEastAsia"/>
          <w:sz w:val="20"/>
        </w:rPr>
        <w:footnoteRef/>
      </w:r>
      <w:r w:rsidRPr="00A90743">
        <w:rPr>
          <w:rFonts w:ascii="Arial" w:hAnsi="Arial"/>
          <w:lang w:val="fr-BE"/>
        </w:rPr>
        <w:t xml:space="preserve"> </w:t>
      </w:r>
      <w:hyperlink r:id="rId97" w:history="1">
        <w:r w:rsidRPr="00A90743">
          <w:rPr>
            <w:rStyle w:val="Hyperlink"/>
            <w:sz w:val="20"/>
            <w:lang w:val="fr-BE"/>
          </w:rPr>
          <w:t>Eiropas Parlamenta un Padomes Direktīva 2014/25/ES (2014</w:t>
        </w:r>
        <w:r w:rsidR="001F2BA3">
          <w:rPr>
            <w:rStyle w:val="Hyperlink"/>
            <w:sz w:val="20"/>
            <w:lang w:val="fr-BE"/>
          </w:rPr>
          <w:t>. gad</w:t>
        </w:r>
        <w:r w:rsidRPr="00A90743">
          <w:rPr>
            <w:rStyle w:val="Hyperlink"/>
            <w:sz w:val="20"/>
            <w:lang w:val="fr-BE"/>
          </w:rPr>
          <w:t>a 26. februāris) par iepirkumu, ko īsteno subjekti, kuri darbojas ūdensapgādes, enerģētikas, transporta un pasta pakalpojumu nozarēs, un ar ko atceļ Direktīvu 2004/17/EK</w:t>
        </w:r>
      </w:hyperlink>
      <w:r w:rsidRPr="00A90743">
        <w:rPr>
          <w:rFonts w:ascii="Arial" w:hAnsi="Arial"/>
          <w:lang w:val="fr-BE"/>
        </w:rPr>
        <w:t>. Konsolidētais teksts.</w:t>
      </w:r>
    </w:p>
  </w:footnote>
  <w:footnote w:id="107">
    <w:p w14:paraId="1A5040E1" w14:textId="6B5E458B" w:rsidR="00EE2BB3" w:rsidRPr="00A90743" w:rsidRDefault="00EE2BB3" w:rsidP="005A432A">
      <w:pPr>
        <w:pStyle w:val="FootnoteText"/>
        <w:spacing w:after="60" w:line="264" w:lineRule="auto"/>
        <w:ind w:left="252" w:hanging="252"/>
        <w:jc w:val="left"/>
        <w:rPr>
          <w:rFonts w:ascii="Arial" w:hAnsi="Arial" w:cs="Arial"/>
          <w:lang w:val="fr-BE"/>
        </w:rPr>
      </w:pPr>
      <w:r>
        <w:rPr>
          <w:rStyle w:val="FootnoteReference"/>
          <w:rFonts w:eastAsiaTheme="majorEastAsia"/>
          <w:sz w:val="20"/>
        </w:rPr>
        <w:footnoteRef/>
      </w:r>
      <w:r w:rsidRPr="00A90743">
        <w:rPr>
          <w:rFonts w:ascii="Arial" w:hAnsi="Arial"/>
          <w:lang w:val="fr-BE"/>
        </w:rPr>
        <w:t xml:space="preserve"> </w:t>
      </w:r>
      <w:hyperlink r:id="rId98" w:history="1">
        <w:r w:rsidRPr="00A90743">
          <w:rPr>
            <w:rStyle w:val="Hyperlink"/>
            <w:sz w:val="20"/>
            <w:lang w:val="fr-BE"/>
          </w:rPr>
          <w:t>Eiropas Parlamenta un Padomes Direktīva (ES) 2019/882 (2019</w:t>
        </w:r>
        <w:r w:rsidR="001F2BA3">
          <w:rPr>
            <w:rStyle w:val="Hyperlink"/>
            <w:sz w:val="20"/>
            <w:lang w:val="fr-BE"/>
          </w:rPr>
          <w:t>. gad</w:t>
        </w:r>
        <w:r w:rsidRPr="00A90743">
          <w:rPr>
            <w:rStyle w:val="Hyperlink"/>
            <w:sz w:val="20"/>
            <w:lang w:val="fr-BE"/>
          </w:rPr>
          <w:t>a 17. aprīlis) par produktu un pakalpojumu piekļūstamības prasībām</w:t>
        </w:r>
      </w:hyperlink>
      <w:r w:rsidRPr="00A90743">
        <w:rPr>
          <w:rFonts w:ascii="Arial" w:hAnsi="Arial"/>
          <w:lang w:val="fr-BE"/>
        </w:rPr>
        <w:t>.</w:t>
      </w:r>
    </w:p>
  </w:footnote>
  <w:footnote w:id="108">
    <w:p w14:paraId="1D157BBD" w14:textId="77777777" w:rsidR="00EE2BB3" w:rsidRPr="00A90743" w:rsidRDefault="00EE2BB3" w:rsidP="005A432A">
      <w:pPr>
        <w:pStyle w:val="FootnoteText"/>
        <w:spacing w:after="60" w:line="264" w:lineRule="auto"/>
        <w:ind w:left="252" w:hanging="252"/>
        <w:jc w:val="left"/>
        <w:rPr>
          <w:rFonts w:ascii="Arial" w:hAnsi="Arial" w:cs="Arial"/>
          <w:color w:val="002060"/>
          <w:lang w:val="fr-BE"/>
        </w:rPr>
      </w:pPr>
      <w:r>
        <w:rPr>
          <w:rStyle w:val="FootnoteReference"/>
          <w:rFonts w:eastAsiaTheme="majorEastAsia"/>
          <w:sz w:val="20"/>
        </w:rPr>
        <w:footnoteRef/>
      </w:r>
      <w:r w:rsidRPr="00A90743">
        <w:rPr>
          <w:rFonts w:ascii="Arial" w:hAnsi="Arial"/>
          <w:lang w:val="fr-BE"/>
        </w:rPr>
        <w:t xml:space="preserve"> Šie piekļūstamības principi ir pārvērsti pārbaudāmos iznākumu kritērijos, piemēram, tādos, kas ir pamatā Eiropas standartam EN 301 549 V3.2.1 (2021-03) “Eiropā piemērotas piekļūstamības prasības IKT produktu un pakalpojumu publiskajam iepirkumam”. Tas nodrošina vienotu metodiku, lai pārbaudītu tīmekļvietņu un mobilo lietotņu satura atbilstību šiem principiem. Šis Eiropas standarts tika pieņemts, pamatojoties uz pilnvarojumu M/554, ko Komisija izsniedza Eiropas standartizācijas organizācijām.</w:t>
      </w:r>
    </w:p>
  </w:footnote>
  <w:footnote w:id="109">
    <w:p w14:paraId="442B6F29" w14:textId="57BA5101" w:rsidR="00EE2BB3" w:rsidRPr="00A90743" w:rsidRDefault="00EE2BB3" w:rsidP="005A432A">
      <w:pPr>
        <w:pStyle w:val="FootnoteText"/>
        <w:spacing w:after="60" w:line="264" w:lineRule="auto"/>
        <w:ind w:left="252" w:hanging="252"/>
        <w:jc w:val="left"/>
        <w:rPr>
          <w:rFonts w:ascii="Arial" w:hAnsi="Arial" w:cs="Arial"/>
          <w:lang w:val="fr-BE"/>
        </w:rPr>
      </w:pPr>
      <w:r>
        <w:rPr>
          <w:rStyle w:val="FootnoteReference"/>
          <w:sz w:val="20"/>
        </w:rPr>
        <w:footnoteRef/>
      </w:r>
      <w:r w:rsidRPr="00A90743">
        <w:rPr>
          <w:rFonts w:ascii="Arial" w:hAnsi="Arial"/>
          <w:lang w:val="fr-BE"/>
        </w:rPr>
        <w:t xml:space="preserve"> Komisijas Īstenošanas lēmums (ES) 2018/1523 (2018</w:t>
      </w:r>
      <w:r w:rsidR="001F2BA3">
        <w:rPr>
          <w:rFonts w:ascii="Arial" w:hAnsi="Arial"/>
          <w:lang w:val="fr-BE"/>
        </w:rPr>
        <w:t>. gad</w:t>
      </w:r>
      <w:r w:rsidRPr="00A90743">
        <w:rPr>
          <w:rFonts w:ascii="Arial" w:hAnsi="Arial"/>
          <w:lang w:val="fr-BE"/>
        </w:rPr>
        <w:t>a 11. oktobris), ar ko izveido piekļūstamības paziņojuma paraugu saskaņā ar Eiropas Parlamenta un Padomes Direktīvu (ES) 2016/2102 par publiskā sektora struktūru tīmekļvietņu un mobilo lietotņu piekļūstamību (OV L 256, 12.10.2018., 103.–107. lpp.).</w:t>
      </w:r>
    </w:p>
  </w:footnote>
  <w:footnote w:id="110">
    <w:p w14:paraId="73731CC7" w14:textId="3D037D1F" w:rsidR="00EE2BB3" w:rsidRPr="00A90743" w:rsidRDefault="00EE2BB3" w:rsidP="005A432A">
      <w:pPr>
        <w:pStyle w:val="FootnoteText"/>
        <w:spacing w:after="60" w:line="264" w:lineRule="auto"/>
        <w:ind w:left="252" w:hanging="252"/>
        <w:jc w:val="left"/>
        <w:rPr>
          <w:rFonts w:ascii="Arial" w:hAnsi="Arial" w:cs="Arial"/>
          <w:lang w:val="fr-BE"/>
        </w:rPr>
      </w:pPr>
      <w:r>
        <w:rPr>
          <w:rStyle w:val="FootnoteReference"/>
          <w:sz w:val="20"/>
        </w:rPr>
        <w:footnoteRef/>
      </w:r>
      <w:r w:rsidRPr="00A90743">
        <w:rPr>
          <w:rFonts w:ascii="Arial" w:hAnsi="Arial"/>
          <w:lang w:val="fr-BE"/>
        </w:rPr>
        <w:t xml:space="preserve"> </w:t>
      </w:r>
      <w:hyperlink r:id="rId99" w:history="1">
        <w:r w:rsidRPr="00A90743">
          <w:rPr>
            <w:rStyle w:val="Hyperlink"/>
            <w:sz w:val="20"/>
            <w:lang w:val="fr-BE"/>
          </w:rPr>
          <w:t>Eiropas Parlamenta un Padomes Direktīva 2010/13/ES (2010</w:t>
        </w:r>
        <w:r w:rsidR="001F2BA3">
          <w:rPr>
            <w:rStyle w:val="Hyperlink"/>
            <w:sz w:val="20"/>
            <w:lang w:val="fr-BE"/>
          </w:rPr>
          <w:t>. gad</w:t>
        </w:r>
        <w:r w:rsidRPr="00A90743">
          <w:rPr>
            <w:rStyle w:val="Hyperlink"/>
            <w:sz w:val="20"/>
            <w:lang w:val="fr-BE"/>
          </w:rPr>
          <w:t>a 10. marts), par to, lai koordinētu dažus dalībvalstu normatīvajos un administratīvajos aktos paredzētus noteikumus par audiovizuālo mediju pakalpojumu sniegšanu (Audiovizuālo mediju pakalpojumu direktīva)</w:t>
        </w:r>
      </w:hyperlink>
      <w:r w:rsidRPr="00A90743">
        <w:rPr>
          <w:rFonts w:ascii="Arial" w:hAnsi="Arial"/>
          <w:lang w:val="fr-BE"/>
        </w:rPr>
        <w:t xml:space="preserve"> (kodificētā versija). Konsolidētais teksts</w:t>
      </w:r>
    </w:p>
  </w:footnote>
  <w:footnote w:id="111">
    <w:p w14:paraId="43335315" w14:textId="4764A376" w:rsidR="00EE2BB3" w:rsidRPr="00A90743" w:rsidRDefault="00EE2BB3" w:rsidP="0034629E">
      <w:pPr>
        <w:pStyle w:val="pf0"/>
        <w:spacing w:before="0" w:beforeAutospacing="0" w:after="60" w:afterAutospacing="0" w:line="264" w:lineRule="auto"/>
        <w:ind w:left="284" w:hanging="284"/>
        <w:rPr>
          <w:rFonts w:ascii="Arial" w:hAnsi="Arial" w:cs="Arial"/>
          <w:sz w:val="20"/>
          <w:lang w:val="fr-BE"/>
        </w:rPr>
      </w:pPr>
      <w:r>
        <w:rPr>
          <w:rStyle w:val="FootnoteReference"/>
          <w:sz w:val="20"/>
        </w:rPr>
        <w:footnoteRef/>
      </w:r>
      <w:r w:rsidRPr="00A90743">
        <w:rPr>
          <w:rFonts w:ascii="Arial" w:hAnsi="Arial"/>
          <w:sz w:val="20"/>
          <w:lang w:val="fr-BE"/>
        </w:rPr>
        <w:t xml:space="preserve"> </w:t>
      </w:r>
      <w:hyperlink r:id="rId100" w:history="1">
        <w:r w:rsidRPr="00A90743">
          <w:rPr>
            <w:rStyle w:val="Hyperlink"/>
            <w:sz w:val="20"/>
            <w:lang w:val="fr-BE"/>
          </w:rPr>
          <w:t>Tīmekļa piekļūstamības direktīva:</w:t>
        </w:r>
      </w:hyperlink>
      <w:hyperlink r:id="rId101" w:history="1">
        <w:r w:rsidRPr="00A90743">
          <w:rPr>
            <w:rStyle w:val="Hyperlink"/>
            <w:sz w:val="20"/>
            <w:lang w:val="fr-BE"/>
          </w:rPr>
          <w:t xml:space="preserve"> standarti un harmonizācija.</w:t>
        </w:r>
      </w:hyperlink>
      <w:r w:rsidRPr="00A90743">
        <w:rPr>
          <w:rStyle w:val="FootnoteReference"/>
          <w:sz w:val="20"/>
          <w:lang w:val="fr-BE"/>
        </w:rPr>
        <w:t xml:space="preserve"> </w:t>
      </w:r>
      <w:r w:rsidRPr="00A90743">
        <w:rPr>
          <w:rStyle w:val="cf01"/>
          <w:rFonts w:ascii="Arial" w:hAnsi="Arial"/>
          <w:sz w:val="20"/>
          <w:lang w:val="fr-BE"/>
        </w:rPr>
        <w:t>Šis standarts pašlaik tiek pārskatīts pēc tam, kad Komisija ir pieņēmusi standartizācijas pilnvarojumu M/587 (</w:t>
      </w:r>
      <w:r w:rsidRPr="00A90743">
        <w:rPr>
          <w:rStyle w:val="cf11"/>
          <w:rFonts w:ascii="Arial" w:hAnsi="Arial"/>
          <w:sz w:val="20"/>
          <w:lang w:val="fr-BE"/>
        </w:rPr>
        <w:t>KOMISIJAS ĪSTENOŠANAS LĒMUMS (2022</w:t>
      </w:r>
      <w:r w:rsidR="001F2BA3">
        <w:rPr>
          <w:rStyle w:val="cf11"/>
          <w:rFonts w:ascii="Arial" w:hAnsi="Arial"/>
          <w:sz w:val="20"/>
          <w:lang w:val="fr-BE"/>
        </w:rPr>
        <w:t>. gad</w:t>
      </w:r>
      <w:r w:rsidRPr="00A90743">
        <w:rPr>
          <w:rStyle w:val="cf11"/>
          <w:rFonts w:ascii="Arial" w:hAnsi="Arial"/>
          <w:sz w:val="20"/>
          <w:lang w:val="fr-BE"/>
        </w:rPr>
        <w:t xml:space="preserve">a 14. septembris) par standartizācijas pieprasījumu Eiropas standartizācijas organizācijām attiecībā uz produktu un pakalpojumu piekļūstamības prasībām, lai atbalstītu Eiropas Parlamenta un Padomes Direktīvu (ES) 2019/882); skatīt </w:t>
      </w:r>
      <w:hyperlink r:id="rId102" w:history="1">
        <w:r w:rsidRPr="00A90743">
          <w:rPr>
            <w:rStyle w:val="cf11"/>
            <w:rFonts w:ascii="Arial" w:hAnsi="Arial"/>
            <w:color w:val="0000FF"/>
            <w:sz w:val="20"/>
            <w:u w:val="single"/>
            <w:lang w:val="fr-BE"/>
          </w:rPr>
          <w:t>eNorm Platformu (europa.eu)</w:t>
        </w:r>
      </w:hyperlink>
      <w:r w:rsidRPr="00A90743">
        <w:rPr>
          <w:rStyle w:val="cf01"/>
          <w:rFonts w:ascii="Arial" w:hAnsi="Arial"/>
          <w:sz w:val="20"/>
          <w:lang w:val="fr-BE"/>
        </w:rPr>
        <w:t>), kuras mērķis ir atbalstīt Eiropas Piekļūstamības akta īstenošanu. Pārskatīto standartu pieņemšanas termiņš ir 2025</w:t>
      </w:r>
      <w:r w:rsidR="001F2BA3">
        <w:rPr>
          <w:rStyle w:val="cf01"/>
          <w:rFonts w:ascii="Arial" w:hAnsi="Arial"/>
          <w:sz w:val="20"/>
          <w:lang w:val="fr-BE"/>
        </w:rPr>
        <w:t>. gad</w:t>
      </w:r>
      <w:r w:rsidRPr="00A90743">
        <w:rPr>
          <w:rStyle w:val="cf01"/>
          <w:rFonts w:ascii="Arial" w:hAnsi="Arial"/>
          <w:sz w:val="20"/>
          <w:lang w:val="fr-BE"/>
        </w:rPr>
        <w:t>a 15. septembris.</w:t>
      </w:r>
    </w:p>
  </w:footnote>
  <w:footnote w:id="112">
    <w:p w14:paraId="03A8DE0C" w14:textId="43B88CF0" w:rsidR="00EE2BB3" w:rsidRPr="00A90743" w:rsidRDefault="00EE2BB3" w:rsidP="0034629E">
      <w:pPr>
        <w:pStyle w:val="FootnoteText"/>
        <w:spacing w:after="60" w:line="264" w:lineRule="auto"/>
        <w:ind w:left="284" w:hanging="284"/>
        <w:jc w:val="left"/>
        <w:rPr>
          <w:rFonts w:ascii="Arial" w:hAnsi="Arial" w:cs="Arial"/>
          <w:lang w:val="fr-BE"/>
        </w:rPr>
      </w:pPr>
      <w:r>
        <w:rPr>
          <w:rStyle w:val="FootnoteReference"/>
          <w:sz w:val="20"/>
        </w:rPr>
        <w:footnoteRef/>
      </w:r>
      <w:r w:rsidRPr="00A90743">
        <w:rPr>
          <w:rFonts w:ascii="Arial" w:hAnsi="Arial"/>
          <w:lang w:val="fr-BE"/>
        </w:rPr>
        <w:t xml:space="preserve"> </w:t>
      </w:r>
      <w:hyperlink r:id="rId103" w:history="1">
        <w:r w:rsidRPr="00A90743">
          <w:rPr>
            <w:rStyle w:val="Hyperlink"/>
            <w:sz w:val="20"/>
            <w:lang w:val="fr-BE"/>
          </w:rPr>
          <w:t>Tīmekļa piekļūstamības direktīva:</w:t>
        </w:r>
      </w:hyperlink>
      <w:hyperlink r:id="rId104" w:history="1">
        <w:r w:rsidRPr="00A90743">
          <w:rPr>
            <w:rStyle w:val="Hyperlink"/>
            <w:sz w:val="20"/>
            <w:lang w:val="fr-BE"/>
          </w:rPr>
          <w:t xml:space="preserve"> standarti un harmonizācija</w:t>
        </w:r>
      </w:hyperlink>
      <w:r w:rsidRPr="00A90743">
        <w:rPr>
          <w:lang w:val="fr-BE"/>
        </w:rPr>
        <w:t>.</w:t>
      </w:r>
      <w:r w:rsidRPr="00A90743">
        <w:rPr>
          <w:rFonts w:ascii="Arial" w:hAnsi="Arial"/>
          <w:lang w:val="fr-BE"/>
        </w:rPr>
        <w:t xml:space="preserve"> </w:t>
      </w:r>
      <w:r w:rsidRPr="00A90743">
        <w:rPr>
          <w:rStyle w:val="cf01"/>
          <w:rFonts w:ascii="Arial" w:hAnsi="Arial"/>
          <w:sz w:val="20"/>
          <w:lang w:val="fr-BE"/>
        </w:rPr>
        <w:t>Šis standarts pašlaik tiek pārskatīts pēc tam, kad Komisija ir pieņēmusi standartizācijas pilnvarojumu M/587 (</w:t>
      </w:r>
      <w:r w:rsidRPr="00A90743">
        <w:rPr>
          <w:rStyle w:val="cf11"/>
          <w:rFonts w:ascii="Arial" w:hAnsi="Arial"/>
          <w:sz w:val="20"/>
          <w:lang w:val="fr-BE"/>
        </w:rPr>
        <w:t>KOMISIJAS ĪSTENOŠANAS LĒMUMS (2022</w:t>
      </w:r>
      <w:r w:rsidR="001F2BA3">
        <w:rPr>
          <w:rStyle w:val="cf11"/>
          <w:rFonts w:ascii="Arial" w:hAnsi="Arial"/>
          <w:sz w:val="20"/>
          <w:lang w:val="fr-BE"/>
        </w:rPr>
        <w:t>. gad</w:t>
      </w:r>
      <w:r w:rsidRPr="00A90743">
        <w:rPr>
          <w:rStyle w:val="cf11"/>
          <w:rFonts w:ascii="Arial" w:hAnsi="Arial"/>
          <w:sz w:val="20"/>
          <w:lang w:val="fr-BE"/>
        </w:rPr>
        <w:t xml:space="preserve">a 14. septembris) </w:t>
      </w:r>
      <w:hyperlink r:id="rId105" w:history="1">
        <w:r w:rsidRPr="00A90743">
          <w:rPr>
            <w:rStyle w:val="Hyperlink"/>
            <w:sz w:val="20"/>
            <w:lang w:val="fr-BE"/>
          </w:rPr>
          <w:t>par standartizācijas pieprasījumu Eiropas standartizācijas organizācijām attiecībā uz produktu un pakalpojumu piekļūstamības prasībām, lai atbalstītu Eiropas Parlamenta un Padomes Direktīvu (ES) 2019/882)</w:t>
        </w:r>
      </w:hyperlink>
      <w:r w:rsidRPr="00A90743">
        <w:rPr>
          <w:rStyle w:val="cf01"/>
          <w:rFonts w:ascii="Arial" w:hAnsi="Arial"/>
          <w:sz w:val="20"/>
          <w:lang w:val="fr-BE"/>
        </w:rPr>
        <w:t xml:space="preserve"> ar mērķi atbalstīt Eiropas Piekļūstamības akta īstenošanu. Pārskatīto standartu pieņemšanas termiņš ir 2025</w:t>
      </w:r>
      <w:r w:rsidR="001F2BA3">
        <w:rPr>
          <w:rStyle w:val="cf01"/>
          <w:rFonts w:ascii="Arial" w:hAnsi="Arial"/>
          <w:sz w:val="20"/>
          <w:lang w:val="fr-BE"/>
        </w:rPr>
        <w:t>. gad</w:t>
      </w:r>
      <w:r w:rsidRPr="00A90743">
        <w:rPr>
          <w:rStyle w:val="cf01"/>
          <w:rFonts w:ascii="Arial" w:hAnsi="Arial"/>
          <w:sz w:val="20"/>
          <w:lang w:val="fr-BE"/>
        </w:rPr>
        <w:t>a 15. septembris.</w:t>
      </w:r>
    </w:p>
  </w:footnote>
  <w:footnote w:id="113">
    <w:p w14:paraId="00FCD086" w14:textId="4F02D6D3" w:rsidR="00EE2BB3" w:rsidRPr="00A90743" w:rsidRDefault="00EE2BB3" w:rsidP="0034629E">
      <w:pPr>
        <w:pStyle w:val="FootnoteText"/>
        <w:spacing w:after="60" w:line="264" w:lineRule="auto"/>
        <w:jc w:val="left"/>
        <w:rPr>
          <w:rFonts w:ascii="Arial" w:hAnsi="Arial" w:cs="Arial"/>
          <w:color w:val="002060"/>
          <w:lang w:val="fr-BE"/>
        </w:rPr>
      </w:pPr>
      <w:r>
        <w:rPr>
          <w:rStyle w:val="FootnoteReference"/>
          <w:sz w:val="20"/>
        </w:rPr>
        <w:footnoteRef/>
      </w:r>
      <w:r w:rsidRPr="00A90743">
        <w:rPr>
          <w:rFonts w:ascii="Arial" w:hAnsi="Arial"/>
          <w:lang w:val="fr-BE"/>
        </w:rPr>
        <w:t xml:space="preserve"> </w:t>
      </w:r>
      <w:hyperlink r:id="rId106" w:history="1">
        <w:r w:rsidRPr="00A90743">
          <w:rPr>
            <w:rStyle w:val="Hyperlink"/>
            <w:sz w:val="20"/>
            <w:lang w:val="fr-BE"/>
          </w:rPr>
          <w:t>EN 17210:2021 veicina pieejamu un izmantojamu apbūvētu vidi</w:t>
        </w:r>
      </w:hyperlink>
      <w:r w:rsidRPr="00A90743">
        <w:rPr>
          <w:rStyle w:val="cf01"/>
          <w:rFonts w:ascii="Arial" w:hAnsi="Arial"/>
          <w:sz w:val="20"/>
          <w:lang w:val="fr-BE"/>
        </w:rPr>
        <w:t>.</w:t>
      </w:r>
    </w:p>
  </w:footnote>
  <w:footnote w:id="114">
    <w:p w14:paraId="0C571F2B" w14:textId="7A18E251" w:rsidR="00EE2BB3" w:rsidRPr="00A90743" w:rsidRDefault="00EE2BB3" w:rsidP="002D36F0">
      <w:pPr>
        <w:pStyle w:val="FootnoteText"/>
        <w:spacing w:after="60" w:line="264" w:lineRule="auto"/>
        <w:ind w:left="280" w:hanging="280"/>
        <w:jc w:val="left"/>
        <w:rPr>
          <w:rFonts w:ascii="Arial" w:hAnsi="Arial" w:cs="Arial"/>
          <w:lang w:val="fr-BE"/>
        </w:rPr>
      </w:pPr>
      <w:r>
        <w:rPr>
          <w:rStyle w:val="FootnoteReference"/>
          <w:sz w:val="20"/>
        </w:rPr>
        <w:footnoteRef/>
      </w:r>
      <w:r w:rsidRPr="00A90743">
        <w:rPr>
          <w:rFonts w:ascii="Arial" w:hAnsi="Arial"/>
          <w:lang w:val="fr-BE"/>
        </w:rPr>
        <w:t xml:space="preserve"> Tabula tika sagatavota kopā ar dalībvalstīm, un tajā ir iekļauta labākā informācija, kas pieejama publicēšanas brīdī.  </w:t>
      </w:r>
    </w:p>
  </w:footnote>
  <w:footnote w:id="115">
    <w:p w14:paraId="388967D5" w14:textId="77777777" w:rsidR="00EE2BB3" w:rsidRPr="00A90743" w:rsidRDefault="00EE2BB3" w:rsidP="002D36F0">
      <w:pPr>
        <w:pStyle w:val="FootnoteText"/>
        <w:spacing w:after="60" w:line="264" w:lineRule="auto"/>
        <w:ind w:left="280" w:hanging="280"/>
        <w:jc w:val="left"/>
        <w:rPr>
          <w:rFonts w:ascii="Arial" w:hAnsi="Arial" w:cs="Arial"/>
          <w:lang w:val="fr-BE"/>
        </w:rPr>
      </w:pPr>
      <w:r>
        <w:rPr>
          <w:rStyle w:val="FootnoteReference"/>
          <w:sz w:val="20"/>
        </w:rPr>
        <w:footnoteRef/>
      </w:r>
      <w:r w:rsidRPr="00A90743">
        <w:rPr>
          <w:rFonts w:ascii="Arial" w:hAnsi="Arial"/>
          <w:lang w:val="fr-BE"/>
        </w:rPr>
        <w:t xml:space="preserve"> Prasība nodrošināt veidnes, kas pazīstamas arī kā taustes trafareti.</w:t>
      </w:r>
    </w:p>
  </w:footnote>
  <w:footnote w:id="116">
    <w:p w14:paraId="7B79D08E" w14:textId="77777777" w:rsidR="00EE2BB3" w:rsidRPr="00A90743" w:rsidRDefault="00EE2BB3" w:rsidP="002D36F0">
      <w:pPr>
        <w:pStyle w:val="FootnoteText"/>
        <w:spacing w:after="60" w:line="264" w:lineRule="auto"/>
        <w:ind w:left="280" w:hanging="280"/>
        <w:jc w:val="left"/>
        <w:rPr>
          <w:rFonts w:ascii="Arial" w:hAnsi="Arial" w:cs="Arial"/>
          <w:lang w:val="fr-BE"/>
        </w:rPr>
      </w:pPr>
      <w:r>
        <w:rPr>
          <w:rStyle w:val="FootnoteReference"/>
          <w:sz w:val="20"/>
        </w:rPr>
        <w:footnoteRef/>
      </w:r>
      <w:r w:rsidRPr="00A90743">
        <w:rPr>
          <w:rFonts w:ascii="Arial" w:hAnsi="Arial"/>
          <w:lang w:val="fr-BE"/>
        </w:rPr>
        <w:t xml:space="preserve"> Prasība nodrošināt vēlētājiem lupas.</w:t>
      </w:r>
    </w:p>
  </w:footnote>
  <w:footnote w:id="117">
    <w:p w14:paraId="0CD4F622" w14:textId="77777777" w:rsidR="00EE2BB3" w:rsidRPr="00A90743" w:rsidRDefault="00EE2BB3" w:rsidP="002D36F0">
      <w:pPr>
        <w:pStyle w:val="FootnoteText"/>
        <w:spacing w:after="60" w:line="264" w:lineRule="auto"/>
        <w:ind w:left="280" w:hanging="280"/>
        <w:jc w:val="left"/>
        <w:rPr>
          <w:rFonts w:ascii="Arial" w:hAnsi="Arial" w:cs="Arial"/>
          <w:lang w:val="fr-BE"/>
        </w:rPr>
      </w:pPr>
      <w:r>
        <w:rPr>
          <w:rStyle w:val="FootnoteReference"/>
          <w:sz w:val="20"/>
        </w:rPr>
        <w:footnoteRef/>
      </w:r>
      <w:r w:rsidRPr="00A90743">
        <w:rPr>
          <w:rFonts w:ascii="Arial" w:hAnsi="Arial"/>
          <w:lang w:val="fr-BE"/>
        </w:rPr>
        <w:t xml:space="preserve"> Prasība nodrošināt pienācīgu apgaismojumu vēlēšanu kabīnē.</w:t>
      </w:r>
    </w:p>
  </w:footnote>
  <w:footnote w:id="118">
    <w:p w14:paraId="63D89462" w14:textId="77777777" w:rsidR="00EE2BB3" w:rsidRPr="00A90743" w:rsidRDefault="00EE2BB3" w:rsidP="002D36F0">
      <w:pPr>
        <w:pStyle w:val="FootnoteText"/>
        <w:spacing w:after="60" w:line="264" w:lineRule="auto"/>
        <w:ind w:left="280" w:hanging="280"/>
        <w:jc w:val="left"/>
        <w:rPr>
          <w:rFonts w:ascii="Arial" w:hAnsi="Arial" w:cs="Arial"/>
          <w:lang w:val="fr-BE"/>
        </w:rPr>
      </w:pPr>
      <w:r>
        <w:rPr>
          <w:rStyle w:val="FootnoteReference"/>
          <w:sz w:val="20"/>
        </w:rPr>
        <w:footnoteRef/>
      </w:r>
      <w:r w:rsidRPr="00A90743">
        <w:rPr>
          <w:rFonts w:ascii="Arial" w:hAnsi="Arial"/>
          <w:lang w:val="fr-BE"/>
        </w:rPr>
        <w:t xml:space="preserve"> Prasība nodrošināt, lai vēlēšanu iecirknī būtu piekļuve audioinformācijai par kandidātiem, izmantojot personīgo ierīci vai palīgierīci, ko nodrošina vēlēšanu amatpersonas.</w:t>
      </w:r>
    </w:p>
  </w:footnote>
  <w:footnote w:id="119">
    <w:p w14:paraId="4DFA2F3B" w14:textId="77777777" w:rsidR="00EE2BB3" w:rsidRPr="00A90743" w:rsidRDefault="00EE2BB3" w:rsidP="002D36F0">
      <w:pPr>
        <w:pStyle w:val="FootnoteText"/>
        <w:spacing w:after="60" w:line="264" w:lineRule="auto"/>
        <w:ind w:left="280" w:hanging="280"/>
        <w:jc w:val="left"/>
        <w:rPr>
          <w:rFonts w:ascii="Arial" w:hAnsi="Arial" w:cs="Arial"/>
          <w:lang w:val="fr-BE"/>
        </w:rPr>
      </w:pPr>
      <w:r>
        <w:rPr>
          <w:rStyle w:val="FootnoteReference"/>
          <w:sz w:val="20"/>
        </w:rPr>
        <w:footnoteRef/>
      </w:r>
      <w:r w:rsidRPr="00A90743">
        <w:rPr>
          <w:rFonts w:ascii="Arial" w:hAnsi="Arial"/>
          <w:lang w:val="fr-BE"/>
        </w:rPr>
        <w:t xml:space="preserve"> Prasība vēlēšanu iecirknī nodrošināt vēlēšanu zīmes vai kandidātu saraksta lielizmēra izdruku.</w:t>
      </w:r>
    </w:p>
  </w:footnote>
  <w:footnote w:id="120">
    <w:p w14:paraId="62F6A374" w14:textId="77777777" w:rsidR="00EE2BB3" w:rsidRPr="00A90743" w:rsidRDefault="00EE2BB3" w:rsidP="002D36F0">
      <w:pPr>
        <w:pStyle w:val="FootnoteText"/>
        <w:spacing w:after="60" w:line="264" w:lineRule="auto"/>
        <w:ind w:left="280" w:hanging="280"/>
        <w:jc w:val="left"/>
        <w:rPr>
          <w:rFonts w:ascii="Arial" w:hAnsi="Arial" w:cs="Arial"/>
          <w:lang w:val="fr-BE"/>
        </w:rPr>
      </w:pPr>
      <w:r>
        <w:rPr>
          <w:rStyle w:val="FootnoteReference"/>
          <w:sz w:val="20"/>
        </w:rPr>
        <w:footnoteRef/>
      </w:r>
      <w:r w:rsidRPr="00A90743">
        <w:rPr>
          <w:rFonts w:ascii="Arial" w:hAnsi="Arial"/>
          <w:lang w:val="fr-BE"/>
        </w:rPr>
        <w:t xml:space="preserve"> Prasība nodrošināt, lai vēlēšanu zīmēs būtu iekļauta arī informācija Braila rakstā.</w:t>
      </w:r>
    </w:p>
  </w:footnote>
  <w:footnote w:id="121">
    <w:p w14:paraId="3736234F" w14:textId="77777777" w:rsidR="00EE2BB3" w:rsidRPr="00A90743" w:rsidRDefault="00EE2BB3" w:rsidP="002D36F0">
      <w:pPr>
        <w:pStyle w:val="FootnoteText"/>
        <w:spacing w:after="60" w:line="264" w:lineRule="auto"/>
        <w:ind w:left="280" w:hanging="280"/>
        <w:jc w:val="left"/>
        <w:rPr>
          <w:rFonts w:ascii="Arial" w:hAnsi="Arial" w:cs="Arial"/>
          <w:lang w:val="fr-BE"/>
        </w:rPr>
      </w:pPr>
      <w:r>
        <w:rPr>
          <w:rStyle w:val="FootnoteReference"/>
          <w:sz w:val="20"/>
        </w:rPr>
        <w:footnoteRef/>
      </w:r>
      <w:r w:rsidRPr="00A90743">
        <w:rPr>
          <w:rFonts w:ascii="Arial" w:hAnsi="Arial"/>
          <w:lang w:val="fr-BE"/>
        </w:rPr>
        <w:t xml:space="preserve"> Prasība nodrošināt, lai vēlēšanu kabīnes atbilstu piekļūstamības standartiem.</w:t>
      </w:r>
    </w:p>
  </w:footnote>
  <w:footnote w:id="122">
    <w:p w14:paraId="7464538C" w14:textId="77777777" w:rsidR="00EE2BB3" w:rsidRPr="00A90743" w:rsidRDefault="00EE2BB3" w:rsidP="002D36F0">
      <w:pPr>
        <w:pStyle w:val="FootnoteText"/>
        <w:spacing w:after="60" w:line="264" w:lineRule="auto"/>
        <w:ind w:left="280" w:hanging="280"/>
        <w:jc w:val="left"/>
        <w:rPr>
          <w:rFonts w:ascii="Arial" w:hAnsi="Arial" w:cs="Arial"/>
          <w:b/>
          <w:lang w:val="fr-BE"/>
        </w:rPr>
      </w:pPr>
      <w:r>
        <w:rPr>
          <w:rStyle w:val="FootnoteReference"/>
          <w:sz w:val="20"/>
        </w:rPr>
        <w:footnoteRef/>
      </w:r>
      <w:r w:rsidRPr="00A90743">
        <w:rPr>
          <w:rFonts w:ascii="Arial" w:hAnsi="Arial"/>
          <w:lang w:val="fr-BE"/>
        </w:rPr>
        <w:t xml:space="preserve"> Prasība nodrošināt  vēlēšanu kastu piekļūstamību.</w:t>
      </w:r>
    </w:p>
  </w:footnote>
  <w:footnote w:id="123">
    <w:p w14:paraId="19F00BE7" w14:textId="77777777" w:rsidR="00C93552" w:rsidRPr="00A90743" w:rsidRDefault="00C93552"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Daudzos vēlēšanu iecirkņos ir pieejamas lupas, kā to noteikušas vietējās iestādes.</w:t>
      </w:r>
    </w:p>
  </w:footnote>
  <w:footnote w:id="124">
    <w:p w14:paraId="66CF7CEB" w14:textId="2B6C2EE5" w:rsidR="00C93552" w:rsidRPr="00A90743" w:rsidRDefault="00C93552"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Vēlētāji var iepriekš pasūtīt lielāko politisko partiju vēlēšanu zīmes Braila rakstā.</w:t>
      </w:r>
    </w:p>
  </w:footnote>
  <w:footnote w:id="125">
    <w:p w14:paraId="1C3D3C71" w14:textId="27AF2940" w:rsidR="00EE2BB3" w:rsidRPr="00A90743"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A90743">
        <w:rPr>
          <w:rFonts w:ascii="Arial" w:hAnsi="Arial"/>
          <w:lang w:val="fr-BE"/>
        </w:rPr>
        <w:t xml:space="preserve"> Tabula tika sagatavota kopā ar dalībvalstīm, un tajā ir iekļauta labākā informācija, kas pieejama publicēšanas brīdī.  </w:t>
      </w:r>
    </w:p>
  </w:footnote>
  <w:footnote w:id="126">
    <w:p w14:paraId="35BA7CC2" w14:textId="77777777" w:rsidR="00EE2BB3" w:rsidRPr="00A90743"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A90743">
        <w:rPr>
          <w:rFonts w:ascii="Arial" w:hAnsi="Arial"/>
          <w:lang w:val="fr-BE"/>
        </w:rPr>
        <w:t xml:space="preserve"> Balsošana no mājām, slimnīcām vai ilgtermiņa aprūpes iestādēm.</w:t>
      </w:r>
    </w:p>
  </w:footnote>
  <w:footnote w:id="127">
    <w:p w14:paraId="33841BDD" w14:textId="77777777" w:rsidR="00EE2BB3" w:rsidRPr="00A90743"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A90743">
        <w:rPr>
          <w:rFonts w:ascii="Arial" w:hAnsi="Arial"/>
          <w:lang w:val="fr-BE"/>
        </w:rPr>
        <w:t xml:space="preserve"> Balsošana vēlēšanu iecirkņa tiešā tuvumā</w:t>
      </w:r>
    </w:p>
  </w:footnote>
  <w:footnote w:id="128">
    <w:p w14:paraId="16AF3E9A" w14:textId="77777777" w:rsidR="00EE2BB3" w:rsidRPr="00A90743"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A90743">
        <w:rPr>
          <w:rFonts w:ascii="Arial" w:hAnsi="Arial"/>
          <w:lang w:val="fr-BE"/>
        </w:rPr>
        <w:t xml:space="preserve"> Iespēja doties uz pieejamu vēlēšanu iecirkni, ja vēlēšanu iecirknis, uz kuru vēlētājs ir norīkots, nav pieejams.</w:t>
      </w:r>
    </w:p>
  </w:footnote>
  <w:footnote w:id="129">
    <w:p w14:paraId="1A2C5343" w14:textId="77777777" w:rsidR="00EE2BB3" w:rsidRPr="00A90743"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A90743">
        <w:rPr>
          <w:rFonts w:ascii="Arial" w:hAnsi="Arial"/>
          <w:lang w:val="fr-BE"/>
        </w:rPr>
        <w:t xml:space="preserve"> Iepriekšēja balsošana personām, kuras vēlēšanu dienā nevar ierasties vēlēšanu iecirknī.</w:t>
      </w:r>
    </w:p>
  </w:footnote>
  <w:footnote w:id="130">
    <w:p w14:paraId="3E991CE2" w14:textId="77777777" w:rsidR="00EE2BB3" w:rsidRPr="00A90743"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A90743">
        <w:rPr>
          <w:rFonts w:ascii="Arial" w:hAnsi="Arial"/>
          <w:lang w:val="fr-BE"/>
        </w:rPr>
        <w:t xml:space="preserve"> Attiecas tikai uz balsošanu pa pastu valstī.</w:t>
      </w:r>
    </w:p>
  </w:footnote>
  <w:footnote w:id="131">
    <w:p w14:paraId="7200EDC3" w14:textId="77777777" w:rsidR="00EE2BB3" w:rsidRPr="006B02A7" w:rsidRDefault="00EE2BB3" w:rsidP="002D36F0">
      <w:pPr>
        <w:pStyle w:val="FootnoteText"/>
        <w:spacing w:after="60" w:line="264" w:lineRule="auto"/>
        <w:ind w:left="294" w:hanging="294"/>
        <w:jc w:val="left"/>
        <w:rPr>
          <w:rFonts w:ascii="Arial" w:hAnsi="Arial" w:cs="Arial"/>
        </w:rPr>
      </w:pPr>
      <w:r>
        <w:rPr>
          <w:rStyle w:val="FootnoteReference"/>
          <w:sz w:val="20"/>
        </w:rPr>
        <w:footnoteRef/>
      </w:r>
      <w:r>
        <w:rPr>
          <w:rFonts w:ascii="Arial" w:hAnsi="Arial"/>
        </w:rPr>
        <w:t xml:space="preserve"> Iespēja saņemt balsošanas palīdzību no citas personas.</w:t>
      </w:r>
    </w:p>
  </w:footnote>
  <w:footnote w:id="132">
    <w:p w14:paraId="4B32174D" w14:textId="57A5CD39" w:rsidR="00EE2BB3" w:rsidRPr="00A90743"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A90743">
        <w:rPr>
          <w:rFonts w:ascii="Arial" w:hAnsi="Arial"/>
          <w:lang w:val="fr-BE"/>
        </w:rPr>
        <w:t xml:space="preserve"> Iespēja deleģēt balsošanas tiesības citai personai.</w:t>
      </w:r>
    </w:p>
  </w:footnote>
  <w:footnote w:id="133">
    <w:p w14:paraId="376757F8" w14:textId="77777777" w:rsidR="00EE2BB3" w:rsidRPr="00A90743"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A90743">
        <w:rPr>
          <w:rFonts w:ascii="Arial" w:hAnsi="Arial"/>
          <w:lang w:val="fr-BE"/>
        </w:rPr>
        <w:t xml:space="preserve"> Iespēja balsot internetā.</w:t>
      </w:r>
    </w:p>
  </w:footnote>
  <w:footnote w:id="134">
    <w:p w14:paraId="2F12F741" w14:textId="77777777" w:rsidR="00EE2BB3" w:rsidRPr="00A90743"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A90743">
        <w:rPr>
          <w:rFonts w:ascii="Arial" w:hAnsi="Arial"/>
          <w:lang w:val="fr-BE"/>
        </w:rPr>
        <w:t xml:space="preserve"> Ārvalstīs dzīvojošiem pilsoņiem.</w:t>
      </w:r>
    </w:p>
  </w:footnote>
  <w:footnote w:id="135">
    <w:p w14:paraId="28D63C3F" w14:textId="77777777" w:rsidR="00EE2BB3" w:rsidRPr="00A90743" w:rsidRDefault="00EE2BB3"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Asistenta brīva izvēle nav pieejama.</w:t>
      </w:r>
    </w:p>
  </w:footnote>
  <w:footnote w:id="136">
    <w:p w14:paraId="0B6A4B68" w14:textId="77777777" w:rsidR="00203B22" w:rsidRPr="00A90743" w:rsidRDefault="00203B22"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Ārvalstīs dzīvojošiem pilsoņiem.</w:t>
      </w:r>
    </w:p>
  </w:footnote>
  <w:footnote w:id="137">
    <w:p w14:paraId="5D66F74B" w14:textId="635B9669" w:rsidR="00402EFD" w:rsidRPr="00A90743" w:rsidRDefault="00402EFD" w:rsidP="00D43BE1">
      <w:pPr>
        <w:pStyle w:val="FootnoteText"/>
        <w:rPr>
          <w:lang w:val="fr-BE"/>
        </w:rPr>
      </w:pPr>
      <w:r>
        <w:rPr>
          <w:rStyle w:val="FootnoteReference"/>
          <w:sz w:val="20"/>
        </w:rPr>
        <w:footnoteRef/>
      </w:r>
      <w:r w:rsidRPr="00A90743">
        <w:rPr>
          <w:lang w:val="fr-BE"/>
        </w:rPr>
        <w:t xml:space="preserve"> </w:t>
      </w:r>
      <w:r w:rsidRPr="00A90743">
        <w:rPr>
          <w:rFonts w:ascii="Arial" w:hAnsi="Arial"/>
          <w:lang w:val="fr-BE"/>
        </w:rPr>
        <w:t>Pilsoņiem ārvalstīs, vēlētājiem, kas izcieš brīvības atņemšanas sodu, un tiem, kas atrodas aizturēšanas centros.</w:t>
      </w:r>
    </w:p>
  </w:footnote>
  <w:footnote w:id="138">
    <w:p w14:paraId="564A36FA" w14:textId="77777777" w:rsidR="00402EFD" w:rsidRPr="00A90743" w:rsidRDefault="00402EFD"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Ārvalstīs dzīvojošiem pilsoņiem.</w:t>
      </w:r>
    </w:p>
  </w:footnote>
  <w:footnote w:id="139">
    <w:p w14:paraId="28AAD74C" w14:textId="77777777" w:rsidR="00402EFD" w:rsidRPr="00A90743" w:rsidRDefault="00402EFD"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Ārvalstīs dzīvojošiem pilsoņiem.</w:t>
      </w:r>
    </w:p>
  </w:footnote>
  <w:footnote w:id="140">
    <w:p w14:paraId="3986B1B5" w14:textId="77777777" w:rsidR="00402EFD" w:rsidRPr="00A90743" w:rsidRDefault="00402EFD"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Asistenta brīva izvēle nav pieejama.</w:t>
      </w:r>
    </w:p>
  </w:footnote>
  <w:footnote w:id="141">
    <w:p w14:paraId="4F744910" w14:textId="77777777" w:rsidR="00402EFD" w:rsidRPr="00A90743" w:rsidRDefault="00402EFD" w:rsidP="0034629E">
      <w:pPr>
        <w:pStyle w:val="FootnoteText"/>
        <w:spacing w:after="60" w:line="264" w:lineRule="auto"/>
        <w:jc w:val="left"/>
        <w:rPr>
          <w:rFonts w:ascii="Arial" w:hAnsi="Arial" w:cs="Arial"/>
          <w:lang w:val="fr-BE"/>
        </w:rPr>
      </w:pPr>
      <w:r>
        <w:rPr>
          <w:rStyle w:val="FootnoteReference"/>
          <w:sz w:val="20"/>
        </w:rPr>
        <w:footnoteRef/>
      </w:r>
      <w:r w:rsidRPr="00A90743">
        <w:rPr>
          <w:rFonts w:ascii="Arial" w:hAnsi="Arial"/>
          <w:lang w:val="fr-BE"/>
        </w:rPr>
        <w:t xml:space="preserve"> Ārvalstīs dzīvojošiem pilsoņiem.</w:t>
      </w:r>
    </w:p>
  </w:footnote>
  <w:footnote w:id="142">
    <w:p w14:paraId="785D5F0F" w14:textId="77777777" w:rsidR="00402EFD" w:rsidRPr="006B02A7" w:rsidRDefault="00402EFD"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Ārvalstīs dzīvojošiem pilsoņiem.</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F25D86" w14:textId="77777777" w:rsidR="00DE591E" w:rsidRPr="00DE591E" w:rsidRDefault="00DE591E" w:rsidP="00DE591E">
    <w:pPr>
      <w:pStyle w:val="HeaderCoverPag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844270" w14:textId="77777777" w:rsidR="00DE591E" w:rsidRPr="00DE591E" w:rsidRDefault="00DE591E" w:rsidP="00DE591E">
    <w:pPr>
      <w:pStyle w:val="HeaderCoverPag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7ECAF1" w14:textId="77777777" w:rsidR="00DE591E" w:rsidRPr="00DE591E" w:rsidRDefault="00DE591E" w:rsidP="00DE591E">
    <w:pPr>
      <w:pStyle w:val="HeaderCoverPag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450B84" w14:textId="6F325910" w:rsidR="00667510" w:rsidRPr="00365B62" w:rsidRDefault="00B7011F" w:rsidP="00B42AEB">
    <w:r>
      <w:rPr>
        <w:noProof/>
        <w:lang w:val="en-GB" w:eastAsia="en-GB" w:bidi="ar-SA"/>
      </w:rPr>
      <mc:AlternateContent>
        <mc:Choice Requires="wps">
          <w:drawing>
            <wp:anchor distT="0" distB="0" distL="0" distR="0" simplePos="0" relativeHeight="251658240" behindDoc="1" locked="0" layoutInCell="1" allowOverlap="1" wp14:anchorId="41448888" wp14:editId="64FA3E3B">
              <wp:simplePos x="0" y="0"/>
              <wp:positionH relativeFrom="page">
                <wp:posOffset>919480</wp:posOffset>
              </wp:positionH>
              <wp:positionV relativeFrom="page">
                <wp:posOffset>1421130</wp:posOffset>
              </wp:positionV>
              <wp:extent cx="1725295" cy="11557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25295" cy="115570"/>
                      </a:xfrm>
                      <a:prstGeom prst="rect">
                        <a:avLst/>
                      </a:prstGeom>
                      <a:noFill/>
                    </wps:spPr>
                    <wps:txbx>
                      <w:txbxContent>
                        <w:p w14:paraId="582185CB" w14:textId="77777777" w:rsidR="00667510" w:rsidRDefault="00667510" w:rsidP="00B42AEB">
                          <w:pPr>
                            <w:pStyle w:val="Headerorfooter20"/>
                          </w:pPr>
                          <w:r>
                            <w:rPr>
                              <w:rStyle w:val="Headerorfooter2"/>
                              <w:rFonts w:ascii="Verdana" w:hAnsi="Verdana"/>
                              <w:sz w:val="22"/>
                            </w:rPr>
                            <w:t>Piekļuve vēlēšanu iecirkņiem</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w14:anchorId="41448888" id="_x0000_t202" coordsize="21600,21600" o:spt="202" path="m,l,21600r21600,l21600,xe">
              <v:stroke joinstyle="miter"/>
              <v:path gradientshapeok="t" o:connecttype="rect"/>
            </v:shapetype>
            <v:shape id="Text Box 7" o:spid="_x0000_s1026" type="#_x0000_t202" style="position:absolute;margin-left:72.4pt;margin-top:111.9pt;width:135.85pt;height:9.1pt;z-index:-251658240;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" filled="f" stroked="f">
              <v:path arrowok="t"/>
              <v:textbox style="mso-fit-shape-to-text:t" inset="0,0,0,0">
                <w:txbxContent>
                  <w:p w14:paraId="582185CB" w14:textId="77777777" w:rsidR="00667510" w:rsidRDefault="00667510" w:rsidP="00B42AEB">
                    <w:pPr>
                      <w:pStyle w:val="Headerorfooter20"/>
                    </w:pPr>
                    <w:r>
                      <w:rPr>
                        <w:rStyle w:val="Headerorfooter2"/>
                        <w:rFonts w:ascii="Verdana" w:hAnsi="Verdana"/>
                        <w:sz w:val="22"/>
                      </w:rPr>
                      <w:t>Piekļuve vēlēšanu iecirkņiem</w:t>
                    </w:r>
                  </w:p>
                </w:txbxContent>
              </v:textbox>
              <w10:wrap anchorx="page" anchory="page"/>
            </v:shape>
          </w:pict>
        </mc:Fallback>
      </mc:AlternateContent>
    </w:r>
    <w:r>
      <w:rPr>
        <w:noProof/>
        <w:lang w:val="en-GB" w:eastAsia="en-GB" w:bidi="ar-SA"/>
      </w:rPr>
      <mc:AlternateContent>
        <mc:Choice Requires="wps">
          <w:drawing>
            <wp:anchor distT="4294967295" distB="4294967295" distL="114300" distR="114300" simplePos="0" relativeHeight="251658241" behindDoc="1" locked="0" layoutInCell="1" allowOverlap="1" wp14:anchorId="74BE5108" wp14:editId="7FAB1663">
              <wp:simplePos x="0" y="0"/>
              <wp:positionH relativeFrom="page">
                <wp:posOffset>784860</wp:posOffset>
              </wp:positionH>
              <wp:positionV relativeFrom="page">
                <wp:posOffset>1477009</wp:posOffset>
              </wp:positionV>
              <wp:extent cx="5873750" cy="0"/>
              <wp:effectExtent l="0" t="0" r="0" b="0"/>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73750" cy="0"/>
                      </a:xfrm>
                      <a:prstGeom prst="straightConnector1">
                        <a:avLst/>
                      </a:prstGeom>
                      <a:ln w="12700">
                        <a:solidFill/>
                      </a:ln>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http://schemas.openxmlformats.org/drawingml/2006/main">
          <w:pict>
            <v:shapetype id="_x0000_t32" coordsize="21600,21600" o:oned="t" filled="f" o:spt="32" path="m,l21600,21600e" w14:anchorId="2C60B164">
              <v:path fillok="f" arrowok="t" o:connecttype="none"/>
              <o:lock v:ext="edit" shapetype="t"/>
            </v:shapetype>
            <v:shape id="Straight Arrow Connector 2" style="position:absolute;margin-left:61.8pt;margin-top:116.3pt;width:462.5pt;height:0;z-index:-251658239;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o:spid="_x0000_s1026"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">
              <o:lock v:ext="edit" shapetype="f"/>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780C31" w14:textId="73C2B58D" w:rsidR="00496D2A" w:rsidRPr="00365B62" w:rsidRDefault="00496D2A" w:rsidP="00B42AEB"/>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92F448" w14:textId="77777777" w:rsidR="004329BF" w:rsidRDefault="004329BF" w:rsidP="00B42A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BB0754"/>
    <w:multiLevelType w:val="hybridMultilevel"/>
    <w:tmpl w:val="3192F812"/>
    <w:lvl w:ilvl="0" w:tplc="932682EA">
      <w:start w:val="1"/>
      <w:numFmt w:val="bullet"/>
      <w:lvlText w:val=""/>
      <w:lvlJc w:val="left"/>
      <w:pPr>
        <w:ind w:left="720" w:hanging="360"/>
      </w:pPr>
      <w:rPr>
        <w:rFonts w:ascii="Symbol" w:hAnsi="Symbol" w:hint="default"/>
      </w:rPr>
    </w:lvl>
    <w:lvl w:ilvl="1" w:tplc="E8E65B78">
      <w:start w:val="1"/>
      <w:numFmt w:val="bullet"/>
      <w:lvlText w:val="o"/>
      <w:lvlJc w:val="left"/>
      <w:pPr>
        <w:ind w:left="1440" w:hanging="360"/>
      </w:pPr>
      <w:rPr>
        <w:rFonts w:ascii="Courier New" w:hAnsi="Courier New" w:hint="default"/>
      </w:rPr>
    </w:lvl>
    <w:lvl w:ilvl="2" w:tplc="950ED37C">
      <w:start w:val="1"/>
      <w:numFmt w:val="bullet"/>
      <w:lvlText w:val=""/>
      <w:lvlJc w:val="left"/>
      <w:pPr>
        <w:ind w:left="2160" w:hanging="360"/>
      </w:pPr>
      <w:rPr>
        <w:rFonts w:ascii="Wingdings" w:hAnsi="Wingdings" w:hint="default"/>
      </w:rPr>
    </w:lvl>
    <w:lvl w:ilvl="3" w:tplc="D84C9AFC">
      <w:start w:val="1"/>
      <w:numFmt w:val="bullet"/>
      <w:lvlText w:val=""/>
      <w:lvlJc w:val="left"/>
      <w:pPr>
        <w:ind w:left="2880" w:hanging="360"/>
      </w:pPr>
      <w:rPr>
        <w:rFonts w:ascii="Symbol" w:hAnsi="Symbol" w:hint="default"/>
      </w:rPr>
    </w:lvl>
    <w:lvl w:ilvl="4" w:tplc="42CC00AE">
      <w:start w:val="1"/>
      <w:numFmt w:val="bullet"/>
      <w:lvlText w:val="o"/>
      <w:lvlJc w:val="left"/>
      <w:pPr>
        <w:ind w:left="3600" w:hanging="360"/>
      </w:pPr>
      <w:rPr>
        <w:rFonts w:ascii="Courier New" w:hAnsi="Courier New" w:hint="default"/>
      </w:rPr>
    </w:lvl>
    <w:lvl w:ilvl="5" w:tplc="5AF041B2">
      <w:start w:val="1"/>
      <w:numFmt w:val="bullet"/>
      <w:lvlText w:val=""/>
      <w:lvlJc w:val="left"/>
      <w:pPr>
        <w:ind w:left="4320" w:hanging="360"/>
      </w:pPr>
      <w:rPr>
        <w:rFonts w:ascii="Wingdings" w:hAnsi="Wingdings" w:hint="default"/>
      </w:rPr>
    </w:lvl>
    <w:lvl w:ilvl="6" w:tplc="BD6A363A">
      <w:start w:val="1"/>
      <w:numFmt w:val="bullet"/>
      <w:lvlText w:val=""/>
      <w:lvlJc w:val="left"/>
      <w:pPr>
        <w:ind w:left="5040" w:hanging="360"/>
      </w:pPr>
      <w:rPr>
        <w:rFonts w:ascii="Symbol" w:hAnsi="Symbol" w:hint="default"/>
      </w:rPr>
    </w:lvl>
    <w:lvl w:ilvl="7" w:tplc="DE307184">
      <w:start w:val="1"/>
      <w:numFmt w:val="bullet"/>
      <w:lvlText w:val="o"/>
      <w:lvlJc w:val="left"/>
      <w:pPr>
        <w:ind w:left="5760" w:hanging="360"/>
      </w:pPr>
      <w:rPr>
        <w:rFonts w:ascii="Courier New" w:hAnsi="Courier New" w:hint="default"/>
      </w:rPr>
    </w:lvl>
    <w:lvl w:ilvl="8" w:tplc="6138FCD6">
      <w:start w:val="1"/>
      <w:numFmt w:val="bullet"/>
      <w:lvlText w:val=""/>
      <w:lvlJc w:val="left"/>
      <w:pPr>
        <w:ind w:left="6480" w:hanging="360"/>
      </w:pPr>
      <w:rPr>
        <w:rFonts w:ascii="Wingdings" w:hAnsi="Wingdings" w:hint="default"/>
      </w:rPr>
    </w:lvl>
  </w:abstractNum>
  <w:abstractNum w:abstractNumId="1" w15:restartNumberingAfterBreak="0">
    <w:nsid w:val="280B6C22"/>
    <w:multiLevelType w:val="hybridMultilevel"/>
    <w:tmpl w:val="7278E1EA"/>
    <w:lvl w:ilvl="0" w:tplc="6EF090DA">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C8DFDF8"/>
    <w:multiLevelType w:val="multilevel"/>
    <w:tmpl w:val="1700A648"/>
    <w:name w:val="ListBullet2Numbering"/>
    <w:lvl w:ilvl="0">
      <w:start w:val="1"/>
      <w:numFmt w:val="bullet"/>
      <w:pStyle w:val="ListBullet2"/>
      <w:lvlText w:val=""/>
      <w:lvlJc w:val="left"/>
      <w:pPr>
        <w:tabs>
          <w:tab w:val="num" w:pos="1361"/>
        </w:tabs>
        <w:ind w:left="1361" w:hanging="284"/>
      </w:pPr>
      <w:rPr>
        <w:rFonts w:ascii="Symbol" w:hAnsi="Symbol"/>
      </w:rPr>
    </w:lvl>
    <w:lvl w:ilvl="1">
      <w:start w:val="1"/>
      <w:numFmt w:val="bullet"/>
      <w:pStyle w:val="ListBullet2Level2"/>
      <w:lvlText w:val=""/>
      <w:lvlJc w:val="left"/>
      <w:pPr>
        <w:tabs>
          <w:tab w:val="num" w:pos="1644"/>
        </w:tabs>
        <w:ind w:left="1644" w:hanging="283"/>
      </w:pPr>
      <w:rPr>
        <w:rFonts w:ascii="Symbol" w:hAnsi="Symbol"/>
      </w:rPr>
    </w:lvl>
    <w:lvl w:ilvl="2">
      <w:start w:val="1"/>
      <w:numFmt w:val="bullet"/>
      <w:pStyle w:val="ListBullet2Level3"/>
      <w:lvlText w:val=""/>
      <w:lvlJc w:val="left"/>
      <w:pPr>
        <w:tabs>
          <w:tab w:val="num" w:pos="1928"/>
        </w:tabs>
        <w:ind w:left="1928" w:hanging="284"/>
      </w:pPr>
      <w:rPr>
        <w:rFonts w:ascii="Symbol" w:hAnsi="Symbol"/>
      </w:rPr>
    </w:lvl>
    <w:lvl w:ilvl="3">
      <w:start w:val="1"/>
      <w:numFmt w:val="bullet"/>
      <w:pStyle w:val="ListBullet2Level4"/>
      <w:lvlText w:val=""/>
      <w:lvlJc w:val="left"/>
      <w:pPr>
        <w:tabs>
          <w:tab w:val="num" w:pos="2211"/>
        </w:tabs>
        <w:ind w:left="2211" w:hanging="28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3" w15:restartNumberingAfterBreak="0">
    <w:nsid w:val="365F14BA"/>
    <w:multiLevelType w:val="hybridMultilevel"/>
    <w:tmpl w:val="F684D5F4"/>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376A1E71"/>
    <w:multiLevelType w:val="hybridMultilevel"/>
    <w:tmpl w:val="109813E6"/>
    <w:lvl w:ilvl="0" w:tplc="92BA9806">
      <w:start w:val="1"/>
      <w:numFmt w:val="decimal"/>
      <w:pStyle w:val="FootnoteReferenceLVL6"/>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2557D76"/>
    <w:multiLevelType w:val="hybridMultilevel"/>
    <w:tmpl w:val="8FB6A10A"/>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46F86496"/>
    <w:multiLevelType w:val="hybridMultilevel"/>
    <w:tmpl w:val="D71E5146"/>
    <w:lvl w:ilvl="0" w:tplc="18090017">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4D4E7C96"/>
    <w:multiLevelType w:val="multilevel"/>
    <w:tmpl w:val="BBE25042"/>
    <w:lvl w:ilvl="0">
      <w:start w:val="1"/>
      <w:numFmt w:val="decimal"/>
      <w:lvlText w:val="%1."/>
      <w:lvlJc w:val="left"/>
      <w:pPr>
        <w:ind w:left="360" w:hanging="360"/>
      </w:pPr>
      <w:rPr>
        <w:rFonts w:hint="default"/>
        <w:b/>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60B54B17"/>
    <w:multiLevelType w:val="hybridMultilevel"/>
    <w:tmpl w:val="CC22D82A"/>
    <w:lvl w:ilvl="0" w:tplc="6EF090DA">
      <w:start w:val="1"/>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A7D6EFD"/>
    <w:multiLevelType w:val="hybridMultilevel"/>
    <w:tmpl w:val="734CCFBC"/>
    <w:lvl w:ilvl="0" w:tplc="455675C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15:restartNumberingAfterBreak="0">
    <w:nsid w:val="7C580640"/>
    <w:multiLevelType w:val="hybridMultilevel"/>
    <w:tmpl w:val="C8A8501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7"/>
  </w:num>
  <w:num w:numId="2">
    <w:abstractNumId w:val="2"/>
  </w:num>
  <w:num w:numId="3">
    <w:abstractNumId w:val="1"/>
  </w:num>
  <w:num w:numId="4">
    <w:abstractNumId w:val="0"/>
  </w:num>
  <w:num w:numId="5">
    <w:abstractNumId w:val="10"/>
  </w:num>
  <w:num w:numId="6">
    <w:abstractNumId w:val="6"/>
  </w:num>
  <w:num w:numId="7">
    <w:abstractNumId w:val="9"/>
  </w:num>
  <w:num w:numId="8">
    <w:abstractNumId w:val="8"/>
  </w:num>
  <w:num w:numId="9">
    <w:abstractNumId w:val="3"/>
  </w:num>
  <w:num w:numId="10">
    <w:abstractNumId w:val="4"/>
  </w:num>
  <w:num w:numId="11">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movePersonalInformation/>
  <w:removeDateAndTime/>
  <w:hideSpellingErrors/>
  <w:hideGrammaticalErrors/>
  <w:revisionView w:markup="0"/>
  <w:defaultTabStop w:val="720"/>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ocStatus" w:val="Green"/>
    <w:docVar w:name="LW_CORRIGENDUM" w:val="&lt;UNUSED&gt;"/>
    <w:docVar w:name="LW_COVERPAGE_EXISTS" w:val="True"/>
    <w:docVar w:name="LW_COVERPAGE_GUID" w:val="C8992FA6-A9BA-44FD-BC02-41F7D6F8FD33"/>
    <w:docVar w:name="LW_COVERPAGE_TYPE" w:val="1"/>
    <w:docVar w:name="LW_CROSSREFERENCE" w:val="&lt;UNUSED&gt;"/>
    <w:docVar w:name="LW_DocType" w:val="NORMAL"/>
    <w:docVar w:name="LW_EMISSION" w:val="6.12.2023"/>
    <w:docVar w:name="LW_EMISSION_ISODATE" w:val="2023-12-06"/>
    <w:docVar w:name="LW_EMISSION_LOCATION" w:val="BRX"/>
    <w:docVar w:name="LW_EMISSION_PREFIX" w:val="Brisel\u275?, "/>
    <w:docVar w:name="LW_EMISSION_SUFFIX" w:val="."/>
    <w:docVar w:name="LW_ID_DOCTYPE_NONLW" w:val="CP-024"/>
    <w:docVar w:name="LW_LANGUE" w:val="LV"/>
    <w:docVar w:name="LW_LEVEL_OF_SENSITIVITY" w:val="Standard treatment"/>
    <w:docVar w:name="LW_NOM.INST" w:val="EIROPAS KOMISIJA"/>
    <w:docVar w:name="LW_NOM.INST_JOINTDOC" w:val="&lt;EMPTY&gt;"/>
    <w:docVar w:name="LW_PART_NBR" w:val="1"/>
    <w:docVar w:name="LW_PART_NBR_TOTAL" w:val="1"/>
    <w:docVar w:name="LW_REF.INST.NEW" w:val="SWD"/>
    <w:docVar w:name="LW_REF.INST.NEW_ADOPTED" w:val="final"/>
    <w:docVar w:name="LW_REF.INST.NEW_TEXT" w:val="(2023) 408"/>
    <w:docVar w:name="LW_REF.INTERNE" w:val="&lt;UNUSED&gt;"/>
    <w:docVar w:name="LW_SENSITIVITY" w:val="&lt;?xml version=&quot;1.0&quot; encoding=&quot;utf-8&quot;?&gt;_x000d__x000a_&lt;SensitivityLevel xmlns:xsd=&quot;http://www.w3.org/2001/XMLSchema&quot; xmlns:xsi=&quot;http://www.w3.org/2001/XMLSchema-instance&quot; id=&quot;standard&quot;&gt;_x000d__x000a_  &lt;nicename EN=&quot;Standard treatment&quot; FR=&quot;Traitement standard&quot; /&gt;_x000d__x000a_  &lt;documentProperty&gt;Standard treatment&lt;/documentProperty&gt;_x000d__x000a_  &lt;markingConfig isAvailable=&quot;false&quot; isMandatory=&quot;false&quot; sensitiveMarkingMandatory=&quot;false&quot; specialMarkingMandatory=&quot;true&quot; isOptionDisplayInHeaderAvailable=&quot;true&quot; sensitiveMarkingListSee=&quot;SensitiveMarkings&quot; specialMarkingListSee=&quot;SpecialMarkings&quot; sensitiveFootnoteTextSee=&quot;sensitiveFootnote&quot; specialFootnoteTextSee=&quot;specialFootnote&quot; /&gt;_x000d__x000a_  &lt;chosenMainMarking xsi:nil=&quot;true&quot; /&gt;_x000d__x000a_  &lt;dateMarking xsi:nil=&quot;true&quot; /&gt;_x000d__x000a_  &lt;releasableToConfig isAvailable=&quot;false&quot; institutionListSee=&quot;DefaultInstitutions&quot; /&gt;_x000d__x000a_  &lt;chosenReleasableTo xsi:nil=&quot;true&quot; /&gt;_x000d__x000a_  &lt;detached xsi:nil=&quot;true&quot; /&gt;_x000d__x000a_  &lt;declassify xsi:nil=&quot;true&quot; /&gt;_x000d__x000a_  &lt;headerTexts xsi:nil=&quot;true&quot; /&gt;_x000d__x000a_  &lt;footerTexts xsi:nil=&quot;true&quot; /&gt;_x000d__x000a_  &lt;isRestricted&gt;false&lt;/isRestricted&gt;_x000d__x000a_&lt;/SensitivityLevel&gt;"/>
    <w:docVar w:name="LW_SUPERTITRE" w:val="&lt;UNUSED&gt;"/>
    <w:docVar w:name="LW_TITRE.OBJ.CP" w:val="&lt;FMT:Bold&gt;Rokasgr\u257?mata par labu v\u275?l\u275?\u353?anu praksi dal\u299?bvalst\u299?s, kas v\u275?rsta uz iedz\u299?vot\u257?ju ar invalidit\u257?ti l\u299?dzdal\u299?bu v\u275?l\u275?\u353?anu proces\u257?&lt;/FMT&gt;"/>
    <w:docVar w:name="LW_TYPE.DOC.CP" w:val="KOMISIJAS DIENESTU DARBA DOKUMENTS"/>
    <w:docVar w:name="LwApiVersions" w:val="LW4CoDe 1.24.4.0; LW 9.0, Build 20240125"/>
    <w:docVar w:name="Stamp" w:val="\\dossiers.dgt.cec.eu.int\dossiers\JUST\JUST-2023-06333\JUST-2023-06333-00-00-EN-EDT-00.202310101228277093642.DOCX"/>
  </w:docVars>
  <w:rsids>
    <w:rsidRoot w:val="008520CF"/>
    <w:rsid w:val="0000066D"/>
    <w:rsid w:val="000006E3"/>
    <w:rsid w:val="000008A2"/>
    <w:rsid w:val="00000914"/>
    <w:rsid w:val="000011F0"/>
    <w:rsid w:val="000019D5"/>
    <w:rsid w:val="00002098"/>
    <w:rsid w:val="000027B6"/>
    <w:rsid w:val="00002825"/>
    <w:rsid w:val="00002D88"/>
    <w:rsid w:val="0000368F"/>
    <w:rsid w:val="00003BE3"/>
    <w:rsid w:val="00004A92"/>
    <w:rsid w:val="00005528"/>
    <w:rsid w:val="000057EE"/>
    <w:rsid w:val="00005BDE"/>
    <w:rsid w:val="00006B10"/>
    <w:rsid w:val="00007339"/>
    <w:rsid w:val="000079EB"/>
    <w:rsid w:val="00007F90"/>
    <w:rsid w:val="00010296"/>
    <w:rsid w:val="0001061E"/>
    <w:rsid w:val="00010756"/>
    <w:rsid w:val="00011528"/>
    <w:rsid w:val="00011975"/>
    <w:rsid w:val="00012DF2"/>
    <w:rsid w:val="0001358D"/>
    <w:rsid w:val="00013D14"/>
    <w:rsid w:val="0001466B"/>
    <w:rsid w:val="00014744"/>
    <w:rsid w:val="000147A8"/>
    <w:rsid w:val="00015907"/>
    <w:rsid w:val="00015E0A"/>
    <w:rsid w:val="00016CDF"/>
    <w:rsid w:val="00016EA4"/>
    <w:rsid w:val="00017179"/>
    <w:rsid w:val="00017549"/>
    <w:rsid w:val="00017711"/>
    <w:rsid w:val="000177B6"/>
    <w:rsid w:val="00017BC7"/>
    <w:rsid w:val="00017DB3"/>
    <w:rsid w:val="00020523"/>
    <w:rsid w:val="00020D2C"/>
    <w:rsid w:val="00020D70"/>
    <w:rsid w:val="00021106"/>
    <w:rsid w:val="000211A3"/>
    <w:rsid w:val="00021CF0"/>
    <w:rsid w:val="000224D8"/>
    <w:rsid w:val="00022691"/>
    <w:rsid w:val="00022CE6"/>
    <w:rsid w:val="00022F03"/>
    <w:rsid w:val="000234A8"/>
    <w:rsid w:val="00023CAF"/>
    <w:rsid w:val="00023E11"/>
    <w:rsid w:val="00024EE6"/>
    <w:rsid w:val="00025A92"/>
    <w:rsid w:val="00025C97"/>
    <w:rsid w:val="00025DEC"/>
    <w:rsid w:val="00026205"/>
    <w:rsid w:val="0002661C"/>
    <w:rsid w:val="0002664A"/>
    <w:rsid w:val="000270CD"/>
    <w:rsid w:val="000271A4"/>
    <w:rsid w:val="00027DE0"/>
    <w:rsid w:val="000309AE"/>
    <w:rsid w:val="00030E88"/>
    <w:rsid w:val="0003131D"/>
    <w:rsid w:val="0003148B"/>
    <w:rsid w:val="000320F9"/>
    <w:rsid w:val="000326D4"/>
    <w:rsid w:val="000328FA"/>
    <w:rsid w:val="000330C2"/>
    <w:rsid w:val="000332E6"/>
    <w:rsid w:val="00033A8E"/>
    <w:rsid w:val="00034487"/>
    <w:rsid w:val="00034924"/>
    <w:rsid w:val="00034FEA"/>
    <w:rsid w:val="000354BF"/>
    <w:rsid w:val="00037018"/>
    <w:rsid w:val="000370E8"/>
    <w:rsid w:val="00041169"/>
    <w:rsid w:val="000419A8"/>
    <w:rsid w:val="000419C6"/>
    <w:rsid w:val="00041D06"/>
    <w:rsid w:val="000421AB"/>
    <w:rsid w:val="0004263D"/>
    <w:rsid w:val="00042F31"/>
    <w:rsid w:val="00042FD6"/>
    <w:rsid w:val="000439ED"/>
    <w:rsid w:val="00043B0A"/>
    <w:rsid w:val="00043D69"/>
    <w:rsid w:val="00043DD6"/>
    <w:rsid w:val="00043E6A"/>
    <w:rsid w:val="000441C5"/>
    <w:rsid w:val="0004434E"/>
    <w:rsid w:val="0004495A"/>
    <w:rsid w:val="00044AC6"/>
    <w:rsid w:val="00044B98"/>
    <w:rsid w:val="00044C9E"/>
    <w:rsid w:val="00045014"/>
    <w:rsid w:val="0004558D"/>
    <w:rsid w:val="00045681"/>
    <w:rsid w:val="00045BC2"/>
    <w:rsid w:val="0004605F"/>
    <w:rsid w:val="00047D34"/>
    <w:rsid w:val="00047DD4"/>
    <w:rsid w:val="00050274"/>
    <w:rsid w:val="00050450"/>
    <w:rsid w:val="00050615"/>
    <w:rsid w:val="000507DA"/>
    <w:rsid w:val="00050A20"/>
    <w:rsid w:val="00050B5E"/>
    <w:rsid w:val="00050F3E"/>
    <w:rsid w:val="00051602"/>
    <w:rsid w:val="000522CD"/>
    <w:rsid w:val="00052DC0"/>
    <w:rsid w:val="0005317C"/>
    <w:rsid w:val="0005354D"/>
    <w:rsid w:val="0005392F"/>
    <w:rsid w:val="0005476E"/>
    <w:rsid w:val="00054FD6"/>
    <w:rsid w:val="00055022"/>
    <w:rsid w:val="000559FB"/>
    <w:rsid w:val="000565A0"/>
    <w:rsid w:val="000569FE"/>
    <w:rsid w:val="00056D2D"/>
    <w:rsid w:val="00057363"/>
    <w:rsid w:val="000610B2"/>
    <w:rsid w:val="00061ADA"/>
    <w:rsid w:val="000626F1"/>
    <w:rsid w:val="00062777"/>
    <w:rsid w:val="000633AB"/>
    <w:rsid w:val="000639D7"/>
    <w:rsid w:val="00063DEF"/>
    <w:rsid w:val="00063E3F"/>
    <w:rsid w:val="00065DBE"/>
    <w:rsid w:val="00065E52"/>
    <w:rsid w:val="000668D5"/>
    <w:rsid w:val="00066AD3"/>
    <w:rsid w:val="000671C8"/>
    <w:rsid w:val="000676B8"/>
    <w:rsid w:val="000700A7"/>
    <w:rsid w:val="00070BD6"/>
    <w:rsid w:val="00071211"/>
    <w:rsid w:val="00071250"/>
    <w:rsid w:val="00071DA7"/>
    <w:rsid w:val="00071E22"/>
    <w:rsid w:val="00072D68"/>
    <w:rsid w:val="000736BD"/>
    <w:rsid w:val="00073E47"/>
    <w:rsid w:val="00075090"/>
    <w:rsid w:val="000754CA"/>
    <w:rsid w:val="00075A8A"/>
    <w:rsid w:val="00075DFA"/>
    <w:rsid w:val="00076EF9"/>
    <w:rsid w:val="000778F7"/>
    <w:rsid w:val="00077BC6"/>
    <w:rsid w:val="000810FA"/>
    <w:rsid w:val="000813FC"/>
    <w:rsid w:val="00081CD3"/>
    <w:rsid w:val="0008204D"/>
    <w:rsid w:val="000822A5"/>
    <w:rsid w:val="0008296E"/>
    <w:rsid w:val="00082AF0"/>
    <w:rsid w:val="000837A2"/>
    <w:rsid w:val="00083F9B"/>
    <w:rsid w:val="00086A97"/>
    <w:rsid w:val="00086FE5"/>
    <w:rsid w:val="0008772F"/>
    <w:rsid w:val="00090170"/>
    <w:rsid w:val="000905AC"/>
    <w:rsid w:val="000908EC"/>
    <w:rsid w:val="00090D1B"/>
    <w:rsid w:val="00090DB5"/>
    <w:rsid w:val="00090E42"/>
    <w:rsid w:val="00091507"/>
    <w:rsid w:val="000915BB"/>
    <w:rsid w:val="000915E2"/>
    <w:rsid w:val="00092648"/>
    <w:rsid w:val="000933F0"/>
    <w:rsid w:val="00093849"/>
    <w:rsid w:val="00094CB5"/>
    <w:rsid w:val="0009605F"/>
    <w:rsid w:val="00096092"/>
    <w:rsid w:val="000961CB"/>
    <w:rsid w:val="00096C85"/>
    <w:rsid w:val="000976FE"/>
    <w:rsid w:val="000A05E7"/>
    <w:rsid w:val="000A16ED"/>
    <w:rsid w:val="000A27C7"/>
    <w:rsid w:val="000A2EC5"/>
    <w:rsid w:val="000A3C2E"/>
    <w:rsid w:val="000A3CB8"/>
    <w:rsid w:val="000A3E4E"/>
    <w:rsid w:val="000A4046"/>
    <w:rsid w:val="000A40B6"/>
    <w:rsid w:val="000A4233"/>
    <w:rsid w:val="000A4897"/>
    <w:rsid w:val="000A4E98"/>
    <w:rsid w:val="000A5621"/>
    <w:rsid w:val="000A577B"/>
    <w:rsid w:val="000A5987"/>
    <w:rsid w:val="000A599C"/>
    <w:rsid w:val="000A5BA4"/>
    <w:rsid w:val="000A67FE"/>
    <w:rsid w:val="000A7453"/>
    <w:rsid w:val="000B02E1"/>
    <w:rsid w:val="000B0EFB"/>
    <w:rsid w:val="000B136C"/>
    <w:rsid w:val="000B215F"/>
    <w:rsid w:val="000B3249"/>
    <w:rsid w:val="000B35AD"/>
    <w:rsid w:val="000B3733"/>
    <w:rsid w:val="000B4067"/>
    <w:rsid w:val="000B5654"/>
    <w:rsid w:val="000B5736"/>
    <w:rsid w:val="000B63B0"/>
    <w:rsid w:val="000B6695"/>
    <w:rsid w:val="000B6763"/>
    <w:rsid w:val="000B6856"/>
    <w:rsid w:val="000B6F5B"/>
    <w:rsid w:val="000B7A40"/>
    <w:rsid w:val="000B7BEC"/>
    <w:rsid w:val="000B7C4C"/>
    <w:rsid w:val="000C00D1"/>
    <w:rsid w:val="000C0387"/>
    <w:rsid w:val="000C0994"/>
    <w:rsid w:val="000C0C51"/>
    <w:rsid w:val="000C0CDB"/>
    <w:rsid w:val="000C10DB"/>
    <w:rsid w:val="000C1C2C"/>
    <w:rsid w:val="000C2189"/>
    <w:rsid w:val="000C2B98"/>
    <w:rsid w:val="000C2E6C"/>
    <w:rsid w:val="000C3079"/>
    <w:rsid w:val="000C336B"/>
    <w:rsid w:val="000C34D3"/>
    <w:rsid w:val="000C3533"/>
    <w:rsid w:val="000C4853"/>
    <w:rsid w:val="000C542E"/>
    <w:rsid w:val="000C575C"/>
    <w:rsid w:val="000C5907"/>
    <w:rsid w:val="000C5DC7"/>
    <w:rsid w:val="000D1492"/>
    <w:rsid w:val="000D1D4A"/>
    <w:rsid w:val="000D1D4F"/>
    <w:rsid w:val="000D3233"/>
    <w:rsid w:val="000D33DF"/>
    <w:rsid w:val="000D3EF6"/>
    <w:rsid w:val="000D4E4F"/>
    <w:rsid w:val="000D5617"/>
    <w:rsid w:val="000D63A4"/>
    <w:rsid w:val="000D64FA"/>
    <w:rsid w:val="000D68A5"/>
    <w:rsid w:val="000D76F4"/>
    <w:rsid w:val="000E0131"/>
    <w:rsid w:val="000E08EB"/>
    <w:rsid w:val="000E15DC"/>
    <w:rsid w:val="000E1B50"/>
    <w:rsid w:val="000E2191"/>
    <w:rsid w:val="000E2A87"/>
    <w:rsid w:val="000E491E"/>
    <w:rsid w:val="000E5118"/>
    <w:rsid w:val="000E5128"/>
    <w:rsid w:val="000E5373"/>
    <w:rsid w:val="000E5380"/>
    <w:rsid w:val="000E6BB3"/>
    <w:rsid w:val="000E6FF4"/>
    <w:rsid w:val="000E765E"/>
    <w:rsid w:val="000E792C"/>
    <w:rsid w:val="000E7B57"/>
    <w:rsid w:val="000E7CCA"/>
    <w:rsid w:val="000F154D"/>
    <w:rsid w:val="000F161A"/>
    <w:rsid w:val="000F2871"/>
    <w:rsid w:val="000F33A1"/>
    <w:rsid w:val="000F3554"/>
    <w:rsid w:val="000F35D7"/>
    <w:rsid w:val="000F3A60"/>
    <w:rsid w:val="000F3BB7"/>
    <w:rsid w:val="000F40D5"/>
    <w:rsid w:val="000F47E9"/>
    <w:rsid w:val="000F5113"/>
    <w:rsid w:val="000F5457"/>
    <w:rsid w:val="000F551C"/>
    <w:rsid w:val="000F56BD"/>
    <w:rsid w:val="000F5E0B"/>
    <w:rsid w:val="000F679A"/>
    <w:rsid w:val="000F7DD4"/>
    <w:rsid w:val="00101AFC"/>
    <w:rsid w:val="00101B54"/>
    <w:rsid w:val="00101C73"/>
    <w:rsid w:val="00101C96"/>
    <w:rsid w:val="00101FE4"/>
    <w:rsid w:val="00102CAB"/>
    <w:rsid w:val="00103794"/>
    <w:rsid w:val="0010400C"/>
    <w:rsid w:val="00104219"/>
    <w:rsid w:val="00104B26"/>
    <w:rsid w:val="00104BCB"/>
    <w:rsid w:val="001053F7"/>
    <w:rsid w:val="00106885"/>
    <w:rsid w:val="001077CA"/>
    <w:rsid w:val="00107F14"/>
    <w:rsid w:val="0011098F"/>
    <w:rsid w:val="001110E1"/>
    <w:rsid w:val="0011118B"/>
    <w:rsid w:val="001114AE"/>
    <w:rsid w:val="00111709"/>
    <w:rsid w:val="00111901"/>
    <w:rsid w:val="0011292D"/>
    <w:rsid w:val="001129B2"/>
    <w:rsid w:val="00112BC4"/>
    <w:rsid w:val="00112F88"/>
    <w:rsid w:val="001134A9"/>
    <w:rsid w:val="001135F1"/>
    <w:rsid w:val="001148D0"/>
    <w:rsid w:val="001155F5"/>
    <w:rsid w:val="001157E9"/>
    <w:rsid w:val="001158DA"/>
    <w:rsid w:val="001168CE"/>
    <w:rsid w:val="00117050"/>
    <w:rsid w:val="0011725C"/>
    <w:rsid w:val="001176EE"/>
    <w:rsid w:val="0011771F"/>
    <w:rsid w:val="00120448"/>
    <w:rsid w:val="00120931"/>
    <w:rsid w:val="001213F8"/>
    <w:rsid w:val="00121F68"/>
    <w:rsid w:val="00122C94"/>
    <w:rsid w:val="00122DC2"/>
    <w:rsid w:val="00123537"/>
    <w:rsid w:val="00123B33"/>
    <w:rsid w:val="001250EC"/>
    <w:rsid w:val="001259FF"/>
    <w:rsid w:val="00125A39"/>
    <w:rsid w:val="001262D4"/>
    <w:rsid w:val="00126773"/>
    <w:rsid w:val="00126CD8"/>
    <w:rsid w:val="00127293"/>
    <w:rsid w:val="00127D9D"/>
    <w:rsid w:val="0013090F"/>
    <w:rsid w:val="00130D25"/>
    <w:rsid w:val="001324D4"/>
    <w:rsid w:val="00133158"/>
    <w:rsid w:val="00133F2B"/>
    <w:rsid w:val="00133F97"/>
    <w:rsid w:val="00134D16"/>
    <w:rsid w:val="00135A34"/>
    <w:rsid w:val="00135C9B"/>
    <w:rsid w:val="001373B2"/>
    <w:rsid w:val="00137C1E"/>
    <w:rsid w:val="00140161"/>
    <w:rsid w:val="00140209"/>
    <w:rsid w:val="001412BC"/>
    <w:rsid w:val="001418CF"/>
    <w:rsid w:val="0014197C"/>
    <w:rsid w:val="001419C7"/>
    <w:rsid w:val="0014265E"/>
    <w:rsid w:val="00142B41"/>
    <w:rsid w:val="00143B15"/>
    <w:rsid w:val="001443AA"/>
    <w:rsid w:val="0014553B"/>
    <w:rsid w:val="00145DD3"/>
    <w:rsid w:val="001460ED"/>
    <w:rsid w:val="001462DA"/>
    <w:rsid w:val="00146570"/>
    <w:rsid w:val="001466A5"/>
    <w:rsid w:val="001470D6"/>
    <w:rsid w:val="00147D18"/>
    <w:rsid w:val="0015065B"/>
    <w:rsid w:val="001519B3"/>
    <w:rsid w:val="00152BDE"/>
    <w:rsid w:val="001535C5"/>
    <w:rsid w:val="0015428D"/>
    <w:rsid w:val="00154715"/>
    <w:rsid w:val="0015515C"/>
    <w:rsid w:val="001554D7"/>
    <w:rsid w:val="001559C0"/>
    <w:rsid w:val="00155F80"/>
    <w:rsid w:val="00156FA5"/>
    <w:rsid w:val="001572F6"/>
    <w:rsid w:val="00157E17"/>
    <w:rsid w:val="001607FD"/>
    <w:rsid w:val="00160D43"/>
    <w:rsid w:val="00160EF4"/>
    <w:rsid w:val="00160FBD"/>
    <w:rsid w:val="00160FFB"/>
    <w:rsid w:val="0016183F"/>
    <w:rsid w:val="00161A18"/>
    <w:rsid w:val="00162A8D"/>
    <w:rsid w:val="00163B58"/>
    <w:rsid w:val="00164373"/>
    <w:rsid w:val="00164A0E"/>
    <w:rsid w:val="001651BF"/>
    <w:rsid w:val="001661AF"/>
    <w:rsid w:val="001672D2"/>
    <w:rsid w:val="001673F3"/>
    <w:rsid w:val="00167897"/>
    <w:rsid w:val="00170C0A"/>
    <w:rsid w:val="00170DDB"/>
    <w:rsid w:val="00172212"/>
    <w:rsid w:val="00172337"/>
    <w:rsid w:val="001726FB"/>
    <w:rsid w:val="001727C3"/>
    <w:rsid w:val="00172C0C"/>
    <w:rsid w:val="00173239"/>
    <w:rsid w:val="00173A68"/>
    <w:rsid w:val="001759D4"/>
    <w:rsid w:val="001759F4"/>
    <w:rsid w:val="001760B8"/>
    <w:rsid w:val="00176856"/>
    <w:rsid w:val="00176948"/>
    <w:rsid w:val="00176C05"/>
    <w:rsid w:val="00176DE7"/>
    <w:rsid w:val="0017728A"/>
    <w:rsid w:val="00177336"/>
    <w:rsid w:val="001774D1"/>
    <w:rsid w:val="00180441"/>
    <w:rsid w:val="00180644"/>
    <w:rsid w:val="00180DFB"/>
    <w:rsid w:val="0018132B"/>
    <w:rsid w:val="0018171A"/>
    <w:rsid w:val="00181B90"/>
    <w:rsid w:val="00182075"/>
    <w:rsid w:val="00182D4D"/>
    <w:rsid w:val="00183183"/>
    <w:rsid w:val="00183B59"/>
    <w:rsid w:val="00183F60"/>
    <w:rsid w:val="0018406C"/>
    <w:rsid w:val="00185051"/>
    <w:rsid w:val="00185E9A"/>
    <w:rsid w:val="00186411"/>
    <w:rsid w:val="001869C1"/>
    <w:rsid w:val="00186B12"/>
    <w:rsid w:val="00187797"/>
    <w:rsid w:val="0018786E"/>
    <w:rsid w:val="001878CA"/>
    <w:rsid w:val="00187B65"/>
    <w:rsid w:val="00187C7F"/>
    <w:rsid w:val="00187E3E"/>
    <w:rsid w:val="00187F32"/>
    <w:rsid w:val="00187F9E"/>
    <w:rsid w:val="00190502"/>
    <w:rsid w:val="001915B1"/>
    <w:rsid w:val="001922BB"/>
    <w:rsid w:val="00192992"/>
    <w:rsid w:val="00194BD6"/>
    <w:rsid w:val="00194CA0"/>
    <w:rsid w:val="001954FC"/>
    <w:rsid w:val="001968B3"/>
    <w:rsid w:val="001969A4"/>
    <w:rsid w:val="00196CAD"/>
    <w:rsid w:val="00197ADE"/>
    <w:rsid w:val="001A0A0D"/>
    <w:rsid w:val="001A1824"/>
    <w:rsid w:val="001A2DE4"/>
    <w:rsid w:val="001A30EC"/>
    <w:rsid w:val="001A3485"/>
    <w:rsid w:val="001A44BC"/>
    <w:rsid w:val="001A4583"/>
    <w:rsid w:val="001A5380"/>
    <w:rsid w:val="001A6097"/>
    <w:rsid w:val="001A624E"/>
    <w:rsid w:val="001A6924"/>
    <w:rsid w:val="001A6C04"/>
    <w:rsid w:val="001A7C65"/>
    <w:rsid w:val="001B109F"/>
    <w:rsid w:val="001B17CD"/>
    <w:rsid w:val="001B1810"/>
    <w:rsid w:val="001B241D"/>
    <w:rsid w:val="001B294B"/>
    <w:rsid w:val="001B2D8A"/>
    <w:rsid w:val="001B310E"/>
    <w:rsid w:val="001B4453"/>
    <w:rsid w:val="001B4700"/>
    <w:rsid w:val="001B4BE2"/>
    <w:rsid w:val="001B54EC"/>
    <w:rsid w:val="001B6684"/>
    <w:rsid w:val="001B6B05"/>
    <w:rsid w:val="001B6C2E"/>
    <w:rsid w:val="001B73E8"/>
    <w:rsid w:val="001C0184"/>
    <w:rsid w:val="001C0216"/>
    <w:rsid w:val="001C0943"/>
    <w:rsid w:val="001C0A2C"/>
    <w:rsid w:val="001C1B08"/>
    <w:rsid w:val="001C291D"/>
    <w:rsid w:val="001C2FF0"/>
    <w:rsid w:val="001C3269"/>
    <w:rsid w:val="001C3FA5"/>
    <w:rsid w:val="001C4783"/>
    <w:rsid w:val="001C49B1"/>
    <w:rsid w:val="001C5B26"/>
    <w:rsid w:val="001C6075"/>
    <w:rsid w:val="001C6431"/>
    <w:rsid w:val="001C65E2"/>
    <w:rsid w:val="001C6837"/>
    <w:rsid w:val="001C7A8F"/>
    <w:rsid w:val="001D0FB2"/>
    <w:rsid w:val="001D13A8"/>
    <w:rsid w:val="001D1EB1"/>
    <w:rsid w:val="001D31EC"/>
    <w:rsid w:val="001D4F81"/>
    <w:rsid w:val="001D501D"/>
    <w:rsid w:val="001D5489"/>
    <w:rsid w:val="001D5CCE"/>
    <w:rsid w:val="001D613C"/>
    <w:rsid w:val="001D62CE"/>
    <w:rsid w:val="001D662E"/>
    <w:rsid w:val="001D6C4F"/>
    <w:rsid w:val="001D6D15"/>
    <w:rsid w:val="001D70C4"/>
    <w:rsid w:val="001D713B"/>
    <w:rsid w:val="001D73C2"/>
    <w:rsid w:val="001D7B7E"/>
    <w:rsid w:val="001D7D7F"/>
    <w:rsid w:val="001D7F27"/>
    <w:rsid w:val="001E0295"/>
    <w:rsid w:val="001E10D1"/>
    <w:rsid w:val="001E1D51"/>
    <w:rsid w:val="001E240C"/>
    <w:rsid w:val="001E2F4D"/>
    <w:rsid w:val="001E369A"/>
    <w:rsid w:val="001E39F4"/>
    <w:rsid w:val="001E3CDB"/>
    <w:rsid w:val="001E3E06"/>
    <w:rsid w:val="001E5219"/>
    <w:rsid w:val="001E56C9"/>
    <w:rsid w:val="001E5CC8"/>
    <w:rsid w:val="001E5EB2"/>
    <w:rsid w:val="001E66D7"/>
    <w:rsid w:val="001E70AD"/>
    <w:rsid w:val="001E7687"/>
    <w:rsid w:val="001E773E"/>
    <w:rsid w:val="001E7C0E"/>
    <w:rsid w:val="001E7DD3"/>
    <w:rsid w:val="001F0073"/>
    <w:rsid w:val="001F0980"/>
    <w:rsid w:val="001F0AFA"/>
    <w:rsid w:val="001F0B44"/>
    <w:rsid w:val="001F178D"/>
    <w:rsid w:val="001F288D"/>
    <w:rsid w:val="001F2BA3"/>
    <w:rsid w:val="001F34AD"/>
    <w:rsid w:val="001F39B5"/>
    <w:rsid w:val="001F42AF"/>
    <w:rsid w:val="001F47B5"/>
    <w:rsid w:val="001F48C0"/>
    <w:rsid w:val="001F5496"/>
    <w:rsid w:val="001F5A75"/>
    <w:rsid w:val="001F7EAC"/>
    <w:rsid w:val="00200713"/>
    <w:rsid w:val="00201C4C"/>
    <w:rsid w:val="002023C9"/>
    <w:rsid w:val="00202542"/>
    <w:rsid w:val="002028AC"/>
    <w:rsid w:val="0020293B"/>
    <w:rsid w:val="00203B22"/>
    <w:rsid w:val="00203C80"/>
    <w:rsid w:val="00204655"/>
    <w:rsid w:val="002052F5"/>
    <w:rsid w:val="00207AF7"/>
    <w:rsid w:val="00210B51"/>
    <w:rsid w:val="00210BB0"/>
    <w:rsid w:val="00210FA3"/>
    <w:rsid w:val="00212043"/>
    <w:rsid w:val="00212086"/>
    <w:rsid w:val="00212AA0"/>
    <w:rsid w:val="00213F77"/>
    <w:rsid w:val="00214832"/>
    <w:rsid w:val="0021528C"/>
    <w:rsid w:val="002162D6"/>
    <w:rsid w:val="00217D05"/>
    <w:rsid w:val="002206F7"/>
    <w:rsid w:val="002215AE"/>
    <w:rsid w:val="0022282D"/>
    <w:rsid w:val="00222AEC"/>
    <w:rsid w:val="00222B88"/>
    <w:rsid w:val="00222EE6"/>
    <w:rsid w:val="002231FE"/>
    <w:rsid w:val="00223DD8"/>
    <w:rsid w:val="00223F32"/>
    <w:rsid w:val="002244C4"/>
    <w:rsid w:val="00224512"/>
    <w:rsid w:val="002252EC"/>
    <w:rsid w:val="002266AA"/>
    <w:rsid w:val="002307BA"/>
    <w:rsid w:val="00230A81"/>
    <w:rsid w:val="00231E98"/>
    <w:rsid w:val="00232F72"/>
    <w:rsid w:val="00233CEF"/>
    <w:rsid w:val="00234242"/>
    <w:rsid w:val="002358C8"/>
    <w:rsid w:val="00236938"/>
    <w:rsid w:val="00237B13"/>
    <w:rsid w:val="00237F16"/>
    <w:rsid w:val="00241137"/>
    <w:rsid w:val="00241550"/>
    <w:rsid w:val="00242089"/>
    <w:rsid w:val="0024208E"/>
    <w:rsid w:val="0024253D"/>
    <w:rsid w:val="002428CE"/>
    <w:rsid w:val="0024389E"/>
    <w:rsid w:val="00243CF4"/>
    <w:rsid w:val="002443FF"/>
    <w:rsid w:val="00244867"/>
    <w:rsid w:val="0024514D"/>
    <w:rsid w:val="00245C7E"/>
    <w:rsid w:val="002504B4"/>
    <w:rsid w:val="002509A5"/>
    <w:rsid w:val="00251A02"/>
    <w:rsid w:val="00251D3C"/>
    <w:rsid w:val="0025311F"/>
    <w:rsid w:val="00253B71"/>
    <w:rsid w:val="00253E93"/>
    <w:rsid w:val="00255481"/>
    <w:rsid w:val="002557CD"/>
    <w:rsid w:val="00255E45"/>
    <w:rsid w:val="00256917"/>
    <w:rsid w:val="00256D1C"/>
    <w:rsid w:val="00256E2D"/>
    <w:rsid w:val="002574D0"/>
    <w:rsid w:val="002575C2"/>
    <w:rsid w:val="00257F53"/>
    <w:rsid w:val="00260367"/>
    <w:rsid w:val="00260A3B"/>
    <w:rsid w:val="00260CAC"/>
    <w:rsid w:val="00261699"/>
    <w:rsid w:val="00261D4B"/>
    <w:rsid w:val="00261DDF"/>
    <w:rsid w:val="00261FAE"/>
    <w:rsid w:val="00261FBA"/>
    <w:rsid w:val="002623D7"/>
    <w:rsid w:val="00262552"/>
    <w:rsid w:val="00263877"/>
    <w:rsid w:val="00263965"/>
    <w:rsid w:val="00263E8E"/>
    <w:rsid w:val="0026422C"/>
    <w:rsid w:val="002650EE"/>
    <w:rsid w:val="0026539E"/>
    <w:rsid w:val="002654BA"/>
    <w:rsid w:val="0026560C"/>
    <w:rsid w:val="0026573B"/>
    <w:rsid w:val="00265ACC"/>
    <w:rsid w:val="00265AFE"/>
    <w:rsid w:val="00267347"/>
    <w:rsid w:val="00267AB5"/>
    <w:rsid w:val="00267C23"/>
    <w:rsid w:val="00267EB2"/>
    <w:rsid w:val="00270BA6"/>
    <w:rsid w:val="00270D62"/>
    <w:rsid w:val="00271CAD"/>
    <w:rsid w:val="00272861"/>
    <w:rsid w:val="00272C6D"/>
    <w:rsid w:val="002743BC"/>
    <w:rsid w:val="00275578"/>
    <w:rsid w:val="00275E93"/>
    <w:rsid w:val="002767BA"/>
    <w:rsid w:val="00276B7D"/>
    <w:rsid w:val="00277928"/>
    <w:rsid w:val="0027794F"/>
    <w:rsid w:val="00280EFE"/>
    <w:rsid w:val="00281724"/>
    <w:rsid w:val="00284530"/>
    <w:rsid w:val="002848E2"/>
    <w:rsid w:val="00285551"/>
    <w:rsid w:val="00286E2B"/>
    <w:rsid w:val="00286FD7"/>
    <w:rsid w:val="00287799"/>
    <w:rsid w:val="00287937"/>
    <w:rsid w:val="00287B11"/>
    <w:rsid w:val="00287D0F"/>
    <w:rsid w:val="00290CF4"/>
    <w:rsid w:val="00291045"/>
    <w:rsid w:val="002935F8"/>
    <w:rsid w:val="00294966"/>
    <w:rsid w:val="00294CFD"/>
    <w:rsid w:val="002953E8"/>
    <w:rsid w:val="002955A6"/>
    <w:rsid w:val="00295B7D"/>
    <w:rsid w:val="0029601C"/>
    <w:rsid w:val="002974D7"/>
    <w:rsid w:val="002A01FF"/>
    <w:rsid w:val="002A07E4"/>
    <w:rsid w:val="002A104E"/>
    <w:rsid w:val="002A2447"/>
    <w:rsid w:val="002A29B3"/>
    <w:rsid w:val="002A336E"/>
    <w:rsid w:val="002A3C2B"/>
    <w:rsid w:val="002A3FAD"/>
    <w:rsid w:val="002A428B"/>
    <w:rsid w:val="002A5832"/>
    <w:rsid w:val="002A5C63"/>
    <w:rsid w:val="002A5E35"/>
    <w:rsid w:val="002A6934"/>
    <w:rsid w:val="002A76E5"/>
    <w:rsid w:val="002A7C8C"/>
    <w:rsid w:val="002B0A28"/>
    <w:rsid w:val="002B0A4E"/>
    <w:rsid w:val="002B118F"/>
    <w:rsid w:val="002B1D7A"/>
    <w:rsid w:val="002B1FD2"/>
    <w:rsid w:val="002B206C"/>
    <w:rsid w:val="002B2150"/>
    <w:rsid w:val="002B235D"/>
    <w:rsid w:val="002B26F1"/>
    <w:rsid w:val="002B2D35"/>
    <w:rsid w:val="002B2E5C"/>
    <w:rsid w:val="002B3621"/>
    <w:rsid w:val="002B3BCA"/>
    <w:rsid w:val="002B3F8B"/>
    <w:rsid w:val="002B44F6"/>
    <w:rsid w:val="002B4561"/>
    <w:rsid w:val="002B5E22"/>
    <w:rsid w:val="002B6372"/>
    <w:rsid w:val="002B7856"/>
    <w:rsid w:val="002C0608"/>
    <w:rsid w:val="002C07BC"/>
    <w:rsid w:val="002C16D4"/>
    <w:rsid w:val="002C2B97"/>
    <w:rsid w:val="002C3731"/>
    <w:rsid w:val="002C399B"/>
    <w:rsid w:val="002C4FAC"/>
    <w:rsid w:val="002C5F2D"/>
    <w:rsid w:val="002C70CA"/>
    <w:rsid w:val="002C712D"/>
    <w:rsid w:val="002C7138"/>
    <w:rsid w:val="002C71E9"/>
    <w:rsid w:val="002C754E"/>
    <w:rsid w:val="002C7E87"/>
    <w:rsid w:val="002D0A68"/>
    <w:rsid w:val="002D0F67"/>
    <w:rsid w:val="002D14A7"/>
    <w:rsid w:val="002D14E5"/>
    <w:rsid w:val="002D20F0"/>
    <w:rsid w:val="002D26F0"/>
    <w:rsid w:val="002D31E0"/>
    <w:rsid w:val="002D36F0"/>
    <w:rsid w:val="002D39BF"/>
    <w:rsid w:val="002D50F9"/>
    <w:rsid w:val="002D5344"/>
    <w:rsid w:val="002D56A5"/>
    <w:rsid w:val="002D605D"/>
    <w:rsid w:val="002D6AD9"/>
    <w:rsid w:val="002D7A8A"/>
    <w:rsid w:val="002E02A2"/>
    <w:rsid w:val="002E0B13"/>
    <w:rsid w:val="002E1229"/>
    <w:rsid w:val="002E4429"/>
    <w:rsid w:val="002E47C7"/>
    <w:rsid w:val="002E565E"/>
    <w:rsid w:val="002E5AF3"/>
    <w:rsid w:val="002E68B2"/>
    <w:rsid w:val="002F014B"/>
    <w:rsid w:val="002F03F1"/>
    <w:rsid w:val="002F0E0E"/>
    <w:rsid w:val="002F1E1F"/>
    <w:rsid w:val="002F22D8"/>
    <w:rsid w:val="002F25BC"/>
    <w:rsid w:val="002F2659"/>
    <w:rsid w:val="002F2729"/>
    <w:rsid w:val="002F282A"/>
    <w:rsid w:val="002F2C07"/>
    <w:rsid w:val="002F2C84"/>
    <w:rsid w:val="002F2EAF"/>
    <w:rsid w:val="002F375C"/>
    <w:rsid w:val="002F3CF0"/>
    <w:rsid w:val="002F497E"/>
    <w:rsid w:val="002F4CA0"/>
    <w:rsid w:val="002F51FE"/>
    <w:rsid w:val="002F5283"/>
    <w:rsid w:val="002F5AA3"/>
    <w:rsid w:val="002F5AC1"/>
    <w:rsid w:val="002F7E2D"/>
    <w:rsid w:val="00301454"/>
    <w:rsid w:val="00301918"/>
    <w:rsid w:val="0030209D"/>
    <w:rsid w:val="00302A6C"/>
    <w:rsid w:val="003035A9"/>
    <w:rsid w:val="00303B9A"/>
    <w:rsid w:val="00304035"/>
    <w:rsid w:val="00304616"/>
    <w:rsid w:val="0030462B"/>
    <w:rsid w:val="003046F9"/>
    <w:rsid w:val="0030486A"/>
    <w:rsid w:val="00305036"/>
    <w:rsid w:val="00305975"/>
    <w:rsid w:val="00305EDB"/>
    <w:rsid w:val="00307060"/>
    <w:rsid w:val="00307945"/>
    <w:rsid w:val="00307CB6"/>
    <w:rsid w:val="003112DB"/>
    <w:rsid w:val="003115E0"/>
    <w:rsid w:val="0031274D"/>
    <w:rsid w:val="00312DAA"/>
    <w:rsid w:val="00313794"/>
    <w:rsid w:val="0031485E"/>
    <w:rsid w:val="00314C67"/>
    <w:rsid w:val="0031514B"/>
    <w:rsid w:val="0031558D"/>
    <w:rsid w:val="00317A70"/>
    <w:rsid w:val="00317E4D"/>
    <w:rsid w:val="0032086F"/>
    <w:rsid w:val="0032216F"/>
    <w:rsid w:val="003227F3"/>
    <w:rsid w:val="0032287B"/>
    <w:rsid w:val="0032385C"/>
    <w:rsid w:val="00325E92"/>
    <w:rsid w:val="00326086"/>
    <w:rsid w:val="0032634C"/>
    <w:rsid w:val="0032681E"/>
    <w:rsid w:val="003268AE"/>
    <w:rsid w:val="00326CD9"/>
    <w:rsid w:val="00326F7E"/>
    <w:rsid w:val="00327A2E"/>
    <w:rsid w:val="00330469"/>
    <w:rsid w:val="00330D7F"/>
    <w:rsid w:val="003316F0"/>
    <w:rsid w:val="00332794"/>
    <w:rsid w:val="00333FC9"/>
    <w:rsid w:val="00334B59"/>
    <w:rsid w:val="00335294"/>
    <w:rsid w:val="00335393"/>
    <w:rsid w:val="003362EE"/>
    <w:rsid w:val="0033633C"/>
    <w:rsid w:val="00336913"/>
    <w:rsid w:val="00340CED"/>
    <w:rsid w:val="00342427"/>
    <w:rsid w:val="00342DDD"/>
    <w:rsid w:val="00343AC9"/>
    <w:rsid w:val="0034503B"/>
    <w:rsid w:val="003461EB"/>
    <w:rsid w:val="00346220"/>
    <w:rsid w:val="0034629E"/>
    <w:rsid w:val="00347872"/>
    <w:rsid w:val="0035068B"/>
    <w:rsid w:val="00350850"/>
    <w:rsid w:val="00351452"/>
    <w:rsid w:val="0035258E"/>
    <w:rsid w:val="00353572"/>
    <w:rsid w:val="00353795"/>
    <w:rsid w:val="00353EE9"/>
    <w:rsid w:val="00355251"/>
    <w:rsid w:val="003558AB"/>
    <w:rsid w:val="00355A08"/>
    <w:rsid w:val="00356172"/>
    <w:rsid w:val="003563D2"/>
    <w:rsid w:val="003566BA"/>
    <w:rsid w:val="00356B96"/>
    <w:rsid w:val="00356CA5"/>
    <w:rsid w:val="00357AEF"/>
    <w:rsid w:val="00357F87"/>
    <w:rsid w:val="003609A6"/>
    <w:rsid w:val="00360AAD"/>
    <w:rsid w:val="00360B58"/>
    <w:rsid w:val="00360E64"/>
    <w:rsid w:val="003626D8"/>
    <w:rsid w:val="0036403D"/>
    <w:rsid w:val="0036477D"/>
    <w:rsid w:val="00365058"/>
    <w:rsid w:val="00365A99"/>
    <w:rsid w:val="00365B62"/>
    <w:rsid w:val="003667B6"/>
    <w:rsid w:val="00366B6E"/>
    <w:rsid w:val="00366BC4"/>
    <w:rsid w:val="00366FE5"/>
    <w:rsid w:val="00367113"/>
    <w:rsid w:val="003671A7"/>
    <w:rsid w:val="00367A1C"/>
    <w:rsid w:val="003702A7"/>
    <w:rsid w:val="0037065D"/>
    <w:rsid w:val="00370743"/>
    <w:rsid w:val="00370AEF"/>
    <w:rsid w:val="0037164F"/>
    <w:rsid w:val="00371A1F"/>
    <w:rsid w:val="00372371"/>
    <w:rsid w:val="00373AC4"/>
    <w:rsid w:val="00373D0F"/>
    <w:rsid w:val="003740B1"/>
    <w:rsid w:val="00375326"/>
    <w:rsid w:val="00375939"/>
    <w:rsid w:val="00377DAD"/>
    <w:rsid w:val="003800BF"/>
    <w:rsid w:val="00380731"/>
    <w:rsid w:val="00380750"/>
    <w:rsid w:val="003813F7"/>
    <w:rsid w:val="00381543"/>
    <w:rsid w:val="003825BA"/>
    <w:rsid w:val="003825DA"/>
    <w:rsid w:val="00382E42"/>
    <w:rsid w:val="00383050"/>
    <w:rsid w:val="00383AC9"/>
    <w:rsid w:val="0038436F"/>
    <w:rsid w:val="003869E6"/>
    <w:rsid w:val="00386D1A"/>
    <w:rsid w:val="00387FA6"/>
    <w:rsid w:val="00391D8D"/>
    <w:rsid w:val="0039204D"/>
    <w:rsid w:val="00392465"/>
    <w:rsid w:val="003931C4"/>
    <w:rsid w:val="0039334F"/>
    <w:rsid w:val="00393632"/>
    <w:rsid w:val="0039436A"/>
    <w:rsid w:val="00395DFC"/>
    <w:rsid w:val="00396BD3"/>
    <w:rsid w:val="00397B09"/>
    <w:rsid w:val="003A02A3"/>
    <w:rsid w:val="003A0345"/>
    <w:rsid w:val="003A0EBA"/>
    <w:rsid w:val="003A20AA"/>
    <w:rsid w:val="003A24C9"/>
    <w:rsid w:val="003A277E"/>
    <w:rsid w:val="003A3087"/>
    <w:rsid w:val="003A54E0"/>
    <w:rsid w:val="003A5B8F"/>
    <w:rsid w:val="003A5E74"/>
    <w:rsid w:val="003A6A14"/>
    <w:rsid w:val="003A6BD6"/>
    <w:rsid w:val="003A7124"/>
    <w:rsid w:val="003A7EF3"/>
    <w:rsid w:val="003B0819"/>
    <w:rsid w:val="003B1F73"/>
    <w:rsid w:val="003B3A77"/>
    <w:rsid w:val="003B407A"/>
    <w:rsid w:val="003B44F1"/>
    <w:rsid w:val="003B469B"/>
    <w:rsid w:val="003B4818"/>
    <w:rsid w:val="003B4DAE"/>
    <w:rsid w:val="003B68FF"/>
    <w:rsid w:val="003B7D8D"/>
    <w:rsid w:val="003C042C"/>
    <w:rsid w:val="003C0574"/>
    <w:rsid w:val="003C0CDC"/>
    <w:rsid w:val="003C14E0"/>
    <w:rsid w:val="003C179C"/>
    <w:rsid w:val="003C2CE7"/>
    <w:rsid w:val="003C35BA"/>
    <w:rsid w:val="003C38BC"/>
    <w:rsid w:val="003C3E74"/>
    <w:rsid w:val="003C3FE9"/>
    <w:rsid w:val="003C41A0"/>
    <w:rsid w:val="003C42BF"/>
    <w:rsid w:val="003C4409"/>
    <w:rsid w:val="003C4A09"/>
    <w:rsid w:val="003C4AE5"/>
    <w:rsid w:val="003C63D6"/>
    <w:rsid w:val="003C6D9B"/>
    <w:rsid w:val="003C7600"/>
    <w:rsid w:val="003C76D3"/>
    <w:rsid w:val="003C7B2A"/>
    <w:rsid w:val="003D0109"/>
    <w:rsid w:val="003D11FB"/>
    <w:rsid w:val="003D1325"/>
    <w:rsid w:val="003D1D98"/>
    <w:rsid w:val="003D2965"/>
    <w:rsid w:val="003D29AD"/>
    <w:rsid w:val="003D41E1"/>
    <w:rsid w:val="003D52CC"/>
    <w:rsid w:val="003D6498"/>
    <w:rsid w:val="003D658B"/>
    <w:rsid w:val="003D6C85"/>
    <w:rsid w:val="003D714B"/>
    <w:rsid w:val="003D716E"/>
    <w:rsid w:val="003D7174"/>
    <w:rsid w:val="003E000D"/>
    <w:rsid w:val="003E0337"/>
    <w:rsid w:val="003E058E"/>
    <w:rsid w:val="003E05D8"/>
    <w:rsid w:val="003E06E2"/>
    <w:rsid w:val="003E0C18"/>
    <w:rsid w:val="003E0FE8"/>
    <w:rsid w:val="003E198C"/>
    <w:rsid w:val="003E1DD1"/>
    <w:rsid w:val="003E225C"/>
    <w:rsid w:val="003E2826"/>
    <w:rsid w:val="003E3CF0"/>
    <w:rsid w:val="003E465E"/>
    <w:rsid w:val="003E4B11"/>
    <w:rsid w:val="003E51B9"/>
    <w:rsid w:val="003E53A3"/>
    <w:rsid w:val="003E57A6"/>
    <w:rsid w:val="003E6862"/>
    <w:rsid w:val="003E6AD4"/>
    <w:rsid w:val="003E6C65"/>
    <w:rsid w:val="003E706D"/>
    <w:rsid w:val="003E712D"/>
    <w:rsid w:val="003E785C"/>
    <w:rsid w:val="003E79F6"/>
    <w:rsid w:val="003F00B5"/>
    <w:rsid w:val="003F09B2"/>
    <w:rsid w:val="003F0E17"/>
    <w:rsid w:val="003F105E"/>
    <w:rsid w:val="003F12C2"/>
    <w:rsid w:val="003F171A"/>
    <w:rsid w:val="003F20EE"/>
    <w:rsid w:val="003F2FBE"/>
    <w:rsid w:val="003F3B0D"/>
    <w:rsid w:val="003F41EB"/>
    <w:rsid w:val="003F5C76"/>
    <w:rsid w:val="003F6069"/>
    <w:rsid w:val="003F70AE"/>
    <w:rsid w:val="003F7946"/>
    <w:rsid w:val="003F797B"/>
    <w:rsid w:val="00400658"/>
    <w:rsid w:val="00400ECF"/>
    <w:rsid w:val="0040205A"/>
    <w:rsid w:val="00402233"/>
    <w:rsid w:val="0040253E"/>
    <w:rsid w:val="00402EFD"/>
    <w:rsid w:val="00403041"/>
    <w:rsid w:val="004034E6"/>
    <w:rsid w:val="00403874"/>
    <w:rsid w:val="00403A2A"/>
    <w:rsid w:val="00404148"/>
    <w:rsid w:val="004047E3"/>
    <w:rsid w:val="00404F2D"/>
    <w:rsid w:val="00406FDC"/>
    <w:rsid w:val="004070BF"/>
    <w:rsid w:val="00407A29"/>
    <w:rsid w:val="00407F07"/>
    <w:rsid w:val="00410156"/>
    <w:rsid w:val="00411700"/>
    <w:rsid w:val="0041345B"/>
    <w:rsid w:val="00413F52"/>
    <w:rsid w:val="004140A6"/>
    <w:rsid w:val="004141E6"/>
    <w:rsid w:val="004142A7"/>
    <w:rsid w:val="004152E0"/>
    <w:rsid w:val="00415331"/>
    <w:rsid w:val="00415CD3"/>
    <w:rsid w:val="004165F7"/>
    <w:rsid w:val="00416884"/>
    <w:rsid w:val="004174DC"/>
    <w:rsid w:val="00417B8E"/>
    <w:rsid w:val="004210C2"/>
    <w:rsid w:val="00421351"/>
    <w:rsid w:val="00421390"/>
    <w:rsid w:val="004214C3"/>
    <w:rsid w:val="00421632"/>
    <w:rsid w:val="00421E45"/>
    <w:rsid w:val="0042262F"/>
    <w:rsid w:val="0042428F"/>
    <w:rsid w:val="004252FA"/>
    <w:rsid w:val="00425953"/>
    <w:rsid w:val="00425E6C"/>
    <w:rsid w:val="00426812"/>
    <w:rsid w:val="00426909"/>
    <w:rsid w:val="00427D54"/>
    <w:rsid w:val="00430C8E"/>
    <w:rsid w:val="00430F8F"/>
    <w:rsid w:val="00431546"/>
    <w:rsid w:val="004321F9"/>
    <w:rsid w:val="00432611"/>
    <w:rsid w:val="004329BF"/>
    <w:rsid w:val="00433EF1"/>
    <w:rsid w:val="00433F6E"/>
    <w:rsid w:val="0043426B"/>
    <w:rsid w:val="00434E19"/>
    <w:rsid w:val="00435798"/>
    <w:rsid w:val="00435D1D"/>
    <w:rsid w:val="00436381"/>
    <w:rsid w:val="004366B0"/>
    <w:rsid w:val="0043689E"/>
    <w:rsid w:val="00437CC5"/>
    <w:rsid w:val="0044004C"/>
    <w:rsid w:val="00440DC1"/>
    <w:rsid w:val="00440E84"/>
    <w:rsid w:val="00441F47"/>
    <w:rsid w:val="00442AEA"/>
    <w:rsid w:val="004433C7"/>
    <w:rsid w:val="004433CB"/>
    <w:rsid w:val="00443439"/>
    <w:rsid w:val="00444B32"/>
    <w:rsid w:val="004453A2"/>
    <w:rsid w:val="004461FE"/>
    <w:rsid w:val="00446C9C"/>
    <w:rsid w:val="00447041"/>
    <w:rsid w:val="00447F0B"/>
    <w:rsid w:val="00450029"/>
    <w:rsid w:val="00450853"/>
    <w:rsid w:val="00450CF4"/>
    <w:rsid w:val="0045104C"/>
    <w:rsid w:val="00451B70"/>
    <w:rsid w:val="00452495"/>
    <w:rsid w:val="00453A34"/>
    <w:rsid w:val="00453F83"/>
    <w:rsid w:val="004556FB"/>
    <w:rsid w:val="00455D04"/>
    <w:rsid w:val="004568FE"/>
    <w:rsid w:val="00456E22"/>
    <w:rsid w:val="004609E3"/>
    <w:rsid w:val="00460C04"/>
    <w:rsid w:val="00461260"/>
    <w:rsid w:val="00462B1D"/>
    <w:rsid w:val="00462B98"/>
    <w:rsid w:val="004632A9"/>
    <w:rsid w:val="004633E5"/>
    <w:rsid w:val="004638ED"/>
    <w:rsid w:val="00464AE5"/>
    <w:rsid w:val="00464B00"/>
    <w:rsid w:val="0046631D"/>
    <w:rsid w:val="00466517"/>
    <w:rsid w:val="004674DB"/>
    <w:rsid w:val="00470F3E"/>
    <w:rsid w:val="00472D8A"/>
    <w:rsid w:val="00472F4A"/>
    <w:rsid w:val="00473FBD"/>
    <w:rsid w:val="00474E96"/>
    <w:rsid w:val="004757BA"/>
    <w:rsid w:val="00475B8D"/>
    <w:rsid w:val="00475BE5"/>
    <w:rsid w:val="00475D7E"/>
    <w:rsid w:val="0047601D"/>
    <w:rsid w:val="00476DFB"/>
    <w:rsid w:val="00477EF7"/>
    <w:rsid w:val="004801BB"/>
    <w:rsid w:val="00480977"/>
    <w:rsid w:val="004811DA"/>
    <w:rsid w:val="004830ED"/>
    <w:rsid w:val="00484095"/>
    <w:rsid w:val="0048418F"/>
    <w:rsid w:val="00484C5B"/>
    <w:rsid w:val="00486DF2"/>
    <w:rsid w:val="004876D6"/>
    <w:rsid w:val="00490B92"/>
    <w:rsid w:val="00491549"/>
    <w:rsid w:val="0049194D"/>
    <w:rsid w:val="00491D35"/>
    <w:rsid w:val="00492560"/>
    <w:rsid w:val="00492CC8"/>
    <w:rsid w:val="00494D6E"/>
    <w:rsid w:val="00494FEC"/>
    <w:rsid w:val="00495948"/>
    <w:rsid w:val="00495BC4"/>
    <w:rsid w:val="00496B09"/>
    <w:rsid w:val="00496D2A"/>
    <w:rsid w:val="00497780"/>
    <w:rsid w:val="00497999"/>
    <w:rsid w:val="00497C96"/>
    <w:rsid w:val="00497D54"/>
    <w:rsid w:val="004A0160"/>
    <w:rsid w:val="004A11CF"/>
    <w:rsid w:val="004A1279"/>
    <w:rsid w:val="004A1C8B"/>
    <w:rsid w:val="004A3255"/>
    <w:rsid w:val="004A345F"/>
    <w:rsid w:val="004A3EA9"/>
    <w:rsid w:val="004A46F9"/>
    <w:rsid w:val="004A487E"/>
    <w:rsid w:val="004A48A5"/>
    <w:rsid w:val="004A5342"/>
    <w:rsid w:val="004A5D93"/>
    <w:rsid w:val="004A5F02"/>
    <w:rsid w:val="004A7CC5"/>
    <w:rsid w:val="004B1282"/>
    <w:rsid w:val="004B1BA6"/>
    <w:rsid w:val="004B1E8E"/>
    <w:rsid w:val="004B1F60"/>
    <w:rsid w:val="004B299C"/>
    <w:rsid w:val="004B2BE7"/>
    <w:rsid w:val="004B2FE2"/>
    <w:rsid w:val="004B3158"/>
    <w:rsid w:val="004B38EA"/>
    <w:rsid w:val="004B3FD6"/>
    <w:rsid w:val="004B5BA5"/>
    <w:rsid w:val="004B5FB5"/>
    <w:rsid w:val="004B6A1E"/>
    <w:rsid w:val="004B709F"/>
    <w:rsid w:val="004B70CF"/>
    <w:rsid w:val="004B7660"/>
    <w:rsid w:val="004C01EE"/>
    <w:rsid w:val="004C0B07"/>
    <w:rsid w:val="004C107C"/>
    <w:rsid w:val="004C3593"/>
    <w:rsid w:val="004C4B16"/>
    <w:rsid w:val="004C7373"/>
    <w:rsid w:val="004C7927"/>
    <w:rsid w:val="004D01F6"/>
    <w:rsid w:val="004D0435"/>
    <w:rsid w:val="004D0D90"/>
    <w:rsid w:val="004D203C"/>
    <w:rsid w:val="004D28B3"/>
    <w:rsid w:val="004D2A71"/>
    <w:rsid w:val="004D2CF3"/>
    <w:rsid w:val="004D2E2D"/>
    <w:rsid w:val="004D35AD"/>
    <w:rsid w:val="004D4061"/>
    <w:rsid w:val="004D4BBC"/>
    <w:rsid w:val="004D500A"/>
    <w:rsid w:val="004D50D7"/>
    <w:rsid w:val="004D5C03"/>
    <w:rsid w:val="004D6467"/>
    <w:rsid w:val="004D76AB"/>
    <w:rsid w:val="004E123D"/>
    <w:rsid w:val="004E1933"/>
    <w:rsid w:val="004E199D"/>
    <w:rsid w:val="004E1AD5"/>
    <w:rsid w:val="004E3675"/>
    <w:rsid w:val="004E37F4"/>
    <w:rsid w:val="004E4037"/>
    <w:rsid w:val="004E4D77"/>
    <w:rsid w:val="004E5170"/>
    <w:rsid w:val="004E553C"/>
    <w:rsid w:val="004E5677"/>
    <w:rsid w:val="004E59D1"/>
    <w:rsid w:val="004E5CA9"/>
    <w:rsid w:val="004E645E"/>
    <w:rsid w:val="004E6B58"/>
    <w:rsid w:val="004E6ECF"/>
    <w:rsid w:val="004E6FC7"/>
    <w:rsid w:val="004E7A50"/>
    <w:rsid w:val="004E7A6A"/>
    <w:rsid w:val="004F0A8C"/>
    <w:rsid w:val="004F136D"/>
    <w:rsid w:val="004F1AA0"/>
    <w:rsid w:val="004F2599"/>
    <w:rsid w:val="004F26AA"/>
    <w:rsid w:val="004F33CE"/>
    <w:rsid w:val="004F34CF"/>
    <w:rsid w:val="004F34EF"/>
    <w:rsid w:val="004F3966"/>
    <w:rsid w:val="004F41B3"/>
    <w:rsid w:val="004F42CB"/>
    <w:rsid w:val="004F4D77"/>
    <w:rsid w:val="004F5069"/>
    <w:rsid w:val="004F566B"/>
    <w:rsid w:val="004F59AF"/>
    <w:rsid w:val="004F6C6B"/>
    <w:rsid w:val="004F6C7F"/>
    <w:rsid w:val="004F6E1D"/>
    <w:rsid w:val="004F7713"/>
    <w:rsid w:val="004F7D8E"/>
    <w:rsid w:val="005000B3"/>
    <w:rsid w:val="005001DE"/>
    <w:rsid w:val="00500632"/>
    <w:rsid w:val="00500E52"/>
    <w:rsid w:val="00500F93"/>
    <w:rsid w:val="005011DD"/>
    <w:rsid w:val="00501D6D"/>
    <w:rsid w:val="00502327"/>
    <w:rsid w:val="0050298E"/>
    <w:rsid w:val="005030A9"/>
    <w:rsid w:val="005031C1"/>
    <w:rsid w:val="0050349D"/>
    <w:rsid w:val="005034EC"/>
    <w:rsid w:val="005037AA"/>
    <w:rsid w:val="005044D3"/>
    <w:rsid w:val="00504763"/>
    <w:rsid w:val="005053AB"/>
    <w:rsid w:val="00505AE2"/>
    <w:rsid w:val="005102C3"/>
    <w:rsid w:val="0051083F"/>
    <w:rsid w:val="00511475"/>
    <w:rsid w:val="00513487"/>
    <w:rsid w:val="0051363C"/>
    <w:rsid w:val="00513CF1"/>
    <w:rsid w:val="00514696"/>
    <w:rsid w:val="005147EC"/>
    <w:rsid w:val="00515548"/>
    <w:rsid w:val="00515638"/>
    <w:rsid w:val="00515874"/>
    <w:rsid w:val="005158ED"/>
    <w:rsid w:val="00517907"/>
    <w:rsid w:val="00517A3E"/>
    <w:rsid w:val="00520512"/>
    <w:rsid w:val="00520654"/>
    <w:rsid w:val="005207E4"/>
    <w:rsid w:val="00522592"/>
    <w:rsid w:val="0052267F"/>
    <w:rsid w:val="00524937"/>
    <w:rsid w:val="00524C0B"/>
    <w:rsid w:val="00526914"/>
    <w:rsid w:val="00527E6C"/>
    <w:rsid w:val="00530789"/>
    <w:rsid w:val="00530BF0"/>
    <w:rsid w:val="00530CBD"/>
    <w:rsid w:val="00531B62"/>
    <w:rsid w:val="0053319E"/>
    <w:rsid w:val="005335E6"/>
    <w:rsid w:val="005336BC"/>
    <w:rsid w:val="0053406D"/>
    <w:rsid w:val="00534796"/>
    <w:rsid w:val="00534913"/>
    <w:rsid w:val="005351F4"/>
    <w:rsid w:val="00535577"/>
    <w:rsid w:val="005356B5"/>
    <w:rsid w:val="0053577F"/>
    <w:rsid w:val="00535BEC"/>
    <w:rsid w:val="00535E6F"/>
    <w:rsid w:val="005360A3"/>
    <w:rsid w:val="00536D75"/>
    <w:rsid w:val="00537536"/>
    <w:rsid w:val="00537CB9"/>
    <w:rsid w:val="00540B34"/>
    <w:rsid w:val="0054101B"/>
    <w:rsid w:val="00541BA7"/>
    <w:rsid w:val="00541D61"/>
    <w:rsid w:val="005420F7"/>
    <w:rsid w:val="005438C2"/>
    <w:rsid w:val="00543AE5"/>
    <w:rsid w:val="00544EE4"/>
    <w:rsid w:val="00545E9E"/>
    <w:rsid w:val="005462B2"/>
    <w:rsid w:val="00546939"/>
    <w:rsid w:val="00546B1B"/>
    <w:rsid w:val="0054749C"/>
    <w:rsid w:val="0055067C"/>
    <w:rsid w:val="00550C8C"/>
    <w:rsid w:val="00550CB0"/>
    <w:rsid w:val="00550D58"/>
    <w:rsid w:val="00551006"/>
    <w:rsid w:val="00552DF6"/>
    <w:rsid w:val="00552F78"/>
    <w:rsid w:val="005531F9"/>
    <w:rsid w:val="0055342D"/>
    <w:rsid w:val="00553B33"/>
    <w:rsid w:val="00553D8B"/>
    <w:rsid w:val="005548E3"/>
    <w:rsid w:val="00554984"/>
    <w:rsid w:val="00554A18"/>
    <w:rsid w:val="00555B44"/>
    <w:rsid w:val="00555BE3"/>
    <w:rsid w:val="005560FC"/>
    <w:rsid w:val="005564AC"/>
    <w:rsid w:val="0055691B"/>
    <w:rsid w:val="00556F27"/>
    <w:rsid w:val="00557BF6"/>
    <w:rsid w:val="005604E7"/>
    <w:rsid w:val="005606FE"/>
    <w:rsid w:val="00561551"/>
    <w:rsid w:val="00562108"/>
    <w:rsid w:val="005646AA"/>
    <w:rsid w:val="00564D8B"/>
    <w:rsid w:val="00564FDB"/>
    <w:rsid w:val="005657C9"/>
    <w:rsid w:val="005661A3"/>
    <w:rsid w:val="00566D60"/>
    <w:rsid w:val="00567B51"/>
    <w:rsid w:val="00570B9B"/>
    <w:rsid w:val="00570F5C"/>
    <w:rsid w:val="00571599"/>
    <w:rsid w:val="0057240A"/>
    <w:rsid w:val="00572414"/>
    <w:rsid w:val="005728F0"/>
    <w:rsid w:val="0057314C"/>
    <w:rsid w:val="005734CA"/>
    <w:rsid w:val="00573651"/>
    <w:rsid w:val="00573CF5"/>
    <w:rsid w:val="00573F10"/>
    <w:rsid w:val="00574352"/>
    <w:rsid w:val="00574CE1"/>
    <w:rsid w:val="00575FCD"/>
    <w:rsid w:val="005769AA"/>
    <w:rsid w:val="00576E63"/>
    <w:rsid w:val="005771EF"/>
    <w:rsid w:val="00577268"/>
    <w:rsid w:val="00577C66"/>
    <w:rsid w:val="00577C72"/>
    <w:rsid w:val="00580190"/>
    <w:rsid w:val="00581893"/>
    <w:rsid w:val="005820A4"/>
    <w:rsid w:val="0058286D"/>
    <w:rsid w:val="00582973"/>
    <w:rsid w:val="00583110"/>
    <w:rsid w:val="005834EF"/>
    <w:rsid w:val="00583BB0"/>
    <w:rsid w:val="005841D7"/>
    <w:rsid w:val="005845E7"/>
    <w:rsid w:val="00584C50"/>
    <w:rsid w:val="00585CD4"/>
    <w:rsid w:val="00585F35"/>
    <w:rsid w:val="0058634C"/>
    <w:rsid w:val="0058638A"/>
    <w:rsid w:val="00586DE8"/>
    <w:rsid w:val="00586F17"/>
    <w:rsid w:val="00587231"/>
    <w:rsid w:val="00587717"/>
    <w:rsid w:val="00590113"/>
    <w:rsid w:val="0059014B"/>
    <w:rsid w:val="00590E42"/>
    <w:rsid w:val="005918F5"/>
    <w:rsid w:val="00591B7A"/>
    <w:rsid w:val="00594214"/>
    <w:rsid w:val="00594FD4"/>
    <w:rsid w:val="00595620"/>
    <w:rsid w:val="00595A46"/>
    <w:rsid w:val="00595F99"/>
    <w:rsid w:val="00596389"/>
    <w:rsid w:val="00596493"/>
    <w:rsid w:val="00596FA3"/>
    <w:rsid w:val="005976BA"/>
    <w:rsid w:val="00597E2F"/>
    <w:rsid w:val="005A19B9"/>
    <w:rsid w:val="005A1D3E"/>
    <w:rsid w:val="005A2789"/>
    <w:rsid w:val="005A2CE2"/>
    <w:rsid w:val="005A3577"/>
    <w:rsid w:val="005A432A"/>
    <w:rsid w:val="005A531E"/>
    <w:rsid w:val="005A5D79"/>
    <w:rsid w:val="005A62BC"/>
    <w:rsid w:val="005A69ED"/>
    <w:rsid w:val="005A6E61"/>
    <w:rsid w:val="005A733F"/>
    <w:rsid w:val="005A7435"/>
    <w:rsid w:val="005B1A41"/>
    <w:rsid w:val="005B2554"/>
    <w:rsid w:val="005B25F6"/>
    <w:rsid w:val="005B294B"/>
    <w:rsid w:val="005B346B"/>
    <w:rsid w:val="005B3500"/>
    <w:rsid w:val="005B367C"/>
    <w:rsid w:val="005B39B6"/>
    <w:rsid w:val="005B4ECB"/>
    <w:rsid w:val="005B4EDB"/>
    <w:rsid w:val="005B57BE"/>
    <w:rsid w:val="005B5D87"/>
    <w:rsid w:val="005B5D99"/>
    <w:rsid w:val="005B638A"/>
    <w:rsid w:val="005B7075"/>
    <w:rsid w:val="005B7320"/>
    <w:rsid w:val="005B78FC"/>
    <w:rsid w:val="005C11EC"/>
    <w:rsid w:val="005C2674"/>
    <w:rsid w:val="005C2763"/>
    <w:rsid w:val="005C334B"/>
    <w:rsid w:val="005C35CD"/>
    <w:rsid w:val="005C3ED3"/>
    <w:rsid w:val="005C5C32"/>
    <w:rsid w:val="005C65EC"/>
    <w:rsid w:val="005C66F8"/>
    <w:rsid w:val="005C7F85"/>
    <w:rsid w:val="005D0313"/>
    <w:rsid w:val="005D0578"/>
    <w:rsid w:val="005D08B4"/>
    <w:rsid w:val="005D0D43"/>
    <w:rsid w:val="005D10F9"/>
    <w:rsid w:val="005D11B9"/>
    <w:rsid w:val="005D12C6"/>
    <w:rsid w:val="005D1899"/>
    <w:rsid w:val="005D2494"/>
    <w:rsid w:val="005D2CD4"/>
    <w:rsid w:val="005D2F55"/>
    <w:rsid w:val="005D3698"/>
    <w:rsid w:val="005D3ADB"/>
    <w:rsid w:val="005D4A64"/>
    <w:rsid w:val="005D524D"/>
    <w:rsid w:val="005D559C"/>
    <w:rsid w:val="005D6C65"/>
    <w:rsid w:val="005D6D46"/>
    <w:rsid w:val="005D6E50"/>
    <w:rsid w:val="005D7B04"/>
    <w:rsid w:val="005D7EA1"/>
    <w:rsid w:val="005E09E2"/>
    <w:rsid w:val="005E0CB3"/>
    <w:rsid w:val="005E1118"/>
    <w:rsid w:val="005E2118"/>
    <w:rsid w:val="005E2EFE"/>
    <w:rsid w:val="005E3F65"/>
    <w:rsid w:val="005E49BA"/>
    <w:rsid w:val="005E4A5B"/>
    <w:rsid w:val="005E4BA0"/>
    <w:rsid w:val="005E4EC8"/>
    <w:rsid w:val="005E4FF1"/>
    <w:rsid w:val="005E5BBC"/>
    <w:rsid w:val="005E629C"/>
    <w:rsid w:val="005E705F"/>
    <w:rsid w:val="005E72EC"/>
    <w:rsid w:val="005F082A"/>
    <w:rsid w:val="005F0B5F"/>
    <w:rsid w:val="005F139A"/>
    <w:rsid w:val="005F1DA8"/>
    <w:rsid w:val="005F20A4"/>
    <w:rsid w:val="005F21F9"/>
    <w:rsid w:val="005F3847"/>
    <w:rsid w:val="005F3FB2"/>
    <w:rsid w:val="005F4A88"/>
    <w:rsid w:val="005F4D4C"/>
    <w:rsid w:val="005F4E56"/>
    <w:rsid w:val="005F4ECB"/>
    <w:rsid w:val="005F5A33"/>
    <w:rsid w:val="005F5CC3"/>
    <w:rsid w:val="005F5DD5"/>
    <w:rsid w:val="005F6332"/>
    <w:rsid w:val="005F679F"/>
    <w:rsid w:val="005F6833"/>
    <w:rsid w:val="005F6B4A"/>
    <w:rsid w:val="005F78F7"/>
    <w:rsid w:val="006003EF"/>
    <w:rsid w:val="00602166"/>
    <w:rsid w:val="0060345E"/>
    <w:rsid w:val="00603879"/>
    <w:rsid w:val="006039D6"/>
    <w:rsid w:val="00604098"/>
    <w:rsid w:val="00604B69"/>
    <w:rsid w:val="006050B2"/>
    <w:rsid w:val="00605A64"/>
    <w:rsid w:val="00605F38"/>
    <w:rsid w:val="00606012"/>
    <w:rsid w:val="006061AB"/>
    <w:rsid w:val="00606465"/>
    <w:rsid w:val="00606505"/>
    <w:rsid w:val="00607276"/>
    <w:rsid w:val="00610156"/>
    <w:rsid w:val="006108FB"/>
    <w:rsid w:val="006119F4"/>
    <w:rsid w:val="0061200B"/>
    <w:rsid w:val="006123CF"/>
    <w:rsid w:val="00612DB5"/>
    <w:rsid w:val="0061300D"/>
    <w:rsid w:val="006131F7"/>
    <w:rsid w:val="0061453B"/>
    <w:rsid w:val="00615D1E"/>
    <w:rsid w:val="00616497"/>
    <w:rsid w:val="00616522"/>
    <w:rsid w:val="006170CC"/>
    <w:rsid w:val="006177E8"/>
    <w:rsid w:val="006179ED"/>
    <w:rsid w:val="00617ED2"/>
    <w:rsid w:val="006207A0"/>
    <w:rsid w:val="00620ED6"/>
    <w:rsid w:val="00621A8E"/>
    <w:rsid w:val="006221D9"/>
    <w:rsid w:val="006229CB"/>
    <w:rsid w:val="00622E27"/>
    <w:rsid w:val="0062304F"/>
    <w:rsid w:val="006230E7"/>
    <w:rsid w:val="0062335B"/>
    <w:rsid w:val="006236C8"/>
    <w:rsid w:val="00623AF1"/>
    <w:rsid w:val="00623E57"/>
    <w:rsid w:val="006240E6"/>
    <w:rsid w:val="0062455D"/>
    <w:rsid w:val="006255C2"/>
    <w:rsid w:val="006255E6"/>
    <w:rsid w:val="00625AD2"/>
    <w:rsid w:val="00625CE2"/>
    <w:rsid w:val="00626892"/>
    <w:rsid w:val="00626FDC"/>
    <w:rsid w:val="00630025"/>
    <w:rsid w:val="00630394"/>
    <w:rsid w:val="006306D9"/>
    <w:rsid w:val="0063082B"/>
    <w:rsid w:val="006308A9"/>
    <w:rsid w:val="00630C7E"/>
    <w:rsid w:val="00631A1B"/>
    <w:rsid w:val="00631EB5"/>
    <w:rsid w:val="00632215"/>
    <w:rsid w:val="00633A3B"/>
    <w:rsid w:val="006341C1"/>
    <w:rsid w:val="0063545C"/>
    <w:rsid w:val="00635C06"/>
    <w:rsid w:val="0063694F"/>
    <w:rsid w:val="00637C40"/>
    <w:rsid w:val="00637F9E"/>
    <w:rsid w:val="00640634"/>
    <w:rsid w:val="006416A1"/>
    <w:rsid w:val="006418C8"/>
    <w:rsid w:val="0064194A"/>
    <w:rsid w:val="006423D1"/>
    <w:rsid w:val="006425DB"/>
    <w:rsid w:val="00642922"/>
    <w:rsid w:val="00642A9A"/>
    <w:rsid w:val="006437C5"/>
    <w:rsid w:val="00644AB1"/>
    <w:rsid w:val="00644CE5"/>
    <w:rsid w:val="00644EAB"/>
    <w:rsid w:val="00645333"/>
    <w:rsid w:val="00645865"/>
    <w:rsid w:val="00646027"/>
    <w:rsid w:val="00646AB6"/>
    <w:rsid w:val="00646DCC"/>
    <w:rsid w:val="0064747E"/>
    <w:rsid w:val="00647645"/>
    <w:rsid w:val="00647742"/>
    <w:rsid w:val="00650030"/>
    <w:rsid w:val="00650472"/>
    <w:rsid w:val="006518C7"/>
    <w:rsid w:val="00651BC6"/>
    <w:rsid w:val="00651D64"/>
    <w:rsid w:val="0065252A"/>
    <w:rsid w:val="0065351A"/>
    <w:rsid w:val="00653A3B"/>
    <w:rsid w:val="00654186"/>
    <w:rsid w:val="00655925"/>
    <w:rsid w:val="006568AF"/>
    <w:rsid w:val="00657A61"/>
    <w:rsid w:val="00657CBD"/>
    <w:rsid w:val="00657CBE"/>
    <w:rsid w:val="00657DB3"/>
    <w:rsid w:val="006601CD"/>
    <w:rsid w:val="00660BD3"/>
    <w:rsid w:val="00660FAF"/>
    <w:rsid w:val="006619A8"/>
    <w:rsid w:val="00661AA8"/>
    <w:rsid w:val="0066201B"/>
    <w:rsid w:val="00662BBC"/>
    <w:rsid w:val="00662D7C"/>
    <w:rsid w:val="006641DF"/>
    <w:rsid w:val="0066447A"/>
    <w:rsid w:val="006646E8"/>
    <w:rsid w:val="006647D1"/>
    <w:rsid w:val="00664D40"/>
    <w:rsid w:val="0066542B"/>
    <w:rsid w:val="0066604C"/>
    <w:rsid w:val="00666F5C"/>
    <w:rsid w:val="00666F82"/>
    <w:rsid w:val="00667510"/>
    <w:rsid w:val="00667539"/>
    <w:rsid w:val="00667B8D"/>
    <w:rsid w:val="00667E50"/>
    <w:rsid w:val="00667F54"/>
    <w:rsid w:val="00667FE2"/>
    <w:rsid w:val="0067072A"/>
    <w:rsid w:val="00670D49"/>
    <w:rsid w:val="00670E74"/>
    <w:rsid w:val="00671367"/>
    <w:rsid w:val="00671F57"/>
    <w:rsid w:val="006727D4"/>
    <w:rsid w:val="00673652"/>
    <w:rsid w:val="0067543D"/>
    <w:rsid w:val="00675C2A"/>
    <w:rsid w:val="0067672B"/>
    <w:rsid w:val="00677067"/>
    <w:rsid w:val="00677522"/>
    <w:rsid w:val="0068030A"/>
    <w:rsid w:val="00680B08"/>
    <w:rsid w:val="006815F8"/>
    <w:rsid w:val="006824FB"/>
    <w:rsid w:val="006826B8"/>
    <w:rsid w:val="0068343E"/>
    <w:rsid w:val="006836D3"/>
    <w:rsid w:val="0068373A"/>
    <w:rsid w:val="006837E1"/>
    <w:rsid w:val="00684BCA"/>
    <w:rsid w:val="00684FF9"/>
    <w:rsid w:val="00685D88"/>
    <w:rsid w:val="00686DB4"/>
    <w:rsid w:val="00686E74"/>
    <w:rsid w:val="00687691"/>
    <w:rsid w:val="00687CC2"/>
    <w:rsid w:val="006902C3"/>
    <w:rsid w:val="00690438"/>
    <w:rsid w:val="0069065F"/>
    <w:rsid w:val="00690CA9"/>
    <w:rsid w:val="006920A0"/>
    <w:rsid w:val="006922AC"/>
    <w:rsid w:val="006929A3"/>
    <w:rsid w:val="00692CC8"/>
    <w:rsid w:val="00693081"/>
    <w:rsid w:val="0069315B"/>
    <w:rsid w:val="006934C8"/>
    <w:rsid w:val="00693652"/>
    <w:rsid w:val="00693D95"/>
    <w:rsid w:val="00694692"/>
    <w:rsid w:val="00694BBF"/>
    <w:rsid w:val="00694ED2"/>
    <w:rsid w:val="006958D0"/>
    <w:rsid w:val="006962C8"/>
    <w:rsid w:val="006973B4"/>
    <w:rsid w:val="00697668"/>
    <w:rsid w:val="00697A20"/>
    <w:rsid w:val="00697B6C"/>
    <w:rsid w:val="00697E48"/>
    <w:rsid w:val="006A035E"/>
    <w:rsid w:val="006A0C1E"/>
    <w:rsid w:val="006A0D2F"/>
    <w:rsid w:val="006A11A9"/>
    <w:rsid w:val="006A15E9"/>
    <w:rsid w:val="006A1660"/>
    <w:rsid w:val="006A1BBC"/>
    <w:rsid w:val="006A2A06"/>
    <w:rsid w:val="006A44CB"/>
    <w:rsid w:val="006A4ACA"/>
    <w:rsid w:val="006A4D43"/>
    <w:rsid w:val="006A57D4"/>
    <w:rsid w:val="006A58FF"/>
    <w:rsid w:val="006A6621"/>
    <w:rsid w:val="006A6D6D"/>
    <w:rsid w:val="006A7772"/>
    <w:rsid w:val="006A79D0"/>
    <w:rsid w:val="006A7B05"/>
    <w:rsid w:val="006B02A7"/>
    <w:rsid w:val="006B068A"/>
    <w:rsid w:val="006B0A55"/>
    <w:rsid w:val="006B16A6"/>
    <w:rsid w:val="006B1A12"/>
    <w:rsid w:val="006B1AA3"/>
    <w:rsid w:val="006B2F2C"/>
    <w:rsid w:val="006B35E2"/>
    <w:rsid w:val="006B42E9"/>
    <w:rsid w:val="006B4364"/>
    <w:rsid w:val="006B44F9"/>
    <w:rsid w:val="006B4EA1"/>
    <w:rsid w:val="006B4EB8"/>
    <w:rsid w:val="006B5146"/>
    <w:rsid w:val="006B5532"/>
    <w:rsid w:val="006B56CF"/>
    <w:rsid w:val="006B68F7"/>
    <w:rsid w:val="006B76DE"/>
    <w:rsid w:val="006B7DBE"/>
    <w:rsid w:val="006B7E90"/>
    <w:rsid w:val="006C0B80"/>
    <w:rsid w:val="006C1471"/>
    <w:rsid w:val="006C1496"/>
    <w:rsid w:val="006C1A58"/>
    <w:rsid w:val="006C1DB1"/>
    <w:rsid w:val="006C23D7"/>
    <w:rsid w:val="006C24D3"/>
    <w:rsid w:val="006C28CF"/>
    <w:rsid w:val="006C32DA"/>
    <w:rsid w:val="006C38B3"/>
    <w:rsid w:val="006C4C6A"/>
    <w:rsid w:val="006C54CF"/>
    <w:rsid w:val="006C555B"/>
    <w:rsid w:val="006C5EAC"/>
    <w:rsid w:val="006C6098"/>
    <w:rsid w:val="006C6615"/>
    <w:rsid w:val="006C6851"/>
    <w:rsid w:val="006C6E00"/>
    <w:rsid w:val="006C6E24"/>
    <w:rsid w:val="006C7A02"/>
    <w:rsid w:val="006D01CB"/>
    <w:rsid w:val="006D0738"/>
    <w:rsid w:val="006D0F01"/>
    <w:rsid w:val="006D1193"/>
    <w:rsid w:val="006D11B4"/>
    <w:rsid w:val="006D1F6F"/>
    <w:rsid w:val="006D2576"/>
    <w:rsid w:val="006D2775"/>
    <w:rsid w:val="006D2DB5"/>
    <w:rsid w:val="006D3127"/>
    <w:rsid w:val="006D415D"/>
    <w:rsid w:val="006D50A1"/>
    <w:rsid w:val="006D50E5"/>
    <w:rsid w:val="006D5174"/>
    <w:rsid w:val="006D523C"/>
    <w:rsid w:val="006D5AE5"/>
    <w:rsid w:val="006D5AF6"/>
    <w:rsid w:val="006E0A46"/>
    <w:rsid w:val="006E1550"/>
    <w:rsid w:val="006E1584"/>
    <w:rsid w:val="006E19B0"/>
    <w:rsid w:val="006E2B71"/>
    <w:rsid w:val="006E2E93"/>
    <w:rsid w:val="006E2F1A"/>
    <w:rsid w:val="006E31D0"/>
    <w:rsid w:val="006E3CCA"/>
    <w:rsid w:val="006E3FE8"/>
    <w:rsid w:val="006E472C"/>
    <w:rsid w:val="006E4AF5"/>
    <w:rsid w:val="006E5B76"/>
    <w:rsid w:val="006E60AA"/>
    <w:rsid w:val="006E646E"/>
    <w:rsid w:val="006E6ADC"/>
    <w:rsid w:val="006E6DF6"/>
    <w:rsid w:val="006E7AD1"/>
    <w:rsid w:val="006F0334"/>
    <w:rsid w:val="006F0581"/>
    <w:rsid w:val="006F222C"/>
    <w:rsid w:val="006F2BDD"/>
    <w:rsid w:val="006F2EFC"/>
    <w:rsid w:val="006F3C39"/>
    <w:rsid w:val="006F4561"/>
    <w:rsid w:val="006F48F5"/>
    <w:rsid w:val="006F4D65"/>
    <w:rsid w:val="006F4F5C"/>
    <w:rsid w:val="006F5561"/>
    <w:rsid w:val="006F56AB"/>
    <w:rsid w:val="006F5C16"/>
    <w:rsid w:val="006F7AB4"/>
    <w:rsid w:val="006F7D38"/>
    <w:rsid w:val="007006CE"/>
    <w:rsid w:val="007013F9"/>
    <w:rsid w:val="0070184B"/>
    <w:rsid w:val="0070221C"/>
    <w:rsid w:val="00702228"/>
    <w:rsid w:val="00703A31"/>
    <w:rsid w:val="00703C30"/>
    <w:rsid w:val="00703FDA"/>
    <w:rsid w:val="0070482B"/>
    <w:rsid w:val="0070539E"/>
    <w:rsid w:val="00705717"/>
    <w:rsid w:val="00705A4D"/>
    <w:rsid w:val="00705F07"/>
    <w:rsid w:val="00707B9C"/>
    <w:rsid w:val="00707E8D"/>
    <w:rsid w:val="00710C78"/>
    <w:rsid w:val="00710C94"/>
    <w:rsid w:val="007119BB"/>
    <w:rsid w:val="00711C21"/>
    <w:rsid w:val="0071271A"/>
    <w:rsid w:val="00712FCC"/>
    <w:rsid w:val="00713734"/>
    <w:rsid w:val="00713B2A"/>
    <w:rsid w:val="00713CA7"/>
    <w:rsid w:val="00713D8D"/>
    <w:rsid w:val="007144EF"/>
    <w:rsid w:val="00714A69"/>
    <w:rsid w:val="00714AE0"/>
    <w:rsid w:val="00714EDB"/>
    <w:rsid w:val="00714F04"/>
    <w:rsid w:val="00715D19"/>
    <w:rsid w:val="00715E8A"/>
    <w:rsid w:val="007160E6"/>
    <w:rsid w:val="007160EB"/>
    <w:rsid w:val="00716480"/>
    <w:rsid w:val="0071648E"/>
    <w:rsid w:val="00716552"/>
    <w:rsid w:val="007208E4"/>
    <w:rsid w:val="00721781"/>
    <w:rsid w:val="007217C1"/>
    <w:rsid w:val="0072189E"/>
    <w:rsid w:val="00721E46"/>
    <w:rsid w:val="00721FF9"/>
    <w:rsid w:val="0072229A"/>
    <w:rsid w:val="0072254C"/>
    <w:rsid w:val="00722578"/>
    <w:rsid w:val="00722930"/>
    <w:rsid w:val="007229FA"/>
    <w:rsid w:val="007231F8"/>
    <w:rsid w:val="007239C5"/>
    <w:rsid w:val="00723D3A"/>
    <w:rsid w:val="00724B7C"/>
    <w:rsid w:val="00725424"/>
    <w:rsid w:val="007259DE"/>
    <w:rsid w:val="00725EF5"/>
    <w:rsid w:val="00726411"/>
    <w:rsid w:val="00727AE4"/>
    <w:rsid w:val="00730661"/>
    <w:rsid w:val="00730B93"/>
    <w:rsid w:val="00730D98"/>
    <w:rsid w:val="007310BC"/>
    <w:rsid w:val="007314E4"/>
    <w:rsid w:val="0073185F"/>
    <w:rsid w:val="00731F35"/>
    <w:rsid w:val="00731FE9"/>
    <w:rsid w:val="007320FD"/>
    <w:rsid w:val="00732893"/>
    <w:rsid w:val="00732EBA"/>
    <w:rsid w:val="0073307C"/>
    <w:rsid w:val="00733090"/>
    <w:rsid w:val="00733E50"/>
    <w:rsid w:val="00735221"/>
    <w:rsid w:val="00735BA2"/>
    <w:rsid w:val="00735D94"/>
    <w:rsid w:val="0073623C"/>
    <w:rsid w:val="00736443"/>
    <w:rsid w:val="00736578"/>
    <w:rsid w:val="007365E9"/>
    <w:rsid w:val="0073681D"/>
    <w:rsid w:val="00736B50"/>
    <w:rsid w:val="0073743C"/>
    <w:rsid w:val="007374BA"/>
    <w:rsid w:val="00737562"/>
    <w:rsid w:val="00742678"/>
    <w:rsid w:val="00742C8A"/>
    <w:rsid w:val="00742C8F"/>
    <w:rsid w:val="00744881"/>
    <w:rsid w:val="00744EDC"/>
    <w:rsid w:val="0074503D"/>
    <w:rsid w:val="00745788"/>
    <w:rsid w:val="007457FF"/>
    <w:rsid w:val="00745A2F"/>
    <w:rsid w:val="007471B2"/>
    <w:rsid w:val="0074758D"/>
    <w:rsid w:val="00747BD7"/>
    <w:rsid w:val="007501CD"/>
    <w:rsid w:val="00750407"/>
    <w:rsid w:val="00750A84"/>
    <w:rsid w:val="007528F1"/>
    <w:rsid w:val="00753238"/>
    <w:rsid w:val="007538F4"/>
    <w:rsid w:val="00753BF4"/>
    <w:rsid w:val="00754832"/>
    <w:rsid w:val="00755D8F"/>
    <w:rsid w:val="007563B2"/>
    <w:rsid w:val="00756431"/>
    <w:rsid w:val="00756736"/>
    <w:rsid w:val="007573FA"/>
    <w:rsid w:val="00757D2A"/>
    <w:rsid w:val="00761C24"/>
    <w:rsid w:val="00761EEA"/>
    <w:rsid w:val="007620E2"/>
    <w:rsid w:val="007621B4"/>
    <w:rsid w:val="00762D5F"/>
    <w:rsid w:val="00762EF4"/>
    <w:rsid w:val="00763291"/>
    <w:rsid w:val="0076372C"/>
    <w:rsid w:val="00763CFD"/>
    <w:rsid w:val="00764825"/>
    <w:rsid w:val="007649CF"/>
    <w:rsid w:val="00765944"/>
    <w:rsid w:val="00765D8D"/>
    <w:rsid w:val="007667E6"/>
    <w:rsid w:val="00766D8E"/>
    <w:rsid w:val="00767A92"/>
    <w:rsid w:val="00767CE1"/>
    <w:rsid w:val="00770815"/>
    <w:rsid w:val="007720B0"/>
    <w:rsid w:val="0077242E"/>
    <w:rsid w:val="00772A75"/>
    <w:rsid w:val="00773140"/>
    <w:rsid w:val="007734DE"/>
    <w:rsid w:val="0077418B"/>
    <w:rsid w:val="00774C4F"/>
    <w:rsid w:val="007758DB"/>
    <w:rsid w:val="007763DC"/>
    <w:rsid w:val="00776530"/>
    <w:rsid w:val="0077701C"/>
    <w:rsid w:val="00777ED6"/>
    <w:rsid w:val="0078006A"/>
    <w:rsid w:val="00780D0F"/>
    <w:rsid w:val="00781643"/>
    <w:rsid w:val="00781D50"/>
    <w:rsid w:val="00782E8A"/>
    <w:rsid w:val="0078341D"/>
    <w:rsid w:val="007834DD"/>
    <w:rsid w:val="0078459D"/>
    <w:rsid w:val="007851F2"/>
    <w:rsid w:val="0078542F"/>
    <w:rsid w:val="007861CA"/>
    <w:rsid w:val="00786481"/>
    <w:rsid w:val="00786ACA"/>
    <w:rsid w:val="007874AE"/>
    <w:rsid w:val="00790624"/>
    <w:rsid w:val="007910B5"/>
    <w:rsid w:val="007925FF"/>
    <w:rsid w:val="0079404E"/>
    <w:rsid w:val="0079706D"/>
    <w:rsid w:val="00797ECA"/>
    <w:rsid w:val="007A082B"/>
    <w:rsid w:val="007A0A6D"/>
    <w:rsid w:val="007A117F"/>
    <w:rsid w:val="007A1DD2"/>
    <w:rsid w:val="007A3166"/>
    <w:rsid w:val="007A3302"/>
    <w:rsid w:val="007A3379"/>
    <w:rsid w:val="007A40E3"/>
    <w:rsid w:val="007A4318"/>
    <w:rsid w:val="007A44C8"/>
    <w:rsid w:val="007A4D5E"/>
    <w:rsid w:val="007A58A5"/>
    <w:rsid w:val="007A5EDB"/>
    <w:rsid w:val="007A65A6"/>
    <w:rsid w:val="007A70BE"/>
    <w:rsid w:val="007B0573"/>
    <w:rsid w:val="007B0B17"/>
    <w:rsid w:val="007B1181"/>
    <w:rsid w:val="007B1F57"/>
    <w:rsid w:val="007B1FE4"/>
    <w:rsid w:val="007B3645"/>
    <w:rsid w:val="007B4AD5"/>
    <w:rsid w:val="007B517C"/>
    <w:rsid w:val="007B5442"/>
    <w:rsid w:val="007B5811"/>
    <w:rsid w:val="007C01DB"/>
    <w:rsid w:val="007C063B"/>
    <w:rsid w:val="007C0D88"/>
    <w:rsid w:val="007C175C"/>
    <w:rsid w:val="007C2507"/>
    <w:rsid w:val="007C43DC"/>
    <w:rsid w:val="007C4AD1"/>
    <w:rsid w:val="007C6EE6"/>
    <w:rsid w:val="007D0C65"/>
    <w:rsid w:val="007D0D30"/>
    <w:rsid w:val="007D2196"/>
    <w:rsid w:val="007D3833"/>
    <w:rsid w:val="007D45EF"/>
    <w:rsid w:val="007D4621"/>
    <w:rsid w:val="007D474F"/>
    <w:rsid w:val="007D4768"/>
    <w:rsid w:val="007D4FCD"/>
    <w:rsid w:val="007D53CE"/>
    <w:rsid w:val="007D56C3"/>
    <w:rsid w:val="007D59C9"/>
    <w:rsid w:val="007D5F8E"/>
    <w:rsid w:val="007D61BD"/>
    <w:rsid w:val="007D6B2F"/>
    <w:rsid w:val="007D6F99"/>
    <w:rsid w:val="007D71DA"/>
    <w:rsid w:val="007D7992"/>
    <w:rsid w:val="007D799C"/>
    <w:rsid w:val="007E023F"/>
    <w:rsid w:val="007E0412"/>
    <w:rsid w:val="007E0A37"/>
    <w:rsid w:val="007E0AA9"/>
    <w:rsid w:val="007E20BF"/>
    <w:rsid w:val="007E2273"/>
    <w:rsid w:val="007E251A"/>
    <w:rsid w:val="007E2C95"/>
    <w:rsid w:val="007E3409"/>
    <w:rsid w:val="007E3742"/>
    <w:rsid w:val="007E53A1"/>
    <w:rsid w:val="007E53F5"/>
    <w:rsid w:val="007E55A7"/>
    <w:rsid w:val="007E642B"/>
    <w:rsid w:val="007E6D55"/>
    <w:rsid w:val="007E6E28"/>
    <w:rsid w:val="007E76BD"/>
    <w:rsid w:val="007E7719"/>
    <w:rsid w:val="007E791C"/>
    <w:rsid w:val="007E7ECC"/>
    <w:rsid w:val="007F0EBB"/>
    <w:rsid w:val="007F194C"/>
    <w:rsid w:val="007F1FDB"/>
    <w:rsid w:val="007F2342"/>
    <w:rsid w:val="007F3EBD"/>
    <w:rsid w:val="007F474D"/>
    <w:rsid w:val="007F4C4B"/>
    <w:rsid w:val="007F4D98"/>
    <w:rsid w:val="007F64B9"/>
    <w:rsid w:val="007F703D"/>
    <w:rsid w:val="007F753B"/>
    <w:rsid w:val="007F77F2"/>
    <w:rsid w:val="007F7EFA"/>
    <w:rsid w:val="0080104B"/>
    <w:rsid w:val="0080127B"/>
    <w:rsid w:val="0080182F"/>
    <w:rsid w:val="008022A0"/>
    <w:rsid w:val="00802695"/>
    <w:rsid w:val="00802B35"/>
    <w:rsid w:val="00803C39"/>
    <w:rsid w:val="00803CAD"/>
    <w:rsid w:val="00803F0E"/>
    <w:rsid w:val="008044C6"/>
    <w:rsid w:val="0080469E"/>
    <w:rsid w:val="00804759"/>
    <w:rsid w:val="00804DC8"/>
    <w:rsid w:val="00805038"/>
    <w:rsid w:val="00805753"/>
    <w:rsid w:val="00805F49"/>
    <w:rsid w:val="008061BB"/>
    <w:rsid w:val="00806625"/>
    <w:rsid w:val="00806C6C"/>
    <w:rsid w:val="0080786C"/>
    <w:rsid w:val="00807E0A"/>
    <w:rsid w:val="0081013B"/>
    <w:rsid w:val="00810935"/>
    <w:rsid w:val="008119AB"/>
    <w:rsid w:val="0081223B"/>
    <w:rsid w:val="00812D2C"/>
    <w:rsid w:val="0081364D"/>
    <w:rsid w:val="00813A29"/>
    <w:rsid w:val="00815206"/>
    <w:rsid w:val="00815E45"/>
    <w:rsid w:val="00815F47"/>
    <w:rsid w:val="00816CF9"/>
    <w:rsid w:val="00817675"/>
    <w:rsid w:val="00817B94"/>
    <w:rsid w:val="00820267"/>
    <w:rsid w:val="008215A3"/>
    <w:rsid w:val="008215E0"/>
    <w:rsid w:val="00823032"/>
    <w:rsid w:val="00823253"/>
    <w:rsid w:val="00823337"/>
    <w:rsid w:val="008236E7"/>
    <w:rsid w:val="00823AB3"/>
    <w:rsid w:val="00824B23"/>
    <w:rsid w:val="008250B3"/>
    <w:rsid w:val="0082514E"/>
    <w:rsid w:val="00825600"/>
    <w:rsid w:val="00825735"/>
    <w:rsid w:val="00826946"/>
    <w:rsid w:val="00826E83"/>
    <w:rsid w:val="0083034B"/>
    <w:rsid w:val="008306D6"/>
    <w:rsid w:val="0083071B"/>
    <w:rsid w:val="0083107E"/>
    <w:rsid w:val="008317FC"/>
    <w:rsid w:val="008319EF"/>
    <w:rsid w:val="00831B95"/>
    <w:rsid w:val="00832343"/>
    <w:rsid w:val="0083241D"/>
    <w:rsid w:val="00833A02"/>
    <w:rsid w:val="008358A2"/>
    <w:rsid w:val="00835ADA"/>
    <w:rsid w:val="00835FC7"/>
    <w:rsid w:val="00836464"/>
    <w:rsid w:val="00836584"/>
    <w:rsid w:val="00837099"/>
    <w:rsid w:val="00837713"/>
    <w:rsid w:val="00840F3C"/>
    <w:rsid w:val="00840FCE"/>
    <w:rsid w:val="00841178"/>
    <w:rsid w:val="008411A2"/>
    <w:rsid w:val="008414DC"/>
    <w:rsid w:val="00841AC0"/>
    <w:rsid w:val="00841D28"/>
    <w:rsid w:val="0084275D"/>
    <w:rsid w:val="008429A1"/>
    <w:rsid w:val="00844102"/>
    <w:rsid w:val="00844788"/>
    <w:rsid w:val="008447DB"/>
    <w:rsid w:val="0084602F"/>
    <w:rsid w:val="00846228"/>
    <w:rsid w:val="00846458"/>
    <w:rsid w:val="008470B8"/>
    <w:rsid w:val="00850940"/>
    <w:rsid w:val="00851E79"/>
    <w:rsid w:val="00851F0B"/>
    <w:rsid w:val="008520CF"/>
    <w:rsid w:val="0085267A"/>
    <w:rsid w:val="00852B07"/>
    <w:rsid w:val="00853BF4"/>
    <w:rsid w:val="008559C9"/>
    <w:rsid w:val="00856C61"/>
    <w:rsid w:val="00856E2F"/>
    <w:rsid w:val="00857C8D"/>
    <w:rsid w:val="00860969"/>
    <w:rsid w:val="00860C21"/>
    <w:rsid w:val="00860C9D"/>
    <w:rsid w:val="00860D52"/>
    <w:rsid w:val="0086130A"/>
    <w:rsid w:val="00861650"/>
    <w:rsid w:val="00862A93"/>
    <w:rsid w:val="00864192"/>
    <w:rsid w:val="0086431C"/>
    <w:rsid w:val="00865F9E"/>
    <w:rsid w:val="00866045"/>
    <w:rsid w:val="00866A0D"/>
    <w:rsid w:val="00866BD2"/>
    <w:rsid w:val="008679CA"/>
    <w:rsid w:val="00867AD2"/>
    <w:rsid w:val="00870FAA"/>
    <w:rsid w:val="0087128C"/>
    <w:rsid w:val="00873891"/>
    <w:rsid w:val="00873D31"/>
    <w:rsid w:val="00875693"/>
    <w:rsid w:val="00875B38"/>
    <w:rsid w:val="008764DA"/>
    <w:rsid w:val="00876976"/>
    <w:rsid w:val="00876F6C"/>
    <w:rsid w:val="00877B92"/>
    <w:rsid w:val="008800C4"/>
    <w:rsid w:val="00880A65"/>
    <w:rsid w:val="00881568"/>
    <w:rsid w:val="0088157C"/>
    <w:rsid w:val="00881DF7"/>
    <w:rsid w:val="0088209D"/>
    <w:rsid w:val="0088231C"/>
    <w:rsid w:val="00882557"/>
    <w:rsid w:val="008827E0"/>
    <w:rsid w:val="00883E12"/>
    <w:rsid w:val="0088413F"/>
    <w:rsid w:val="008857C1"/>
    <w:rsid w:val="00885853"/>
    <w:rsid w:val="00885FA4"/>
    <w:rsid w:val="008860C6"/>
    <w:rsid w:val="008869A6"/>
    <w:rsid w:val="00886DCE"/>
    <w:rsid w:val="0088789B"/>
    <w:rsid w:val="0089065C"/>
    <w:rsid w:val="0089187E"/>
    <w:rsid w:val="0089233E"/>
    <w:rsid w:val="008926D1"/>
    <w:rsid w:val="00892AA0"/>
    <w:rsid w:val="00892F1F"/>
    <w:rsid w:val="00892F6C"/>
    <w:rsid w:val="00893515"/>
    <w:rsid w:val="00893626"/>
    <w:rsid w:val="0089449E"/>
    <w:rsid w:val="0089472D"/>
    <w:rsid w:val="008948B0"/>
    <w:rsid w:val="00894CE3"/>
    <w:rsid w:val="0089578F"/>
    <w:rsid w:val="00896B82"/>
    <w:rsid w:val="00897083"/>
    <w:rsid w:val="00897E07"/>
    <w:rsid w:val="008A1083"/>
    <w:rsid w:val="008A1509"/>
    <w:rsid w:val="008A1E55"/>
    <w:rsid w:val="008A1F86"/>
    <w:rsid w:val="008A21B1"/>
    <w:rsid w:val="008A25F5"/>
    <w:rsid w:val="008A299E"/>
    <w:rsid w:val="008A2CBD"/>
    <w:rsid w:val="008A30D7"/>
    <w:rsid w:val="008A30E5"/>
    <w:rsid w:val="008A3D03"/>
    <w:rsid w:val="008A545C"/>
    <w:rsid w:val="008A5491"/>
    <w:rsid w:val="008A5544"/>
    <w:rsid w:val="008A575B"/>
    <w:rsid w:val="008A5EA0"/>
    <w:rsid w:val="008A62C7"/>
    <w:rsid w:val="008A71B9"/>
    <w:rsid w:val="008A71FB"/>
    <w:rsid w:val="008A7A48"/>
    <w:rsid w:val="008A7E23"/>
    <w:rsid w:val="008A7F29"/>
    <w:rsid w:val="008B039E"/>
    <w:rsid w:val="008B05D6"/>
    <w:rsid w:val="008B0B6A"/>
    <w:rsid w:val="008B13F1"/>
    <w:rsid w:val="008B15FE"/>
    <w:rsid w:val="008B28DC"/>
    <w:rsid w:val="008B438A"/>
    <w:rsid w:val="008B57A8"/>
    <w:rsid w:val="008B59AC"/>
    <w:rsid w:val="008B6DEC"/>
    <w:rsid w:val="008B708B"/>
    <w:rsid w:val="008B734B"/>
    <w:rsid w:val="008B79EC"/>
    <w:rsid w:val="008B7CDB"/>
    <w:rsid w:val="008B7E02"/>
    <w:rsid w:val="008B7E0F"/>
    <w:rsid w:val="008B7FC0"/>
    <w:rsid w:val="008C00B2"/>
    <w:rsid w:val="008C0B16"/>
    <w:rsid w:val="008C14F1"/>
    <w:rsid w:val="008C1923"/>
    <w:rsid w:val="008C1C2F"/>
    <w:rsid w:val="008C29ED"/>
    <w:rsid w:val="008C35A1"/>
    <w:rsid w:val="008C4F1F"/>
    <w:rsid w:val="008C5DFC"/>
    <w:rsid w:val="008C62BA"/>
    <w:rsid w:val="008C68CF"/>
    <w:rsid w:val="008C693A"/>
    <w:rsid w:val="008C6C65"/>
    <w:rsid w:val="008D09B4"/>
    <w:rsid w:val="008D0C2F"/>
    <w:rsid w:val="008D1CB6"/>
    <w:rsid w:val="008D1D04"/>
    <w:rsid w:val="008D21C4"/>
    <w:rsid w:val="008D26CC"/>
    <w:rsid w:val="008D2C8B"/>
    <w:rsid w:val="008D2D52"/>
    <w:rsid w:val="008D3B3F"/>
    <w:rsid w:val="008D3DCC"/>
    <w:rsid w:val="008D47A6"/>
    <w:rsid w:val="008D5525"/>
    <w:rsid w:val="008D578A"/>
    <w:rsid w:val="008D6451"/>
    <w:rsid w:val="008D65A6"/>
    <w:rsid w:val="008D6604"/>
    <w:rsid w:val="008D6750"/>
    <w:rsid w:val="008D6DBB"/>
    <w:rsid w:val="008D72B0"/>
    <w:rsid w:val="008D738C"/>
    <w:rsid w:val="008D7C35"/>
    <w:rsid w:val="008E02EB"/>
    <w:rsid w:val="008E0546"/>
    <w:rsid w:val="008E0E61"/>
    <w:rsid w:val="008E1070"/>
    <w:rsid w:val="008E14FB"/>
    <w:rsid w:val="008E1849"/>
    <w:rsid w:val="008E2206"/>
    <w:rsid w:val="008E2D88"/>
    <w:rsid w:val="008E34E3"/>
    <w:rsid w:val="008E363F"/>
    <w:rsid w:val="008E391E"/>
    <w:rsid w:val="008E4011"/>
    <w:rsid w:val="008E5387"/>
    <w:rsid w:val="008E5746"/>
    <w:rsid w:val="008E5A78"/>
    <w:rsid w:val="008E6A92"/>
    <w:rsid w:val="008E6B9A"/>
    <w:rsid w:val="008E6FCB"/>
    <w:rsid w:val="008F023F"/>
    <w:rsid w:val="008F03A5"/>
    <w:rsid w:val="008F0696"/>
    <w:rsid w:val="008F0E38"/>
    <w:rsid w:val="008F0FE1"/>
    <w:rsid w:val="008F1E9D"/>
    <w:rsid w:val="008F291D"/>
    <w:rsid w:val="008F3302"/>
    <w:rsid w:val="008F3F95"/>
    <w:rsid w:val="008F43F0"/>
    <w:rsid w:val="008F4753"/>
    <w:rsid w:val="008F53AF"/>
    <w:rsid w:val="008F62F5"/>
    <w:rsid w:val="008F63BC"/>
    <w:rsid w:val="008F6BC6"/>
    <w:rsid w:val="008F754A"/>
    <w:rsid w:val="0090065F"/>
    <w:rsid w:val="00900FD9"/>
    <w:rsid w:val="009018BC"/>
    <w:rsid w:val="00902BA9"/>
    <w:rsid w:val="0090314D"/>
    <w:rsid w:val="009032E8"/>
    <w:rsid w:val="0090347F"/>
    <w:rsid w:val="00903DC7"/>
    <w:rsid w:val="00904CAF"/>
    <w:rsid w:val="00905342"/>
    <w:rsid w:val="009058C3"/>
    <w:rsid w:val="00905CFF"/>
    <w:rsid w:val="00905E05"/>
    <w:rsid w:val="00905FF2"/>
    <w:rsid w:val="00907961"/>
    <w:rsid w:val="00907A59"/>
    <w:rsid w:val="00907E91"/>
    <w:rsid w:val="00907FE9"/>
    <w:rsid w:val="0091097F"/>
    <w:rsid w:val="00910BEB"/>
    <w:rsid w:val="00910D81"/>
    <w:rsid w:val="0091280A"/>
    <w:rsid w:val="00912818"/>
    <w:rsid w:val="00913F15"/>
    <w:rsid w:val="00915B9D"/>
    <w:rsid w:val="00917696"/>
    <w:rsid w:val="00917756"/>
    <w:rsid w:val="00921E3F"/>
    <w:rsid w:val="00922C25"/>
    <w:rsid w:val="00922CF9"/>
    <w:rsid w:val="009230FA"/>
    <w:rsid w:val="00923CC5"/>
    <w:rsid w:val="00924C18"/>
    <w:rsid w:val="00924EC2"/>
    <w:rsid w:val="009251C5"/>
    <w:rsid w:val="00925371"/>
    <w:rsid w:val="009263AA"/>
    <w:rsid w:val="00926C94"/>
    <w:rsid w:val="00927469"/>
    <w:rsid w:val="00927A12"/>
    <w:rsid w:val="0093046B"/>
    <w:rsid w:val="0093105A"/>
    <w:rsid w:val="00931211"/>
    <w:rsid w:val="009316D4"/>
    <w:rsid w:val="00931D33"/>
    <w:rsid w:val="00932314"/>
    <w:rsid w:val="00932452"/>
    <w:rsid w:val="00932F36"/>
    <w:rsid w:val="0093314F"/>
    <w:rsid w:val="00933419"/>
    <w:rsid w:val="00933A4D"/>
    <w:rsid w:val="00934A8A"/>
    <w:rsid w:val="0093552F"/>
    <w:rsid w:val="009357F9"/>
    <w:rsid w:val="009364A3"/>
    <w:rsid w:val="00936F64"/>
    <w:rsid w:val="0093702C"/>
    <w:rsid w:val="009400D2"/>
    <w:rsid w:val="00940282"/>
    <w:rsid w:val="0094051D"/>
    <w:rsid w:val="009405D4"/>
    <w:rsid w:val="00941A53"/>
    <w:rsid w:val="00941D5B"/>
    <w:rsid w:val="009424FB"/>
    <w:rsid w:val="0094292D"/>
    <w:rsid w:val="0094332A"/>
    <w:rsid w:val="00943D77"/>
    <w:rsid w:val="00943EAB"/>
    <w:rsid w:val="00944198"/>
    <w:rsid w:val="00944AE8"/>
    <w:rsid w:val="009450A4"/>
    <w:rsid w:val="00945653"/>
    <w:rsid w:val="00945ACA"/>
    <w:rsid w:val="00946191"/>
    <w:rsid w:val="00946A1A"/>
    <w:rsid w:val="00946B03"/>
    <w:rsid w:val="00947588"/>
    <w:rsid w:val="00950B28"/>
    <w:rsid w:val="00950ECD"/>
    <w:rsid w:val="009523C4"/>
    <w:rsid w:val="0095274F"/>
    <w:rsid w:val="00952CDC"/>
    <w:rsid w:val="0095341A"/>
    <w:rsid w:val="009537BE"/>
    <w:rsid w:val="00953CBA"/>
    <w:rsid w:val="00953F8B"/>
    <w:rsid w:val="00954337"/>
    <w:rsid w:val="00955585"/>
    <w:rsid w:val="00957E23"/>
    <w:rsid w:val="009612AC"/>
    <w:rsid w:val="0096235B"/>
    <w:rsid w:val="00962636"/>
    <w:rsid w:val="00963511"/>
    <w:rsid w:val="009636E7"/>
    <w:rsid w:val="00963BCC"/>
    <w:rsid w:val="009651BA"/>
    <w:rsid w:val="00965BB2"/>
    <w:rsid w:val="00967604"/>
    <w:rsid w:val="009678EC"/>
    <w:rsid w:val="009702CE"/>
    <w:rsid w:val="00970775"/>
    <w:rsid w:val="00971377"/>
    <w:rsid w:val="00972D07"/>
    <w:rsid w:val="00972DE0"/>
    <w:rsid w:val="00972F59"/>
    <w:rsid w:val="00973137"/>
    <w:rsid w:val="00973813"/>
    <w:rsid w:val="00974993"/>
    <w:rsid w:val="0097775F"/>
    <w:rsid w:val="00977E71"/>
    <w:rsid w:val="00980950"/>
    <w:rsid w:val="0098112D"/>
    <w:rsid w:val="00981C87"/>
    <w:rsid w:val="00981EEF"/>
    <w:rsid w:val="009826AD"/>
    <w:rsid w:val="00982700"/>
    <w:rsid w:val="00982EA5"/>
    <w:rsid w:val="009837CD"/>
    <w:rsid w:val="00983834"/>
    <w:rsid w:val="00984493"/>
    <w:rsid w:val="009849ED"/>
    <w:rsid w:val="00985B3A"/>
    <w:rsid w:val="009861AB"/>
    <w:rsid w:val="0098666B"/>
    <w:rsid w:val="00986CA5"/>
    <w:rsid w:val="0098726B"/>
    <w:rsid w:val="00990F3C"/>
    <w:rsid w:val="0099175B"/>
    <w:rsid w:val="00993FD6"/>
    <w:rsid w:val="00995BFC"/>
    <w:rsid w:val="0099658D"/>
    <w:rsid w:val="009965FB"/>
    <w:rsid w:val="00997195"/>
    <w:rsid w:val="009A0053"/>
    <w:rsid w:val="009A02EB"/>
    <w:rsid w:val="009A0C19"/>
    <w:rsid w:val="009A24C4"/>
    <w:rsid w:val="009A25F4"/>
    <w:rsid w:val="009A414F"/>
    <w:rsid w:val="009A4CDA"/>
    <w:rsid w:val="009A54CF"/>
    <w:rsid w:val="009A5569"/>
    <w:rsid w:val="009A64B6"/>
    <w:rsid w:val="009A6F6F"/>
    <w:rsid w:val="009A7186"/>
    <w:rsid w:val="009A77CD"/>
    <w:rsid w:val="009B05C3"/>
    <w:rsid w:val="009B0C2F"/>
    <w:rsid w:val="009B1566"/>
    <w:rsid w:val="009B1B6C"/>
    <w:rsid w:val="009B2FE9"/>
    <w:rsid w:val="009B3443"/>
    <w:rsid w:val="009B4294"/>
    <w:rsid w:val="009B4609"/>
    <w:rsid w:val="009B55EB"/>
    <w:rsid w:val="009B619C"/>
    <w:rsid w:val="009B61C6"/>
    <w:rsid w:val="009B7346"/>
    <w:rsid w:val="009B7AC2"/>
    <w:rsid w:val="009B7C3E"/>
    <w:rsid w:val="009B7D2C"/>
    <w:rsid w:val="009C088F"/>
    <w:rsid w:val="009C0A17"/>
    <w:rsid w:val="009C14FB"/>
    <w:rsid w:val="009C16B9"/>
    <w:rsid w:val="009C1CEF"/>
    <w:rsid w:val="009C2CAA"/>
    <w:rsid w:val="009C2D61"/>
    <w:rsid w:val="009C36CF"/>
    <w:rsid w:val="009C383D"/>
    <w:rsid w:val="009C3886"/>
    <w:rsid w:val="009C3D22"/>
    <w:rsid w:val="009C3EE6"/>
    <w:rsid w:val="009C3F4C"/>
    <w:rsid w:val="009C43E5"/>
    <w:rsid w:val="009C47E0"/>
    <w:rsid w:val="009C5DCB"/>
    <w:rsid w:val="009C6395"/>
    <w:rsid w:val="009C682A"/>
    <w:rsid w:val="009C6850"/>
    <w:rsid w:val="009C7E75"/>
    <w:rsid w:val="009D07B8"/>
    <w:rsid w:val="009D0AE2"/>
    <w:rsid w:val="009D0CDE"/>
    <w:rsid w:val="009D0D47"/>
    <w:rsid w:val="009D17EA"/>
    <w:rsid w:val="009D216E"/>
    <w:rsid w:val="009D22C5"/>
    <w:rsid w:val="009D245C"/>
    <w:rsid w:val="009D2E14"/>
    <w:rsid w:val="009D30C1"/>
    <w:rsid w:val="009D35BC"/>
    <w:rsid w:val="009D3D82"/>
    <w:rsid w:val="009D45A6"/>
    <w:rsid w:val="009D525F"/>
    <w:rsid w:val="009D690E"/>
    <w:rsid w:val="009D6B39"/>
    <w:rsid w:val="009D72A8"/>
    <w:rsid w:val="009D730F"/>
    <w:rsid w:val="009D7965"/>
    <w:rsid w:val="009E09B7"/>
    <w:rsid w:val="009E12A2"/>
    <w:rsid w:val="009E13EA"/>
    <w:rsid w:val="009E1943"/>
    <w:rsid w:val="009E2722"/>
    <w:rsid w:val="009E289C"/>
    <w:rsid w:val="009E439D"/>
    <w:rsid w:val="009E443B"/>
    <w:rsid w:val="009E45E0"/>
    <w:rsid w:val="009E4CBE"/>
    <w:rsid w:val="009E5B7E"/>
    <w:rsid w:val="009E6B17"/>
    <w:rsid w:val="009E6BD5"/>
    <w:rsid w:val="009E7065"/>
    <w:rsid w:val="009E7281"/>
    <w:rsid w:val="009E7FE1"/>
    <w:rsid w:val="009F0073"/>
    <w:rsid w:val="009F0847"/>
    <w:rsid w:val="009F18F7"/>
    <w:rsid w:val="009F2310"/>
    <w:rsid w:val="009F29E2"/>
    <w:rsid w:val="009F2E0D"/>
    <w:rsid w:val="009F322D"/>
    <w:rsid w:val="009F3339"/>
    <w:rsid w:val="009F3AAB"/>
    <w:rsid w:val="009F429C"/>
    <w:rsid w:val="009F45A4"/>
    <w:rsid w:val="009F4B51"/>
    <w:rsid w:val="009F57D5"/>
    <w:rsid w:val="009F5CDA"/>
    <w:rsid w:val="009F5F57"/>
    <w:rsid w:val="009F64DE"/>
    <w:rsid w:val="009F7081"/>
    <w:rsid w:val="009F7F22"/>
    <w:rsid w:val="00A004ED"/>
    <w:rsid w:val="00A00D9E"/>
    <w:rsid w:val="00A010B9"/>
    <w:rsid w:val="00A01C31"/>
    <w:rsid w:val="00A01D0D"/>
    <w:rsid w:val="00A01F39"/>
    <w:rsid w:val="00A02492"/>
    <w:rsid w:val="00A027C3"/>
    <w:rsid w:val="00A0281A"/>
    <w:rsid w:val="00A02BEB"/>
    <w:rsid w:val="00A03293"/>
    <w:rsid w:val="00A03F71"/>
    <w:rsid w:val="00A045E1"/>
    <w:rsid w:val="00A05051"/>
    <w:rsid w:val="00A05395"/>
    <w:rsid w:val="00A0542C"/>
    <w:rsid w:val="00A058C2"/>
    <w:rsid w:val="00A05DCB"/>
    <w:rsid w:val="00A061E9"/>
    <w:rsid w:val="00A0622E"/>
    <w:rsid w:val="00A06CFB"/>
    <w:rsid w:val="00A06D5C"/>
    <w:rsid w:val="00A105A9"/>
    <w:rsid w:val="00A10820"/>
    <w:rsid w:val="00A10B58"/>
    <w:rsid w:val="00A10F20"/>
    <w:rsid w:val="00A11876"/>
    <w:rsid w:val="00A11B83"/>
    <w:rsid w:val="00A12615"/>
    <w:rsid w:val="00A12913"/>
    <w:rsid w:val="00A13008"/>
    <w:rsid w:val="00A130E2"/>
    <w:rsid w:val="00A132D3"/>
    <w:rsid w:val="00A1360F"/>
    <w:rsid w:val="00A14C18"/>
    <w:rsid w:val="00A14D41"/>
    <w:rsid w:val="00A15391"/>
    <w:rsid w:val="00A1581C"/>
    <w:rsid w:val="00A160C7"/>
    <w:rsid w:val="00A169D0"/>
    <w:rsid w:val="00A16FEA"/>
    <w:rsid w:val="00A207A6"/>
    <w:rsid w:val="00A20F1A"/>
    <w:rsid w:val="00A21EAC"/>
    <w:rsid w:val="00A220E7"/>
    <w:rsid w:val="00A226EA"/>
    <w:rsid w:val="00A22AAB"/>
    <w:rsid w:val="00A23390"/>
    <w:rsid w:val="00A2608F"/>
    <w:rsid w:val="00A262D0"/>
    <w:rsid w:val="00A26DB9"/>
    <w:rsid w:val="00A272DA"/>
    <w:rsid w:val="00A2762A"/>
    <w:rsid w:val="00A2781D"/>
    <w:rsid w:val="00A27B05"/>
    <w:rsid w:val="00A27D5D"/>
    <w:rsid w:val="00A27E30"/>
    <w:rsid w:val="00A27FC2"/>
    <w:rsid w:val="00A3040F"/>
    <w:rsid w:val="00A32CFD"/>
    <w:rsid w:val="00A33EDE"/>
    <w:rsid w:val="00A34044"/>
    <w:rsid w:val="00A34D7E"/>
    <w:rsid w:val="00A35791"/>
    <w:rsid w:val="00A358C4"/>
    <w:rsid w:val="00A40202"/>
    <w:rsid w:val="00A41637"/>
    <w:rsid w:val="00A4248C"/>
    <w:rsid w:val="00A435A9"/>
    <w:rsid w:val="00A4369C"/>
    <w:rsid w:val="00A43841"/>
    <w:rsid w:val="00A439AD"/>
    <w:rsid w:val="00A43ABF"/>
    <w:rsid w:val="00A44422"/>
    <w:rsid w:val="00A4464D"/>
    <w:rsid w:val="00A4524F"/>
    <w:rsid w:val="00A45548"/>
    <w:rsid w:val="00A456B8"/>
    <w:rsid w:val="00A45A8A"/>
    <w:rsid w:val="00A4693C"/>
    <w:rsid w:val="00A4780B"/>
    <w:rsid w:val="00A47D11"/>
    <w:rsid w:val="00A501A1"/>
    <w:rsid w:val="00A504DF"/>
    <w:rsid w:val="00A52680"/>
    <w:rsid w:val="00A5275F"/>
    <w:rsid w:val="00A52AAA"/>
    <w:rsid w:val="00A53337"/>
    <w:rsid w:val="00A53381"/>
    <w:rsid w:val="00A54759"/>
    <w:rsid w:val="00A54777"/>
    <w:rsid w:val="00A55149"/>
    <w:rsid w:val="00A561BC"/>
    <w:rsid w:val="00A56E04"/>
    <w:rsid w:val="00A57521"/>
    <w:rsid w:val="00A62BB9"/>
    <w:rsid w:val="00A6307B"/>
    <w:rsid w:val="00A63F3E"/>
    <w:rsid w:val="00A645F8"/>
    <w:rsid w:val="00A64CE2"/>
    <w:rsid w:val="00A654DF"/>
    <w:rsid w:val="00A6578E"/>
    <w:rsid w:val="00A65C67"/>
    <w:rsid w:val="00A668B3"/>
    <w:rsid w:val="00A67DD6"/>
    <w:rsid w:val="00A7029C"/>
    <w:rsid w:val="00A703B2"/>
    <w:rsid w:val="00A71126"/>
    <w:rsid w:val="00A718E3"/>
    <w:rsid w:val="00A7320F"/>
    <w:rsid w:val="00A73AA0"/>
    <w:rsid w:val="00A74464"/>
    <w:rsid w:val="00A746FD"/>
    <w:rsid w:val="00A75109"/>
    <w:rsid w:val="00A75A46"/>
    <w:rsid w:val="00A76435"/>
    <w:rsid w:val="00A76DAE"/>
    <w:rsid w:val="00A77181"/>
    <w:rsid w:val="00A77514"/>
    <w:rsid w:val="00A777B0"/>
    <w:rsid w:val="00A77E0C"/>
    <w:rsid w:val="00A8256B"/>
    <w:rsid w:val="00A83546"/>
    <w:rsid w:val="00A84171"/>
    <w:rsid w:val="00A842B9"/>
    <w:rsid w:val="00A84412"/>
    <w:rsid w:val="00A84AD4"/>
    <w:rsid w:val="00A84BA4"/>
    <w:rsid w:val="00A857BC"/>
    <w:rsid w:val="00A85B3B"/>
    <w:rsid w:val="00A863E0"/>
    <w:rsid w:val="00A867AA"/>
    <w:rsid w:val="00A86BA8"/>
    <w:rsid w:val="00A86CE6"/>
    <w:rsid w:val="00A86FF0"/>
    <w:rsid w:val="00A87073"/>
    <w:rsid w:val="00A87A03"/>
    <w:rsid w:val="00A87CE0"/>
    <w:rsid w:val="00A90743"/>
    <w:rsid w:val="00A90A39"/>
    <w:rsid w:val="00A9231F"/>
    <w:rsid w:val="00A927DD"/>
    <w:rsid w:val="00A92C15"/>
    <w:rsid w:val="00A9360C"/>
    <w:rsid w:val="00A942FE"/>
    <w:rsid w:val="00A94AB8"/>
    <w:rsid w:val="00A94B55"/>
    <w:rsid w:val="00A955D4"/>
    <w:rsid w:val="00A960BE"/>
    <w:rsid w:val="00A96261"/>
    <w:rsid w:val="00A96354"/>
    <w:rsid w:val="00A96607"/>
    <w:rsid w:val="00A96911"/>
    <w:rsid w:val="00AA1A60"/>
    <w:rsid w:val="00AA1C00"/>
    <w:rsid w:val="00AA2435"/>
    <w:rsid w:val="00AA32C8"/>
    <w:rsid w:val="00AA3E79"/>
    <w:rsid w:val="00AA4D1B"/>
    <w:rsid w:val="00AA5A37"/>
    <w:rsid w:val="00AA5FC6"/>
    <w:rsid w:val="00AA6753"/>
    <w:rsid w:val="00AA74BC"/>
    <w:rsid w:val="00AA7616"/>
    <w:rsid w:val="00AA7FF3"/>
    <w:rsid w:val="00AB133B"/>
    <w:rsid w:val="00AB1884"/>
    <w:rsid w:val="00AB363D"/>
    <w:rsid w:val="00AB3D71"/>
    <w:rsid w:val="00AB4623"/>
    <w:rsid w:val="00AB489C"/>
    <w:rsid w:val="00AB5607"/>
    <w:rsid w:val="00AB5996"/>
    <w:rsid w:val="00AB5EED"/>
    <w:rsid w:val="00AB6108"/>
    <w:rsid w:val="00AB6BD9"/>
    <w:rsid w:val="00AB706F"/>
    <w:rsid w:val="00AB7DE0"/>
    <w:rsid w:val="00AC0A2E"/>
    <w:rsid w:val="00AC0AEC"/>
    <w:rsid w:val="00AC0D38"/>
    <w:rsid w:val="00AC27E9"/>
    <w:rsid w:val="00AC2AA9"/>
    <w:rsid w:val="00AC3895"/>
    <w:rsid w:val="00AC3A39"/>
    <w:rsid w:val="00AC4C5B"/>
    <w:rsid w:val="00AC5A17"/>
    <w:rsid w:val="00AC66CE"/>
    <w:rsid w:val="00AC7426"/>
    <w:rsid w:val="00AC7DF0"/>
    <w:rsid w:val="00AD08B9"/>
    <w:rsid w:val="00AD1325"/>
    <w:rsid w:val="00AD2E4E"/>
    <w:rsid w:val="00AD31DE"/>
    <w:rsid w:val="00AD37A4"/>
    <w:rsid w:val="00AD3B5F"/>
    <w:rsid w:val="00AD48D3"/>
    <w:rsid w:val="00AD4ADE"/>
    <w:rsid w:val="00AD5759"/>
    <w:rsid w:val="00AD5957"/>
    <w:rsid w:val="00AD5E5C"/>
    <w:rsid w:val="00AD6055"/>
    <w:rsid w:val="00AD611E"/>
    <w:rsid w:val="00AD6AC8"/>
    <w:rsid w:val="00AD7970"/>
    <w:rsid w:val="00AE0011"/>
    <w:rsid w:val="00AE0667"/>
    <w:rsid w:val="00AE084A"/>
    <w:rsid w:val="00AE19B7"/>
    <w:rsid w:val="00AE1CE5"/>
    <w:rsid w:val="00AE1E52"/>
    <w:rsid w:val="00AE2AF8"/>
    <w:rsid w:val="00AE2D4E"/>
    <w:rsid w:val="00AE345C"/>
    <w:rsid w:val="00AE3815"/>
    <w:rsid w:val="00AE4636"/>
    <w:rsid w:val="00AE4D5E"/>
    <w:rsid w:val="00AE516B"/>
    <w:rsid w:val="00AE517D"/>
    <w:rsid w:val="00AE5D51"/>
    <w:rsid w:val="00AE6262"/>
    <w:rsid w:val="00AE628E"/>
    <w:rsid w:val="00AE68F6"/>
    <w:rsid w:val="00AE6C8B"/>
    <w:rsid w:val="00AF001B"/>
    <w:rsid w:val="00AF09D6"/>
    <w:rsid w:val="00AF1436"/>
    <w:rsid w:val="00AF1F1C"/>
    <w:rsid w:val="00AF223E"/>
    <w:rsid w:val="00AF23F3"/>
    <w:rsid w:val="00AF274F"/>
    <w:rsid w:val="00AF3BCD"/>
    <w:rsid w:val="00AF3D56"/>
    <w:rsid w:val="00AF3E38"/>
    <w:rsid w:val="00AF3F58"/>
    <w:rsid w:val="00AF42E9"/>
    <w:rsid w:val="00AF45C2"/>
    <w:rsid w:val="00AF48F7"/>
    <w:rsid w:val="00AF4B4D"/>
    <w:rsid w:val="00AF4EDE"/>
    <w:rsid w:val="00AF53A4"/>
    <w:rsid w:val="00AF6088"/>
    <w:rsid w:val="00AF60AA"/>
    <w:rsid w:val="00AF6348"/>
    <w:rsid w:val="00AF6464"/>
    <w:rsid w:val="00AF6B14"/>
    <w:rsid w:val="00AF721F"/>
    <w:rsid w:val="00B009F5"/>
    <w:rsid w:val="00B01827"/>
    <w:rsid w:val="00B01949"/>
    <w:rsid w:val="00B01BE9"/>
    <w:rsid w:val="00B02A7B"/>
    <w:rsid w:val="00B04168"/>
    <w:rsid w:val="00B0467B"/>
    <w:rsid w:val="00B0548A"/>
    <w:rsid w:val="00B0630A"/>
    <w:rsid w:val="00B06749"/>
    <w:rsid w:val="00B06DD9"/>
    <w:rsid w:val="00B077E2"/>
    <w:rsid w:val="00B07D62"/>
    <w:rsid w:val="00B07F3F"/>
    <w:rsid w:val="00B1003D"/>
    <w:rsid w:val="00B10C04"/>
    <w:rsid w:val="00B11A49"/>
    <w:rsid w:val="00B12045"/>
    <w:rsid w:val="00B12C18"/>
    <w:rsid w:val="00B12F2B"/>
    <w:rsid w:val="00B13088"/>
    <w:rsid w:val="00B1344A"/>
    <w:rsid w:val="00B134C4"/>
    <w:rsid w:val="00B139EA"/>
    <w:rsid w:val="00B152D7"/>
    <w:rsid w:val="00B154AF"/>
    <w:rsid w:val="00B15748"/>
    <w:rsid w:val="00B1581C"/>
    <w:rsid w:val="00B15B45"/>
    <w:rsid w:val="00B17186"/>
    <w:rsid w:val="00B172A0"/>
    <w:rsid w:val="00B177A9"/>
    <w:rsid w:val="00B1798F"/>
    <w:rsid w:val="00B20CE0"/>
    <w:rsid w:val="00B21769"/>
    <w:rsid w:val="00B22044"/>
    <w:rsid w:val="00B22AD2"/>
    <w:rsid w:val="00B2310C"/>
    <w:rsid w:val="00B23567"/>
    <w:rsid w:val="00B24C9F"/>
    <w:rsid w:val="00B24D0F"/>
    <w:rsid w:val="00B2579A"/>
    <w:rsid w:val="00B25AC6"/>
    <w:rsid w:val="00B25E06"/>
    <w:rsid w:val="00B272FC"/>
    <w:rsid w:val="00B30206"/>
    <w:rsid w:val="00B303CA"/>
    <w:rsid w:val="00B30A73"/>
    <w:rsid w:val="00B30C69"/>
    <w:rsid w:val="00B313FB"/>
    <w:rsid w:val="00B31448"/>
    <w:rsid w:val="00B31588"/>
    <w:rsid w:val="00B31760"/>
    <w:rsid w:val="00B31BC0"/>
    <w:rsid w:val="00B31F21"/>
    <w:rsid w:val="00B31FE7"/>
    <w:rsid w:val="00B32DC8"/>
    <w:rsid w:val="00B332BC"/>
    <w:rsid w:val="00B33785"/>
    <w:rsid w:val="00B33E72"/>
    <w:rsid w:val="00B35BB5"/>
    <w:rsid w:val="00B35CBD"/>
    <w:rsid w:val="00B35D42"/>
    <w:rsid w:val="00B36442"/>
    <w:rsid w:val="00B366BA"/>
    <w:rsid w:val="00B374BA"/>
    <w:rsid w:val="00B376AD"/>
    <w:rsid w:val="00B37FAE"/>
    <w:rsid w:val="00B40180"/>
    <w:rsid w:val="00B409EE"/>
    <w:rsid w:val="00B40AE9"/>
    <w:rsid w:val="00B40EA4"/>
    <w:rsid w:val="00B4116E"/>
    <w:rsid w:val="00B4241F"/>
    <w:rsid w:val="00B425ED"/>
    <w:rsid w:val="00B42AEB"/>
    <w:rsid w:val="00B42CB4"/>
    <w:rsid w:val="00B44847"/>
    <w:rsid w:val="00B44BED"/>
    <w:rsid w:val="00B44FE4"/>
    <w:rsid w:val="00B45423"/>
    <w:rsid w:val="00B46C83"/>
    <w:rsid w:val="00B4771A"/>
    <w:rsid w:val="00B47A4E"/>
    <w:rsid w:val="00B504D8"/>
    <w:rsid w:val="00B50662"/>
    <w:rsid w:val="00B506AC"/>
    <w:rsid w:val="00B50770"/>
    <w:rsid w:val="00B507FC"/>
    <w:rsid w:val="00B508DC"/>
    <w:rsid w:val="00B51DD8"/>
    <w:rsid w:val="00B51F98"/>
    <w:rsid w:val="00B51FAE"/>
    <w:rsid w:val="00B51FD6"/>
    <w:rsid w:val="00B5216A"/>
    <w:rsid w:val="00B5261A"/>
    <w:rsid w:val="00B5267A"/>
    <w:rsid w:val="00B536B8"/>
    <w:rsid w:val="00B536CD"/>
    <w:rsid w:val="00B53EDD"/>
    <w:rsid w:val="00B54A12"/>
    <w:rsid w:val="00B54CA3"/>
    <w:rsid w:val="00B5593C"/>
    <w:rsid w:val="00B563CE"/>
    <w:rsid w:val="00B56436"/>
    <w:rsid w:val="00B56C06"/>
    <w:rsid w:val="00B56C22"/>
    <w:rsid w:val="00B56EA1"/>
    <w:rsid w:val="00B57925"/>
    <w:rsid w:val="00B60788"/>
    <w:rsid w:val="00B609D0"/>
    <w:rsid w:val="00B61035"/>
    <w:rsid w:val="00B611C3"/>
    <w:rsid w:val="00B6120D"/>
    <w:rsid w:val="00B61782"/>
    <w:rsid w:val="00B621EA"/>
    <w:rsid w:val="00B62325"/>
    <w:rsid w:val="00B62B65"/>
    <w:rsid w:val="00B64354"/>
    <w:rsid w:val="00B6490D"/>
    <w:rsid w:val="00B64C45"/>
    <w:rsid w:val="00B6534D"/>
    <w:rsid w:val="00B654D2"/>
    <w:rsid w:val="00B66161"/>
    <w:rsid w:val="00B661B5"/>
    <w:rsid w:val="00B66E2A"/>
    <w:rsid w:val="00B6763E"/>
    <w:rsid w:val="00B67AE4"/>
    <w:rsid w:val="00B67CB1"/>
    <w:rsid w:val="00B7011F"/>
    <w:rsid w:val="00B7026E"/>
    <w:rsid w:val="00B70486"/>
    <w:rsid w:val="00B71297"/>
    <w:rsid w:val="00B72309"/>
    <w:rsid w:val="00B728C1"/>
    <w:rsid w:val="00B728EC"/>
    <w:rsid w:val="00B72E32"/>
    <w:rsid w:val="00B73025"/>
    <w:rsid w:val="00B7328D"/>
    <w:rsid w:val="00B7340F"/>
    <w:rsid w:val="00B738A0"/>
    <w:rsid w:val="00B73961"/>
    <w:rsid w:val="00B73B43"/>
    <w:rsid w:val="00B74C92"/>
    <w:rsid w:val="00B75329"/>
    <w:rsid w:val="00B769A3"/>
    <w:rsid w:val="00B77015"/>
    <w:rsid w:val="00B77091"/>
    <w:rsid w:val="00B77238"/>
    <w:rsid w:val="00B77A8D"/>
    <w:rsid w:val="00B804E6"/>
    <w:rsid w:val="00B81268"/>
    <w:rsid w:val="00B814D6"/>
    <w:rsid w:val="00B81BA3"/>
    <w:rsid w:val="00B81E83"/>
    <w:rsid w:val="00B82EC9"/>
    <w:rsid w:val="00B832DC"/>
    <w:rsid w:val="00B83655"/>
    <w:rsid w:val="00B837DA"/>
    <w:rsid w:val="00B8417C"/>
    <w:rsid w:val="00B84244"/>
    <w:rsid w:val="00B842A3"/>
    <w:rsid w:val="00B84361"/>
    <w:rsid w:val="00B84CA6"/>
    <w:rsid w:val="00B84E3E"/>
    <w:rsid w:val="00B85471"/>
    <w:rsid w:val="00B85545"/>
    <w:rsid w:val="00B85EE3"/>
    <w:rsid w:val="00B85F4A"/>
    <w:rsid w:val="00B863D1"/>
    <w:rsid w:val="00B86749"/>
    <w:rsid w:val="00B869F9"/>
    <w:rsid w:val="00B86AFB"/>
    <w:rsid w:val="00B8721B"/>
    <w:rsid w:val="00B87EE7"/>
    <w:rsid w:val="00B87F34"/>
    <w:rsid w:val="00B90413"/>
    <w:rsid w:val="00B91457"/>
    <w:rsid w:val="00B91711"/>
    <w:rsid w:val="00B91C29"/>
    <w:rsid w:val="00B91CCA"/>
    <w:rsid w:val="00B9201B"/>
    <w:rsid w:val="00B9324D"/>
    <w:rsid w:val="00B947A2"/>
    <w:rsid w:val="00B94D25"/>
    <w:rsid w:val="00B9529D"/>
    <w:rsid w:val="00B95565"/>
    <w:rsid w:val="00B9597D"/>
    <w:rsid w:val="00B96732"/>
    <w:rsid w:val="00B96B71"/>
    <w:rsid w:val="00B972DA"/>
    <w:rsid w:val="00BA08DE"/>
    <w:rsid w:val="00BA0EC4"/>
    <w:rsid w:val="00BA1085"/>
    <w:rsid w:val="00BA1AB3"/>
    <w:rsid w:val="00BA37C9"/>
    <w:rsid w:val="00BA48B7"/>
    <w:rsid w:val="00BA4B1A"/>
    <w:rsid w:val="00BA4C83"/>
    <w:rsid w:val="00BA4FF0"/>
    <w:rsid w:val="00BA5803"/>
    <w:rsid w:val="00BA5842"/>
    <w:rsid w:val="00BA596E"/>
    <w:rsid w:val="00BA757F"/>
    <w:rsid w:val="00BA7994"/>
    <w:rsid w:val="00BA7E91"/>
    <w:rsid w:val="00BB03A1"/>
    <w:rsid w:val="00BB05D1"/>
    <w:rsid w:val="00BB0B4C"/>
    <w:rsid w:val="00BB12D4"/>
    <w:rsid w:val="00BB1A79"/>
    <w:rsid w:val="00BB2C51"/>
    <w:rsid w:val="00BB2FFB"/>
    <w:rsid w:val="00BB32E4"/>
    <w:rsid w:val="00BB4B39"/>
    <w:rsid w:val="00BB4B94"/>
    <w:rsid w:val="00BB4CF0"/>
    <w:rsid w:val="00BB4EC8"/>
    <w:rsid w:val="00BB505F"/>
    <w:rsid w:val="00BB506C"/>
    <w:rsid w:val="00BB5A9F"/>
    <w:rsid w:val="00BB61F7"/>
    <w:rsid w:val="00BB79A4"/>
    <w:rsid w:val="00BB7E9F"/>
    <w:rsid w:val="00BC03DE"/>
    <w:rsid w:val="00BC18BB"/>
    <w:rsid w:val="00BC1C29"/>
    <w:rsid w:val="00BC1F5B"/>
    <w:rsid w:val="00BC2647"/>
    <w:rsid w:val="00BC2DAB"/>
    <w:rsid w:val="00BC3993"/>
    <w:rsid w:val="00BC3C9C"/>
    <w:rsid w:val="00BC3DEB"/>
    <w:rsid w:val="00BC3F22"/>
    <w:rsid w:val="00BC3FFB"/>
    <w:rsid w:val="00BC41A0"/>
    <w:rsid w:val="00BC4EA1"/>
    <w:rsid w:val="00BC518C"/>
    <w:rsid w:val="00BC55E4"/>
    <w:rsid w:val="00BC5789"/>
    <w:rsid w:val="00BC6BF4"/>
    <w:rsid w:val="00BD0120"/>
    <w:rsid w:val="00BD0303"/>
    <w:rsid w:val="00BD0992"/>
    <w:rsid w:val="00BD0A71"/>
    <w:rsid w:val="00BD1265"/>
    <w:rsid w:val="00BD1A0C"/>
    <w:rsid w:val="00BD1AD5"/>
    <w:rsid w:val="00BD1EEC"/>
    <w:rsid w:val="00BD397B"/>
    <w:rsid w:val="00BD40E8"/>
    <w:rsid w:val="00BD46DC"/>
    <w:rsid w:val="00BD648A"/>
    <w:rsid w:val="00BD67EA"/>
    <w:rsid w:val="00BD764F"/>
    <w:rsid w:val="00BE1730"/>
    <w:rsid w:val="00BE2D32"/>
    <w:rsid w:val="00BE3B24"/>
    <w:rsid w:val="00BE3FD4"/>
    <w:rsid w:val="00BE4D24"/>
    <w:rsid w:val="00BE51C9"/>
    <w:rsid w:val="00BE58D0"/>
    <w:rsid w:val="00BE5CB3"/>
    <w:rsid w:val="00BE7C32"/>
    <w:rsid w:val="00BF0133"/>
    <w:rsid w:val="00BF0682"/>
    <w:rsid w:val="00BF1490"/>
    <w:rsid w:val="00BF1ACC"/>
    <w:rsid w:val="00BF1BBB"/>
    <w:rsid w:val="00BF1BF1"/>
    <w:rsid w:val="00BF279C"/>
    <w:rsid w:val="00BF2A3B"/>
    <w:rsid w:val="00BF2C64"/>
    <w:rsid w:val="00BF2C75"/>
    <w:rsid w:val="00BF30AE"/>
    <w:rsid w:val="00BF3E8C"/>
    <w:rsid w:val="00BF3EAD"/>
    <w:rsid w:val="00BF5340"/>
    <w:rsid w:val="00BF5544"/>
    <w:rsid w:val="00BF57BC"/>
    <w:rsid w:val="00BF6127"/>
    <w:rsid w:val="00BF6B1C"/>
    <w:rsid w:val="00BF6CFC"/>
    <w:rsid w:val="00C01A50"/>
    <w:rsid w:val="00C01D69"/>
    <w:rsid w:val="00C02818"/>
    <w:rsid w:val="00C0319D"/>
    <w:rsid w:val="00C0326B"/>
    <w:rsid w:val="00C0338A"/>
    <w:rsid w:val="00C0362E"/>
    <w:rsid w:val="00C0367C"/>
    <w:rsid w:val="00C040C0"/>
    <w:rsid w:val="00C043B1"/>
    <w:rsid w:val="00C0510A"/>
    <w:rsid w:val="00C05211"/>
    <w:rsid w:val="00C061FA"/>
    <w:rsid w:val="00C070A1"/>
    <w:rsid w:val="00C101E3"/>
    <w:rsid w:val="00C10304"/>
    <w:rsid w:val="00C10396"/>
    <w:rsid w:val="00C10935"/>
    <w:rsid w:val="00C10BEA"/>
    <w:rsid w:val="00C11248"/>
    <w:rsid w:val="00C11A8F"/>
    <w:rsid w:val="00C12D77"/>
    <w:rsid w:val="00C13F56"/>
    <w:rsid w:val="00C14A2A"/>
    <w:rsid w:val="00C14E08"/>
    <w:rsid w:val="00C152E6"/>
    <w:rsid w:val="00C15778"/>
    <w:rsid w:val="00C15CE1"/>
    <w:rsid w:val="00C161A6"/>
    <w:rsid w:val="00C17210"/>
    <w:rsid w:val="00C200A0"/>
    <w:rsid w:val="00C2013A"/>
    <w:rsid w:val="00C205AC"/>
    <w:rsid w:val="00C205F4"/>
    <w:rsid w:val="00C21356"/>
    <w:rsid w:val="00C21999"/>
    <w:rsid w:val="00C21D81"/>
    <w:rsid w:val="00C21DC0"/>
    <w:rsid w:val="00C228F1"/>
    <w:rsid w:val="00C22BFD"/>
    <w:rsid w:val="00C23D75"/>
    <w:rsid w:val="00C24A8B"/>
    <w:rsid w:val="00C24C52"/>
    <w:rsid w:val="00C253B0"/>
    <w:rsid w:val="00C259CB"/>
    <w:rsid w:val="00C25C6D"/>
    <w:rsid w:val="00C25E50"/>
    <w:rsid w:val="00C25E75"/>
    <w:rsid w:val="00C268CF"/>
    <w:rsid w:val="00C26F90"/>
    <w:rsid w:val="00C2703D"/>
    <w:rsid w:val="00C276CB"/>
    <w:rsid w:val="00C27D24"/>
    <w:rsid w:val="00C27F3C"/>
    <w:rsid w:val="00C30334"/>
    <w:rsid w:val="00C30DAC"/>
    <w:rsid w:val="00C31920"/>
    <w:rsid w:val="00C31CDD"/>
    <w:rsid w:val="00C32164"/>
    <w:rsid w:val="00C32507"/>
    <w:rsid w:val="00C32509"/>
    <w:rsid w:val="00C32D70"/>
    <w:rsid w:val="00C34245"/>
    <w:rsid w:val="00C347D9"/>
    <w:rsid w:val="00C347F0"/>
    <w:rsid w:val="00C34E12"/>
    <w:rsid w:val="00C35BB2"/>
    <w:rsid w:val="00C362B8"/>
    <w:rsid w:val="00C36E8F"/>
    <w:rsid w:val="00C379F1"/>
    <w:rsid w:val="00C37D4D"/>
    <w:rsid w:val="00C40426"/>
    <w:rsid w:val="00C40E39"/>
    <w:rsid w:val="00C40F26"/>
    <w:rsid w:val="00C41090"/>
    <w:rsid w:val="00C41B93"/>
    <w:rsid w:val="00C41FE2"/>
    <w:rsid w:val="00C420FC"/>
    <w:rsid w:val="00C42EC7"/>
    <w:rsid w:val="00C42F8D"/>
    <w:rsid w:val="00C43F5B"/>
    <w:rsid w:val="00C44F20"/>
    <w:rsid w:val="00C4544D"/>
    <w:rsid w:val="00C464E0"/>
    <w:rsid w:val="00C4703E"/>
    <w:rsid w:val="00C47043"/>
    <w:rsid w:val="00C47324"/>
    <w:rsid w:val="00C476EE"/>
    <w:rsid w:val="00C47C5B"/>
    <w:rsid w:val="00C5108F"/>
    <w:rsid w:val="00C51188"/>
    <w:rsid w:val="00C52063"/>
    <w:rsid w:val="00C524B7"/>
    <w:rsid w:val="00C52BD4"/>
    <w:rsid w:val="00C52D83"/>
    <w:rsid w:val="00C531DB"/>
    <w:rsid w:val="00C535CE"/>
    <w:rsid w:val="00C539FA"/>
    <w:rsid w:val="00C53D26"/>
    <w:rsid w:val="00C53FD3"/>
    <w:rsid w:val="00C54D34"/>
    <w:rsid w:val="00C55D49"/>
    <w:rsid w:val="00C56B04"/>
    <w:rsid w:val="00C576F8"/>
    <w:rsid w:val="00C607BB"/>
    <w:rsid w:val="00C61124"/>
    <w:rsid w:val="00C61256"/>
    <w:rsid w:val="00C61331"/>
    <w:rsid w:val="00C62089"/>
    <w:rsid w:val="00C62E31"/>
    <w:rsid w:val="00C636D0"/>
    <w:rsid w:val="00C63B22"/>
    <w:rsid w:val="00C64071"/>
    <w:rsid w:val="00C642C6"/>
    <w:rsid w:val="00C64341"/>
    <w:rsid w:val="00C6444E"/>
    <w:rsid w:val="00C64960"/>
    <w:rsid w:val="00C64C02"/>
    <w:rsid w:val="00C64C88"/>
    <w:rsid w:val="00C64CEB"/>
    <w:rsid w:val="00C64ECB"/>
    <w:rsid w:val="00C6525E"/>
    <w:rsid w:val="00C6536A"/>
    <w:rsid w:val="00C656B7"/>
    <w:rsid w:val="00C65D90"/>
    <w:rsid w:val="00C660FB"/>
    <w:rsid w:val="00C66196"/>
    <w:rsid w:val="00C66476"/>
    <w:rsid w:val="00C6700A"/>
    <w:rsid w:val="00C672A9"/>
    <w:rsid w:val="00C67A8B"/>
    <w:rsid w:val="00C67DAF"/>
    <w:rsid w:val="00C67DDB"/>
    <w:rsid w:val="00C67EF4"/>
    <w:rsid w:val="00C70372"/>
    <w:rsid w:val="00C70530"/>
    <w:rsid w:val="00C70626"/>
    <w:rsid w:val="00C714E0"/>
    <w:rsid w:val="00C72DDC"/>
    <w:rsid w:val="00C73C02"/>
    <w:rsid w:val="00C73E6A"/>
    <w:rsid w:val="00C73E93"/>
    <w:rsid w:val="00C74E6F"/>
    <w:rsid w:val="00C7546B"/>
    <w:rsid w:val="00C75BEE"/>
    <w:rsid w:val="00C75D46"/>
    <w:rsid w:val="00C7633A"/>
    <w:rsid w:val="00C77CA1"/>
    <w:rsid w:val="00C8077C"/>
    <w:rsid w:val="00C808A1"/>
    <w:rsid w:val="00C8095D"/>
    <w:rsid w:val="00C809D1"/>
    <w:rsid w:val="00C81094"/>
    <w:rsid w:val="00C8110F"/>
    <w:rsid w:val="00C8165D"/>
    <w:rsid w:val="00C81C64"/>
    <w:rsid w:val="00C82661"/>
    <w:rsid w:val="00C82A2D"/>
    <w:rsid w:val="00C82B72"/>
    <w:rsid w:val="00C82E82"/>
    <w:rsid w:val="00C84784"/>
    <w:rsid w:val="00C85A1C"/>
    <w:rsid w:val="00C85FEC"/>
    <w:rsid w:val="00C8668E"/>
    <w:rsid w:val="00C86A3A"/>
    <w:rsid w:val="00C86F9C"/>
    <w:rsid w:val="00C87287"/>
    <w:rsid w:val="00C87D8C"/>
    <w:rsid w:val="00C87EFC"/>
    <w:rsid w:val="00C90CEA"/>
    <w:rsid w:val="00C90E7D"/>
    <w:rsid w:val="00C915B7"/>
    <w:rsid w:val="00C920AB"/>
    <w:rsid w:val="00C93552"/>
    <w:rsid w:val="00C9401C"/>
    <w:rsid w:val="00C949F6"/>
    <w:rsid w:val="00C957BE"/>
    <w:rsid w:val="00C960BA"/>
    <w:rsid w:val="00C96480"/>
    <w:rsid w:val="00CA0966"/>
    <w:rsid w:val="00CA1621"/>
    <w:rsid w:val="00CA1AAF"/>
    <w:rsid w:val="00CA27D9"/>
    <w:rsid w:val="00CA2A2E"/>
    <w:rsid w:val="00CA2F47"/>
    <w:rsid w:val="00CA391C"/>
    <w:rsid w:val="00CA40D2"/>
    <w:rsid w:val="00CA4135"/>
    <w:rsid w:val="00CA44AA"/>
    <w:rsid w:val="00CA47A2"/>
    <w:rsid w:val="00CA4A89"/>
    <w:rsid w:val="00CA4B05"/>
    <w:rsid w:val="00CA4CA7"/>
    <w:rsid w:val="00CA6767"/>
    <w:rsid w:val="00CA6E9D"/>
    <w:rsid w:val="00CA707F"/>
    <w:rsid w:val="00CB0ABD"/>
    <w:rsid w:val="00CB0C3A"/>
    <w:rsid w:val="00CB0F4E"/>
    <w:rsid w:val="00CB0F83"/>
    <w:rsid w:val="00CB1065"/>
    <w:rsid w:val="00CB1555"/>
    <w:rsid w:val="00CB2A14"/>
    <w:rsid w:val="00CB37C2"/>
    <w:rsid w:val="00CB3A9C"/>
    <w:rsid w:val="00CB4076"/>
    <w:rsid w:val="00CB4577"/>
    <w:rsid w:val="00CB4885"/>
    <w:rsid w:val="00CB4B06"/>
    <w:rsid w:val="00CB4D3F"/>
    <w:rsid w:val="00CB50DA"/>
    <w:rsid w:val="00CB53BF"/>
    <w:rsid w:val="00CB54F6"/>
    <w:rsid w:val="00CB5DB3"/>
    <w:rsid w:val="00CB6867"/>
    <w:rsid w:val="00CB6912"/>
    <w:rsid w:val="00CB6E50"/>
    <w:rsid w:val="00CB7983"/>
    <w:rsid w:val="00CB7BB9"/>
    <w:rsid w:val="00CC05E1"/>
    <w:rsid w:val="00CC0A70"/>
    <w:rsid w:val="00CC0FB4"/>
    <w:rsid w:val="00CC112F"/>
    <w:rsid w:val="00CC1400"/>
    <w:rsid w:val="00CC1856"/>
    <w:rsid w:val="00CC1DB0"/>
    <w:rsid w:val="00CC1E64"/>
    <w:rsid w:val="00CC1F19"/>
    <w:rsid w:val="00CC249A"/>
    <w:rsid w:val="00CC2CAC"/>
    <w:rsid w:val="00CC3090"/>
    <w:rsid w:val="00CC34C7"/>
    <w:rsid w:val="00CC3A05"/>
    <w:rsid w:val="00CC3E01"/>
    <w:rsid w:val="00CC5ED0"/>
    <w:rsid w:val="00CC62A9"/>
    <w:rsid w:val="00CC6CEE"/>
    <w:rsid w:val="00CC74B7"/>
    <w:rsid w:val="00CC76A0"/>
    <w:rsid w:val="00CC7886"/>
    <w:rsid w:val="00CC7BB9"/>
    <w:rsid w:val="00CD01F0"/>
    <w:rsid w:val="00CD0249"/>
    <w:rsid w:val="00CD02A2"/>
    <w:rsid w:val="00CD1B0F"/>
    <w:rsid w:val="00CD2529"/>
    <w:rsid w:val="00CD288E"/>
    <w:rsid w:val="00CD28CB"/>
    <w:rsid w:val="00CD4338"/>
    <w:rsid w:val="00CD477C"/>
    <w:rsid w:val="00CD4C72"/>
    <w:rsid w:val="00CD4E5D"/>
    <w:rsid w:val="00CD5474"/>
    <w:rsid w:val="00CD5DAC"/>
    <w:rsid w:val="00CD61B6"/>
    <w:rsid w:val="00CD647B"/>
    <w:rsid w:val="00CD6AAE"/>
    <w:rsid w:val="00CD7D1B"/>
    <w:rsid w:val="00CE12D7"/>
    <w:rsid w:val="00CE173A"/>
    <w:rsid w:val="00CE1960"/>
    <w:rsid w:val="00CE1CF0"/>
    <w:rsid w:val="00CE2C58"/>
    <w:rsid w:val="00CE304F"/>
    <w:rsid w:val="00CE43F0"/>
    <w:rsid w:val="00CE5EDD"/>
    <w:rsid w:val="00CE6763"/>
    <w:rsid w:val="00CE6957"/>
    <w:rsid w:val="00CF00C3"/>
    <w:rsid w:val="00CF0957"/>
    <w:rsid w:val="00CF19EB"/>
    <w:rsid w:val="00CF3274"/>
    <w:rsid w:val="00CF374E"/>
    <w:rsid w:val="00CF3ACF"/>
    <w:rsid w:val="00CF43B7"/>
    <w:rsid w:val="00CF5769"/>
    <w:rsid w:val="00CF576F"/>
    <w:rsid w:val="00CF587A"/>
    <w:rsid w:val="00CF614E"/>
    <w:rsid w:val="00CF6E1E"/>
    <w:rsid w:val="00CF6EC2"/>
    <w:rsid w:val="00CF770E"/>
    <w:rsid w:val="00CF7750"/>
    <w:rsid w:val="00CF7D6E"/>
    <w:rsid w:val="00CF7E27"/>
    <w:rsid w:val="00D001CE"/>
    <w:rsid w:val="00D002EE"/>
    <w:rsid w:val="00D00859"/>
    <w:rsid w:val="00D018D0"/>
    <w:rsid w:val="00D02EEA"/>
    <w:rsid w:val="00D03D37"/>
    <w:rsid w:val="00D03EAC"/>
    <w:rsid w:val="00D04465"/>
    <w:rsid w:val="00D047C1"/>
    <w:rsid w:val="00D048D3"/>
    <w:rsid w:val="00D06B4A"/>
    <w:rsid w:val="00D06ED5"/>
    <w:rsid w:val="00D100F1"/>
    <w:rsid w:val="00D10C3C"/>
    <w:rsid w:val="00D1112B"/>
    <w:rsid w:val="00D11374"/>
    <w:rsid w:val="00D1144F"/>
    <w:rsid w:val="00D118B1"/>
    <w:rsid w:val="00D11E07"/>
    <w:rsid w:val="00D120B1"/>
    <w:rsid w:val="00D1340E"/>
    <w:rsid w:val="00D13BC6"/>
    <w:rsid w:val="00D13EDF"/>
    <w:rsid w:val="00D15CBE"/>
    <w:rsid w:val="00D160DC"/>
    <w:rsid w:val="00D1612B"/>
    <w:rsid w:val="00D16339"/>
    <w:rsid w:val="00D1637C"/>
    <w:rsid w:val="00D167F9"/>
    <w:rsid w:val="00D168ED"/>
    <w:rsid w:val="00D17206"/>
    <w:rsid w:val="00D17A35"/>
    <w:rsid w:val="00D206EA"/>
    <w:rsid w:val="00D2160A"/>
    <w:rsid w:val="00D23707"/>
    <w:rsid w:val="00D238A0"/>
    <w:rsid w:val="00D2443C"/>
    <w:rsid w:val="00D24618"/>
    <w:rsid w:val="00D267F2"/>
    <w:rsid w:val="00D272F2"/>
    <w:rsid w:val="00D27820"/>
    <w:rsid w:val="00D3005A"/>
    <w:rsid w:val="00D3060B"/>
    <w:rsid w:val="00D30BB4"/>
    <w:rsid w:val="00D3179A"/>
    <w:rsid w:val="00D31FC8"/>
    <w:rsid w:val="00D336B8"/>
    <w:rsid w:val="00D34299"/>
    <w:rsid w:val="00D34582"/>
    <w:rsid w:val="00D35753"/>
    <w:rsid w:val="00D35DE9"/>
    <w:rsid w:val="00D35FF1"/>
    <w:rsid w:val="00D36764"/>
    <w:rsid w:val="00D36964"/>
    <w:rsid w:val="00D36A56"/>
    <w:rsid w:val="00D36EA1"/>
    <w:rsid w:val="00D37454"/>
    <w:rsid w:val="00D379DE"/>
    <w:rsid w:val="00D40456"/>
    <w:rsid w:val="00D40E11"/>
    <w:rsid w:val="00D41445"/>
    <w:rsid w:val="00D42057"/>
    <w:rsid w:val="00D4234D"/>
    <w:rsid w:val="00D43BE1"/>
    <w:rsid w:val="00D4424C"/>
    <w:rsid w:val="00D44B56"/>
    <w:rsid w:val="00D45A6D"/>
    <w:rsid w:val="00D45FE1"/>
    <w:rsid w:val="00D4624D"/>
    <w:rsid w:val="00D4633E"/>
    <w:rsid w:val="00D468B2"/>
    <w:rsid w:val="00D470F9"/>
    <w:rsid w:val="00D471DF"/>
    <w:rsid w:val="00D500E2"/>
    <w:rsid w:val="00D5047E"/>
    <w:rsid w:val="00D50B9B"/>
    <w:rsid w:val="00D51050"/>
    <w:rsid w:val="00D51192"/>
    <w:rsid w:val="00D519F9"/>
    <w:rsid w:val="00D53189"/>
    <w:rsid w:val="00D534AD"/>
    <w:rsid w:val="00D53E03"/>
    <w:rsid w:val="00D543AE"/>
    <w:rsid w:val="00D543D7"/>
    <w:rsid w:val="00D54ADA"/>
    <w:rsid w:val="00D54C75"/>
    <w:rsid w:val="00D552EB"/>
    <w:rsid w:val="00D55FB7"/>
    <w:rsid w:val="00D56964"/>
    <w:rsid w:val="00D6004A"/>
    <w:rsid w:val="00D60140"/>
    <w:rsid w:val="00D620FA"/>
    <w:rsid w:val="00D627D9"/>
    <w:rsid w:val="00D63028"/>
    <w:rsid w:val="00D63690"/>
    <w:rsid w:val="00D64397"/>
    <w:rsid w:val="00D64BD6"/>
    <w:rsid w:val="00D650C1"/>
    <w:rsid w:val="00D66587"/>
    <w:rsid w:val="00D66670"/>
    <w:rsid w:val="00D675D8"/>
    <w:rsid w:val="00D70225"/>
    <w:rsid w:val="00D7025D"/>
    <w:rsid w:val="00D704A2"/>
    <w:rsid w:val="00D70785"/>
    <w:rsid w:val="00D710E1"/>
    <w:rsid w:val="00D732C7"/>
    <w:rsid w:val="00D734CC"/>
    <w:rsid w:val="00D737DD"/>
    <w:rsid w:val="00D7469E"/>
    <w:rsid w:val="00D74BCF"/>
    <w:rsid w:val="00D752A0"/>
    <w:rsid w:val="00D75862"/>
    <w:rsid w:val="00D806C1"/>
    <w:rsid w:val="00D80CBE"/>
    <w:rsid w:val="00D81189"/>
    <w:rsid w:val="00D812B2"/>
    <w:rsid w:val="00D8164D"/>
    <w:rsid w:val="00D81741"/>
    <w:rsid w:val="00D8190E"/>
    <w:rsid w:val="00D83C9B"/>
    <w:rsid w:val="00D843B6"/>
    <w:rsid w:val="00D843F7"/>
    <w:rsid w:val="00D84594"/>
    <w:rsid w:val="00D84B91"/>
    <w:rsid w:val="00D84DB6"/>
    <w:rsid w:val="00D90087"/>
    <w:rsid w:val="00D910A2"/>
    <w:rsid w:val="00D91616"/>
    <w:rsid w:val="00D92F91"/>
    <w:rsid w:val="00D931D0"/>
    <w:rsid w:val="00D931F0"/>
    <w:rsid w:val="00D93773"/>
    <w:rsid w:val="00D944E5"/>
    <w:rsid w:val="00D94530"/>
    <w:rsid w:val="00D94D6F"/>
    <w:rsid w:val="00D953B8"/>
    <w:rsid w:val="00D96D8F"/>
    <w:rsid w:val="00DA0703"/>
    <w:rsid w:val="00DA1A1B"/>
    <w:rsid w:val="00DA1AB1"/>
    <w:rsid w:val="00DA2B59"/>
    <w:rsid w:val="00DA2DBE"/>
    <w:rsid w:val="00DA33CD"/>
    <w:rsid w:val="00DA420F"/>
    <w:rsid w:val="00DA48B2"/>
    <w:rsid w:val="00DA4C9B"/>
    <w:rsid w:val="00DA4DA2"/>
    <w:rsid w:val="00DA5B90"/>
    <w:rsid w:val="00DA69AA"/>
    <w:rsid w:val="00DA755B"/>
    <w:rsid w:val="00DA77CF"/>
    <w:rsid w:val="00DB0018"/>
    <w:rsid w:val="00DB0710"/>
    <w:rsid w:val="00DB08E2"/>
    <w:rsid w:val="00DB0EB8"/>
    <w:rsid w:val="00DB1687"/>
    <w:rsid w:val="00DB1B29"/>
    <w:rsid w:val="00DB22AF"/>
    <w:rsid w:val="00DB384E"/>
    <w:rsid w:val="00DB460C"/>
    <w:rsid w:val="00DB46C5"/>
    <w:rsid w:val="00DB4ADB"/>
    <w:rsid w:val="00DB4CF3"/>
    <w:rsid w:val="00DB59FF"/>
    <w:rsid w:val="00DB6DE4"/>
    <w:rsid w:val="00DB6F63"/>
    <w:rsid w:val="00DB7025"/>
    <w:rsid w:val="00DB7478"/>
    <w:rsid w:val="00DB7FD3"/>
    <w:rsid w:val="00DC019D"/>
    <w:rsid w:val="00DC0479"/>
    <w:rsid w:val="00DC13FD"/>
    <w:rsid w:val="00DC1634"/>
    <w:rsid w:val="00DC268F"/>
    <w:rsid w:val="00DC286A"/>
    <w:rsid w:val="00DC3342"/>
    <w:rsid w:val="00DC3673"/>
    <w:rsid w:val="00DC3B0E"/>
    <w:rsid w:val="00DC4711"/>
    <w:rsid w:val="00DC57C8"/>
    <w:rsid w:val="00DC6028"/>
    <w:rsid w:val="00DC615D"/>
    <w:rsid w:val="00DC625A"/>
    <w:rsid w:val="00DC6D28"/>
    <w:rsid w:val="00DC7657"/>
    <w:rsid w:val="00DD0227"/>
    <w:rsid w:val="00DD05D6"/>
    <w:rsid w:val="00DD071C"/>
    <w:rsid w:val="00DD1231"/>
    <w:rsid w:val="00DD12D6"/>
    <w:rsid w:val="00DD1881"/>
    <w:rsid w:val="00DD18E4"/>
    <w:rsid w:val="00DD1F89"/>
    <w:rsid w:val="00DD4020"/>
    <w:rsid w:val="00DD432B"/>
    <w:rsid w:val="00DD47D7"/>
    <w:rsid w:val="00DD59E9"/>
    <w:rsid w:val="00DD5FB9"/>
    <w:rsid w:val="00DD676E"/>
    <w:rsid w:val="00DD6CE9"/>
    <w:rsid w:val="00DD7EBD"/>
    <w:rsid w:val="00DE007A"/>
    <w:rsid w:val="00DE1003"/>
    <w:rsid w:val="00DE15E4"/>
    <w:rsid w:val="00DE1A5E"/>
    <w:rsid w:val="00DE203C"/>
    <w:rsid w:val="00DE2FEA"/>
    <w:rsid w:val="00DE3549"/>
    <w:rsid w:val="00DE389B"/>
    <w:rsid w:val="00DE39EF"/>
    <w:rsid w:val="00DE53D9"/>
    <w:rsid w:val="00DE54B2"/>
    <w:rsid w:val="00DE591E"/>
    <w:rsid w:val="00DE59F4"/>
    <w:rsid w:val="00DE5E1C"/>
    <w:rsid w:val="00DE6088"/>
    <w:rsid w:val="00DE6EA3"/>
    <w:rsid w:val="00DE77EB"/>
    <w:rsid w:val="00DE7926"/>
    <w:rsid w:val="00DF0764"/>
    <w:rsid w:val="00DF0F46"/>
    <w:rsid w:val="00DF11BE"/>
    <w:rsid w:val="00DF1751"/>
    <w:rsid w:val="00DF1F79"/>
    <w:rsid w:val="00DF3137"/>
    <w:rsid w:val="00DF46C5"/>
    <w:rsid w:val="00DF54FA"/>
    <w:rsid w:val="00DF558C"/>
    <w:rsid w:val="00DF59AA"/>
    <w:rsid w:val="00DF5A04"/>
    <w:rsid w:val="00DF677E"/>
    <w:rsid w:val="00DF6D16"/>
    <w:rsid w:val="00DF6D6D"/>
    <w:rsid w:val="00DF7317"/>
    <w:rsid w:val="00DF759A"/>
    <w:rsid w:val="00DF7C50"/>
    <w:rsid w:val="00DF7CB4"/>
    <w:rsid w:val="00DF7F2D"/>
    <w:rsid w:val="00E0047F"/>
    <w:rsid w:val="00E00B9D"/>
    <w:rsid w:val="00E01589"/>
    <w:rsid w:val="00E020C8"/>
    <w:rsid w:val="00E023E5"/>
    <w:rsid w:val="00E04B24"/>
    <w:rsid w:val="00E05290"/>
    <w:rsid w:val="00E05A6B"/>
    <w:rsid w:val="00E063E3"/>
    <w:rsid w:val="00E06A13"/>
    <w:rsid w:val="00E06BF3"/>
    <w:rsid w:val="00E0730B"/>
    <w:rsid w:val="00E122BB"/>
    <w:rsid w:val="00E12890"/>
    <w:rsid w:val="00E128D6"/>
    <w:rsid w:val="00E12A39"/>
    <w:rsid w:val="00E12CD3"/>
    <w:rsid w:val="00E12EF5"/>
    <w:rsid w:val="00E134A9"/>
    <w:rsid w:val="00E139EF"/>
    <w:rsid w:val="00E13A4F"/>
    <w:rsid w:val="00E14CA1"/>
    <w:rsid w:val="00E1574E"/>
    <w:rsid w:val="00E15926"/>
    <w:rsid w:val="00E16A6E"/>
    <w:rsid w:val="00E16D13"/>
    <w:rsid w:val="00E173DB"/>
    <w:rsid w:val="00E175AF"/>
    <w:rsid w:val="00E17ABF"/>
    <w:rsid w:val="00E20429"/>
    <w:rsid w:val="00E2076F"/>
    <w:rsid w:val="00E20C82"/>
    <w:rsid w:val="00E20F15"/>
    <w:rsid w:val="00E21A8D"/>
    <w:rsid w:val="00E21AD7"/>
    <w:rsid w:val="00E21D18"/>
    <w:rsid w:val="00E2222A"/>
    <w:rsid w:val="00E22C96"/>
    <w:rsid w:val="00E22D93"/>
    <w:rsid w:val="00E2390C"/>
    <w:rsid w:val="00E2412A"/>
    <w:rsid w:val="00E2429C"/>
    <w:rsid w:val="00E24455"/>
    <w:rsid w:val="00E24F00"/>
    <w:rsid w:val="00E26B73"/>
    <w:rsid w:val="00E26F7A"/>
    <w:rsid w:val="00E27463"/>
    <w:rsid w:val="00E27565"/>
    <w:rsid w:val="00E308F7"/>
    <w:rsid w:val="00E30D24"/>
    <w:rsid w:val="00E315E9"/>
    <w:rsid w:val="00E31B5F"/>
    <w:rsid w:val="00E31C0E"/>
    <w:rsid w:val="00E34342"/>
    <w:rsid w:val="00E3459E"/>
    <w:rsid w:val="00E34742"/>
    <w:rsid w:val="00E3606C"/>
    <w:rsid w:val="00E3637B"/>
    <w:rsid w:val="00E365D8"/>
    <w:rsid w:val="00E37247"/>
    <w:rsid w:val="00E37E5B"/>
    <w:rsid w:val="00E40D11"/>
    <w:rsid w:val="00E4138A"/>
    <w:rsid w:val="00E418CB"/>
    <w:rsid w:val="00E430AC"/>
    <w:rsid w:val="00E438AF"/>
    <w:rsid w:val="00E43A2C"/>
    <w:rsid w:val="00E4495A"/>
    <w:rsid w:val="00E44E4E"/>
    <w:rsid w:val="00E45330"/>
    <w:rsid w:val="00E456BE"/>
    <w:rsid w:val="00E46132"/>
    <w:rsid w:val="00E463F1"/>
    <w:rsid w:val="00E477D5"/>
    <w:rsid w:val="00E47BA1"/>
    <w:rsid w:val="00E50109"/>
    <w:rsid w:val="00E50133"/>
    <w:rsid w:val="00E504EE"/>
    <w:rsid w:val="00E5158C"/>
    <w:rsid w:val="00E52730"/>
    <w:rsid w:val="00E52769"/>
    <w:rsid w:val="00E52856"/>
    <w:rsid w:val="00E53B49"/>
    <w:rsid w:val="00E53CB9"/>
    <w:rsid w:val="00E54660"/>
    <w:rsid w:val="00E54D97"/>
    <w:rsid w:val="00E5531B"/>
    <w:rsid w:val="00E554FC"/>
    <w:rsid w:val="00E557A8"/>
    <w:rsid w:val="00E55AC2"/>
    <w:rsid w:val="00E561C6"/>
    <w:rsid w:val="00E56901"/>
    <w:rsid w:val="00E56953"/>
    <w:rsid w:val="00E56FFA"/>
    <w:rsid w:val="00E57212"/>
    <w:rsid w:val="00E5724D"/>
    <w:rsid w:val="00E57881"/>
    <w:rsid w:val="00E604CC"/>
    <w:rsid w:val="00E607A2"/>
    <w:rsid w:val="00E607D9"/>
    <w:rsid w:val="00E611CE"/>
    <w:rsid w:val="00E614D6"/>
    <w:rsid w:val="00E61E64"/>
    <w:rsid w:val="00E628ED"/>
    <w:rsid w:val="00E631C6"/>
    <w:rsid w:val="00E63637"/>
    <w:rsid w:val="00E64749"/>
    <w:rsid w:val="00E64B84"/>
    <w:rsid w:val="00E6504E"/>
    <w:rsid w:val="00E65468"/>
    <w:rsid w:val="00E658EA"/>
    <w:rsid w:val="00E659F9"/>
    <w:rsid w:val="00E65BE5"/>
    <w:rsid w:val="00E65D8B"/>
    <w:rsid w:val="00E6631E"/>
    <w:rsid w:val="00E664D0"/>
    <w:rsid w:val="00E6695D"/>
    <w:rsid w:val="00E6730C"/>
    <w:rsid w:val="00E702D3"/>
    <w:rsid w:val="00E70F93"/>
    <w:rsid w:val="00E71647"/>
    <w:rsid w:val="00E71DD6"/>
    <w:rsid w:val="00E7243F"/>
    <w:rsid w:val="00E72FAB"/>
    <w:rsid w:val="00E7381E"/>
    <w:rsid w:val="00E7397A"/>
    <w:rsid w:val="00E7397D"/>
    <w:rsid w:val="00E73A61"/>
    <w:rsid w:val="00E7413F"/>
    <w:rsid w:val="00E744E6"/>
    <w:rsid w:val="00E7457B"/>
    <w:rsid w:val="00E74FCA"/>
    <w:rsid w:val="00E77382"/>
    <w:rsid w:val="00E77959"/>
    <w:rsid w:val="00E8040E"/>
    <w:rsid w:val="00E80BB4"/>
    <w:rsid w:val="00E811D3"/>
    <w:rsid w:val="00E8199D"/>
    <w:rsid w:val="00E8203A"/>
    <w:rsid w:val="00E8204F"/>
    <w:rsid w:val="00E821D8"/>
    <w:rsid w:val="00E82A3F"/>
    <w:rsid w:val="00E833D1"/>
    <w:rsid w:val="00E83675"/>
    <w:rsid w:val="00E8408D"/>
    <w:rsid w:val="00E8491F"/>
    <w:rsid w:val="00E84F33"/>
    <w:rsid w:val="00E850BB"/>
    <w:rsid w:val="00E86740"/>
    <w:rsid w:val="00E86DD2"/>
    <w:rsid w:val="00E86EE2"/>
    <w:rsid w:val="00E870AF"/>
    <w:rsid w:val="00E90244"/>
    <w:rsid w:val="00E91117"/>
    <w:rsid w:val="00E91C20"/>
    <w:rsid w:val="00E91E39"/>
    <w:rsid w:val="00E92C71"/>
    <w:rsid w:val="00E943A1"/>
    <w:rsid w:val="00E94579"/>
    <w:rsid w:val="00E94F41"/>
    <w:rsid w:val="00E96474"/>
    <w:rsid w:val="00E9651C"/>
    <w:rsid w:val="00E96C94"/>
    <w:rsid w:val="00E96E5A"/>
    <w:rsid w:val="00E972D7"/>
    <w:rsid w:val="00E97DC1"/>
    <w:rsid w:val="00EA03A2"/>
    <w:rsid w:val="00EA073D"/>
    <w:rsid w:val="00EA0F77"/>
    <w:rsid w:val="00EA19AC"/>
    <w:rsid w:val="00EA20C7"/>
    <w:rsid w:val="00EA292C"/>
    <w:rsid w:val="00EA29AE"/>
    <w:rsid w:val="00EA2B70"/>
    <w:rsid w:val="00EA348E"/>
    <w:rsid w:val="00EA379D"/>
    <w:rsid w:val="00EA3B07"/>
    <w:rsid w:val="00EA3C1C"/>
    <w:rsid w:val="00EA3DF5"/>
    <w:rsid w:val="00EA544A"/>
    <w:rsid w:val="00EA5D33"/>
    <w:rsid w:val="00EA669E"/>
    <w:rsid w:val="00EA69F0"/>
    <w:rsid w:val="00EA6A35"/>
    <w:rsid w:val="00EA6B14"/>
    <w:rsid w:val="00EB0AD0"/>
    <w:rsid w:val="00EB1BD9"/>
    <w:rsid w:val="00EB2E27"/>
    <w:rsid w:val="00EB3B95"/>
    <w:rsid w:val="00EB3CEF"/>
    <w:rsid w:val="00EB3FA2"/>
    <w:rsid w:val="00EB4917"/>
    <w:rsid w:val="00EB56CD"/>
    <w:rsid w:val="00EB5700"/>
    <w:rsid w:val="00EB5F75"/>
    <w:rsid w:val="00EB66ED"/>
    <w:rsid w:val="00EB7D59"/>
    <w:rsid w:val="00EC0213"/>
    <w:rsid w:val="00EC1381"/>
    <w:rsid w:val="00EC18EC"/>
    <w:rsid w:val="00EC1B74"/>
    <w:rsid w:val="00EC1E14"/>
    <w:rsid w:val="00EC2BAF"/>
    <w:rsid w:val="00EC331A"/>
    <w:rsid w:val="00EC3A52"/>
    <w:rsid w:val="00EC445C"/>
    <w:rsid w:val="00EC4B70"/>
    <w:rsid w:val="00EC5550"/>
    <w:rsid w:val="00EC5EC5"/>
    <w:rsid w:val="00EC6B67"/>
    <w:rsid w:val="00EC7426"/>
    <w:rsid w:val="00EC798A"/>
    <w:rsid w:val="00ED04C8"/>
    <w:rsid w:val="00ED062E"/>
    <w:rsid w:val="00ED199B"/>
    <w:rsid w:val="00ED1A58"/>
    <w:rsid w:val="00ED1A75"/>
    <w:rsid w:val="00ED1FD7"/>
    <w:rsid w:val="00ED24F3"/>
    <w:rsid w:val="00ED28CB"/>
    <w:rsid w:val="00ED2B64"/>
    <w:rsid w:val="00ED357D"/>
    <w:rsid w:val="00ED39B4"/>
    <w:rsid w:val="00ED41F8"/>
    <w:rsid w:val="00ED4BF5"/>
    <w:rsid w:val="00ED506F"/>
    <w:rsid w:val="00ED533D"/>
    <w:rsid w:val="00ED61D7"/>
    <w:rsid w:val="00ED6AA5"/>
    <w:rsid w:val="00ED71CF"/>
    <w:rsid w:val="00ED794D"/>
    <w:rsid w:val="00ED7BCE"/>
    <w:rsid w:val="00ED7D44"/>
    <w:rsid w:val="00ED7D51"/>
    <w:rsid w:val="00EE08BD"/>
    <w:rsid w:val="00EE10AD"/>
    <w:rsid w:val="00EE13BB"/>
    <w:rsid w:val="00EE1A21"/>
    <w:rsid w:val="00EE1E26"/>
    <w:rsid w:val="00EE2BB3"/>
    <w:rsid w:val="00EE2C26"/>
    <w:rsid w:val="00EE3310"/>
    <w:rsid w:val="00EE3BB8"/>
    <w:rsid w:val="00EE3DC2"/>
    <w:rsid w:val="00EE4677"/>
    <w:rsid w:val="00EE48A5"/>
    <w:rsid w:val="00EE4A17"/>
    <w:rsid w:val="00EE5B60"/>
    <w:rsid w:val="00EE5D95"/>
    <w:rsid w:val="00EE77EB"/>
    <w:rsid w:val="00EE7CD4"/>
    <w:rsid w:val="00EF07D5"/>
    <w:rsid w:val="00EF0BE7"/>
    <w:rsid w:val="00EF1104"/>
    <w:rsid w:val="00EF1704"/>
    <w:rsid w:val="00EF1B53"/>
    <w:rsid w:val="00EF2D6B"/>
    <w:rsid w:val="00EF45D2"/>
    <w:rsid w:val="00EF485E"/>
    <w:rsid w:val="00EF4A32"/>
    <w:rsid w:val="00EF4CA2"/>
    <w:rsid w:val="00EF4E66"/>
    <w:rsid w:val="00EF5023"/>
    <w:rsid w:val="00EF5AB9"/>
    <w:rsid w:val="00EF5C98"/>
    <w:rsid w:val="00EF6F50"/>
    <w:rsid w:val="00F0038F"/>
    <w:rsid w:val="00F00D94"/>
    <w:rsid w:val="00F02EDA"/>
    <w:rsid w:val="00F03603"/>
    <w:rsid w:val="00F03D87"/>
    <w:rsid w:val="00F04334"/>
    <w:rsid w:val="00F048CE"/>
    <w:rsid w:val="00F0500A"/>
    <w:rsid w:val="00F05137"/>
    <w:rsid w:val="00F05ECB"/>
    <w:rsid w:val="00F06738"/>
    <w:rsid w:val="00F06D45"/>
    <w:rsid w:val="00F072AF"/>
    <w:rsid w:val="00F073E7"/>
    <w:rsid w:val="00F074B7"/>
    <w:rsid w:val="00F079DA"/>
    <w:rsid w:val="00F10BF8"/>
    <w:rsid w:val="00F10E91"/>
    <w:rsid w:val="00F119B9"/>
    <w:rsid w:val="00F11C8D"/>
    <w:rsid w:val="00F12B5B"/>
    <w:rsid w:val="00F13063"/>
    <w:rsid w:val="00F13824"/>
    <w:rsid w:val="00F1398D"/>
    <w:rsid w:val="00F13B2C"/>
    <w:rsid w:val="00F141E0"/>
    <w:rsid w:val="00F14763"/>
    <w:rsid w:val="00F1598C"/>
    <w:rsid w:val="00F15CB6"/>
    <w:rsid w:val="00F16002"/>
    <w:rsid w:val="00F16AD8"/>
    <w:rsid w:val="00F1708A"/>
    <w:rsid w:val="00F207D1"/>
    <w:rsid w:val="00F209DA"/>
    <w:rsid w:val="00F20CD7"/>
    <w:rsid w:val="00F20D7C"/>
    <w:rsid w:val="00F20FC5"/>
    <w:rsid w:val="00F21A66"/>
    <w:rsid w:val="00F22165"/>
    <w:rsid w:val="00F22437"/>
    <w:rsid w:val="00F22442"/>
    <w:rsid w:val="00F228C2"/>
    <w:rsid w:val="00F22D25"/>
    <w:rsid w:val="00F22D7B"/>
    <w:rsid w:val="00F22EB9"/>
    <w:rsid w:val="00F23261"/>
    <w:rsid w:val="00F238C6"/>
    <w:rsid w:val="00F2473C"/>
    <w:rsid w:val="00F25476"/>
    <w:rsid w:val="00F256FE"/>
    <w:rsid w:val="00F25CDA"/>
    <w:rsid w:val="00F26450"/>
    <w:rsid w:val="00F26B5C"/>
    <w:rsid w:val="00F30F89"/>
    <w:rsid w:val="00F3116F"/>
    <w:rsid w:val="00F3134F"/>
    <w:rsid w:val="00F317F6"/>
    <w:rsid w:val="00F31BDB"/>
    <w:rsid w:val="00F31C14"/>
    <w:rsid w:val="00F32726"/>
    <w:rsid w:val="00F3483F"/>
    <w:rsid w:val="00F350F6"/>
    <w:rsid w:val="00F365DF"/>
    <w:rsid w:val="00F3686B"/>
    <w:rsid w:val="00F36A52"/>
    <w:rsid w:val="00F36BB9"/>
    <w:rsid w:val="00F37BF3"/>
    <w:rsid w:val="00F37D73"/>
    <w:rsid w:val="00F37F8D"/>
    <w:rsid w:val="00F404E0"/>
    <w:rsid w:val="00F40B4F"/>
    <w:rsid w:val="00F40EC6"/>
    <w:rsid w:val="00F41A18"/>
    <w:rsid w:val="00F42B95"/>
    <w:rsid w:val="00F42C5D"/>
    <w:rsid w:val="00F43B37"/>
    <w:rsid w:val="00F44153"/>
    <w:rsid w:val="00F441FA"/>
    <w:rsid w:val="00F4457F"/>
    <w:rsid w:val="00F44B1B"/>
    <w:rsid w:val="00F454C8"/>
    <w:rsid w:val="00F462C3"/>
    <w:rsid w:val="00F46456"/>
    <w:rsid w:val="00F46E8D"/>
    <w:rsid w:val="00F5048F"/>
    <w:rsid w:val="00F516B8"/>
    <w:rsid w:val="00F525E7"/>
    <w:rsid w:val="00F53378"/>
    <w:rsid w:val="00F5337B"/>
    <w:rsid w:val="00F538D7"/>
    <w:rsid w:val="00F53BDC"/>
    <w:rsid w:val="00F54EEC"/>
    <w:rsid w:val="00F552B4"/>
    <w:rsid w:val="00F5599C"/>
    <w:rsid w:val="00F56CB8"/>
    <w:rsid w:val="00F57855"/>
    <w:rsid w:val="00F601D8"/>
    <w:rsid w:val="00F6066E"/>
    <w:rsid w:val="00F606C0"/>
    <w:rsid w:val="00F60748"/>
    <w:rsid w:val="00F60FEE"/>
    <w:rsid w:val="00F626CB"/>
    <w:rsid w:val="00F62C2F"/>
    <w:rsid w:val="00F63E3E"/>
    <w:rsid w:val="00F64D0B"/>
    <w:rsid w:val="00F659FA"/>
    <w:rsid w:val="00F66F17"/>
    <w:rsid w:val="00F66F1B"/>
    <w:rsid w:val="00F67DA4"/>
    <w:rsid w:val="00F67EA9"/>
    <w:rsid w:val="00F7023D"/>
    <w:rsid w:val="00F71509"/>
    <w:rsid w:val="00F7190E"/>
    <w:rsid w:val="00F72C1B"/>
    <w:rsid w:val="00F73454"/>
    <w:rsid w:val="00F74C3F"/>
    <w:rsid w:val="00F74D1B"/>
    <w:rsid w:val="00F74D6D"/>
    <w:rsid w:val="00F754D6"/>
    <w:rsid w:val="00F758AA"/>
    <w:rsid w:val="00F76357"/>
    <w:rsid w:val="00F76E8E"/>
    <w:rsid w:val="00F76F7C"/>
    <w:rsid w:val="00F773DC"/>
    <w:rsid w:val="00F80488"/>
    <w:rsid w:val="00F8119A"/>
    <w:rsid w:val="00F818D0"/>
    <w:rsid w:val="00F81E45"/>
    <w:rsid w:val="00F8229E"/>
    <w:rsid w:val="00F82D08"/>
    <w:rsid w:val="00F83095"/>
    <w:rsid w:val="00F84399"/>
    <w:rsid w:val="00F8466F"/>
    <w:rsid w:val="00F851C8"/>
    <w:rsid w:val="00F85426"/>
    <w:rsid w:val="00F85F5C"/>
    <w:rsid w:val="00F86A59"/>
    <w:rsid w:val="00F8770D"/>
    <w:rsid w:val="00F91223"/>
    <w:rsid w:val="00F912C1"/>
    <w:rsid w:val="00F91372"/>
    <w:rsid w:val="00F918B2"/>
    <w:rsid w:val="00F91BAD"/>
    <w:rsid w:val="00F91E3E"/>
    <w:rsid w:val="00F92094"/>
    <w:rsid w:val="00F922D5"/>
    <w:rsid w:val="00F927F0"/>
    <w:rsid w:val="00F92DAE"/>
    <w:rsid w:val="00F92FBB"/>
    <w:rsid w:val="00F93E8C"/>
    <w:rsid w:val="00F94D44"/>
    <w:rsid w:val="00F94D95"/>
    <w:rsid w:val="00F94FD4"/>
    <w:rsid w:val="00F95412"/>
    <w:rsid w:val="00F95C1A"/>
    <w:rsid w:val="00F95DDD"/>
    <w:rsid w:val="00F9656C"/>
    <w:rsid w:val="00F96723"/>
    <w:rsid w:val="00F9682D"/>
    <w:rsid w:val="00F96A64"/>
    <w:rsid w:val="00F9709A"/>
    <w:rsid w:val="00F97981"/>
    <w:rsid w:val="00F97AAE"/>
    <w:rsid w:val="00F97CAE"/>
    <w:rsid w:val="00FA0149"/>
    <w:rsid w:val="00FA0202"/>
    <w:rsid w:val="00FA038D"/>
    <w:rsid w:val="00FA099C"/>
    <w:rsid w:val="00FA0D36"/>
    <w:rsid w:val="00FA1C66"/>
    <w:rsid w:val="00FA26BE"/>
    <w:rsid w:val="00FA5435"/>
    <w:rsid w:val="00FA5A28"/>
    <w:rsid w:val="00FA5E01"/>
    <w:rsid w:val="00FA62B9"/>
    <w:rsid w:val="00FA6A50"/>
    <w:rsid w:val="00FA7328"/>
    <w:rsid w:val="00FA74A0"/>
    <w:rsid w:val="00FB06B4"/>
    <w:rsid w:val="00FB0AD4"/>
    <w:rsid w:val="00FB0B77"/>
    <w:rsid w:val="00FB0F93"/>
    <w:rsid w:val="00FB16B1"/>
    <w:rsid w:val="00FB1A93"/>
    <w:rsid w:val="00FB23E0"/>
    <w:rsid w:val="00FB31BE"/>
    <w:rsid w:val="00FB49C0"/>
    <w:rsid w:val="00FB6A5A"/>
    <w:rsid w:val="00FB7710"/>
    <w:rsid w:val="00FB7FA4"/>
    <w:rsid w:val="00FC02B9"/>
    <w:rsid w:val="00FC0996"/>
    <w:rsid w:val="00FC1F23"/>
    <w:rsid w:val="00FC24F5"/>
    <w:rsid w:val="00FC2BAF"/>
    <w:rsid w:val="00FC3657"/>
    <w:rsid w:val="00FC3C86"/>
    <w:rsid w:val="00FC43E9"/>
    <w:rsid w:val="00FC467A"/>
    <w:rsid w:val="00FC4B3F"/>
    <w:rsid w:val="00FC4E24"/>
    <w:rsid w:val="00FC4F03"/>
    <w:rsid w:val="00FC5B74"/>
    <w:rsid w:val="00FC6CF5"/>
    <w:rsid w:val="00FC72AE"/>
    <w:rsid w:val="00FC74BF"/>
    <w:rsid w:val="00FC74F5"/>
    <w:rsid w:val="00FC7D1F"/>
    <w:rsid w:val="00FC7F00"/>
    <w:rsid w:val="00FD01B6"/>
    <w:rsid w:val="00FD0AC1"/>
    <w:rsid w:val="00FD10E5"/>
    <w:rsid w:val="00FD12E6"/>
    <w:rsid w:val="00FD18B5"/>
    <w:rsid w:val="00FD18F8"/>
    <w:rsid w:val="00FD1BC4"/>
    <w:rsid w:val="00FD3334"/>
    <w:rsid w:val="00FD36F9"/>
    <w:rsid w:val="00FD3CFF"/>
    <w:rsid w:val="00FD3D1D"/>
    <w:rsid w:val="00FD4641"/>
    <w:rsid w:val="00FD4CD6"/>
    <w:rsid w:val="00FD5B02"/>
    <w:rsid w:val="00FD5CE1"/>
    <w:rsid w:val="00FD6BAB"/>
    <w:rsid w:val="00FD7B34"/>
    <w:rsid w:val="00FD7B59"/>
    <w:rsid w:val="00FD7BC1"/>
    <w:rsid w:val="00FD7ED7"/>
    <w:rsid w:val="00FD7F72"/>
    <w:rsid w:val="00FE1161"/>
    <w:rsid w:val="00FE1188"/>
    <w:rsid w:val="00FE1F98"/>
    <w:rsid w:val="00FE21DC"/>
    <w:rsid w:val="00FE27FB"/>
    <w:rsid w:val="00FE2ACC"/>
    <w:rsid w:val="00FE2E3C"/>
    <w:rsid w:val="00FE38E7"/>
    <w:rsid w:val="00FE4F70"/>
    <w:rsid w:val="00FE4FA8"/>
    <w:rsid w:val="00FE5C5E"/>
    <w:rsid w:val="00FE6797"/>
    <w:rsid w:val="00FE75E2"/>
    <w:rsid w:val="00FE7C58"/>
    <w:rsid w:val="00FE7D2C"/>
    <w:rsid w:val="00FF2600"/>
    <w:rsid w:val="00FF2AB1"/>
    <w:rsid w:val="00FF35D6"/>
    <w:rsid w:val="00FF3AD9"/>
    <w:rsid w:val="00FF48B0"/>
    <w:rsid w:val="00FF518B"/>
    <w:rsid w:val="00FF640F"/>
    <w:rsid w:val="00FF692C"/>
    <w:rsid w:val="00FF6CEA"/>
    <w:rsid w:val="00FF6FCC"/>
    <w:rsid w:val="01F483EA"/>
    <w:rsid w:val="029C3D28"/>
    <w:rsid w:val="029CA4D6"/>
    <w:rsid w:val="02CD8795"/>
    <w:rsid w:val="0360BB99"/>
    <w:rsid w:val="0474F0A2"/>
    <w:rsid w:val="04FB9801"/>
    <w:rsid w:val="04FF3A01"/>
    <w:rsid w:val="05D85DA6"/>
    <w:rsid w:val="075EB8DC"/>
    <w:rsid w:val="077972AF"/>
    <w:rsid w:val="07B2B073"/>
    <w:rsid w:val="07D448E5"/>
    <w:rsid w:val="0A1DA4A6"/>
    <w:rsid w:val="0A577C22"/>
    <w:rsid w:val="0B2E20E4"/>
    <w:rsid w:val="0C481E75"/>
    <w:rsid w:val="0EBF9DB8"/>
    <w:rsid w:val="0F9EB482"/>
    <w:rsid w:val="0FCEF91B"/>
    <w:rsid w:val="10BD0BA5"/>
    <w:rsid w:val="10BF2D3C"/>
    <w:rsid w:val="11841318"/>
    <w:rsid w:val="118C4109"/>
    <w:rsid w:val="123C3BFD"/>
    <w:rsid w:val="12841BB5"/>
    <w:rsid w:val="12B35BDC"/>
    <w:rsid w:val="139909A3"/>
    <w:rsid w:val="14418FE1"/>
    <w:rsid w:val="15DD4D14"/>
    <w:rsid w:val="16D3E227"/>
    <w:rsid w:val="174C5020"/>
    <w:rsid w:val="17664A3D"/>
    <w:rsid w:val="182BEFEB"/>
    <w:rsid w:val="18348DA2"/>
    <w:rsid w:val="1891B0CF"/>
    <w:rsid w:val="18A08DC6"/>
    <w:rsid w:val="1A7BFF85"/>
    <w:rsid w:val="1A85FA79"/>
    <w:rsid w:val="1AE1413A"/>
    <w:rsid w:val="1B41CE70"/>
    <w:rsid w:val="1C11DB48"/>
    <w:rsid w:val="1C4EA164"/>
    <w:rsid w:val="1C99536A"/>
    <w:rsid w:val="1D0ECB33"/>
    <w:rsid w:val="1E585093"/>
    <w:rsid w:val="209D4848"/>
    <w:rsid w:val="22CC2F27"/>
    <w:rsid w:val="233A44B8"/>
    <w:rsid w:val="2456CD18"/>
    <w:rsid w:val="247FE757"/>
    <w:rsid w:val="251E5E78"/>
    <w:rsid w:val="263FE936"/>
    <w:rsid w:val="2640B918"/>
    <w:rsid w:val="274B1499"/>
    <w:rsid w:val="29539A75"/>
    <w:rsid w:val="2979483A"/>
    <w:rsid w:val="2ABE5B5E"/>
    <w:rsid w:val="2B74C68D"/>
    <w:rsid w:val="2BEAEDD4"/>
    <w:rsid w:val="2D9935D6"/>
    <w:rsid w:val="2DDBA855"/>
    <w:rsid w:val="2DE37C6C"/>
    <w:rsid w:val="2F0C7A96"/>
    <w:rsid w:val="2FE7A6BF"/>
    <w:rsid w:val="31A78564"/>
    <w:rsid w:val="32B62EA9"/>
    <w:rsid w:val="3365713E"/>
    <w:rsid w:val="338ACF6B"/>
    <w:rsid w:val="34303694"/>
    <w:rsid w:val="349B3A99"/>
    <w:rsid w:val="349B73F8"/>
    <w:rsid w:val="3522B687"/>
    <w:rsid w:val="35329BF9"/>
    <w:rsid w:val="35947E22"/>
    <w:rsid w:val="372EC87B"/>
    <w:rsid w:val="39302A89"/>
    <w:rsid w:val="3980854F"/>
    <w:rsid w:val="3B8C62CC"/>
    <w:rsid w:val="3D7376E1"/>
    <w:rsid w:val="3D9A8948"/>
    <w:rsid w:val="3E2D4F86"/>
    <w:rsid w:val="3EBD9396"/>
    <w:rsid w:val="40696A3C"/>
    <w:rsid w:val="43F699B9"/>
    <w:rsid w:val="451F7E24"/>
    <w:rsid w:val="47B961C4"/>
    <w:rsid w:val="491030BB"/>
    <w:rsid w:val="49134210"/>
    <w:rsid w:val="4A411CEF"/>
    <w:rsid w:val="4A8AE4F0"/>
    <w:rsid w:val="4B33A77B"/>
    <w:rsid w:val="4B86E82C"/>
    <w:rsid w:val="4BD129A4"/>
    <w:rsid w:val="4BE5AFCB"/>
    <w:rsid w:val="4C48FD70"/>
    <w:rsid w:val="4CA8CB3A"/>
    <w:rsid w:val="4D0B02BE"/>
    <w:rsid w:val="4E87935C"/>
    <w:rsid w:val="4F35D5DB"/>
    <w:rsid w:val="501E6432"/>
    <w:rsid w:val="510749C6"/>
    <w:rsid w:val="5127D3DE"/>
    <w:rsid w:val="512B87EC"/>
    <w:rsid w:val="51A1F92A"/>
    <w:rsid w:val="54C3A8E3"/>
    <w:rsid w:val="54FA34CD"/>
    <w:rsid w:val="55DD461B"/>
    <w:rsid w:val="566270C8"/>
    <w:rsid w:val="5695F7E3"/>
    <w:rsid w:val="57278A7E"/>
    <w:rsid w:val="574DDC65"/>
    <w:rsid w:val="592D2E72"/>
    <w:rsid w:val="5AC8D5DF"/>
    <w:rsid w:val="5B77DDBF"/>
    <w:rsid w:val="5DE9B9C1"/>
    <w:rsid w:val="5FFF17A3"/>
    <w:rsid w:val="60415488"/>
    <w:rsid w:val="627E8CE9"/>
    <w:rsid w:val="635BF2A2"/>
    <w:rsid w:val="64E7CFB2"/>
    <w:rsid w:val="64EE90C5"/>
    <w:rsid w:val="6507C7B7"/>
    <w:rsid w:val="66065DA8"/>
    <w:rsid w:val="66B7B804"/>
    <w:rsid w:val="67B56200"/>
    <w:rsid w:val="687DCB0F"/>
    <w:rsid w:val="69A012FF"/>
    <w:rsid w:val="6AEC1753"/>
    <w:rsid w:val="6CCB1874"/>
    <w:rsid w:val="6D1E4714"/>
    <w:rsid w:val="6F4B8AF0"/>
    <w:rsid w:val="6FFC1310"/>
    <w:rsid w:val="7163DC31"/>
    <w:rsid w:val="71A43A2A"/>
    <w:rsid w:val="727AF772"/>
    <w:rsid w:val="74120276"/>
    <w:rsid w:val="7587C9A7"/>
    <w:rsid w:val="76A81AFB"/>
    <w:rsid w:val="77E1C9A8"/>
    <w:rsid w:val="78266344"/>
    <w:rsid w:val="7887E714"/>
    <w:rsid w:val="79898B0E"/>
    <w:rsid w:val="79917A14"/>
    <w:rsid w:val="7A00368C"/>
    <w:rsid w:val="7B6E3A98"/>
    <w:rsid w:val="7CC3D513"/>
    <w:rsid w:val="7D5F9660"/>
    <w:rsid w:val="7D91AC18"/>
    <w:rsid w:val="7E8F6D69"/>
  </w:rsids>
  <m:mathPr>
    <m:mathFont m:val="Cambria Math"/>
    <m:brkBin m:val="before"/>
    <m:brkBinSub m:val="--"/>
    <m:smallFrac m:val="0"/>
    <m:dispDef/>
    <m:lMargin m:val="0"/>
    <m:rMargin m:val="0"/>
    <m:defJc m:val="centerGroup"/>
    <m:wrapIndent m:val="1440"/>
    <m:intLim m:val="subSup"/>
    <m:naryLim m:val="undOvr"/>
  </m:mathPr>
  <w:themeFontLang w:val="en-I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54F524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en-US" w:eastAsia="en-US" w:bidi="lo-L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2AEB"/>
    <w:rPr>
      <w:rFonts w:ascii="Arial" w:hAnsi="Arial" w:cs="Arial"/>
      <w:sz w:val="24"/>
    </w:rPr>
  </w:style>
  <w:style w:type="paragraph" w:styleId="Heading1">
    <w:name w:val="heading 1"/>
    <w:basedOn w:val="Normal"/>
    <w:next w:val="Normal"/>
    <w:link w:val="Heading1Char"/>
    <w:uiPriority w:val="9"/>
    <w:qFormat/>
    <w:rsid w:val="00B42AEB"/>
    <w:pPr>
      <w:keepNext/>
      <w:keepLines/>
      <w:spacing w:before="240" w:after="0"/>
      <w:outlineLvl w:val="0"/>
    </w:pPr>
    <w:rPr>
      <w:rFonts w:eastAsiaTheme="majorEastAsia"/>
      <w:b/>
    </w:rPr>
  </w:style>
  <w:style w:type="paragraph" w:styleId="Heading2">
    <w:name w:val="heading 2"/>
    <w:basedOn w:val="Normal"/>
    <w:next w:val="Normal"/>
    <w:link w:val="Heading2Char"/>
    <w:uiPriority w:val="9"/>
    <w:unhideWhenUsed/>
    <w:qFormat/>
    <w:rsid w:val="00B42AEB"/>
    <w:pPr>
      <w:keepNext/>
      <w:keepLines/>
      <w:spacing w:before="40" w:after="120" w:line="288" w:lineRule="auto"/>
      <w:outlineLvl w:val="1"/>
    </w:pPr>
    <w:rPr>
      <w:rFonts w:eastAsiaTheme="majorEastAsia"/>
    </w:rPr>
  </w:style>
  <w:style w:type="paragraph" w:styleId="Heading3">
    <w:name w:val="heading 3"/>
    <w:basedOn w:val="Normal"/>
    <w:next w:val="Normal"/>
    <w:link w:val="Heading3Char"/>
    <w:uiPriority w:val="9"/>
    <w:unhideWhenUsed/>
    <w:qFormat/>
    <w:rsid w:val="00C607BB"/>
    <w:pPr>
      <w:keepNext/>
      <w:keepLines/>
      <w:spacing w:before="40" w:after="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F13B2C"/>
    <w:pPr>
      <w:keepNext/>
      <w:keepLines/>
      <w:spacing w:before="40" w:after="0"/>
      <w:outlineLvl w:val="3"/>
    </w:pPr>
    <w:rPr>
      <w:rFonts w:asciiTheme="majorHAnsi" w:eastAsiaTheme="majorEastAsia" w:hAnsiTheme="majorHAnsi" w:cstheme="majorBidi"/>
      <w:i/>
      <w:color w:val="2F5496" w:themeColor="accent1" w:themeShade="BF"/>
    </w:rPr>
  </w:style>
  <w:style w:type="paragraph" w:styleId="Heading5">
    <w:name w:val="heading 5"/>
    <w:basedOn w:val="Normal"/>
    <w:next w:val="Normal"/>
    <w:link w:val="Heading5Char"/>
    <w:uiPriority w:val="9"/>
    <w:unhideWhenUsed/>
    <w:qFormat/>
    <w:rsid w:val="00C161A6"/>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267347"/>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42AEB"/>
    <w:rPr>
      <w:rFonts w:ascii="Arial" w:eastAsiaTheme="majorEastAsia" w:hAnsi="Arial" w:cs="Arial"/>
      <w:b/>
      <w:sz w:val="24"/>
    </w:rPr>
  </w:style>
  <w:style w:type="character" w:styleId="FootnoteReference">
    <w:name w:val="footnote reference"/>
    <w:link w:val="FootnoteReferenceLVL6"/>
    <w:qFormat/>
    <w:rsid w:val="00475D7E"/>
    <w:rPr>
      <w:rFonts w:ascii="Arial" w:hAnsi="Arial" w:cs="Arial"/>
      <w:sz w:val="24"/>
      <w:vertAlign w:val="superscript"/>
    </w:rPr>
  </w:style>
  <w:style w:type="character" w:styleId="Hyperlink">
    <w:name w:val="Hyperlink"/>
    <w:uiPriority w:val="99"/>
    <w:rsid w:val="006F0581"/>
    <w:rPr>
      <w:rFonts w:ascii="Arial" w:hAnsi="Arial" w:cs="Arial"/>
      <w:color w:val="0563C1"/>
      <w:sz w:val="24"/>
      <w:u w:val="single"/>
    </w:rPr>
  </w:style>
  <w:style w:type="paragraph" w:styleId="FootnoteText">
    <w:name w:val="footnote text"/>
    <w:basedOn w:val="Normal"/>
    <w:link w:val="FootnoteTextChar"/>
    <w:uiPriority w:val="99"/>
    <w:unhideWhenUsed/>
    <w:qFormat/>
    <w:rsid w:val="00475D7E"/>
    <w:pPr>
      <w:spacing w:after="120" w:line="240" w:lineRule="auto"/>
      <w:ind w:left="357" w:hanging="357"/>
      <w:jc w:val="both"/>
    </w:pPr>
    <w:rPr>
      <w:rFonts w:ascii="Times New Roman" w:eastAsia="Times New Roman" w:hAnsi="Times New Roman" w:cs="Times New Roman"/>
      <w:sz w:val="20"/>
    </w:rPr>
  </w:style>
  <w:style w:type="character" w:customStyle="1" w:styleId="FootnoteTextChar">
    <w:name w:val="Footnote Text Char"/>
    <w:basedOn w:val="DefaultParagraphFont"/>
    <w:link w:val="FootnoteText"/>
    <w:uiPriority w:val="99"/>
    <w:qFormat/>
    <w:rsid w:val="00475D7E"/>
    <w:rPr>
      <w:rFonts w:ascii="Times New Roman" w:eastAsia="Times New Roman" w:hAnsi="Times New Roman" w:cs="Times New Roman"/>
      <w:sz w:val="20"/>
    </w:rPr>
  </w:style>
  <w:style w:type="paragraph" w:customStyle="1" w:styleId="Copies">
    <w:name w:val="Copies"/>
    <w:basedOn w:val="Normal"/>
    <w:uiPriority w:val="2"/>
    <w:rsid w:val="00475D7E"/>
    <w:pPr>
      <w:tabs>
        <w:tab w:val="left" w:pos="5669"/>
      </w:tabs>
      <w:spacing w:before="480" w:after="0" w:line="240" w:lineRule="auto"/>
      <w:ind w:left="1531" w:hanging="1531"/>
      <w:contextualSpacing/>
    </w:pPr>
    <w:rPr>
      <w:rFonts w:ascii="Times New Roman" w:eastAsia="Times New Roman" w:hAnsi="Times New Roman" w:cs="Times New Roman"/>
    </w:rPr>
  </w:style>
  <w:style w:type="paragraph" w:styleId="ListBullet2">
    <w:name w:val="List Bullet 2"/>
    <w:basedOn w:val="Normal"/>
    <w:uiPriority w:val="1"/>
    <w:rsid w:val="00475D7E"/>
    <w:pPr>
      <w:numPr>
        <w:numId w:val="2"/>
      </w:numPr>
      <w:spacing w:after="240" w:line="240" w:lineRule="auto"/>
      <w:jc w:val="both"/>
    </w:pPr>
    <w:rPr>
      <w:rFonts w:ascii="Times New Roman" w:eastAsia="Times New Roman" w:hAnsi="Times New Roman" w:cs="Times New Roman"/>
    </w:rPr>
  </w:style>
  <w:style w:type="paragraph" w:customStyle="1" w:styleId="ListBullet2Level2">
    <w:name w:val="List Bullet 2 (Level 2)"/>
    <w:basedOn w:val="Normal"/>
    <w:uiPriority w:val="1"/>
    <w:rsid w:val="00475D7E"/>
    <w:pPr>
      <w:numPr>
        <w:ilvl w:val="1"/>
        <w:numId w:val="2"/>
      </w:numPr>
      <w:spacing w:after="240" w:line="240" w:lineRule="auto"/>
      <w:jc w:val="both"/>
    </w:pPr>
    <w:rPr>
      <w:rFonts w:ascii="Times New Roman" w:eastAsia="Times New Roman" w:hAnsi="Times New Roman" w:cs="Times New Roman"/>
    </w:rPr>
  </w:style>
  <w:style w:type="paragraph" w:customStyle="1" w:styleId="ListBullet2Level3">
    <w:name w:val="List Bullet 2 (Level 3)"/>
    <w:basedOn w:val="Normal"/>
    <w:uiPriority w:val="1"/>
    <w:semiHidden/>
    <w:unhideWhenUsed/>
    <w:rsid w:val="00475D7E"/>
    <w:pPr>
      <w:numPr>
        <w:ilvl w:val="2"/>
        <w:numId w:val="2"/>
      </w:numPr>
      <w:spacing w:after="240" w:line="240" w:lineRule="auto"/>
      <w:jc w:val="both"/>
    </w:pPr>
    <w:rPr>
      <w:rFonts w:ascii="Times New Roman" w:eastAsia="Times New Roman" w:hAnsi="Times New Roman" w:cs="Times New Roman"/>
    </w:rPr>
  </w:style>
  <w:style w:type="paragraph" w:customStyle="1" w:styleId="ListBullet2Level4">
    <w:name w:val="List Bullet 2 (Level 4)"/>
    <w:basedOn w:val="Normal"/>
    <w:uiPriority w:val="1"/>
    <w:semiHidden/>
    <w:unhideWhenUsed/>
    <w:rsid w:val="00475D7E"/>
    <w:pPr>
      <w:numPr>
        <w:ilvl w:val="3"/>
        <w:numId w:val="2"/>
      </w:numPr>
      <w:spacing w:after="240" w:line="240" w:lineRule="auto"/>
      <w:jc w:val="both"/>
    </w:pPr>
    <w:rPr>
      <w:rFonts w:ascii="Times New Roman" w:eastAsia="Times New Roman" w:hAnsi="Times New Roman" w:cs="Times New Roman"/>
    </w:rPr>
  </w:style>
  <w:style w:type="paragraph" w:styleId="ListParagraph">
    <w:name w:val="List Paragraph"/>
    <w:basedOn w:val="Normal"/>
    <w:link w:val="ListParagraphChar"/>
    <w:uiPriority w:val="34"/>
    <w:qFormat/>
    <w:rsid w:val="00475D7E"/>
    <w:pPr>
      <w:ind w:left="720"/>
      <w:contextualSpacing/>
    </w:pPr>
  </w:style>
  <w:style w:type="character" w:customStyle="1" w:styleId="UnresolvedMention">
    <w:name w:val="Unresolved Mention"/>
    <w:basedOn w:val="DefaultParagraphFont"/>
    <w:uiPriority w:val="99"/>
    <w:semiHidden/>
    <w:unhideWhenUsed/>
    <w:rsid w:val="0026573B"/>
    <w:rPr>
      <w:color w:val="605E5C"/>
      <w:shd w:val="clear" w:color="auto" w:fill="E1DFDD"/>
    </w:rPr>
  </w:style>
  <w:style w:type="paragraph" w:styleId="NoSpacing">
    <w:name w:val="No Spacing"/>
    <w:uiPriority w:val="1"/>
    <w:qFormat/>
    <w:rsid w:val="00090D1B"/>
    <w:pPr>
      <w:spacing w:after="0" w:line="240" w:lineRule="auto"/>
    </w:pPr>
  </w:style>
  <w:style w:type="paragraph" w:customStyle="1" w:styleId="FootnoteReferenceLVL6">
    <w:name w:val="Footnote Reference_LVL6"/>
    <w:basedOn w:val="Normal"/>
    <w:next w:val="Normal"/>
    <w:link w:val="FootnoteReference"/>
    <w:qFormat/>
    <w:rsid w:val="00EE2BB3"/>
    <w:pPr>
      <w:numPr>
        <w:numId w:val="10"/>
      </w:numPr>
      <w:spacing w:line="240" w:lineRule="exact"/>
      <w:jc w:val="both"/>
    </w:pPr>
    <w:rPr>
      <w:vertAlign w:val="superscript"/>
    </w:rPr>
  </w:style>
  <w:style w:type="character" w:customStyle="1" w:styleId="Heading3Char">
    <w:name w:val="Heading 3 Char"/>
    <w:basedOn w:val="DefaultParagraphFont"/>
    <w:link w:val="Heading3"/>
    <w:uiPriority w:val="9"/>
    <w:rsid w:val="00C607BB"/>
    <w:rPr>
      <w:rFonts w:asciiTheme="majorHAnsi" w:eastAsiaTheme="majorEastAsia" w:hAnsiTheme="majorHAnsi" w:cstheme="majorBidi"/>
      <w:color w:val="1F3763" w:themeColor="accent1" w:themeShade="7F"/>
      <w:sz w:val="24"/>
    </w:rPr>
  </w:style>
  <w:style w:type="character" w:customStyle="1" w:styleId="super">
    <w:name w:val="super"/>
    <w:basedOn w:val="DefaultParagraphFont"/>
    <w:rsid w:val="00C607BB"/>
  </w:style>
  <w:style w:type="paragraph" w:styleId="NormalWeb">
    <w:name w:val="Normal (Web)"/>
    <w:basedOn w:val="Normal"/>
    <w:uiPriority w:val="99"/>
    <w:unhideWhenUsed/>
    <w:rsid w:val="008B7E0F"/>
    <w:rPr>
      <w:rFonts w:ascii="Times New Roman" w:hAnsi="Times New Roman" w:cs="Times New Roman"/>
    </w:rPr>
  </w:style>
  <w:style w:type="table" w:styleId="TableGrid">
    <w:name w:val="Table Grid"/>
    <w:basedOn w:val="TableNormal"/>
    <w:uiPriority w:val="39"/>
    <w:rsid w:val="008B7E0F"/>
    <w:pPr>
      <w:spacing w:after="0" w:line="240" w:lineRule="auto"/>
    </w:pPr>
    <w:rPr>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8B7E0F"/>
    <w:rPr>
      <w:color w:val="954F72" w:themeColor="followedHyperlink"/>
      <w:u w:val="single"/>
    </w:rPr>
  </w:style>
  <w:style w:type="character" w:customStyle="1" w:styleId="ListParagraphChar">
    <w:name w:val="List Paragraph Char"/>
    <w:basedOn w:val="DefaultParagraphFont"/>
    <w:link w:val="ListParagraph"/>
    <w:uiPriority w:val="34"/>
    <w:qFormat/>
    <w:rsid w:val="00825735"/>
  </w:style>
  <w:style w:type="character" w:styleId="Strong">
    <w:name w:val="Strong"/>
    <w:basedOn w:val="DefaultParagraphFont"/>
    <w:uiPriority w:val="22"/>
    <w:qFormat/>
    <w:rsid w:val="009F0847"/>
    <w:rPr>
      <w:b/>
    </w:rPr>
  </w:style>
  <w:style w:type="character" w:customStyle="1" w:styleId="Footnote1">
    <w:name w:val="Footnote|1_"/>
    <w:basedOn w:val="DefaultParagraphFont"/>
    <w:link w:val="Footnote10"/>
    <w:rsid w:val="009F0847"/>
    <w:rPr>
      <w:sz w:val="19"/>
    </w:rPr>
  </w:style>
  <w:style w:type="character" w:customStyle="1" w:styleId="Bodytext1">
    <w:name w:val="Body text|1_"/>
    <w:basedOn w:val="DefaultParagraphFont"/>
    <w:link w:val="Bodytext10"/>
    <w:rsid w:val="009F0847"/>
  </w:style>
  <w:style w:type="paragraph" w:customStyle="1" w:styleId="Footnote10">
    <w:name w:val="Footnote|1"/>
    <w:basedOn w:val="Normal"/>
    <w:link w:val="Footnote1"/>
    <w:rsid w:val="009F0847"/>
    <w:pPr>
      <w:widowControl w:val="0"/>
      <w:spacing w:after="0" w:line="252" w:lineRule="auto"/>
    </w:pPr>
    <w:rPr>
      <w:sz w:val="19"/>
    </w:rPr>
  </w:style>
  <w:style w:type="paragraph" w:customStyle="1" w:styleId="Bodytext10">
    <w:name w:val="Body text|1"/>
    <w:basedOn w:val="Normal"/>
    <w:link w:val="Bodytext1"/>
    <w:rsid w:val="009F0847"/>
    <w:pPr>
      <w:widowControl w:val="0"/>
      <w:spacing w:after="0" w:line="262" w:lineRule="auto"/>
      <w:ind w:firstLine="400"/>
    </w:pPr>
  </w:style>
  <w:style w:type="character" w:customStyle="1" w:styleId="normaltextrun">
    <w:name w:val="normaltextrun"/>
    <w:basedOn w:val="DefaultParagraphFont"/>
    <w:rsid w:val="00907E91"/>
  </w:style>
  <w:style w:type="table" w:customStyle="1" w:styleId="GridTable1Light-Accent31">
    <w:name w:val="Grid Table 1 Light - Accent 31"/>
    <w:basedOn w:val="TableNormal"/>
    <w:next w:val="GridTable1Light-Accent3"/>
    <w:uiPriority w:val="46"/>
    <w:rsid w:val="001E7DD3"/>
    <w:pPr>
      <w:spacing w:after="0" w:line="240" w:lineRule="auto"/>
    </w:pPr>
    <w:rPr>
      <w:rFonts w:eastAsia="Times New Roman" w:cs="Times New Roman"/>
    </w:rPr>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rFonts w:cs="Times New Roman"/>
        <w:b/>
      </w:rPr>
      <w:tblPr/>
      <w:tcPr>
        <w:tcBorders>
          <w:bottom w:val="single" w:sz="12" w:space="0" w:color="C9C9C9"/>
        </w:tcBorders>
      </w:tcPr>
    </w:tblStylePr>
    <w:tblStylePr w:type="lastRow">
      <w:rPr>
        <w:rFonts w:cs="Times New Roman"/>
        <w:b/>
      </w:rPr>
      <w:tblPr/>
      <w:tcPr>
        <w:tcBorders>
          <w:top w:val="double" w:sz="2" w:space="0" w:color="C9C9C9"/>
        </w:tcBorders>
      </w:tcPr>
    </w:tblStylePr>
    <w:tblStylePr w:type="firstCol">
      <w:rPr>
        <w:rFonts w:cs="Times New Roman"/>
        <w:b/>
      </w:rPr>
    </w:tblStylePr>
    <w:tblStylePr w:type="lastCol">
      <w:rPr>
        <w:rFonts w:cs="Times New Roman"/>
        <w:b/>
      </w:rPr>
    </w:tblStylePr>
  </w:style>
  <w:style w:type="table" w:styleId="GridTable1Light-Accent3">
    <w:name w:val="Grid Table 1 Light Accent 3"/>
    <w:basedOn w:val="TableNormal"/>
    <w:uiPriority w:val="46"/>
    <w:rsid w:val="001E7DD3"/>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rPr>
      <w:tblPr/>
      <w:tcPr>
        <w:tcBorders>
          <w:bottom w:val="single" w:sz="12" w:space="0" w:color="C9C9C9" w:themeColor="accent3" w:themeTint="99"/>
        </w:tcBorders>
      </w:tcPr>
    </w:tblStylePr>
    <w:tblStylePr w:type="lastRow">
      <w:rPr>
        <w:b/>
      </w:rPr>
      <w:tblPr/>
      <w:tcPr>
        <w:tcBorders>
          <w:top w:val="double" w:sz="2" w:space="0" w:color="C9C9C9" w:themeColor="accent3" w:themeTint="99"/>
        </w:tcBorders>
      </w:tcPr>
    </w:tblStylePr>
    <w:tblStylePr w:type="firstCol">
      <w:rPr>
        <w:b/>
      </w:rPr>
    </w:tblStylePr>
    <w:tblStylePr w:type="lastCol">
      <w:rPr>
        <w:b/>
      </w:rPr>
    </w:tblStylePr>
  </w:style>
  <w:style w:type="character" w:styleId="CommentReference">
    <w:name w:val="annotation reference"/>
    <w:basedOn w:val="DefaultParagraphFont"/>
    <w:uiPriority w:val="99"/>
    <w:semiHidden/>
    <w:unhideWhenUsed/>
    <w:rsid w:val="00D267F2"/>
    <w:rPr>
      <w:sz w:val="16"/>
    </w:rPr>
  </w:style>
  <w:style w:type="paragraph" w:styleId="CommentText">
    <w:name w:val="annotation text"/>
    <w:basedOn w:val="Normal"/>
    <w:link w:val="CommentTextChar"/>
    <w:uiPriority w:val="99"/>
    <w:unhideWhenUsed/>
    <w:rsid w:val="00D267F2"/>
    <w:pPr>
      <w:spacing w:line="240" w:lineRule="auto"/>
    </w:pPr>
    <w:rPr>
      <w:sz w:val="20"/>
    </w:rPr>
  </w:style>
  <w:style w:type="character" w:customStyle="1" w:styleId="CommentTextChar">
    <w:name w:val="Comment Text Char"/>
    <w:basedOn w:val="DefaultParagraphFont"/>
    <w:link w:val="CommentText"/>
    <w:uiPriority w:val="99"/>
    <w:rsid w:val="00D267F2"/>
    <w:rPr>
      <w:sz w:val="20"/>
    </w:rPr>
  </w:style>
  <w:style w:type="paragraph" w:styleId="CommentSubject">
    <w:name w:val="annotation subject"/>
    <w:basedOn w:val="CommentText"/>
    <w:next w:val="CommentText"/>
    <w:link w:val="CommentSubjectChar"/>
    <w:uiPriority w:val="99"/>
    <w:semiHidden/>
    <w:unhideWhenUsed/>
    <w:rsid w:val="00D267F2"/>
    <w:rPr>
      <w:b/>
    </w:rPr>
  </w:style>
  <w:style w:type="character" w:customStyle="1" w:styleId="CommentSubjectChar">
    <w:name w:val="Comment Subject Char"/>
    <w:basedOn w:val="CommentTextChar"/>
    <w:link w:val="CommentSubject"/>
    <w:uiPriority w:val="99"/>
    <w:semiHidden/>
    <w:rsid w:val="00D267F2"/>
    <w:rPr>
      <w:b/>
      <w:sz w:val="20"/>
    </w:rPr>
  </w:style>
  <w:style w:type="paragraph" w:customStyle="1" w:styleId="CharCharChar1">
    <w:name w:val="Char Char Char1"/>
    <w:basedOn w:val="Normal"/>
    <w:uiPriority w:val="99"/>
    <w:rsid w:val="008B7E02"/>
    <w:pPr>
      <w:spacing w:line="240" w:lineRule="exact"/>
      <w:jc w:val="both"/>
    </w:pPr>
    <w:rPr>
      <w:rFonts w:ascii="Times New Roman" w:hAnsi="Times New Roman" w:cs="Times New Roman"/>
      <w:vertAlign w:val="superscript"/>
    </w:rPr>
  </w:style>
  <w:style w:type="paragraph" w:styleId="Caption">
    <w:name w:val="caption"/>
    <w:basedOn w:val="Normal"/>
    <w:next w:val="Normal"/>
    <w:link w:val="CaptionChar"/>
    <w:unhideWhenUsed/>
    <w:qFormat/>
    <w:rsid w:val="007F0EBB"/>
    <w:pPr>
      <w:spacing w:before="120" w:after="240" w:line="240" w:lineRule="auto"/>
      <w:jc w:val="center"/>
    </w:pPr>
    <w:rPr>
      <w:sz w:val="22"/>
    </w:rPr>
  </w:style>
  <w:style w:type="character" w:customStyle="1" w:styleId="CaptionChar">
    <w:name w:val="Caption Char"/>
    <w:basedOn w:val="DefaultParagraphFont"/>
    <w:link w:val="Caption"/>
    <w:qFormat/>
    <w:rsid w:val="007F0EBB"/>
    <w:rPr>
      <w:rFonts w:ascii="Arial" w:hAnsi="Arial" w:cs="Arial"/>
    </w:rPr>
  </w:style>
  <w:style w:type="paragraph" w:customStyle="1" w:styleId="Table">
    <w:name w:val="Table"/>
    <w:basedOn w:val="Normal"/>
    <w:link w:val="TableChar"/>
    <w:qFormat/>
    <w:rsid w:val="00841178"/>
    <w:pPr>
      <w:spacing w:before="60" w:after="60" w:line="240" w:lineRule="auto"/>
      <w:contextualSpacing/>
      <w:jc w:val="both"/>
    </w:pPr>
    <w:rPr>
      <w:rFonts w:ascii="Verdana" w:hAnsi="Verdana"/>
      <w:sz w:val="18"/>
    </w:rPr>
  </w:style>
  <w:style w:type="table" w:customStyle="1" w:styleId="Table-standard">
    <w:name w:val="Table - standard"/>
    <w:basedOn w:val="TableNormal"/>
    <w:rsid w:val="00841178"/>
    <w:pPr>
      <w:spacing w:after="0" w:line="240" w:lineRule="auto"/>
    </w:pPr>
    <w:rPr>
      <w:rFonts w:ascii="EYInterstate Light" w:eastAsia="Times New Roman" w:hAnsi="EYInterstate Light" w:cs="Times New Roman"/>
      <w:sz w:val="18"/>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F2F2" w:themeFill="background1" w:themeFillShade="F2"/>
      <w:vAlign w:val="center"/>
    </w:tcPr>
    <w:tblStylePr w:type="firstRow">
      <w:pPr>
        <w:jc w:val="left"/>
      </w:pPr>
      <w:rPr>
        <w:rFonts w:ascii="Verdana" w:hAnsi="Verdana"/>
        <w:b/>
        <w:color w:val="FFFFFF" w:themeColor="background1"/>
        <w:sz w:val="18"/>
      </w:rPr>
      <w:tblPr/>
      <w:tcPr>
        <w:shd w:val="clear" w:color="auto" w:fill="00B0F0"/>
      </w:tcPr>
    </w:tblStylePr>
    <w:tblStylePr w:type="lastRow">
      <w:rPr>
        <w:rFonts w:ascii="Verdana" w:hAnsi="Verdana"/>
        <w:sz w:val="18"/>
      </w:rPr>
    </w:tblStylePr>
    <w:tblStylePr w:type="firstCol">
      <w:rPr>
        <w:rFonts w:ascii="Bell MT" w:hAnsi="Bell MT"/>
      </w:rPr>
      <w:tblPr/>
      <w:tcPr>
        <w:shd w:val="clear" w:color="auto" w:fill="D9D9D9" w:themeFill="background1" w:themeFillShade="D9"/>
      </w:tcPr>
    </w:tblStylePr>
    <w:tblStylePr w:type="lastCol">
      <w:rPr>
        <w:rFonts w:ascii="Bell MT" w:hAnsi="Bell MT"/>
        <w:sz w:val="18"/>
      </w:rPr>
    </w:tblStylePr>
    <w:tblStylePr w:type="band1Vert">
      <w:rPr>
        <w:rFonts w:ascii="Bell MT" w:hAnsi="Bell MT"/>
      </w:rPr>
    </w:tblStylePr>
    <w:tblStylePr w:type="band2Vert">
      <w:rPr>
        <w:rFonts w:ascii="Bell MT" w:hAnsi="Bell MT"/>
      </w:rPr>
    </w:tblStylePr>
    <w:tblStylePr w:type="band1Horz">
      <w:rPr>
        <w:rFonts w:ascii="Bell MT" w:hAnsi="Bell MT"/>
      </w:rPr>
    </w:tblStylePr>
    <w:tblStylePr w:type="band2Horz">
      <w:rPr>
        <w:rFonts w:ascii="Bell MT" w:hAnsi="Bell MT"/>
      </w:rPr>
    </w:tblStylePr>
    <w:tblStylePr w:type="neCell">
      <w:rPr>
        <w:rFonts w:ascii="Bell MT" w:hAnsi="Bell MT"/>
      </w:rPr>
    </w:tblStylePr>
    <w:tblStylePr w:type="nwCell">
      <w:rPr>
        <w:rFonts w:ascii="Bell MT" w:hAnsi="Bell MT"/>
      </w:rPr>
    </w:tblStylePr>
    <w:tblStylePr w:type="seCell">
      <w:rPr>
        <w:rFonts w:ascii="Bell MT" w:hAnsi="Bell MT"/>
      </w:rPr>
    </w:tblStylePr>
    <w:tblStylePr w:type="swCell">
      <w:rPr>
        <w:rFonts w:ascii="Bell MT" w:hAnsi="Bell MT"/>
      </w:rPr>
    </w:tblStylePr>
  </w:style>
  <w:style w:type="character" w:customStyle="1" w:styleId="TableChar">
    <w:name w:val="Table Char"/>
    <w:basedOn w:val="DefaultParagraphFont"/>
    <w:link w:val="Table"/>
    <w:rsid w:val="00841178"/>
    <w:rPr>
      <w:rFonts w:ascii="Verdana" w:hAnsi="Verdana"/>
      <w:sz w:val="18"/>
    </w:rPr>
  </w:style>
  <w:style w:type="paragraph" w:styleId="Header">
    <w:name w:val="header"/>
    <w:basedOn w:val="Normal"/>
    <w:link w:val="HeaderChar"/>
    <w:uiPriority w:val="99"/>
    <w:unhideWhenUsed/>
    <w:rsid w:val="00155F80"/>
    <w:pPr>
      <w:tabs>
        <w:tab w:val="center" w:pos="4513"/>
        <w:tab w:val="right" w:pos="9026"/>
      </w:tabs>
      <w:spacing w:after="0" w:line="240" w:lineRule="auto"/>
    </w:pPr>
  </w:style>
  <w:style w:type="character" w:customStyle="1" w:styleId="HeaderChar">
    <w:name w:val="Header Char"/>
    <w:basedOn w:val="DefaultParagraphFont"/>
    <w:link w:val="Header"/>
    <w:uiPriority w:val="99"/>
    <w:rsid w:val="00155F80"/>
  </w:style>
  <w:style w:type="paragraph" w:styleId="Footer">
    <w:name w:val="footer"/>
    <w:basedOn w:val="Normal"/>
    <w:link w:val="FooterChar"/>
    <w:uiPriority w:val="99"/>
    <w:unhideWhenUsed/>
    <w:rsid w:val="00155F80"/>
    <w:pPr>
      <w:tabs>
        <w:tab w:val="center" w:pos="4513"/>
        <w:tab w:val="right" w:pos="9026"/>
      </w:tabs>
      <w:spacing w:after="0" w:line="240" w:lineRule="auto"/>
    </w:pPr>
  </w:style>
  <w:style w:type="character" w:customStyle="1" w:styleId="FooterChar">
    <w:name w:val="Footer Char"/>
    <w:basedOn w:val="DefaultParagraphFont"/>
    <w:link w:val="Footer"/>
    <w:uiPriority w:val="99"/>
    <w:rsid w:val="00155F80"/>
  </w:style>
  <w:style w:type="character" w:customStyle="1" w:styleId="Heading2Char">
    <w:name w:val="Heading 2 Char"/>
    <w:basedOn w:val="DefaultParagraphFont"/>
    <w:link w:val="Heading2"/>
    <w:uiPriority w:val="9"/>
    <w:rsid w:val="00B42AEB"/>
    <w:rPr>
      <w:rFonts w:ascii="Arial" w:eastAsiaTheme="majorEastAsia" w:hAnsi="Arial" w:cs="Arial"/>
      <w:sz w:val="24"/>
    </w:rPr>
  </w:style>
  <w:style w:type="paragraph" w:customStyle="1" w:styleId="SUPERSCharCharCharCharCharCharCharChar">
    <w:name w:val="SUPERS Char Char Char Char Char Char Char Char"/>
    <w:basedOn w:val="Normal"/>
    <w:uiPriority w:val="99"/>
    <w:rsid w:val="00142B41"/>
    <w:pPr>
      <w:tabs>
        <w:tab w:val="left" w:pos="907"/>
      </w:tabs>
      <w:spacing w:before="60" w:line="240" w:lineRule="exact"/>
      <w:jc w:val="both"/>
    </w:pPr>
    <w:rPr>
      <w:vertAlign w:val="superscript"/>
    </w:rPr>
  </w:style>
  <w:style w:type="character" w:customStyle="1" w:styleId="Picturecaption1">
    <w:name w:val="Picture caption|1_"/>
    <w:basedOn w:val="DefaultParagraphFont"/>
    <w:link w:val="Picturecaption10"/>
    <w:rsid w:val="009612AC"/>
    <w:rPr>
      <w:rFonts w:ascii="Arial" w:eastAsia="Arial" w:hAnsi="Arial" w:cs="Arial"/>
      <w:sz w:val="13"/>
    </w:rPr>
  </w:style>
  <w:style w:type="paragraph" w:customStyle="1" w:styleId="Picturecaption10">
    <w:name w:val="Picture caption|1"/>
    <w:basedOn w:val="Normal"/>
    <w:link w:val="Picturecaption1"/>
    <w:rsid w:val="009612AC"/>
    <w:pPr>
      <w:widowControl w:val="0"/>
      <w:spacing w:after="0" w:line="322" w:lineRule="auto"/>
    </w:pPr>
    <w:rPr>
      <w:sz w:val="13"/>
    </w:rPr>
  </w:style>
  <w:style w:type="character" w:customStyle="1" w:styleId="Other1">
    <w:name w:val="Other|1_"/>
    <w:basedOn w:val="DefaultParagraphFont"/>
    <w:link w:val="Other10"/>
    <w:rsid w:val="00E05290"/>
    <w:rPr>
      <w:rFonts w:ascii="Arial" w:eastAsia="Arial" w:hAnsi="Arial" w:cs="Arial"/>
      <w:sz w:val="15"/>
    </w:rPr>
  </w:style>
  <w:style w:type="paragraph" w:customStyle="1" w:styleId="Other10">
    <w:name w:val="Other|1"/>
    <w:basedOn w:val="Normal"/>
    <w:link w:val="Other1"/>
    <w:rsid w:val="00E05290"/>
    <w:pPr>
      <w:widowControl w:val="0"/>
      <w:spacing w:after="0" w:line="240" w:lineRule="auto"/>
    </w:pPr>
    <w:rPr>
      <w:sz w:val="15"/>
    </w:rPr>
  </w:style>
  <w:style w:type="paragraph" w:customStyle="1" w:styleId="FRABodyText">
    <w:name w:val="(FRA) Body Text"/>
    <w:link w:val="FRABodyTextChar"/>
    <w:qFormat/>
    <w:rsid w:val="0008772F"/>
    <w:pPr>
      <w:spacing w:after="0" w:line="240" w:lineRule="auto"/>
      <w:jc w:val="both"/>
    </w:pPr>
    <w:rPr>
      <w:rFonts w:ascii="Times New Roman" w:eastAsia="Calibri" w:hAnsi="Times New Roman" w:cs="Times New Roman"/>
    </w:rPr>
  </w:style>
  <w:style w:type="character" w:customStyle="1" w:styleId="FRABodyTextChar">
    <w:name w:val="(FRA) Body Text Char"/>
    <w:link w:val="FRABodyText"/>
    <w:rsid w:val="0008772F"/>
    <w:rPr>
      <w:rFonts w:ascii="Times New Roman" w:eastAsia="Calibri" w:hAnsi="Times New Roman" w:cs="Times New Roman"/>
    </w:rPr>
  </w:style>
  <w:style w:type="character" w:customStyle="1" w:styleId="Heading11">
    <w:name w:val="Heading #1|1_"/>
    <w:basedOn w:val="DefaultParagraphFont"/>
    <w:link w:val="Heading110"/>
    <w:rsid w:val="0036477D"/>
    <w:rPr>
      <w:rFonts w:ascii="Corbel" w:eastAsia="Corbel" w:hAnsi="Corbel" w:cs="Corbel"/>
      <w:b/>
      <w:color w:val="EBEBEB"/>
      <w:sz w:val="36"/>
    </w:rPr>
  </w:style>
  <w:style w:type="paragraph" w:customStyle="1" w:styleId="Heading110">
    <w:name w:val="Heading #1|1"/>
    <w:basedOn w:val="Normal"/>
    <w:link w:val="Heading11"/>
    <w:rsid w:val="0036477D"/>
    <w:pPr>
      <w:widowControl w:val="0"/>
      <w:spacing w:after="360" w:line="240" w:lineRule="auto"/>
      <w:outlineLvl w:val="0"/>
    </w:pPr>
    <w:rPr>
      <w:rFonts w:ascii="Corbel" w:eastAsia="Corbel" w:hAnsi="Corbel" w:cs="Corbel"/>
      <w:b/>
      <w:color w:val="EBEBEB"/>
      <w:sz w:val="36"/>
    </w:rPr>
  </w:style>
  <w:style w:type="character" w:customStyle="1" w:styleId="Bodytext2">
    <w:name w:val="Body text|2_"/>
    <w:basedOn w:val="DefaultParagraphFont"/>
    <w:link w:val="Bodytext20"/>
    <w:rsid w:val="00943D77"/>
    <w:rPr>
      <w:rFonts w:ascii="Arial" w:eastAsia="Arial" w:hAnsi="Arial" w:cs="Arial"/>
    </w:rPr>
  </w:style>
  <w:style w:type="paragraph" w:customStyle="1" w:styleId="Bodytext20">
    <w:name w:val="Body text|2"/>
    <w:basedOn w:val="Normal"/>
    <w:link w:val="Bodytext2"/>
    <w:rsid w:val="00943D77"/>
    <w:pPr>
      <w:widowControl w:val="0"/>
      <w:spacing w:after="140" w:line="240" w:lineRule="auto"/>
    </w:pPr>
  </w:style>
  <w:style w:type="character" w:customStyle="1" w:styleId="Bodytext4">
    <w:name w:val="Body text|4_"/>
    <w:basedOn w:val="DefaultParagraphFont"/>
    <w:link w:val="Bodytext40"/>
    <w:rsid w:val="00910D81"/>
    <w:rPr>
      <w:rFonts w:ascii="Calibri Light" w:eastAsia="Calibri Light" w:hAnsi="Calibri Light" w:cs="Calibri Light"/>
    </w:rPr>
  </w:style>
  <w:style w:type="paragraph" w:customStyle="1" w:styleId="Bodytext40">
    <w:name w:val="Body text|4"/>
    <w:basedOn w:val="Normal"/>
    <w:link w:val="Bodytext4"/>
    <w:rsid w:val="00910D81"/>
    <w:pPr>
      <w:widowControl w:val="0"/>
      <w:spacing w:after="240" w:line="271" w:lineRule="auto"/>
      <w:ind w:left="380"/>
    </w:pPr>
    <w:rPr>
      <w:rFonts w:ascii="Calibri Light" w:eastAsia="Calibri Light" w:hAnsi="Calibri Light" w:cs="Calibri Light"/>
    </w:rPr>
  </w:style>
  <w:style w:type="character" w:customStyle="1" w:styleId="Heading4Char">
    <w:name w:val="Heading 4 Char"/>
    <w:basedOn w:val="DefaultParagraphFont"/>
    <w:link w:val="Heading4"/>
    <w:uiPriority w:val="9"/>
    <w:semiHidden/>
    <w:rsid w:val="00F13B2C"/>
    <w:rPr>
      <w:rFonts w:asciiTheme="majorHAnsi" w:eastAsiaTheme="majorEastAsia" w:hAnsiTheme="majorHAnsi" w:cstheme="majorBidi"/>
      <w:i/>
      <w:color w:val="2F5496" w:themeColor="accent1" w:themeShade="BF"/>
    </w:rPr>
  </w:style>
  <w:style w:type="paragraph" w:styleId="HTMLPreformatted">
    <w:name w:val="HTML Preformatted"/>
    <w:basedOn w:val="Normal"/>
    <w:link w:val="HTMLPreformattedChar"/>
    <w:uiPriority w:val="99"/>
    <w:unhideWhenUsed/>
    <w:rsid w:val="000A4233"/>
    <w:pPr>
      <w:spacing w:after="0" w:line="240" w:lineRule="auto"/>
    </w:pPr>
    <w:rPr>
      <w:rFonts w:ascii="Consolas" w:hAnsi="Consolas"/>
      <w:sz w:val="20"/>
    </w:rPr>
  </w:style>
  <w:style w:type="character" w:customStyle="1" w:styleId="HTMLPreformattedChar">
    <w:name w:val="HTML Preformatted Char"/>
    <w:basedOn w:val="DefaultParagraphFont"/>
    <w:link w:val="HTMLPreformatted"/>
    <w:uiPriority w:val="99"/>
    <w:rsid w:val="000A4233"/>
    <w:rPr>
      <w:rFonts w:ascii="Consolas" w:hAnsi="Consolas"/>
      <w:sz w:val="20"/>
    </w:rPr>
  </w:style>
  <w:style w:type="character" w:customStyle="1" w:styleId="Heading5Char">
    <w:name w:val="Heading 5 Char"/>
    <w:basedOn w:val="DefaultParagraphFont"/>
    <w:link w:val="Heading5"/>
    <w:uiPriority w:val="9"/>
    <w:rsid w:val="00C161A6"/>
    <w:rPr>
      <w:rFonts w:asciiTheme="majorHAnsi" w:eastAsiaTheme="majorEastAsia" w:hAnsiTheme="majorHAnsi" w:cstheme="majorBidi"/>
      <w:color w:val="2F5496" w:themeColor="accent1" w:themeShade="BF"/>
    </w:rPr>
  </w:style>
  <w:style w:type="paragraph" w:customStyle="1" w:styleId="parrafo2">
    <w:name w:val="parrafo_2"/>
    <w:basedOn w:val="Normal"/>
    <w:rsid w:val="00C161A6"/>
    <w:pPr>
      <w:spacing w:before="100" w:beforeAutospacing="1" w:after="100" w:afterAutospacing="1" w:line="240" w:lineRule="auto"/>
    </w:pPr>
    <w:rPr>
      <w:rFonts w:ascii="Times New Roman" w:eastAsia="Times New Roman" w:hAnsi="Times New Roman" w:cs="Times New Roman"/>
    </w:rPr>
  </w:style>
  <w:style w:type="paragraph" w:customStyle="1" w:styleId="parrafo">
    <w:name w:val="parrafo"/>
    <w:basedOn w:val="Normal"/>
    <w:rsid w:val="00C161A6"/>
    <w:pPr>
      <w:spacing w:before="100" w:beforeAutospacing="1" w:after="100" w:afterAutospacing="1" w:line="240" w:lineRule="auto"/>
    </w:pPr>
    <w:rPr>
      <w:rFonts w:ascii="Times New Roman" w:eastAsia="Times New Roman" w:hAnsi="Times New Roman" w:cs="Times New Roman"/>
    </w:rPr>
  </w:style>
  <w:style w:type="character" w:customStyle="1" w:styleId="y2iqfc">
    <w:name w:val="y2iqfc"/>
    <w:basedOn w:val="DefaultParagraphFont"/>
    <w:rsid w:val="000177B6"/>
  </w:style>
  <w:style w:type="paragraph" w:styleId="TOCHeading">
    <w:name w:val="TOC Heading"/>
    <w:basedOn w:val="Heading1"/>
    <w:next w:val="Normal"/>
    <w:uiPriority w:val="39"/>
    <w:unhideWhenUsed/>
    <w:qFormat/>
    <w:rsid w:val="00267347"/>
    <w:pPr>
      <w:outlineLvl w:val="9"/>
    </w:pPr>
  </w:style>
  <w:style w:type="paragraph" w:styleId="TOC1">
    <w:name w:val="toc 1"/>
    <w:basedOn w:val="Normal"/>
    <w:next w:val="Normal"/>
    <w:autoRedefine/>
    <w:uiPriority w:val="39"/>
    <w:unhideWhenUsed/>
    <w:rsid w:val="00112F88"/>
    <w:pPr>
      <w:tabs>
        <w:tab w:val="left" w:pos="440"/>
        <w:tab w:val="right" w:leader="dot" w:pos="9060"/>
      </w:tabs>
      <w:spacing w:after="100"/>
      <w:ind w:left="1288" w:hanging="1288"/>
    </w:pPr>
  </w:style>
  <w:style w:type="paragraph" w:styleId="TOC2">
    <w:name w:val="toc 2"/>
    <w:basedOn w:val="Normal"/>
    <w:next w:val="Normal"/>
    <w:autoRedefine/>
    <w:uiPriority w:val="39"/>
    <w:unhideWhenUsed/>
    <w:rsid w:val="003F797B"/>
    <w:pPr>
      <w:tabs>
        <w:tab w:val="left" w:pos="880"/>
        <w:tab w:val="right" w:leader="dot" w:pos="9060"/>
      </w:tabs>
      <w:spacing w:after="100"/>
      <w:ind w:left="686" w:hanging="466"/>
    </w:pPr>
  </w:style>
  <w:style w:type="character" w:customStyle="1" w:styleId="Heading6Char">
    <w:name w:val="Heading 6 Char"/>
    <w:basedOn w:val="DefaultParagraphFont"/>
    <w:link w:val="Heading6"/>
    <w:uiPriority w:val="9"/>
    <w:rsid w:val="00267347"/>
    <w:rPr>
      <w:rFonts w:asciiTheme="majorHAnsi" w:eastAsiaTheme="majorEastAsia" w:hAnsiTheme="majorHAnsi" w:cstheme="majorBidi"/>
      <w:color w:val="1F3763" w:themeColor="accent1" w:themeShade="7F"/>
    </w:rPr>
  </w:style>
  <w:style w:type="character" w:customStyle="1" w:styleId="Headerorfooter2">
    <w:name w:val="Header or footer|2_"/>
    <w:basedOn w:val="DefaultParagraphFont"/>
    <w:link w:val="Headerorfooter20"/>
    <w:rsid w:val="0031274D"/>
    <w:rPr>
      <w:sz w:val="20"/>
    </w:rPr>
  </w:style>
  <w:style w:type="paragraph" w:customStyle="1" w:styleId="Headerorfooter20">
    <w:name w:val="Header or footer|2"/>
    <w:basedOn w:val="Normal"/>
    <w:link w:val="Headerorfooter2"/>
    <w:rsid w:val="0031274D"/>
    <w:pPr>
      <w:widowControl w:val="0"/>
      <w:spacing w:after="0" w:line="240" w:lineRule="auto"/>
    </w:pPr>
    <w:rPr>
      <w:sz w:val="20"/>
    </w:rPr>
  </w:style>
  <w:style w:type="paragraph" w:customStyle="1" w:styleId="s10950c61">
    <w:name w:val="s10950c61"/>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bb9ee52a">
    <w:name w:val="sbb9ee52a"/>
    <w:basedOn w:val="DefaultParagraphFont"/>
    <w:rsid w:val="00170C0A"/>
  </w:style>
  <w:style w:type="paragraph" w:customStyle="1" w:styleId="s9d48dd53">
    <w:name w:val="s9d48dd53"/>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a36b60a1">
    <w:name w:val="sa36b60a1"/>
    <w:basedOn w:val="DefaultParagraphFont"/>
    <w:rsid w:val="00170C0A"/>
  </w:style>
  <w:style w:type="character" w:customStyle="1" w:styleId="s29100277">
    <w:name w:val="s29100277"/>
    <w:basedOn w:val="DefaultParagraphFont"/>
    <w:rsid w:val="00DD432B"/>
  </w:style>
  <w:style w:type="paragraph" w:styleId="Revision">
    <w:name w:val="Revision"/>
    <w:hidden/>
    <w:uiPriority w:val="99"/>
    <w:semiHidden/>
    <w:rsid w:val="00A027C3"/>
    <w:pPr>
      <w:spacing w:after="0" w:line="240" w:lineRule="auto"/>
    </w:pPr>
  </w:style>
  <w:style w:type="character" w:customStyle="1" w:styleId="cf01">
    <w:name w:val="cf01"/>
    <w:basedOn w:val="DefaultParagraphFont"/>
    <w:rsid w:val="000E5118"/>
    <w:rPr>
      <w:rFonts w:ascii="Segoe UI" w:hAnsi="Segoe UI" w:cs="Segoe UI" w:hint="default"/>
      <w:sz w:val="18"/>
    </w:rPr>
  </w:style>
  <w:style w:type="paragraph" w:customStyle="1" w:styleId="Body">
    <w:name w:val="Body"/>
    <w:qFormat/>
    <w:rsid w:val="00C24C52"/>
    <w:pPr>
      <w:tabs>
        <w:tab w:val="left" w:pos="425"/>
        <w:tab w:val="left" w:pos="851"/>
        <w:tab w:val="left" w:pos="1276"/>
      </w:tabs>
      <w:spacing w:after="240" w:line="240" w:lineRule="auto"/>
    </w:pPr>
    <w:rPr>
      <w:rFonts w:ascii="Arial" w:eastAsia="Times New Roman" w:hAnsi="Arial" w:cs="Times New Roman"/>
      <w:sz w:val="20"/>
    </w:rPr>
  </w:style>
  <w:style w:type="paragraph" w:customStyle="1" w:styleId="oj-ti-grseq-1">
    <w:name w:val="oj-ti-grseq-1"/>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oj-italic">
    <w:name w:val="oj-italic"/>
    <w:basedOn w:val="DefaultParagraphFont"/>
    <w:rsid w:val="0011292D"/>
  </w:style>
  <w:style w:type="paragraph" w:customStyle="1" w:styleId="oj-normal">
    <w:name w:val="oj-normal"/>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highlight">
    <w:name w:val="highlight"/>
    <w:basedOn w:val="DefaultParagraphFont"/>
    <w:rsid w:val="0011292D"/>
  </w:style>
  <w:style w:type="paragraph" w:styleId="TOC3">
    <w:name w:val="toc 3"/>
    <w:basedOn w:val="Normal"/>
    <w:next w:val="Normal"/>
    <w:autoRedefine/>
    <w:uiPriority w:val="39"/>
    <w:unhideWhenUsed/>
    <w:rsid w:val="007A5EDB"/>
    <w:pPr>
      <w:spacing w:after="100"/>
      <w:ind w:left="440"/>
    </w:pPr>
  </w:style>
  <w:style w:type="character" w:customStyle="1" w:styleId="Marker">
    <w:name w:val="Marker"/>
    <w:basedOn w:val="DefaultParagraphFont"/>
    <w:rsid w:val="00EE4677"/>
    <w:rPr>
      <w:color w:val="0000FF"/>
      <w:shd w:val="clear" w:color="auto" w:fill="auto"/>
    </w:rPr>
  </w:style>
  <w:style w:type="paragraph" w:customStyle="1" w:styleId="Pagedecouverture">
    <w:name w:val="Page de couverture"/>
    <w:basedOn w:val="Normal"/>
    <w:next w:val="Normal"/>
    <w:rsid w:val="00E65BE5"/>
    <w:pPr>
      <w:spacing w:after="0" w:line="240" w:lineRule="auto"/>
      <w:jc w:val="both"/>
    </w:pPr>
    <w:rPr>
      <w:rFonts w:ascii="Times New Roman" w:hAnsi="Times New Roman" w:cs="Times New Roman"/>
    </w:rPr>
  </w:style>
  <w:style w:type="paragraph" w:customStyle="1" w:styleId="FooterCoverPage">
    <w:name w:val="Footer Cover Page"/>
    <w:basedOn w:val="Normal"/>
    <w:link w:val="FooterCoverPageChar"/>
    <w:rsid w:val="00E65BE5"/>
    <w:pPr>
      <w:tabs>
        <w:tab w:val="center" w:pos="4535"/>
        <w:tab w:val="right" w:pos="9071"/>
        <w:tab w:val="right" w:pos="9921"/>
      </w:tabs>
      <w:spacing w:before="360" w:after="0" w:line="240" w:lineRule="auto"/>
      <w:ind w:left="-850" w:right="-850"/>
    </w:pPr>
    <w:rPr>
      <w:rFonts w:ascii="Times New Roman" w:hAnsi="Times New Roman" w:cs="Times New Roman"/>
    </w:rPr>
  </w:style>
  <w:style w:type="character" w:customStyle="1" w:styleId="FooterCoverPageChar">
    <w:name w:val="Footer Cover Page Char"/>
    <w:basedOn w:val="DefaultParagraphFont"/>
    <w:link w:val="FooterCoverPage"/>
    <w:rsid w:val="00E65BE5"/>
    <w:rPr>
      <w:rFonts w:ascii="Times New Roman" w:hAnsi="Times New Roman" w:cs="Times New Roman"/>
      <w:sz w:val="24"/>
    </w:rPr>
  </w:style>
  <w:style w:type="paragraph" w:customStyle="1" w:styleId="FooterSensitivity">
    <w:name w:val="Footer Sensitivity"/>
    <w:basedOn w:val="Normal"/>
    <w:link w:val="FooterSensitivityChar"/>
    <w:rsid w:val="00E65BE5"/>
    <w:pPr>
      <w:pBdr>
        <w:top w:val="single" w:sz="4" w:space="1" w:color="auto"/>
        <w:left w:val="single" w:sz="4" w:space="4" w:color="auto"/>
        <w:bottom w:val="single" w:sz="4" w:space="1" w:color="auto"/>
        <w:right w:val="single" w:sz="4" w:space="4" w:color="auto"/>
      </w:pBdr>
      <w:spacing w:before="360" w:after="0" w:line="240" w:lineRule="auto"/>
      <w:ind w:left="113" w:right="113"/>
      <w:jc w:val="center"/>
    </w:pPr>
    <w:rPr>
      <w:rFonts w:ascii="Times New Roman" w:hAnsi="Times New Roman" w:cs="Times New Roman"/>
      <w:b/>
      <w:sz w:val="32"/>
    </w:rPr>
  </w:style>
  <w:style w:type="character" w:customStyle="1" w:styleId="FooterSensitivityChar">
    <w:name w:val="Footer Sensitivity Char"/>
    <w:basedOn w:val="DefaultParagraphFont"/>
    <w:link w:val="FooterSensitivity"/>
    <w:rsid w:val="00E65BE5"/>
    <w:rPr>
      <w:rFonts w:ascii="Times New Roman" w:hAnsi="Times New Roman" w:cs="Times New Roman"/>
      <w:b/>
      <w:sz w:val="32"/>
    </w:rPr>
  </w:style>
  <w:style w:type="paragraph" w:customStyle="1" w:styleId="HeaderCoverPage">
    <w:name w:val="Header Cover Page"/>
    <w:basedOn w:val="Normal"/>
    <w:link w:val="HeaderCoverPageChar"/>
    <w:rsid w:val="00E65BE5"/>
    <w:pPr>
      <w:tabs>
        <w:tab w:val="center" w:pos="4535"/>
        <w:tab w:val="right" w:pos="9071"/>
      </w:tabs>
      <w:spacing w:after="120" w:line="240" w:lineRule="auto"/>
      <w:jc w:val="both"/>
    </w:pPr>
    <w:rPr>
      <w:rFonts w:ascii="Times New Roman" w:hAnsi="Times New Roman" w:cs="Times New Roman"/>
    </w:rPr>
  </w:style>
  <w:style w:type="character" w:customStyle="1" w:styleId="HeaderCoverPageChar">
    <w:name w:val="Header Cover Page Char"/>
    <w:basedOn w:val="DefaultParagraphFont"/>
    <w:link w:val="HeaderCoverPage"/>
    <w:rsid w:val="00E65BE5"/>
    <w:rPr>
      <w:rFonts w:ascii="Times New Roman" w:hAnsi="Times New Roman" w:cs="Times New Roman"/>
      <w:sz w:val="24"/>
    </w:rPr>
  </w:style>
  <w:style w:type="paragraph" w:customStyle="1" w:styleId="HeaderSensitivity">
    <w:name w:val="Header Sensitivity"/>
    <w:basedOn w:val="Normal"/>
    <w:link w:val="HeaderSensitivityChar"/>
    <w:rsid w:val="00E65BE5"/>
    <w:pPr>
      <w:pBdr>
        <w:top w:val="single" w:sz="4" w:space="1" w:color="auto"/>
        <w:left w:val="single" w:sz="4" w:space="4" w:color="auto"/>
        <w:bottom w:val="single" w:sz="4" w:space="1" w:color="auto"/>
        <w:right w:val="single" w:sz="4" w:space="4" w:color="auto"/>
      </w:pBdr>
      <w:spacing w:after="120" w:line="240" w:lineRule="auto"/>
      <w:ind w:left="113" w:right="113"/>
      <w:jc w:val="center"/>
    </w:pPr>
    <w:rPr>
      <w:rFonts w:ascii="Times New Roman" w:hAnsi="Times New Roman" w:cs="Times New Roman"/>
      <w:b/>
      <w:sz w:val="32"/>
    </w:rPr>
  </w:style>
  <w:style w:type="character" w:customStyle="1" w:styleId="HeaderSensitivityChar">
    <w:name w:val="Header Sensitivity Char"/>
    <w:basedOn w:val="DefaultParagraphFont"/>
    <w:link w:val="HeaderSensitivity"/>
    <w:rsid w:val="00E65BE5"/>
    <w:rPr>
      <w:rFonts w:ascii="Times New Roman" w:hAnsi="Times New Roman" w:cs="Times New Roman"/>
      <w:b/>
      <w:sz w:val="32"/>
    </w:rPr>
  </w:style>
  <w:style w:type="paragraph" w:customStyle="1" w:styleId="HeaderSensitivityRight">
    <w:name w:val="Header Sensitivity Right"/>
    <w:basedOn w:val="Normal"/>
    <w:link w:val="HeaderSensitivityRightChar"/>
    <w:rsid w:val="00E65BE5"/>
    <w:pPr>
      <w:spacing w:after="120" w:line="240" w:lineRule="auto"/>
      <w:jc w:val="right"/>
    </w:pPr>
    <w:rPr>
      <w:rFonts w:ascii="Times New Roman" w:hAnsi="Times New Roman" w:cs="Times New Roman"/>
      <w:sz w:val="28"/>
    </w:rPr>
  </w:style>
  <w:style w:type="character" w:customStyle="1" w:styleId="HeaderSensitivityRightChar">
    <w:name w:val="Header Sensitivity Right Char"/>
    <w:basedOn w:val="DefaultParagraphFont"/>
    <w:link w:val="HeaderSensitivityRight"/>
    <w:rsid w:val="00E65BE5"/>
    <w:rPr>
      <w:rFonts w:ascii="Times New Roman" w:hAnsi="Times New Roman" w:cs="Times New Roman"/>
      <w:sz w:val="28"/>
    </w:rPr>
  </w:style>
  <w:style w:type="paragraph" w:customStyle="1" w:styleId="ep-wysiwigparagraph">
    <w:name w:val="ep-wysiwig_paragraph"/>
    <w:basedOn w:val="Normal"/>
    <w:rsid w:val="00DC615D"/>
    <w:pPr>
      <w:spacing w:before="100" w:beforeAutospacing="1" w:after="100" w:afterAutospacing="1" w:line="240" w:lineRule="auto"/>
    </w:pPr>
    <w:rPr>
      <w:rFonts w:ascii="Times New Roman" w:eastAsia="Times New Roman" w:hAnsi="Times New Roman" w:cs="Times New Roman"/>
    </w:rPr>
  </w:style>
  <w:style w:type="character" w:customStyle="1" w:styleId="Mention">
    <w:name w:val="Mention"/>
    <w:basedOn w:val="DefaultParagraphFont"/>
    <w:uiPriority w:val="99"/>
    <w:unhideWhenUsed/>
    <w:rsid w:val="00B83655"/>
    <w:rPr>
      <w:color w:val="2B579A"/>
      <w:shd w:val="clear" w:color="auto" w:fill="E1DFDD"/>
    </w:rPr>
  </w:style>
  <w:style w:type="paragraph" w:customStyle="1" w:styleId="pf0">
    <w:name w:val="pf0"/>
    <w:basedOn w:val="Normal"/>
    <w:rsid w:val="004E4D77"/>
    <w:pPr>
      <w:spacing w:before="100" w:beforeAutospacing="1" w:after="100" w:afterAutospacing="1" w:line="240" w:lineRule="auto"/>
    </w:pPr>
    <w:rPr>
      <w:rFonts w:ascii="Times New Roman" w:eastAsia="Times New Roman" w:hAnsi="Times New Roman" w:cs="Times New Roman"/>
    </w:rPr>
  </w:style>
  <w:style w:type="character" w:customStyle="1" w:styleId="cf11">
    <w:name w:val="cf11"/>
    <w:basedOn w:val="DefaultParagraphFont"/>
    <w:rsid w:val="004E4D77"/>
    <w:rPr>
      <w:rFonts w:ascii="Segoe UI" w:hAnsi="Segoe UI" w:cs="Segoe UI" w:hint="default"/>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925610">
      <w:bodyDiv w:val="1"/>
      <w:marLeft w:val="0"/>
      <w:marRight w:val="0"/>
      <w:marTop w:val="0"/>
      <w:marBottom w:val="0"/>
      <w:divBdr>
        <w:top w:val="none" w:sz="0" w:space="0" w:color="auto"/>
        <w:left w:val="none" w:sz="0" w:space="0" w:color="auto"/>
        <w:bottom w:val="none" w:sz="0" w:space="0" w:color="auto"/>
        <w:right w:val="none" w:sz="0" w:space="0" w:color="auto"/>
      </w:divBdr>
    </w:div>
    <w:div w:id="179201297">
      <w:bodyDiv w:val="1"/>
      <w:marLeft w:val="0"/>
      <w:marRight w:val="0"/>
      <w:marTop w:val="0"/>
      <w:marBottom w:val="0"/>
      <w:divBdr>
        <w:top w:val="none" w:sz="0" w:space="0" w:color="auto"/>
        <w:left w:val="none" w:sz="0" w:space="0" w:color="auto"/>
        <w:bottom w:val="none" w:sz="0" w:space="0" w:color="auto"/>
        <w:right w:val="none" w:sz="0" w:space="0" w:color="auto"/>
      </w:divBdr>
    </w:div>
    <w:div w:id="203560873">
      <w:bodyDiv w:val="1"/>
      <w:marLeft w:val="0"/>
      <w:marRight w:val="0"/>
      <w:marTop w:val="0"/>
      <w:marBottom w:val="0"/>
      <w:divBdr>
        <w:top w:val="none" w:sz="0" w:space="0" w:color="auto"/>
        <w:left w:val="none" w:sz="0" w:space="0" w:color="auto"/>
        <w:bottom w:val="none" w:sz="0" w:space="0" w:color="auto"/>
        <w:right w:val="none" w:sz="0" w:space="0" w:color="auto"/>
      </w:divBdr>
    </w:div>
    <w:div w:id="205608473">
      <w:bodyDiv w:val="1"/>
      <w:marLeft w:val="0"/>
      <w:marRight w:val="0"/>
      <w:marTop w:val="0"/>
      <w:marBottom w:val="0"/>
      <w:divBdr>
        <w:top w:val="none" w:sz="0" w:space="0" w:color="auto"/>
        <w:left w:val="none" w:sz="0" w:space="0" w:color="auto"/>
        <w:bottom w:val="none" w:sz="0" w:space="0" w:color="auto"/>
        <w:right w:val="none" w:sz="0" w:space="0" w:color="auto"/>
      </w:divBdr>
      <w:divsChild>
        <w:div w:id="28722587">
          <w:marLeft w:val="0"/>
          <w:marRight w:val="0"/>
          <w:marTop w:val="0"/>
          <w:marBottom w:val="0"/>
          <w:divBdr>
            <w:top w:val="none" w:sz="0" w:space="0" w:color="auto"/>
            <w:left w:val="none" w:sz="0" w:space="0" w:color="auto"/>
            <w:bottom w:val="none" w:sz="0" w:space="0" w:color="auto"/>
            <w:right w:val="none" w:sz="0" w:space="0" w:color="auto"/>
          </w:divBdr>
        </w:div>
        <w:div w:id="35083543">
          <w:marLeft w:val="0"/>
          <w:marRight w:val="0"/>
          <w:marTop w:val="0"/>
          <w:marBottom w:val="0"/>
          <w:divBdr>
            <w:top w:val="none" w:sz="0" w:space="0" w:color="auto"/>
            <w:left w:val="none" w:sz="0" w:space="0" w:color="auto"/>
            <w:bottom w:val="none" w:sz="0" w:space="0" w:color="auto"/>
            <w:right w:val="none" w:sz="0" w:space="0" w:color="auto"/>
          </w:divBdr>
        </w:div>
        <w:div w:id="202640565">
          <w:marLeft w:val="0"/>
          <w:marRight w:val="0"/>
          <w:marTop w:val="0"/>
          <w:marBottom w:val="0"/>
          <w:divBdr>
            <w:top w:val="none" w:sz="0" w:space="0" w:color="auto"/>
            <w:left w:val="none" w:sz="0" w:space="0" w:color="auto"/>
            <w:bottom w:val="none" w:sz="0" w:space="0" w:color="auto"/>
            <w:right w:val="none" w:sz="0" w:space="0" w:color="auto"/>
          </w:divBdr>
        </w:div>
        <w:div w:id="316762200">
          <w:marLeft w:val="0"/>
          <w:marRight w:val="0"/>
          <w:marTop w:val="0"/>
          <w:marBottom w:val="0"/>
          <w:divBdr>
            <w:top w:val="none" w:sz="0" w:space="0" w:color="auto"/>
            <w:left w:val="none" w:sz="0" w:space="0" w:color="auto"/>
            <w:bottom w:val="none" w:sz="0" w:space="0" w:color="auto"/>
            <w:right w:val="none" w:sz="0" w:space="0" w:color="auto"/>
          </w:divBdr>
        </w:div>
        <w:div w:id="416560297">
          <w:marLeft w:val="0"/>
          <w:marRight w:val="0"/>
          <w:marTop w:val="0"/>
          <w:marBottom w:val="0"/>
          <w:divBdr>
            <w:top w:val="none" w:sz="0" w:space="0" w:color="auto"/>
            <w:left w:val="none" w:sz="0" w:space="0" w:color="auto"/>
            <w:bottom w:val="none" w:sz="0" w:space="0" w:color="auto"/>
            <w:right w:val="none" w:sz="0" w:space="0" w:color="auto"/>
          </w:divBdr>
        </w:div>
        <w:div w:id="489253952">
          <w:marLeft w:val="0"/>
          <w:marRight w:val="0"/>
          <w:marTop w:val="0"/>
          <w:marBottom w:val="0"/>
          <w:divBdr>
            <w:top w:val="none" w:sz="0" w:space="0" w:color="auto"/>
            <w:left w:val="none" w:sz="0" w:space="0" w:color="auto"/>
            <w:bottom w:val="none" w:sz="0" w:space="0" w:color="auto"/>
            <w:right w:val="none" w:sz="0" w:space="0" w:color="auto"/>
          </w:divBdr>
        </w:div>
        <w:div w:id="610598972">
          <w:marLeft w:val="0"/>
          <w:marRight w:val="0"/>
          <w:marTop w:val="0"/>
          <w:marBottom w:val="0"/>
          <w:divBdr>
            <w:top w:val="none" w:sz="0" w:space="0" w:color="auto"/>
            <w:left w:val="none" w:sz="0" w:space="0" w:color="auto"/>
            <w:bottom w:val="none" w:sz="0" w:space="0" w:color="auto"/>
            <w:right w:val="none" w:sz="0" w:space="0" w:color="auto"/>
          </w:divBdr>
        </w:div>
        <w:div w:id="707219886">
          <w:marLeft w:val="0"/>
          <w:marRight w:val="0"/>
          <w:marTop w:val="0"/>
          <w:marBottom w:val="0"/>
          <w:divBdr>
            <w:top w:val="none" w:sz="0" w:space="0" w:color="auto"/>
            <w:left w:val="none" w:sz="0" w:space="0" w:color="auto"/>
            <w:bottom w:val="none" w:sz="0" w:space="0" w:color="auto"/>
            <w:right w:val="none" w:sz="0" w:space="0" w:color="auto"/>
          </w:divBdr>
        </w:div>
        <w:div w:id="740130558">
          <w:marLeft w:val="0"/>
          <w:marRight w:val="0"/>
          <w:marTop w:val="0"/>
          <w:marBottom w:val="0"/>
          <w:divBdr>
            <w:top w:val="none" w:sz="0" w:space="0" w:color="auto"/>
            <w:left w:val="none" w:sz="0" w:space="0" w:color="auto"/>
            <w:bottom w:val="none" w:sz="0" w:space="0" w:color="auto"/>
            <w:right w:val="none" w:sz="0" w:space="0" w:color="auto"/>
          </w:divBdr>
        </w:div>
        <w:div w:id="1106803001">
          <w:marLeft w:val="0"/>
          <w:marRight w:val="0"/>
          <w:marTop w:val="0"/>
          <w:marBottom w:val="0"/>
          <w:divBdr>
            <w:top w:val="none" w:sz="0" w:space="0" w:color="auto"/>
            <w:left w:val="none" w:sz="0" w:space="0" w:color="auto"/>
            <w:bottom w:val="none" w:sz="0" w:space="0" w:color="auto"/>
            <w:right w:val="none" w:sz="0" w:space="0" w:color="auto"/>
          </w:divBdr>
        </w:div>
        <w:div w:id="1620720704">
          <w:marLeft w:val="0"/>
          <w:marRight w:val="0"/>
          <w:marTop w:val="0"/>
          <w:marBottom w:val="0"/>
          <w:divBdr>
            <w:top w:val="none" w:sz="0" w:space="0" w:color="auto"/>
            <w:left w:val="none" w:sz="0" w:space="0" w:color="auto"/>
            <w:bottom w:val="none" w:sz="0" w:space="0" w:color="auto"/>
            <w:right w:val="none" w:sz="0" w:space="0" w:color="auto"/>
          </w:divBdr>
        </w:div>
        <w:div w:id="1622223375">
          <w:marLeft w:val="0"/>
          <w:marRight w:val="0"/>
          <w:marTop w:val="0"/>
          <w:marBottom w:val="0"/>
          <w:divBdr>
            <w:top w:val="none" w:sz="0" w:space="0" w:color="auto"/>
            <w:left w:val="none" w:sz="0" w:space="0" w:color="auto"/>
            <w:bottom w:val="none" w:sz="0" w:space="0" w:color="auto"/>
            <w:right w:val="none" w:sz="0" w:space="0" w:color="auto"/>
          </w:divBdr>
        </w:div>
        <w:div w:id="1787191735">
          <w:marLeft w:val="0"/>
          <w:marRight w:val="0"/>
          <w:marTop w:val="0"/>
          <w:marBottom w:val="0"/>
          <w:divBdr>
            <w:top w:val="none" w:sz="0" w:space="0" w:color="auto"/>
            <w:left w:val="none" w:sz="0" w:space="0" w:color="auto"/>
            <w:bottom w:val="none" w:sz="0" w:space="0" w:color="auto"/>
            <w:right w:val="none" w:sz="0" w:space="0" w:color="auto"/>
          </w:divBdr>
        </w:div>
        <w:div w:id="1938364294">
          <w:marLeft w:val="0"/>
          <w:marRight w:val="0"/>
          <w:marTop w:val="0"/>
          <w:marBottom w:val="0"/>
          <w:divBdr>
            <w:top w:val="none" w:sz="0" w:space="0" w:color="auto"/>
            <w:left w:val="none" w:sz="0" w:space="0" w:color="auto"/>
            <w:bottom w:val="none" w:sz="0" w:space="0" w:color="auto"/>
            <w:right w:val="none" w:sz="0" w:space="0" w:color="auto"/>
          </w:divBdr>
        </w:div>
        <w:div w:id="1995983925">
          <w:marLeft w:val="0"/>
          <w:marRight w:val="0"/>
          <w:marTop w:val="0"/>
          <w:marBottom w:val="0"/>
          <w:divBdr>
            <w:top w:val="none" w:sz="0" w:space="0" w:color="auto"/>
            <w:left w:val="none" w:sz="0" w:space="0" w:color="auto"/>
            <w:bottom w:val="none" w:sz="0" w:space="0" w:color="auto"/>
            <w:right w:val="none" w:sz="0" w:space="0" w:color="auto"/>
          </w:divBdr>
        </w:div>
        <w:div w:id="2109963410">
          <w:marLeft w:val="0"/>
          <w:marRight w:val="0"/>
          <w:marTop w:val="0"/>
          <w:marBottom w:val="0"/>
          <w:divBdr>
            <w:top w:val="none" w:sz="0" w:space="0" w:color="auto"/>
            <w:left w:val="none" w:sz="0" w:space="0" w:color="auto"/>
            <w:bottom w:val="none" w:sz="0" w:space="0" w:color="auto"/>
            <w:right w:val="none" w:sz="0" w:space="0" w:color="auto"/>
          </w:divBdr>
        </w:div>
        <w:div w:id="2136943352">
          <w:marLeft w:val="0"/>
          <w:marRight w:val="0"/>
          <w:marTop w:val="0"/>
          <w:marBottom w:val="0"/>
          <w:divBdr>
            <w:top w:val="none" w:sz="0" w:space="0" w:color="auto"/>
            <w:left w:val="none" w:sz="0" w:space="0" w:color="auto"/>
            <w:bottom w:val="none" w:sz="0" w:space="0" w:color="auto"/>
            <w:right w:val="none" w:sz="0" w:space="0" w:color="auto"/>
          </w:divBdr>
        </w:div>
      </w:divsChild>
    </w:div>
    <w:div w:id="208732544">
      <w:bodyDiv w:val="1"/>
      <w:marLeft w:val="0"/>
      <w:marRight w:val="0"/>
      <w:marTop w:val="0"/>
      <w:marBottom w:val="0"/>
      <w:divBdr>
        <w:top w:val="none" w:sz="0" w:space="0" w:color="auto"/>
        <w:left w:val="none" w:sz="0" w:space="0" w:color="auto"/>
        <w:bottom w:val="none" w:sz="0" w:space="0" w:color="auto"/>
        <w:right w:val="none" w:sz="0" w:space="0" w:color="auto"/>
      </w:divBdr>
    </w:div>
    <w:div w:id="225382018">
      <w:bodyDiv w:val="1"/>
      <w:marLeft w:val="0"/>
      <w:marRight w:val="0"/>
      <w:marTop w:val="0"/>
      <w:marBottom w:val="0"/>
      <w:divBdr>
        <w:top w:val="none" w:sz="0" w:space="0" w:color="auto"/>
        <w:left w:val="none" w:sz="0" w:space="0" w:color="auto"/>
        <w:bottom w:val="none" w:sz="0" w:space="0" w:color="auto"/>
        <w:right w:val="none" w:sz="0" w:space="0" w:color="auto"/>
      </w:divBdr>
    </w:div>
    <w:div w:id="236986968">
      <w:bodyDiv w:val="1"/>
      <w:marLeft w:val="0"/>
      <w:marRight w:val="0"/>
      <w:marTop w:val="0"/>
      <w:marBottom w:val="0"/>
      <w:divBdr>
        <w:top w:val="none" w:sz="0" w:space="0" w:color="auto"/>
        <w:left w:val="none" w:sz="0" w:space="0" w:color="auto"/>
        <w:bottom w:val="none" w:sz="0" w:space="0" w:color="auto"/>
        <w:right w:val="none" w:sz="0" w:space="0" w:color="auto"/>
      </w:divBdr>
      <w:divsChild>
        <w:div w:id="133330202">
          <w:marLeft w:val="0"/>
          <w:marRight w:val="0"/>
          <w:marTop w:val="0"/>
          <w:marBottom w:val="300"/>
          <w:divBdr>
            <w:top w:val="none" w:sz="0" w:space="0" w:color="auto"/>
            <w:left w:val="none" w:sz="0" w:space="0" w:color="auto"/>
            <w:bottom w:val="none" w:sz="0" w:space="0" w:color="auto"/>
            <w:right w:val="none" w:sz="0" w:space="0" w:color="auto"/>
          </w:divBdr>
          <w:divsChild>
            <w:div w:id="1121925548">
              <w:marLeft w:val="-225"/>
              <w:marRight w:val="-225"/>
              <w:marTop w:val="0"/>
              <w:marBottom w:val="0"/>
              <w:divBdr>
                <w:top w:val="none" w:sz="0" w:space="0" w:color="auto"/>
                <w:left w:val="none" w:sz="0" w:space="0" w:color="auto"/>
                <w:bottom w:val="none" w:sz="0" w:space="0" w:color="auto"/>
                <w:right w:val="none" w:sz="0" w:space="0" w:color="auto"/>
              </w:divBdr>
            </w:div>
          </w:divsChild>
        </w:div>
        <w:div w:id="582378124">
          <w:marLeft w:val="0"/>
          <w:marRight w:val="0"/>
          <w:marTop w:val="0"/>
          <w:marBottom w:val="750"/>
          <w:divBdr>
            <w:top w:val="none" w:sz="0" w:space="0" w:color="auto"/>
            <w:left w:val="none" w:sz="0" w:space="0" w:color="auto"/>
            <w:bottom w:val="none" w:sz="0" w:space="0" w:color="auto"/>
            <w:right w:val="none" w:sz="0" w:space="0" w:color="auto"/>
          </w:divBdr>
          <w:divsChild>
            <w:div w:id="1421636627">
              <w:marLeft w:val="-225"/>
              <w:marRight w:val="-225"/>
              <w:marTop w:val="0"/>
              <w:marBottom w:val="0"/>
              <w:divBdr>
                <w:top w:val="none" w:sz="0" w:space="0" w:color="auto"/>
                <w:left w:val="none" w:sz="0" w:space="0" w:color="auto"/>
                <w:bottom w:val="none" w:sz="0" w:space="0" w:color="auto"/>
                <w:right w:val="none" w:sz="0" w:space="0" w:color="auto"/>
              </w:divBdr>
            </w:div>
          </w:divsChild>
        </w:div>
        <w:div w:id="710157251">
          <w:marLeft w:val="0"/>
          <w:marRight w:val="0"/>
          <w:marTop w:val="0"/>
          <w:marBottom w:val="300"/>
          <w:divBdr>
            <w:top w:val="none" w:sz="0" w:space="0" w:color="auto"/>
            <w:left w:val="none" w:sz="0" w:space="0" w:color="auto"/>
            <w:bottom w:val="none" w:sz="0" w:space="0" w:color="auto"/>
            <w:right w:val="none" w:sz="0" w:space="0" w:color="auto"/>
          </w:divBdr>
          <w:divsChild>
            <w:div w:id="38169482">
              <w:marLeft w:val="-225"/>
              <w:marRight w:val="-225"/>
              <w:marTop w:val="0"/>
              <w:marBottom w:val="0"/>
              <w:divBdr>
                <w:top w:val="none" w:sz="0" w:space="0" w:color="auto"/>
                <w:left w:val="none" w:sz="0" w:space="0" w:color="auto"/>
                <w:bottom w:val="none" w:sz="0" w:space="0" w:color="auto"/>
                <w:right w:val="none" w:sz="0" w:space="0" w:color="auto"/>
              </w:divBdr>
            </w:div>
          </w:divsChild>
        </w:div>
        <w:div w:id="813177590">
          <w:marLeft w:val="0"/>
          <w:marRight w:val="0"/>
          <w:marTop w:val="0"/>
          <w:marBottom w:val="750"/>
          <w:divBdr>
            <w:top w:val="none" w:sz="0" w:space="0" w:color="auto"/>
            <w:left w:val="none" w:sz="0" w:space="0" w:color="auto"/>
            <w:bottom w:val="none" w:sz="0" w:space="0" w:color="auto"/>
            <w:right w:val="none" w:sz="0" w:space="0" w:color="auto"/>
          </w:divBdr>
          <w:divsChild>
            <w:div w:id="1856379397">
              <w:marLeft w:val="-225"/>
              <w:marRight w:val="-225"/>
              <w:marTop w:val="0"/>
              <w:marBottom w:val="0"/>
              <w:divBdr>
                <w:top w:val="none" w:sz="0" w:space="0" w:color="auto"/>
                <w:left w:val="none" w:sz="0" w:space="0" w:color="auto"/>
                <w:bottom w:val="none" w:sz="0" w:space="0" w:color="auto"/>
                <w:right w:val="none" w:sz="0" w:space="0" w:color="auto"/>
              </w:divBdr>
            </w:div>
          </w:divsChild>
        </w:div>
        <w:div w:id="1027368779">
          <w:marLeft w:val="0"/>
          <w:marRight w:val="0"/>
          <w:marTop w:val="0"/>
          <w:marBottom w:val="300"/>
          <w:divBdr>
            <w:top w:val="none" w:sz="0" w:space="0" w:color="auto"/>
            <w:left w:val="none" w:sz="0" w:space="0" w:color="auto"/>
            <w:bottom w:val="none" w:sz="0" w:space="0" w:color="auto"/>
            <w:right w:val="none" w:sz="0" w:space="0" w:color="auto"/>
          </w:divBdr>
          <w:divsChild>
            <w:div w:id="1254438951">
              <w:marLeft w:val="-225"/>
              <w:marRight w:val="-225"/>
              <w:marTop w:val="0"/>
              <w:marBottom w:val="0"/>
              <w:divBdr>
                <w:top w:val="none" w:sz="0" w:space="0" w:color="auto"/>
                <w:left w:val="none" w:sz="0" w:space="0" w:color="auto"/>
                <w:bottom w:val="none" w:sz="0" w:space="0" w:color="auto"/>
                <w:right w:val="none" w:sz="0" w:space="0" w:color="auto"/>
              </w:divBdr>
            </w:div>
          </w:divsChild>
        </w:div>
        <w:div w:id="1099331866">
          <w:marLeft w:val="0"/>
          <w:marRight w:val="0"/>
          <w:marTop w:val="0"/>
          <w:marBottom w:val="300"/>
          <w:divBdr>
            <w:top w:val="none" w:sz="0" w:space="0" w:color="auto"/>
            <w:left w:val="none" w:sz="0" w:space="0" w:color="auto"/>
            <w:bottom w:val="none" w:sz="0" w:space="0" w:color="auto"/>
            <w:right w:val="none" w:sz="0" w:space="0" w:color="auto"/>
          </w:divBdr>
          <w:divsChild>
            <w:div w:id="1365474077">
              <w:marLeft w:val="-225"/>
              <w:marRight w:val="-225"/>
              <w:marTop w:val="0"/>
              <w:marBottom w:val="0"/>
              <w:divBdr>
                <w:top w:val="none" w:sz="0" w:space="0" w:color="auto"/>
                <w:left w:val="none" w:sz="0" w:space="0" w:color="auto"/>
                <w:bottom w:val="none" w:sz="0" w:space="0" w:color="auto"/>
                <w:right w:val="none" w:sz="0" w:space="0" w:color="auto"/>
              </w:divBdr>
            </w:div>
          </w:divsChild>
        </w:div>
        <w:div w:id="1280262142">
          <w:marLeft w:val="0"/>
          <w:marRight w:val="0"/>
          <w:marTop w:val="0"/>
          <w:marBottom w:val="300"/>
          <w:divBdr>
            <w:top w:val="none" w:sz="0" w:space="0" w:color="auto"/>
            <w:left w:val="none" w:sz="0" w:space="0" w:color="auto"/>
            <w:bottom w:val="none" w:sz="0" w:space="0" w:color="auto"/>
            <w:right w:val="none" w:sz="0" w:space="0" w:color="auto"/>
          </w:divBdr>
          <w:divsChild>
            <w:div w:id="499931678">
              <w:marLeft w:val="-225"/>
              <w:marRight w:val="-225"/>
              <w:marTop w:val="0"/>
              <w:marBottom w:val="0"/>
              <w:divBdr>
                <w:top w:val="none" w:sz="0" w:space="0" w:color="auto"/>
                <w:left w:val="none" w:sz="0" w:space="0" w:color="auto"/>
                <w:bottom w:val="none" w:sz="0" w:space="0" w:color="auto"/>
                <w:right w:val="none" w:sz="0" w:space="0" w:color="auto"/>
              </w:divBdr>
            </w:div>
          </w:divsChild>
        </w:div>
        <w:div w:id="1302005548">
          <w:marLeft w:val="0"/>
          <w:marRight w:val="0"/>
          <w:marTop w:val="0"/>
          <w:marBottom w:val="750"/>
          <w:divBdr>
            <w:top w:val="none" w:sz="0" w:space="0" w:color="auto"/>
            <w:left w:val="none" w:sz="0" w:space="0" w:color="auto"/>
            <w:bottom w:val="none" w:sz="0" w:space="0" w:color="auto"/>
            <w:right w:val="none" w:sz="0" w:space="0" w:color="auto"/>
          </w:divBdr>
          <w:divsChild>
            <w:div w:id="1093475766">
              <w:marLeft w:val="-225"/>
              <w:marRight w:val="-225"/>
              <w:marTop w:val="0"/>
              <w:marBottom w:val="0"/>
              <w:divBdr>
                <w:top w:val="none" w:sz="0" w:space="0" w:color="auto"/>
                <w:left w:val="none" w:sz="0" w:space="0" w:color="auto"/>
                <w:bottom w:val="none" w:sz="0" w:space="0" w:color="auto"/>
                <w:right w:val="none" w:sz="0" w:space="0" w:color="auto"/>
              </w:divBdr>
            </w:div>
          </w:divsChild>
        </w:div>
        <w:div w:id="1378625407">
          <w:marLeft w:val="0"/>
          <w:marRight w:val="0"/>
          <w:marTop w:val="0"/>
          <w:marBottom w:val="750"/>
          <w:divBdr>
            <w:top w:val="none" w:sz="0" w:space="0" w:color="auto"/>
            <w:left w:val="none" w:sz="0" w:space="0" w:color="auto"/>
            <w:bottom w:val="none" w:sz="0" w:space="0" w:color="auto"/>
            <w:right w:val="none" w:sz="0" w:space="0" w:color="auto"/>
          </w:divBdr>
          <w:divsChild>
            <w:div w:id="1203906888">
              <w:marLeft w:val="-225"/>
              <w:marRight w:val="-225"/>
              <w:marTop w:val="0"/>
              <w:marBottom w:val="0"/>
              <w:divBdr>
                <w:top w:val="none" w:sz="0" w:space="0" w:color="auto"/>
                <w:left w:val="none" w:sz="0" w:space="0" w:color="auto"/>
                <w:bottom w:val="none" w:sz="0" w:space="0" w:color="auto"/>
                <w:right w:val="none" w:sz="0" w:space="0" w:color="auto"/>
              </w:divBdr>
            </w:div>
          </w:divsChild>
        </w:div>
        <w:div w:id="1562011577">
          <w:marLeft w:val="0"/>
          <w:marRight w:val="0"/>
          <w:marTop w:val="0"/>
          <w:marBottom w:val="300"/>
          <w:divBdr>
            <w:top w:val="none" w:sz="0" w:space="0" w:color="auto"/>
            <w:left w:val="none" w:sz="0" w:space="0" w:color="auto"/>
            <w:bottom w:val="none" w:sz="0" w:space="0" w:color="auto"/>
            <w:right w:val="none" w:sz="0" w:space="0" w:color="auto"/>
          </w:divBdr>
          <w:divsChild>
            <w:div w:id="1326587268">
              <w:marLeft w:val="-225"/>
              <w:marRight w:val="-225"/>
              <w:marTop w:val="0"/>
              <w:marBottom w:val="0"/>
              <w:divBdr>
                <w:top w:val="none" w:sz="0" w:space="0" w:color="auto"/>
                <w:left w:val="none" w:sz="0" w:space="0" w:color="auto"/>
                <w:bottom w:val="none" w:sz="0" w:space="0" w:color="auto"/>
                <w:right w:val="none" w:sz="0" w:space="0" w:color="auto"/>
              </w:divBdr>
            </w:div>
          </w:divsChild>
        </w:div>
        <w:div w:id="1579828454">
          <w:marLeft w:val="0"/>
          <w:marRight w:val="0"/>
          <w:marTop w:val="0"/>
          <w:marBottom w:val="750"/>
          <w:divBdr>
            <w:top w:val="none" w:sz="0" w:space="0" w:color="auto"/>
            <w:left w:val="none" w:sz="0" w:space="0" w:color="auto"/>
            <w:bottom w:val="none" w:sz="0" w:space="0" w:color="auto"/>
            <w:right w:val="none" w:sz="0" w:space="0" w:color="auto"/>
          </w:divBdr>
          <w:divsChild>
            <w:div w:id="2065175159">
              <w:marLeft w:val="-225"/>
              <w:marRight w:val="-225"/>
              <w:marTop w:val="0"/>
              <w:marBottom w:val="0"/>
              <w:divBdr>
                <w:top w:val="none" w:sz="0" w:space="0" w:color="auto"/>
                <w:left w:val="none" w:sz="0" w:space="0" w:color="auto"/>
                <w:bottom w:val="none" w:sz="0" w:space="0" w:color="auto"/>
                <w:right w:val="none" w:sz="0" w:space="0" w:color="auto"/>
              </w:divBdr>
            </w:div>
          </w:divsChild>
        </w:div>
        <w:div w:id="1952980289">
          <w:marLeft w:val="0"/>
          <w:marRight w:val="0"/>
          <w:marTop w:val="0"/>
          <w:marBottom w:val="300"/>
          <w:divBdr>
            <w:top w:val="none" w:sz="0" w:space="0" w:color="auto"/>
            <w:left w:val="none" w:sz="0" w:space="0" w:color="auto"/>
            <w:bottom w:val="none" w:sz="0" w:space="0" w:color="auto"/>
            <w:right w:val="none" w:sz="0" w:space="0" w:color="auto"/>
          </w:divBdr>
          <w:divsChild>
            <w:div w:id="296104586">
              <w:marLeft w:val="-225"/>
              <w:marRight w:val="-225"/>
              <w:marTop w:val="0"/>
              <w:marBottom w:val="0"/>
              <w:divBdr>
                <w:top w:val="none" w:sz="0" w:space="0" w:color="auto"/>
                <w:left w:val="none" w:sz="0" w:space="0" w:color="auto"/>
                <w:bottom w:val="none" w:sz="0" w:space="0" w:color="auto"/>
                <w:right w:val="none" w:sz="0" w:space="0" w:color="auto"/>
              </w:divBdr>
            </w:div>
          </w:divsChild>
        </w:div>
        <w:div w:id="1961914674">
          <w:marLeft w:val="0"/>
          <w:marRight w:val="0"/>
          <w:marTop w:val="0"/>
          <w:marBottom w:val="750"/>
          <w:divBdr>
            <w:top w:val="none" w:sz="0" w:space="0" w:color="auto"/>
            <w:left w:val="none" w:sz="0" w:space="0" w:color="auto"/>
            <w:bottom w:val="none" w:sz="0" w:space="0" w:color="auto"/>
            <w:right w:val="none" w:sz="0" w:space="0" w:color="auto"/>
          </w:divBdr>
          <w:divsChild>
            <w:div w:id="1473131937">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273175483">
      <w:bodyDiv w:val="1"/>
      <w:marLeft w:val="0"/>
      <w:marRight w:val="0"/>
      <w:marTop w:val="0"/>
      <w:marBottom w:val="0"/>
      <w:divBdr>
        <w:top w:val="none" w:sz="0" w:space="0" w:color="auto"/>
        <w:left w:val="none" w:sz="0" w:space="0" w:color="auto"/>
        <w:bottom w:val="none" w:sz="0" w:space="0" w:color="auto"/>
        <w:right w:val="none" w:sz="0" w:space="0" w:color="auto"/>
      </w:divBdr>
    </w:div>
    <w:div w:id="286548951">
      <w:bodyDiv w:val="1"/>
      <w:marLeft w:val="0"/>
      <w:marRight w:val="0"/>
      <w:marTop w:val="0"/>
      <w:marBottom w:val="0"/>
      <w:divBdr>
        <w:top w:val="none" w:sz="0" w:space="0" w:color="auto"/>
        <w:left w:val="none" w:sz="0" w:space="0" w:color="auto"/>
        <w:bottom w:val="none" w:sz="0" w:space="0" w:color="auto"/>
        <w:right w:val="none" w:sz="0" w:space="0" w:color="auto"/>
      </w:divBdr>
    </w:div>
    <w:div w:id="302391582">
      <w:bodyDiv w:val="1"/>
      <w:marLeft w:val="0"/>
      <w:marRight w:val="0"/>
      <w:marTop w:val="0"/>
      <w:marBottom w:val="0"/>
      <w:divBdr>
        <w:top w:val="none" w:sz="0" w:space="0" w:color="auto"/>
        <w:left w:val="none" w:sz="0" w:space="0" w:color="auto"/>
        <w:bottom w:val="none" w:sz="0" w:space="0" w:color="auto"/>
        <w:right w:val="none" w:sz="0" w:space="0" w:color="auto"/>
      </w:divBdr>
    </w:div>
    <w:div w:id="307244725">
      <w:bodyDiv w:val="1"/>
      <w:marLeft w:val="0"/>
      <w:marRight w:val="0"/>
      <w:marTop w:val="0"/>
      <w:marBottom w:val="0"/>
      <w:divBdr>
        <w:top w:val="none" w:sz="0" w:space="0" w:color="auto"/>
        <w:left w:val="none" w:sz="0" w:space="0" w:color="auto"/>
        <w:bottom w:val="none" w:sz="0" w:space="0" w:color="auto"/>
        <w:right w:val="none" w:sz="0" w:space="0" w:color="auto"/>
      </w:divBdr>
    </w:div>
    <w:div w:id="307244973">
      <w:bodyDiv w:val="1"/>
      <w:marLeft w:val="0"/>
      <w:marRight w:val="0"/>
      <w:marTop w:val="0"/>
      <w:marBottom w:val="0"/>
      <w:divBdr>
        <w:top w:val="none" w:sz="0" w:space="0" w:color="auto"/>
        <w:left w:val="none" w:sz="0" w:space="0" w:color="auto"/>
        <w:bottom w:val="none" w:sz="0" w:space="0" w:color="auto"/>
        <w:right w:val="none" w:sz="0" w:space="0" w:color="auto"/>
      </w:divBdr>
      <w:divsChild>
        <w:div w:id="51199150">
          <w:marLeft w:val="0"/>
          <w:marRight w:val="0"/>
          <w:marTop w:val="0"/>
          <w:marBottom w:val="750"/>
          <w:divBdr>
            <w:top w:val="none" w:sz="0" w:space="0" w:color="auto"/>
            <w:left w:val="none" w:sz="0" w:space="0" w:color="auto"/>
            <w:bottom w:val="none" w:sz="0" w:space="0" w:color="auto"/>
            <w:right w:val="none" w:sz="0" w:space="0" w:color="auto"/>
          </w:divBdr>
          <w:divsChild>
            <w:div w:id="1465657477">
              <w:marLeft w:val="-225"/>
              <w:marRight w:val="-225"/>
              <w:marTop w:val="0"/>
              <w:marBottom w:val="0"/>
              <w:divBdr>
                <w:top w:val="none" w:sz="0" w:space="0" w:color="auto"/>
                <w:left w:val="none" w:sz="0" w:space="0" w:color="auto"/>
                <w:bottom w:val="none" w:sz="0" w:space="0" w:color="auto"/>
                <w:right w:val="none" w:sz="0" w:space="0" w:color="auto"/>
              </w:divBdr>
            </w:div>
          </w:divsChild>
        </w:div>
        <w:div w:id="310447479">
          <w:marLeft w:val="0"/>
          <w:marRight w:val="0"/>
          <w:marTop w:val="0"/>
          <w:marBottom w:val="300"/>
          <w:divBdr>
            <w:top w:val="none" w:sz="0" w:space="0" w:color="auto"/>
            <w:left w:val="none" w:sz="0" w:space="0" w:color="auto"/>
            <w:bottom w:val="none" w:sz="0" w:space="0" w:color="auto"/>
            <w:right w:val="none" w:sz="0" w:space="0" w:color="auto"/>
          </w:divBdr>
          <w:divsChild>
            <w:div w:id="95293702">
              <w:marLeft w:val="-225"/>
              <w:marRight w:val="-225"/>
              <w:marTop w:val="0"/>
              <w:marBottom w:val="0"/>
              <w:divBdr>
                <w:top w:val="none" w:sz="0" w:space="0" w:color="auto"/>
                <w:left w:val="none" w:sz="0" w:space="0" w:color="auto"/>
                <w:bottom w:val="none" w:sz="0" w:space="0" w:color="auto"/>
                <w:right w:val="none" w:sz="0" w:space="0" w:color="auto"/>
              </w:divBdr>
            </w:div>
          </w:divsChild>
        </w:div>
        <w:div w:id="830146104">
          <w:marLeft w:val="0"/>
          <w:marRight w:val="0"/>
          <w:marTop w:val="0"/>
          <w:marBottom w:val="750"/>
          <w:divBdr>
            <w:top w:val="none" w:sz="0" w:space="0" w:color="auto"/>
            <w:left w:val="none" w:sz="0" w:space="0" w:color="auto"/>
            <w:bottom w:val="none" w:sz="0" w:space="0" w:color="auto"/>
            <w:right w:val="none" w:sz="0" w:space="0" w:color="auto"/>
          </w:divBdr>
          <w:divsChild>
            <w:div w:id="192545503">
              <w:marLeft w:val="-225"/>
              <w:marRight w:val="-225"/>
              <w:marTop w:val="0"/>
              <w:marBottom w:val="0"/>
              <w:divBdr>
                <w:top w:val="none" w:sz="0" w:space="0" w:color="auto"/>
                <w:left w:val="none" w:sz="0" w:space="0" w:color="auto"/>
                <w:bottom w:val="none" w:sz="0" w:space="0" w:color="auto"/>
                <w:right w:val="none" w:sz="0" w:space="0" w:color="auto"/>
              </w:divBdr>
            </w:div>
          </w:divsChild>
        </w:div>
        <w:div w:id="1166751398">
          <w:marLeft w:val="0"/>
          <w:marRight w:val="0"/>
          <w:marTop w:val="0"/>
          <w:marBottom w:val="750"/>
          <w:divBdr>
            <w:top w:val="none" w:sz="0" w:space="0" w:color="auto"/>
            <w:left w:val="none" w:sz="0" w:space="0" w:color="auto"/>
            <w:bottom w:val="none" w:sz="0" w:space="0" w:color="auto"/>
            <w:right w:val="none" w:sz="0" w:space="0" w:color="auto"/>
          </w:divBdr>
          <w:divsChild>
            <w:div w:id="1504322764">
              <w:marLeft w:val="-225"/>
              <w:marRight w:val="-225"/>
              <w:marTop w:val="0"/>
              <w:marBottom w:val="0"/>
              <w:divBdr>
                <w:top w:val="none" w:sz="0" w:space="0" w:color="auto"/>
                <w:left w:val="none" w:sz="0" w:space="0" w:color="auto"/>
                <w:bottom w:val="none" w:sz="0" w:space="0" w:color="auto"/>
                <w:right w:val="none" w:sz="0" w:space="0" w:color="auto"/>
              </w:divBdr>
            </w:div>
          </w:divsChild>
        </w:div>
        <w:div w:id="1404644542">
          <w:marLeft w:val="0"/>
          <w:marRight w:val="0"/>
          <w:marTop w:val="0"/>
          <w:marBottom w:val="300"/>
          <w:divBdr>
            <w:top w:val="none" w:sz="0" w:space="0" w:color="auto"/>
            <w:left w:val="none" w:sz="0" w:space="0" w:color="auto"/>
            <w:bottom w:val="none" w:sz="0" w:space="0" w:color="auto"/>
            <w:right w:val="none" w:sz="0" w:space="0" w:color="auto"/>
          </w:divBdr>
          <w:divsChild>
            <w:div w:id="830828100">
              <w:marLeft w:val="-225"/>
              <w:marRight w:val="-225"/>
              <w:marTop w:val="0"/>
              <w:marBottom w:val="0"/>
              <w:divBdr>
                <w:top w:val="none" w:sz="0" w:space="0" w:color="auto"/>
                <w:left w:val="none" w:sz="0" w:space="0" w:color="auto"/>
                <w:bottom w:val="none" w:sz="0" w:space="0" w:color="auto"/>
                <w:right w:val="none" w:sz="0" w:space="0" w:color="auto"/>
              </w:divBdr>
            </w:div>
          </w:divsChild>
        </w:div>
        <w:div w:id="1434858917">
          <w:marLeft w:val="0"/>
          <w:marRight w:val="0"/>
          <w:marTop w:val="0"/>
          <w:marBottom w:val="300"/>
          <w:divBdr>
            <w:top w:val="none" w:sz="0" w:space="0" w:color="auto"/>
            <w:left w:val="none" w:sz="0" w:space="0" w:color="auto"/>
            <w:bottom w:val="none" w:sz="0" w:space="0" w:color="auto"/>
            <w:right w:val="none" w:sz="0" w:space="0" w:color="auto"/>
          </w:divBdr>
          <w:divsChild>
            <w:div w:id="1286545442">
              <w:marLeft w:val="-225"/>
              <w:marRight w:val="-225"/>
              <w:marTop w:val="0"/>
              <w:marBottom w:val="0"/>
              <w:divBdr>
                <w:top w:val="none" w:sz="0" w:space="0" w:color="auto"/>
                <w:left w:val="none" w:sz="0" w:space="0" w:color="auto"/>
                <w:bottom w:val="none" w:sz="0" w:space="0" w:color="auto"/>
                <w:right w:val="none" w:sz="0" w:space="0" w:color="auto"/>
              </w:divBdr>
            </w:div>
          </w:divsChild>
        </w:div>
        <w:div w:id="1472364365">
          <w:marLeft w:val="0"/>
          <w:marRight w:val="0"/>
          <w:marTop w:val="0"/>
          <w:marBottom w:val="750"/>
          <w:divBdr>
            <w:top w:val="none" w:sz="0" w:space="0" w:color="auto"/>
            <w:left w:val="none" w:sz="0" w:space="0" w:color="auto"/>
            <w:bottom w:val="none" w:sz="0" w:space="0" w:color="auto"/>
            <w:right w:val="none" w:sz="0" w:space="0" w:color="auto"/>
          </w:divBdr>
          <w:divsChild>
            <w:div w:id="737750288">
              <w:marLeft w:val="-225"/>
              <w:marRight w:val="-225"/>
              <w:marTop w:val="0"/>
              <w:marBottom w:val="0"/>
              <w:divBdr>
                <w:top w:val="none" w:sz="0" w:space="0" w:color="auto"/>
                <w:left w:val="none" w:sz="0" w:space="0" w:color="auto"/>
                <w:bottom w:val="none" w:sz="0" w:space="0" w:color="auto"/>
                <w:right w:val="none" w:sz="0" w:space="0" w:color="auto"/>
              </w:divBdr>
            </w:div>
          </w:divsChild>
        </w:div>
        <w:div w:id="1548251189">
          <w:marLeft w:val="0"/>
          <w:marRight w:val="0"/>
          <w:marTop w:val="0"/>
          <w:marBottom w:val="300"/>
          <w:divBdr>
            <w:top w:val="none" w:sz="0" w:space="0" w:color="auto"/>
            <w:left w:val="none" w:sz="0" w:space="0" w:color="auto"/>
            <w:bottom w:val="none" w:sz="0" w:space="0" w:color="auto"/>
            <w:right w:val="none" w:sz="0" w:space="0" w:color="auto"/>
          </w:divBdr>
          <w:divsChild>
            <w:div w:id="434710857">
              <w:marLeft w:val="-225"/>
              <w:marRight w:val="-225"/>
              <w:marTop w:val="0"/>
              <w:marBottom w:val="0"/>
              <w:divBdr>
                <w:top w:val="none" w:sz="0" w:space="0" w:color="auto"/>
                <w:left w:val="none" w:sz="0" w:space="0" w:color="auto"/>
                <w:bottom w:val="none" w:sz="0" w:space="0" w:color="auto"/>
                <w:right w:val="none" w:sz="0" w:space="0" w:color="auto"/>
              </w:divBdr>
            </w:div>
          </w:divsChild>
        </w:div>
        <w:div w:id="1576670145">
          <w:marLeft w:val="0"/>
          <w:marRight w:val="0"/>
          <w:marTop w:val="0"/>
          <w:marBottom w:val="300"/>
          <w:divBdr>
            <w:top w:val="none" w:sz="0" w:space="0" w:color="auto"/>
            <w:left w:val="none" w:sz="0" w:space="0" w:color="auto"/>
            <w:bottom w:val="none" w:sz="0" w:space="0" w:color="auto"/>
            <w:right w:val="none" w:sz="0" w:space="0" w:color="auto"/>
          </w:divBdr>
          <w:divsChild>
            <w:div w:id="206379466">
              <w:marLeft w:val="-225"/>
              <w:marRight w:val="-225"/>
              <w:marTop w:val="0"/>
              <w:marBottom w:val="0"/>
              <w:divBdr>
                <w:top w:val="none" w:sz="0" w:space="0" w:color="auto"/>
                <w:left w:val="none" w:sz="0" w:space="0" w:color="auto"/>
                <w:bottom w:val="none" w:sz="0" w:space="0" w:color="auto"/>
                <w:right w:val="none" w:sz="0" w:space="0" w:color="auto"/>
              </w:divBdr>
            </w:div>
          </w:divsChild>
        </w:div>
        <w:div w:id="1788695075">
          <w:marLeft w:val="0"/>
          <w:marRight w:val="0"/>
          <w:marTop w:val="0"/>
          <w:marBottom w:val="750"/>
          <w:divBdr>
            <w:top w:val="none" w:sz="0" w:space="0" w:color="auto"/>
            <w:left w:val="none" w:sz="0" w:space="0" w:color="auto"/>
            <w:bottom w:val="none" w:sz="0" w:space="0" w:color="auto"/>
            <w:right w:val="none" w:sz="0" w:space="0" w:color="auto"/>
          </w:divBdr>
          <w:divsChild>
            <w:div w:id="1036077571">
              <w:marLeft w:val="-225"/>
              <w:marRight w:val="-225"/>
              <w:marTop w:val="0"/>
              <w:marBottom w:val="0"/>
              <w:divBdr>
                <w:top w:val="none" w:sz="0" w:space="0" w:color="auto"/>
                <w:left w:val="none" w:sz="0" w:space="0" w:color="auto"/>
                <w:bottom w:val="none" w:sz="0" w:space="0" w:color="auto"/>
                <w:right w:val="none" w:sz="0" w:space="0" w:color="auto"/>
              </w:divBdr>
            </w:div>
          </w:divsChild>
        </w:div>
        <w:div w:id="1806659137">
          <w:marLeft w:val="0"/>
          <w:marRight w:val="0"/>
          <w:marTop w:val="0"/>
          <w:marBottom w:val="300"/>
          <w:divBdr>
            <w:top w:val="none" w:sz="0" w:space="0" w:color="auto"/>
            <w:left w:val="none" w:sz="0" w:space="0" w:color="auto"/>
            <w:bottom w:val="none" w:sz="0" w:space="0" w:color="auto"/>
            <w:right w:val="none" w:sz="0" w:space="0" w:color="auto"/>
          </w:divBdr>
          <w:divsChild>
            <w:div w:id="1768112729">
              <w:marLeft w:val="-225"/>
              <w:marRight w:val="-225"/>
              <w:marTop w:val="0"/>
              <w:marBottom w:val="0"/>
              <w:divBdr>
                <w:top w:val="none" w:sz="0" w:space="0" w:color="auto"/>
                <w:left w:val="none" w:sz="0" w:space="0" w:color="auto"/>
                <w:bottom w:val="none" w:sz="0" w:space="0" w:color="auto"/>
                <w:right w:val="none" w:sz="0" w:space="0" w:color="auto"/>
              </w:divBdr>
            </w:div>
          </w:divsChild>
        </w:div>
        <w:div w:id="1811167710">
          <w:marLeft w:val="0"/>
          <w:marRight w:val="0"/>
          <w:marTop w:val="0"/>
          <w:marBottom w:val="300"/>
          <w:divBdr>
            <w:top w:val="none" w:sz="0" w:space="0" w:color="auto"/>
            <w:left w:val="none" w:sz="0" w:space="0" w:color="auto"/>
            <w:bottom w:val="none" w:sz="0" w:space="0" w:color="auto"/>
            <w:right w:val="none" w:sz="0" w:space="0" w:color="auto"/>
          </w:divBdr>
          <w:divsChild>
            <w:div w:id="406609702">
              <w:marLeft w:val="-225"/>
              <w:marRight w:val="-225"/>
              <w:marTop w:val="0"/>
              <w:marBottom w:val="0"/>
              <w:divBdr>
                <w:top w:val="none" w:sz="0" w:space="0" w:color="auto"/>
                <w:left w:val="none" w:sz="0" w:space="0" w:color="auto"/>
                <w:bottom w:val="none" w:sz="0" w:space="0" w:color="auto"/>
                <w:right w:val="none" w:sz="0" w:space="0" w:color="auto"/>
              </w:divBdr>
            </w:div>
          </w:divsChild>
        </w:div>
        <w:div w:id="1885823044">
          <w:marLeft w:val="0"/>
          <w:marRight w:val="0"/>
          <w:marTop w:val="0"/>
          <w:marBottom w:val="750"/>
          <w:divBdr>
            <w:top w:val="none" w:sz="0" w:space="0" w:color="auto"/>
            <w:left w:val="none" w:sz="0" w:space="0" w:color="auto"/>
            <w:bottom w:val="none" w:sz="0" w:space="0" w:color="auto"/>
            <w:right w:val="none" w:sz="0" w:space="0" w:color="auto"/>
          </w:divBdr>
          <w:divsChild>
            <w:div w:id="601650053">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366756784">
      <w:bodyDiv w:val="1"/>
      <w:marLeft w:val="0"/>
      <w:marRight w:val="0"/>
      <w:marTop w:val="0"/>
      <w:marBottom w:val="0"/>
      <w:divBdr>
        <w:top w:val="none" w:sz="0" w:space="0" w:color="auto"/>
        <w:left w:val="none" w:sz="0" w:space="0" w:color="auto"/>
        <w:bottom w:val="none" w:sz="0" w:space="0" w:color="auto"/>
        <w:right w:val="none" w:sz="0" w:space="0" w:color="auto"/>
      </w:divBdr>
    </w:div>
    <w:div w:id="395737302">
      <w:bodyDiv w:val="1"/>
      <w:marLeft w:val="0"/>
      <w:marRight w:val="0"/>
      <w:marTop w:val="0"/>
      <w:marBottom w:val="0"/>
      <w:divBdr>
        <w:top w:val="none" w:sz="0" w:space="0" w:color="auto"/>
        <w:left w:val="none" w:sz="0" w:space="0" w:color="auto"/>
        <w:bottom w:val="none" w:sz="0" w:space="0" w:color="auto"/>
        <w:right w:val="none" w:sz="0" w:space="0" w:color="auto"/>
      </w:divBdr>
    </w:div>
    <w:div w:id="427163933">
      <w:bodyDiv w:val="1"/>
      <w:marLeft w:val="0"/>
      <w:marRight w:val="0"/>
      <w:marTop w:val="0"/>
      <w:marBottom w:val="0"/>
      <w:divBdr>
        <w:top w:val="none" w:sz="0" w:space="0" w:color="auto"/>
        <w:left w:val="none" w:sz="0" w:space="0" w:color="auto"/>
        <w:bottom w:val="none" w:sz="0" w:space="0" w:color="auto"/>
        <w:right w:val="none" w:sz="0" w:space="0" w:color="auto"/>
      </w:divBdr>
    </w:div>
    <w:div w:id="431632353">
      <w:bodyDiv w:val="1"/>
      <w:marLeft w:val="0"/>
      <w:marRight w:val="0"/>
      <w:marTop w:val="0"/>
      <w:marBottom w:val="0"/>
      <w:divBdr>
        <w:top w:val="none" w:sz="0" w:space="0" w:color="auto"/>
        <w:left w:val="none" w:sz="0" w:space="0" w:color="auto"/>
        <w:bottom w:val="none" w:sz="0" w:space="0" w:color="auto"/>
        <w:right w:val="none" w:sz="0" w:space="0" w:color="auto"/>
      </w:divBdr>
    </w:div>
    <w:div w:id="445121818">
      <w:bodyDiv w:val="1"/>
      <w:marLeft w:val="0"/>
      <w:marRight w:val="0"/>
      <w:marTop w:val="0"/>
      <w:marBottom w:val="0"/>
      <w:divBdr>
        <w:top w:val="none" w:sz="0" w:space="0" w:color="auto"/>
        <w:left w:val="none" w:sz="0" w:space="0" w:color="auto"/>
        <w:bottom w:val="none" w:sz="0" w:space="0" w:color="auto"/>
        <w:right w:val="none" w:sz="0" w:space="0" w:color="auto"/>
      </w:divBdr>
    </w:div>
    <w:div w:id="506597857">
      <w:bodyDiv w:val="1"/>
      <w:marLeft w:val="0"/>
      <w:marRight w:val="0"/>
      <w:marTop w:val="0"/>
      <w:marBottom w:val="0"/>
      <w:divBdr>
        <w:top w:val="none" w:sz="0" w:space="0" w:color="auto"/>
        <w:left w:val="none" w:sz="0" w:space="0" w:color="auto"/>
        <w:bottom w:val="none" w:sz="0" w:space="0" w:color="auto"/>
        <w:right w:val="none" w:sz="0" w:space="0" w:color="auto"/>
      </w:divBdr>
    </w:div>
    <w:div w:id="557319971">
      <w:bodyDiv w:val="1"/>
      <w:marLeft w:val="0"/>
      <w:marRight w:val="0"/>
      <w:marTop w:val="0"/>
      <w:marBottom w:val="0"/>
      <w:divBdr>
        <w:top w:val="none" w:sz="0" w:space="0" w:color="auto"/>
        <w:left w:val="none" w:sz="0" w:space="0" w:color="auto"/>
        <w:bottom w:val="none" w:sz="0" w:space="0" w:color="auto"/>
        <w:right w:val="none" w:sz="0" w:space="0" w:color="auto"/>
      </w:divBdr>
    </w:div>
    <w:div w:id="611857992">
      <w:bodyDiv w:val="1"/>
      <w:marLeft w:val="0"/>
      <w:marRight w:val="0"/>
      <w:marTop w:val="0"/>
      <w:marBottom w:val="0"/>
      <w:divBdr>
        <w:top w:val="none" w:sz="0" w:space="0" w:color="auto"/>
        <w:left w:val="none" w:sz="0" w:space="0" w:color="auto"/>
        <w:bottom w:val="none" w:sz="0" w:space="0" w:color="auto"/>
        <w:right w:val="none" w:sz="0" w:space="0" w:color="auto"/>
      </w:divBdr>
    </w:div>
    <w:div w:id="683945498">
      <w:bodyDiv w:val="1"/>
      <w:marLeft w:val="0"/>
      <w:marRight w:val="0"/>
      <w:marTop w:val="0"/>
      <w:marBottom w:val="0"/>
      <w:divBdr>
        <w:top w:val="none" w:sz="0" w:space="0" w:color="auto"/>
        <w:left w:val="none" w:sz="0" w:space="0" w:color="auto"/>
        <w:bottom w:val="none" w:sz="0" w:space="0" w:color="auto"/>
        <w:right w:val="none" w:sz="0" w:space="0" w:color="auto"/>
      </w:divBdr>
    </w:div>
    <w:div w:id="725252265">
      <w:bodyDiv w:val="1"/>
      <w:marLeft w:val="0"/>
      <w:marRight w:val="0"/>
      <w:marTop w:val="0"/>
      <w:marBottom w:val="0"/>
      <w:divBdr>
        <w:top w:val="none" w:sz="0" w:space="0" w:color="auto"/>
        <w:left w:val="none" w:sz="0" w:space="0" w:color="auto"/>
        <w:bottom w:val="none" w:sz="0" w:space="0" w:color="auto"/>
        <w:right w:val="none" w:sz="0" w:space="0" w:color="auto"/>
      </w:divBdr>
    </w:div>
    <w:div w:id="725372411">
      <w:bodyDiv w:val="1"/>
      <w:marLeft w:val="0"/>
      <w:marRight w:val="0"/>
      <w:marTop w:val="0"/>
      <w:marBottom w:val="0"/>
      <w:divBdr>
        <w:top w:val="none" w:sz="0" w:space="0" w:color="auto"/>
        <w:left w:val="none" w:sz="0" w:space="0" w:color="auto"/>
        <w:bottom w:val="none" w:sz="0" w:space="0" w:color="auto"/>
        <w:right w:val="none" w:sz="0" w:space="0" w:color="auto"/>
      </w:divBdr>
      <w:divsChild>
        <w:div w:id="527714764">
          <w:marLeft w:val="0"/>
          <w:marRight w:val="0"/>
          <w:marTop w:val="0"/>
          <w:marBottom w:val="0"/>
          <w:divBdr>
            <w:top w:val="none" w:sz="0" w:space="0" w:color="auto"/>
            <w:left w:val="none" w:sz="0" w:space="0" w:color="auto"/>
            <w:bottom w:val="none" w:sz="0" w:space="0" w:color="auto"/>
            <w:right w:val="none" w:sz="0" w:space="0" w:color="auto"/>
          </w:divBdr>
        </w:div>
        <w:div w:id="1070738569">
          <w:marLeft w:val="0"/>
          <w:marRight w:val="0"/>
          <w:marTop w:val="0"/>
          <w:marBottom w:val="0"/>
          <w:divBdr>
            <w:top w:val="none" w:sz="0" w:space="0" w:color="auto"/>
            <w:left w:val="none" w:sz="0" w:space="0" w:color="auto"/>
            <w:bottom w:val="none" w:sz="0" w:space="0" w:color="auto"/>
            <w:right w:val="none" w:sz="0" w:space="0" w:color="auto"/>
          </w:divBdr>
        </w:div>
      </w:divsChild>
    </w:div>
    <w:div w:id="751315764">
      <w:bodyDiv w:val="1"/>
      <w:marLeft w:val="0"/>
      <w:marRight w:val="0"/>
      <w:marTop w:val="0"/>
      <w:marBottom w:val="0"/>
      <w:divBdr>
        <w:top w:val="none" w:sz="0" w:space="0" w:color="auto"/>
        <w:left w:val="none" w:sz="0" w:space="0" w:color="auto"/>
        <w:bottom w:val="none" w:sz="0" w:space="0" w:color="auto"/>
        <w:right w:val="none" w:sz="0" w:space="0" w:color="auto"/>
      </w:divBdr>
    </w:div>
    <w:div w:id="796216459">
      <w:bodyDiv w:val="1"/>
      <w:marLeft w:val="0"/>
      <w:marRight w:val="0"/>
      <w:marTop w:val="0"/>
      <w:marBottom w:val="0"/>
      <w:divBdr>
        <w:top w:val="none" w:sz="0" w:space="0" w:color="auto"/>
        <w:left w:val="none" w:sz="0" w:space="0" w:color="auto"/>
        <w:bottom w:val="none" w:sz="0" w:space="0" w:color="auto"/>
        <w:right w:val="none" w:sz="0" w:space="0" w:color="auto"/>
      </w:divBdr>
      <w:divsChild>
        <w:div w:id="771778989">
          <w:marLeft w:val="0"/>
          <w:marRight w:val="0"/>
          <w:marTop w:val="0"/>
          <w:marBottom w:val="0"/>
          <w:divBdr>
            <w:top w:val="none" w:sz="0" w:space="0" w:color="auto"/>
            <w:left w:val="none" w:sz="0" w:space="0" w:color="auto"/>
            <w:bottom w:val="none" w:sz="0" w:space="0" w:color="auto"/>
            <w:right w:val="none" w:sz="0" w:space="0" w:color="auto"/>
          </w:divBdr>
        </w:div>
      </w:divsChild>
    </w:div>
    <w:div w:id="826088571">
      <w:bodyDiv w:val="1"/>
      <w:marLeft w:val="0"/>
      <w:marRight w:val="0"/>
      <w:marTop w:val="0"/>
      <w:marBottom w:val="0"/>
      <w:divBdr>
        <w:top w:val="none" w:sz="0" w:space="0" w:color="auto"/>
        <w:left w:val="none" w:sz="0" w:space="0" w:color="auto"/>
        <w:bottom w:val="none" w:sz="0" w:space="0" w:color="auto"/>
        <w:right w:val="none" w:sz="0" w:space="0" w:color="auto"/>
      </w:divBdr>
    </w:div>
    <w:div w:id="868176975">
      <w:bodyDiv w:val="1"/>
      <w:marLeft w:val="0"/>
      <w:marRight w:val="0"/>
      <w:marTop w:val="0"/>
      <w:marBottom w:val="0"/>
      <w:divBdr>
        <w:top w:val="none" w:sz="0" w:space="0" w:color="auto"/>
        <w:left w:val="none" w:sz="0" w:space="0" w:color="auto"/>
        <w:bottom w:val="none" w:sz="0" w:space="0" w:color="auto"/>
        <w:right w:val="none" w:sz="0" w:space="0" w:color="auto"/>
      </w:divBdr>
    </w:div>
    <w:div w:id="894966858">
      <w:bodyDiv w:val="1"/>
      <w:marLeft w:val="0"/>
      <w:marRight w:val="0"/>
      <w:marTop w:val="0"/>
      <w:marBottom w:val="0"/>
      <w:divBdr>
        <w:top w:val="none" w:sz="0" w:space="0" w:color="auto"/>
        <w:left w:val="none" w:sz="0" w:space="0" w:color="auto"/>
        <w:bottom w:val="none" w:sz="0" w:space="0" w:color="auto"/>
        <w:right w:val="none" w:sz="0" w:space="0" w:color="auto"/>
      </w:divBdr>
    </w:div>
    <w:div w:id="932472463">
      <w:bodyDiv w:val="1"/>
      <w:marLeft w:val="0"/>
      <w:marRight w:val="0"/>
      <w:marTop w:val="0"/>
      <w:marBottom w:val="0"/>
      <w:divBdr>
        <w:top w:val="none" w:sz="0" w:space="0" w:color="auto"/>
        <w:left w:val="none" w:sz="0" w:space="0" w:color="auto"/>
        <w:bottom w:val="none" w:sz="0" w:space="0" w:color="auto"/>
        <w:right w:val="none" w:sz="0" w:space="0" w:color="auto"/>
      </w:divBdr>
    </w:div>
    <w:div w:id="959843918">
      <w:bodyDiv w:val="1"/>
      <w:marLeft w:val="0"/>
      <w:marRight w:val="0"/>
      <w:marTop w:val="0"/>
      <w:marBottom w:val="0"/>
      <w:divBdr>
        <w:top w:val="none" w:sz="0" w:space="0" w:color="auto"/>
        <w:left w:val="none" w:sz="0" w:space="0" w:color="auto"/>
        <w:bottom w:val="none" w:sz="0" w:space="0" w:color="auto"/>
        <w:right w:val="none" w:sz="0" w:space="0" w:color="auto"/>
      </w:divBdr>
    </w:div>
    <w:div w:id="976034176">
      <w:bodyDiv w:val="1"/>
      <w:marLeft w:val="0"/>
      <w:marRight w:val="0"/>
      <w:marTop w:val="0"/>
      <w:marBottom w:val="0"/>
      <w:divBdr>
        <w:top w:val="none" w:sz="0" w:space="0" w:color="auto"/>
        <w:left w:val="none" w:sz="0" w:space="0" w:color="auto"/>
        <w:bottom w:val="none" w:sz="0" w:space="0" w:color="auto"/>
        <w:right w:val="none" w:sz="0" w:space="0" w:color="auto"/>
      </w:divBdr>
    </w:div>
    <w:div w:id="992485020">
      <w:bodyDiv w:val="1"/>
      <w:marLeft w:val="0"/>
      <w:marRight w:val="0"/>
      <w:marTop w:val="0"/>
      <w:marBottom w:val="0"/>
      <w:divBdr>
        <w:top w:val="none" w:sz="0" w:space="0" w:color="auto"/>
        <w:left w:val="none" w:sz="0" w:space="0" w:color="auto"/>
        <w:bottom w:val="none" w:sz="0" w:space="0" w:color="auto"/>
        <w:right w:val="none" w:sz="0" w:space="0" w:color="auto"/>
      </w:divBdr>
    </w:div>
    <w:div w:id="1036664384">
      <w:bodyDiv w:val="1"/>
      <w:marLeft w:val="0"/>
      <w:marRight w:val="0"/>
      <w:marTop w:val="0"/>
      <w:marBottom w:val="0"/>
      <w:divBdr>
        <w:top w:val="none" w:sz="0" w:space="0" w:color="auto"/>
        <w:left w:val="none" w:sz="0" w:space="0" w:color="auto"/>
        <w:bottom w:val="none" w:sz="0" w:space="0" w:color="auto"/>
        <w:right w:val="none" w:sz="0" w:space="0" w:color="auto"/>
      </w:divBdr>
    </w:div>
    <w:div w:id="1042440296">
      <w:bodyDiv w:val="1"/>
      <w:marLeft w:val="0"/>
      <w:marRight w:val="0"/>
      <w:marTop w:val="0"/>
      <w:marBottom w:val="0"/>
      <w:divBdr>
        <w:top w:val="none" w:sz="0" w:space="0" w:color="auto"/>
        <w:left w:val="none" w:sz="0" w:space="0" w:color="auto"/>
        <w:bottom w:val="none" w:sz="0" w:space="0" w:color="auto"/>
        <w:right w:val="none" w:sz="0" w:space="0" w:color="auto"/>
      </w:divBdr>
    </w:div>
    <w:div w:id="1044519558">
      <w:bodyDiv w:val="1"/>
      <w:marLeft w:val="0"/>
      <w:marRight w:val="0"/>
      <w:marTop w:val="0"/>
      <w:marBottom w:val="0"/>
      <w:divBdr>
        <w:top w:val="none" w:sz="0" w:space="0" w:color="auto"/>
        <w:left w:val="none" w:sz="0" w:space="0" w:color="auto"/>
        <w:bottom w:val="none" w:sz="0" w:space="0" w:color="auto"/>
        <w:right w:val="none" w:sz="0" w:space="0" w:color="auto"/>
      </w:divBdr>
      <w:divsChild>
        <w:div w:id="224024363">
          <w:marLeft w:val="0"/>
          <w:marRight w:val="0"/>
          <w:marTop w:val="0"/>
          <w:marBottom w:val="0"/>
          <w:divBdr>
            <w:top w:val="none" w:sz="0" w:space="0" w:color="auto"/>
            <w:left w:val="none" w:sz="0" w:space="0" w:color="auto"/>
            <w:bottom w:val="none" w:sz="0" w:space="0" w:color="auto"/>
            <w:right w:val="none" w:sz="0" w:space="0" w:color="auto"/>
          </w:divBdr>
        </w:div>
        <w:div w:id="661392018">
          <w:marLeft w:val="0"/>
          <w:marRight w:val="0"/>
          <w:marTop w:val="0"/>
          <w:marBottom w:val="0"/>
          <w:divBdr>
            <w:top w:val="none" w:sz="0" w:space="0" w:color="auto"/>
            <w:left w:val="none" w:sz="0" w:space="0" w:color="auto"/>
            <w:bottom w:val="none" w:sz="0" w:space="0" w:color="auto"/>
            <w:right w:val="none" w:sz="0" w:space="0" w:color="auto"/>
          </w:divBdr>
        </w:div>
        <w:div w:id="739056251">
          <w:marLeft w:val="0"/>
          <w:marRight w:val="0"/>
          <w:marTop w:val="0"/>
          <w:marBottom w:val="0"/>
          <w:divBdr>
            <w:top w:val="none" w:sz="0" w:space="0" w:color="auto"/>
            <w:left w:val="none" w:sz="0" w:space="0" w:color="auto"/>
            <w:bottom w:val="none" w:sz="0" w:space="0" w:color="auto"/>
            <w:right w:val="none" w:sz="0" w:space="0" w:color="auto"/>
          </w:divBdr>
        </w:div>
        <w:div w:id="785852960">
          <w:marLeft w:val="0"/>
          <w:marRight w:val="0"/>
          <w:marTop w:val="0"/>
          <w:marBottom w:val="0"/>
          <w:divBdr>
            <w:top w:val="none" w:sz="0" w:space="0" w:color="auto"/>
            <w:left w:val="none" w:sz="0" w:space="0" w:color="auto"/>
            <w:bottom w:val="none" w:sz="0" w:space="0" w:color="auto"/>
            <w:right w:val="none" w:sz="0" w:space="0" w:color="auto"/>
          </w:divBdr>
        </w:div>
        <w:div w:id="1016424133">
          <w:marLeft w:val="0"/>
          <w:marRight w:val="0"/>
          <w:marTop w:val="0"/>
          <w:marBottom w:val="0"/>
          <w:divBdr>
            <w:top w:val="none" w:sz="0" w:space="0" w:color="auto"/>
            <w:left w:val="none" w:sz="0" w:space="0" w:color="auto"/>
            <w:bottom w:val="none" w:sz="0" w:space="0" w:color="auto"/>
            <w:right w:val="none" w:sz="0" w:space="0" w:color="auto"/>
          </w:divBdr>
        </w:div>
        <w:div w:id="1074624715">
          <w:marLeft w:val="0"/>
          <w:marRight w:val="0"/>
          <w:marTop w:val="0"/>
          <w:marBottom w:val="0"/>
          <w:divBdr>
            <w:top w:val="none" w:sz="0" w:space="0" w:color="auto"/>
            <w:left w:val="none" w:sz="0" w:space="0" w:color="auto"/>
            <w:bottom w:val="none" w:sz="0" w:space="0" w:color="auto"/>
            <w:right w:val="none" w:sz="0" w:space="0" w:color="auto"/>
          </w:divBdr>
        </w:div>
        <w:div w:id="1466434732">
          <w:marLeft w:val="0"/>
          <w:marRight w:val="0"/>
          <w:marTop w:val="0"/>
          <w:marBottom w:val="0"/>
          <w:divBdr>
            <w:top w:val="none" w:sz="0" w:space="0" w:color="auto"/>
            <w:left w:val="none" w:sz="0" w:space="0" w:color="auto"/>
            <w:bottom w:val="none" w:sz="0" w:space="0" w:color="auto"/>
            <w:right w:val="none" w:sz="0" w:space="0" w:color="auto"/>
          </w:divBdr>
        </w:div>
        <w:div w:id="1742293886">
          <w:marLeft w:val="0"/>
          <w:marRight w:val="0"/>
          <w:marTop w:val="0"/>
          <w:marBottom w:val="0"/>
          <w:divBdr>
            <w:top w:val="none" w:sz="0" w:space="0" w:color="auto"/>
            <w:left w:val="none" w:sz="0" w:space="0" w:color="auto"/>
            <w:bottom w:val="none" w:sz="0" w:space="0" w:color="auto"/>
            <w:right w:val="none" w:sz="0" w:space="0" w:color="auto"/>
          </w:divBdr>
        </w:div>
        <w:div w:id="1761414211">
          <w:marLeft w:val="0"/>
          <w:marRight w:val="0"/>
          <w:marTop w:val="0"/>
          <w:marBottom w:val="0"/>
          <w:divBdr>
            <w:top w:val="none" w:sz="0" w:space="0" w:color="auto"/>
            <w:left w:val="none" w:sz="0" w:space="0" w:color="auto"/>
            <w:bottom w:val="none" w:sz="0" w:space="0" w:color="auto"/>
            <w:right w:val="none" w:sz="0" w:space="0" w:color="auto"/>
          </w:divBdr>
        </w:div>
        <w:div w:id="1995721479">
          <w:marLeft w:val="0"/>
          <w:marRight w:val="0"/>
          <w:marTop w:val="0"/>
          <w:marBottom w:val="0"/>
          <w:divBdr>
            <w:top w:val="none" w:sz="0" w:space="0" w:color="auto"/>
            <w:left w:val="none" w:sz="0" w:space="0" w:color="auto"/>
            <w:bottom w:val="none" w:sz="0" w:space="0" w:color="auto"/>
            <w:right w:val="none" w:sz="0" w:space="0" w:color="auto"/>
          </w:divBdr>
        </w:div>
        <w:div w:id="2141027816">
          <w:marLeft w:val="0"/>
          <w:marRight w:val="0"/>
          <w:marTop w:val="0"/>
          <w:marBottom w:val="0"/>
          <w:divBdr>
            <w:top w:val="none" w:sz="0" w:space="0" w:color="auto"/>
            <w:left w:val="none" w:sz="0" w:space="0" w:color="auto"/>
            <w:bottom w:val="none" w:sz="0" w:space="0" w:color="auto"/>
            <w:right w:val="none" w:sz="0" w:space="0" w:color="auto"/>
          </w:divBdr>
        </w:div>
      </w:divsChild>
    </w:div>
    <w:div w:id="1067458700">
      <w:bodyDiv w:val="1"/>
      <w:marLeft w:val="0"/>
      <w:marRight w:val="0"/>
      <w:marTop w:val="0"/>
      <w:marBottom w:val="0"/>
      <w:divBdr>
        <w:top w:val="none" w:sz="0" w:space="0" w:color="auto"/>
        <w:left w:val="none" w:sz="0" w:space="0" w:color="auto"/>
        <w:bottom w:val="none" w:sz="0" w:space="0" w:color="auto"/>
        <w:right w:val="none" w:sz="0" w:space="0" w:color="auto"/>
      </w:divBdr>
    </w:div>
    <w:div w:id="1103960603">
      <w:bodyDiv w:val="1"/>
      <w:marLeft w:val="0"/>
      <w:marRight w:val="0"/>
      <w:marTop w:val="0"/>
      <w:marBottom w:val="0"/>
      <w:divBdr>
        <w:top w:val="none" w:sz="0" w:space="0" w:color="auto"/>
        <w:left w:val="none" w:sz="0" w:space="0" w:color="auto"/>
        <w:bottom w:val="none" w:sz="0" w:space="0" w:color="auto"/>
        <w:right w:val="none" w:sz="0" w:space="0" w:color="auto"/>
      </w:divBdr>
    </w:div>
    <w:div w:id="1133214120">
      <w:bodyDiv w:val="1"/>
      <w:marLeft w:val="0"/>
      <w:marRight w:val="0"/>
      <w:marTop w:val="0"/>
      <w:marBottom w:val="0"/>
      <w:divBdr>
        <w:top w:val="none" w:sz="0" w:space="0" w:color="auto"/>
        <w:left w:val="none" w:sz="0" w:space="0" w:color="auto"/>
        <w:bottom w:val="none" w:sz="0" w:space="0" w:color="auto"/>
        <w:right w:val="none" w:sz="0" w:space="0" w:color="auto"/>
      </w:divBdr>
    </w:div>
    <w:div w:id="1151141261">
      <w:bodyDiv w:val="1"/>
      <w:marLeft w:val="0"/>
      <w:marRight w:val="0"/>
      <w:marTop w:val="0"/>
      <w:marBottom w:val="0"/>
      <w:divBdr>
        <w:top w:val="none" w:sz="0" w:space="0" w:color="auto"/>
        <w:left w:val="none" w:sz="0" w:space="0" w:color="auto"/>
        <w:bottom w:val="none" w:sz="0" w:space="0" w:color="auto"/>
        <w:right w:val="none" w:sz="0" w:space="0" w:color="auto"/>
      </w:divBdr>
    </w:div>
    <w:div w:id="1153179863">
      <w:bodyDiv w:val="1"/>
      <w:marLeft w:val="0"/>
      <w:marRight w:val="0"/>
      <w:marTop w:val="0"/>
      <w:marBottom w:val="0"/>
      <w:divBdr>
        <w:top w:val="none" w:sz="0" w:space="0" w:color="auto"/>
        <w:left w:val="none" w:sz="0" w:space="0" w:color="auto"/>
        <w:bottom w:val="none" w:sz="0" w:space="0" w:color="auto"/>
        <w:right w:val="none" w:sz="0" w:space="0" w:color="auto"/>
      </w:divBdr>
    </w:div>
    <w:div w:id="1174763628">
      <w:bodyDiv w:val="1"/>
      <w:marLeft w:val="0"/>
      <w:marRight w:val="0"/>
      <w:marTop w:val="0"/>
      <w:marBottom w:val="0"/>
      <w:divBdr>
        <w:top w:val="none" w:sz="0" w:space="0" w:color="auto"/>
        <w:left w:val="none" w:sz="0" w:space="0" w:color="auto"/>
        <w:bottom w:val="none" w:sz="0" w:space="0" w:color="auto"/>
        <w:right w:val="none" w:sz="0" w:space="0" w:color="auto"/>
      </w:divBdr>
    </w:div>
    <w:div w:id="1184634361">
      <w:bodyDiv w:val="1"/>
      <w:marLeft w:val="0"/>
      <w:marRight w:val="0"/>
      <w:marTop w:val="0"/>
      <w:marBottom w:val="0"/>
      <w:divBdr>
        <w:top w:val="none" w:sz="0" w:space="0" w:color="auto"/>
        <w:left w:val="none" w:sz="0" w:space="0" w:color="auto"/>
        <w:bottom w:val="none" w:sz="0" w:space="0" w:color="auto"/>
        <w:right w:val="none" w:sz="0" w:space="0" w:color="auto"/>
      </w:divBdr>
    </w:div>
    <w:div w:id="1189682336">
      <w:bodyDiv w:val="1"/>
      <w:marLeft w:val="0"/>
      <w:marRight w:val="0"/>
      <w:marTop w:val="0"/>
      <w:marBottom w:val="0"/>
      <w:divBdr>
        <w:top w:val="none" w:sz="0" w:space="0" w:color="auto"/>
        <w:left w:val="none" w:sz="0" w:space="0" w:color="auto"/>
        <w:bottom w:val="none" w:sz="0" w:space="0" w:color="auto"/>
        <w:right w:val="none" w:sz="0" w:space="0" w:color="auto"/>
      </w:divBdr>
      <w:divsChild>
        <w:div w:id="611280932">
          <w:marLeft w:val="240"/>
          <w:marRight w:val="0"/>
          <w:marTop w:val="120"/>
          <w:marBottom w:val="120"/>
          <w:divBdr>
            <w:top w:val="none" w:sz="0" w:space="0" w:color="auto"/>
            <w:left w:val="none" w:sz="0" w:space="0" w:color="auto"/>
            <w:bottom w:val="none" w:sz="0" w:space="0" w:color="auto"/>
            <w:right w:val="none" w:sz="0" w:space="0" w:color="auto"/>
          </w:divBdr>
          <w:divsChild>
            <w:div w:id="1652829078">
              <w:marLeft w:val="240"/>
              <w:marRight w:val="0"/>
              <w:marTop w:val="120"/>
              <w:marBottom w:val="120"/>
              <w:divBdr>
                <w:top w:val="none" w:sz="0" w:space="0" w:color="auto"/>
                <w:left w:val="none" w:sz="0" w:space="0" w:color="auto"/>
                <w:bottom w:val="none" w:sz="0" w:space="0" w:color="auto"/>
                <w:right w:val="none" w:sz="0" w:space="0" w:color="auto"/>
              </w:divBdr>
              <w:divsChild>
                <w:div w:id="104349279">
                  <w:marLeft w:val="240"/>
                  <w:marRight w:val="0"/>
                  <w:marTop w:val="120"/>
                  <w:marBottom w:val="120"/>
                  <w:divBdr>
                    <w:top w:val="none" w:sz="0" w:space="0" w:color="auto"/>
                    <w:left w:val="none" w:sz="0" w:space="0" w:color="auto"/>
                    <w:bottom w:val="none" w:sz="0" w:space="0" w:color="auto"/>
                    <w:right w:val="none" w:sz="0" w:space="0" w:color="auto"/>
                  </w:divBdr>
                </w:div>
                <w:div w:id="197817991">
                  <w:marLeft w:val="240"/>
                  <w:marRight w:val="0"/>
                  <w:marTop w:val="120"/>
                  <w:marBottom w:val="120"/>
                  <w:divBdr>
                    <w:top w:val="none" w:sz="0" w:space="0" w:color="auto"/>
                    <w:left w:val="none" w:sz="0" w:space="0" w:color="auto"/>
                    <w:bottom w:val="none" w:sz="0" w:space="0" w:color="auto"/>
                    <w:right w:val="none" w:sz="0" w:space="0" w:color="auto"/>
                  </w:divBdr>
                </w:div>
                <w:div w:id="124776594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627128582">
          <w:marLeft w:val="240"/>
          <w:marRight w:val="0"/>
          <w:marTop w:val="120"/>
          <w:marBottom w:val="120"/>
          <w:divBdr>
            <w:top w:val="none" w:sz="0" w:space="0" w:color="auto"/>
            <w:left w:val="none" w:sz="0" w:space="0" w:color="auto"/>
            <w:bottom w:val="none" w:sz="0" w:space="0" w:color="auto"/>
            <w:right w:val="none" w:sz="0" w:space="0" w:color="auto"/>
          </w:divBdr>
          <w:divsChild>
            <w:div w:id="88087118">
              <w:marLeft w:val="240"/>
              <w:marRight w:val="0"/>
              <w:marTop w:val="120"/>
              <w:marBottom w:val="120"/>
              <w:divBdr>
                <w:top w:val="none" w:sz="0" w:space="0" w:color="auto"/>
                <w:left w:val="none" w:sz="0" w:space="0" w:color="auto"/>
                <w:bottom w:val="none" w:sz="0" w:space="0" w:color="auto"/>
                <w:right w:val="none" w:sz="0" w:space="0" w:color="auto"/>
              </w:divBdr>
              <w:divsChild>
                <w:div w:id="237175773">
                  <w:marLeft w:val="240"/>
                  <w:marRight w:val="0"/>
                  <w:marTop w:val="120"/>
                  <w:marBottom w:val="120"/>
                  <w:divBdr>
                    <w:top w:val="none" w:sz="0" w:space="0" w:color="auto"/>
                    <w:left w:val="none" w:sz="0" w:space="0" w:color="auto"/>
                    <w:bottom w:val="none" w:sz="0" w:space="0" w:color="auto"/>
                    <w:right w:val="none" w:sz="0" w:space="0" w:color="auto"/>
                  </w:divBdr>
                </w:div>
                <w:div w:id="856237053">
                  <w:marLeft w:val="240"/>
                  <w:marRight w:val="0"/>
                  <w:marTop w:val="120"/>
                  <w:marBottom w:val="120"/>
                  <w:divBdr>
                    <w:top w:val="none" w:sz="0" w:space="0" w:color="auto"/>
                    <w:left w:val="none" w:sz="0" w:space="0" w:color="auto"/>
                    <w:bottom w:val="none" w:sz="0" w:space="0" w:color="auto"/>
                    <w:right w:val="none" w:sz="0" w:space="0" w:color="auto"/>
                  </w:divBdr>
                </w:div>
                <w:div w:id="989217246">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736510861">
          <w:marLeft w:val="240"/>
          <w:marRight w:val="0"/>
          <w:marTop w:val="120"/>
          <w:marBottom w:val="120"/>
          <w:divBdr>
            <w:top w:val="none" w:sz="0" w:space="0" w:color="auto"/>
            <w:left w:val="none" w:sz="0" w:space="0" w:color="auto"/>
            <w:bottom w:val="none" w:sz="0" w:space="0" w:color="auto"/>
            <w:right w:val="none" w:sz="0" w:space="0" w:color="auto"/>
          </w:divBdr>
          <w:divsChild>
            <w:div w:id="152263390">
              <w:marLeft w:val="240"/>
              <w:marRight w:val="0"/>
              <w:marTop w:val="120"/>
              <w:marBottom w:val="120"/>
              <w:divBdr>
                <w:top w:val="none" w:sz="0" w:space="0" w:color="auto"/>
                <w:left w:val="none" w:sz="0" w:space="0" w:color="auto"/>
                <w:bottom w:val="none" w:sz="0" w:space="0" w:color="auto"/>
                <w:right w:val="none" w:sz="0" w:space="0" w:color="auto"/>
              </w:divBdr>
              <w:divsChild>
                <w:div w:id="1049231606">
                  <w:marLeft w:val="240"/>
                  <w:marRight w:val="0"/>
                  <w:marTop w:val="120"/>
                  <w:marBottom w:val="120"/>
                  <w:divBdr>
                    <w:top w:val="none" w:sz="0" w:space="0" w:color="auto"/>
                    <w:left w:val="none" w:sz="0" w:space="0" w:color="auto"/>
                    <w:bottom w:val="none" w:sz="0" w:space="0" w:color="auto"/>
                    <w:right w:val="none" w:sz="0" w:space="0" w:color="auto"/>
                  </w:divBdr>
                </w:div>
                <w:div w:id="1504279057">
                  <w:marLeft w:val="240"/>
                  <w:marRight w:val="0"/>
                  <w:marTop w:val="120"/>
                  <w:marBottom w:val="120"/>
                  <w:divBdr>
                    <w:top w:val="none" w:sz="0" w:space="0" w:color="auto"/>
                    <w:left w:val="none" w:sz="0" w:space="0" w:color="auto"/>
                    <w:bottom w:val="none" w:sz="0" w:space="0" w:color="auto"/>
                    <w:right w:val="none" w:sz="0" w:space="0" w:color="auto"/>
                  </w:divBdr>
                </w:div>
                <w:div w:id="1572152241">
                  <w:marLeft w:val="240"/>
                  <w:marRight w:val="0"/>
                  <w:marTop w:val="120"/>
                  <w:marBottom w:val="120"/>
                  <w:divBdr>
                    <w:top w:val="none" w:sz="0" w:space="0" w:color="auto"/>
                    <w:left w:val="none" w:sz="0" w:space="0" w:color="auto"/>
                    <w:bottom w:val="none" w:sz="0" w:space="0" w:color="auto"/>
                    <w:right w:val="none" w:sz="0" w:space="0" w:color="auto"/>
                  </w:divBdr>
                </w:div>
                <w:div w:id="208012737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826429025">
          <w:marLeft w:val="240"/>
          <w:marRight w:val="0"/>
          <w:marTop w:val="120"/>
          <w:marBottom w:val="120"/>
          <w:divBdr>
            <w:top w:val="none" w:sz="0" w:space="0" w:color="auto"/>
            <w:left w:val="none" w:sz="0" w:space="0" w:color="auto"/>
            <w:bottom w:val="none" w:sz="0" w:space="0" w:color="auto"/>
            <w:right w:val="none" w:sz="0" w:space="0" w:color="auto"/>
          </w:divBdr>
          <w:divsChild>
            <w:div w:id="1082220670">
              <w:marLeft w:val="240"/>
              <w:marRight w:val="0"/>
              <w:marTop w:val="120"/>
              <w:marBottom w:val="120"/>
              <w:divBdr>
                <w:top w:val="none" w:sz="0" w:space="0" w:color="auto"/>
                <w:left w:val="none" w:sz="0" w:space="0" w:color="auto"/>
                <w:bottom w:val="none" w:sz="0" w:space="0" w:color="auto"/>
                <w:right w:val="none" w:sz="0" w:space="0" w:color="auto"/>
              </w:divBdr>
              <w:divsChild>
                <w:div w:id="241573405">
                  <w:marLeft w:val="240"/>
                  <w:marRight w:val="0"/>
                  <w:marTop w:val="120"/>
                  <w:marBottom w:val="120"/>
                  <w:divBdr>
                    <w:top w:val="none" w:sz="0" w:space="0" w:color="auto"/>
                    <w:left w:val="none" w:sz="0" w:space="0" w:color="auto"/>
                    <w:bottom w:val="none" w:sz="0" w:space="0" w:color="auto"/>
                    <w:right w:val="none" w:sz="0" w:space="0" w:color="auto"/>
                  </w:divBdr>
                </w:div>
                <w:div w:id="361981976">
                  <w:marLeft w:val="240"/>
                  <w:marRight w:val="0"/>
                  <w:marTop w:val="120"/>
                  <w:marBottom w:val="120"/>
                  <w:divBdr>
                    <w:top w:val="none" w:sz="0" w:space="0" w:color="auto"/>
                    <w:left w:val="none" w:sz="0" w:space="0" w:color="auto"/>
                    <w:bottom w:val="none" w:sz="0" w:space="0" w:color="auto"/>
                    <w:right w:val="none" w:sz="0" w:space="0" w:color="auto"/>
                  </w:divBdr>
                </w:div>
                <w:div w:id="923494017">
                  <w:marLeft w:val="240"/>
                  <w:marRight w:val="0"/>
                  <w:marTop w:val="120"/>
                  <w:marBottom w:val="120"/>
                  <w:divBdr>
                    <w:top w:val="none" w:sz="0" w:space="0" w:color="auto"/>
                    <w:left w:val="none" w:sz="0" w:space="0" w:color="auto"/>
                    <w:bottom w:val="none" w:sz="0" w:space="0" w:color="auto"/>
                    <w:right w:val="none" w:sz="0" w:space="0" w:color="auto"/>
                  </w:divBdr>
                </w:div>
                <w:div w:id="129853396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937014681">
          <w:marLeft w:val="240"/>
          <w:marRight w:val="0"/>
          <w:marTop w:val="120"/>
          <w:marBottom w:val="120"/>
          <w:divBdr>
            <w:top w:val="none" w:sz="0" w:space="0" w:color="auto"/>
            <w:left w:val="none" w:sz="0" w:space="0" w:color="auto"/>
            <w:bottom w:val="none" w:sz="0" w:space="0" w:color="auto"/>
            <w:right w:val="none" w:sz="0" w:space="0" w:color="auto"/>
          </w:divBdr>
          <w:divsChild>
            <w:div w:id="1048917966">
              <w:marLeft w:val="240"/>
              <w:marRight w:val="0"/>
              <w:marTop w:val="120"/>
              <w:marBottom w:val="120"/>
              <w:divBdr>
                <w:top w:val="none" w:sz="0" w:space="0" w:color="auto"/>
                <w:left w:val="none" w:sz="0" w:space="0" w:color="auto"/>
                <w:bottom w:val="none" w:sz="0" w:space="0" w:color="auto"/>
                <w:right w:val="none" w:sz="0" w:space="0" w:color="auto"/>
              </w:divBdr>
              <w:divsChild>
                <w:div w:id="250553829">
                  <w:marLeft w:val="240"/>
                  <w:marRight w:val="0"/>
                  <w:marTop w:val="120"/>
                  <w:marBottom w:val="120"/>
                  <w:divBdr>
                    <w:top w:val="none" w:sz="0" w:space="0" w:color="auto"/>
                    <w:left w:val="none" w:sz="0" w:space="0" w:color="auto"/>
                    <w:bottom w:val="none" w:sz="0" w:space="0" w:color="auto"/>
                    <w:right w:val="none" w:sz="0" w:space="0" w:color="auto"/>
                  </w:divBdr>
                </w:div>
                <w:div w:id="731123853">
                  <w:marLeft w:val="240"/>
                  <w:marRight w:val="0"/>
                  <w:marTop w:val="120"/>
                  <w:marBottom w:val="120"/>
                  <w:divBdr>
                    <w:top w:val="none" w:sz="0" w:space="0" w:color="auto"/>
                    <w:left w:val="none" w:sz="0" w:space="0" w:color="auto"/>
                    <w:bottom w:val="none" w:sz="0" w:space="0" w:color="auto"/>
                    <w:right w:val="none" w:sz="0" w:space="0" w:color="auto"/>
                  </w:divBdr>
                </w:div>
                <w:div w:id="146099812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sChild>
    </w:div>
    <w:div w:id="1202786449">
      <w:bodyDiv w:val="1"/>
      <w:marLeft w:val="0"/>
      <w:marRight w:val="0"/>
      <w:marTop w:val="0"/>
      <w:marBottom w:val="0"/>
      <w:divBdr>
        <w:top w:val="none" w:sz="0" w:space="0" w:color="auto"/>
        <w:left w:val="none" w:sz="0" w:space="0" w:color="auto"/>
        <w:bottom w:val="none" w:sz="0" w:space="0" w:color="auto"/>
        <w:right w:val="none" w:sz="0" w:space="0" w:color="auto"/>
      </w:divBdr>
    </w:div>
    <w:div w:id="1225797426">
      <w:bodyDiv w:val="1"/>
      <w:marLeft w:val="0"/>
      <w:marRight w:val="0"/>
      <w:marTop w:val="0"/>
      <w:marBottom w:val="0"/>
      <w:divBdr>
        <w:top w:val="none" w:sz="0" w:space="0" w:color="auto"/>
        <w:left w:val="none" w:sz="0" w:space="0" w:color="auto"/>
        <w:bottom w:val="none" w:sz="0" w:space="0" w:color="auto"/>
        <w:right w:val="none" w:sz="0" w:space="0" w:color="auto"/>
      </w:divBdr>
    </w:div>
    <w:div w:id="1286500328">
      <w:bodyDiv w:val="1"/>
      <w:marLeft w:val="0"/>
      <w:marRight w:val="0"/>
      <w:marTop w:val="0"/>
      <w:marBottom w:val="0"/>
      <w:divBdr>
        <w:top w:val="none" w:sz="0" w:space="0" w:color="auto"/>
        <w:left w:val="none" w:sz="0" w:space="0" w:color="auto"/>
        <w:bottom w:val="none" w:sz="0" w:space="0" w:color="auto"/>
        <w:right w:val="none" w:sz="0" w:space="0" w:color="auto"/>
      </w:divBdr>
    </w:div>
    <w:div w:id="1290281861">
      <w:bodyDiv w:val="1"/>
      <w:marLeft w:val="0"/>
      <w:marRight w:val="0"/>
      <w:marTop w:val="0"/>
      <w:marBottom w:val="0"/>
      <w:divBdr>
        <w:top w:val="none" w:sz="0" w:space="0" w:color="auto"/>
        <w:left w:val="none" w:sz="0" w:space="0" w:color="auto"/>
        <w:bottom w:val="none" w:sz="0" w:space="0" w:color="auto"/>
        <w:right w:val="none" w:sz="0" w:space="0" w:color="auto"/>
      </w:divBdr>
      <w:divsChild>
        <w:div w:id="1023365988">
          <w:marLeft w:val="0"/>
          <w:marRight w:val="0"/>
          <w:marTop w:val="0"/>
          <w:marBottom w:val="0"/>
          <w:divBdr>
            <w:top w:val="none" w:sz="0" w:space="0" w:color="auto"/>
            <w:left w:val="none" w:sz="0" w:space="0" w:color="auto"/>
            <w:bottom w:val="none" w:sz="0" w:space="0" w:color="auto"/>
            <w:right w:val="none" w:sz="0" w:space="0" w:color="auto"/>
          </w:divBdr>
        </w:div>
        <w:div w:id="135603454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75440952">
      <w:bodyDiv w:val="1"/>
      <w:marLeft w:val="0"/>
      <w:marRight w:val="0"/>
      <w:marTop w:val="0"/>
      <w:marBottom w:val="0"/>
      <w:divBdr>
        <w:top w:val="none" w:sz="0" w:space="0" w:color="auto"/>
        <w:left w:val="none" w:sz="0" w:space="0" w:color="auto"/>
        <w:bottom w:val="none" w:sz="0" w:space="0" w:color="auto"/>
        <w:right w:val="none" w:sz="0" w:space="0" w:color="auto"/>
      </w:divBdr>
    </w:div>
    <w:div w:id="1501307001">
      <w:bodyDiv w:val="1"/>
      <w:marLeft w:val="0"/>
      <w:marRight w:val="0"/>
      <w:marTop w:val="0"/>
      <w:marBottom w:val="0"/>
      <w:divBdr>
        <w:top w:val="none" w:sz="0" w:space="0" w:color="auto"/>
        <w:left w:val="none" w:sz="0" w:space="0" w:color="auto"/>
        <w:bottom w:val="none" w:sz="0" w:space="0" w:color="auto"/>
        <w:right w:val="none" w:sz="0" w:space="0" w:color="auto"/>
      </w:divBdr>
    </w:div>
    <w:div w:id="1529175918">
      <w:bodyDiv w:val="1"/>
      <w:marLeft w:val="0"/>
      <w:marRight w:val="0"/>
      <w:marTop w:val="0"/>
      <w:marBottom w:val="0"/>
      <w:divBdr>
        <w:top w:val="none" w:sz="0" w:space="0" w:color="auto"/>
        <w:left w:val="none" w:sz="0" w:space="0" w:color="auto"/>
        <w:bottom w:val="none" w:sz="0" w:space="0" w:color="auto"/>
        <w:right w:val="none" w:sz="0" w:space="0" w:color="auto"/>
      </w:divBdr>
    </w:div>
    <w:div w:id="1537621710">
      <w:bodyDiv w:val="1"/>
      <w:marLeft w:val="0"/>
      <w:marRight w:val="0"/>
      <w:marTop w:val="0"/>
      <w:marBottom w:val="0"/>
      <w:divBdr>
        <w:top w:val="none" w:sz="0" w:space="0" w:color="auto"/>
        <w:left w:val="none" w:sz="0" w:space="0" w:color="auto"/>
        <w:bottom w:val="none" w:sz="0" w:space="0" w:color="auto"/>
        <w:right w:val="none" w:sz="0" w:space="0" w:color="auto"/>
      </w:divBdr>
    </w:div>
    <w:div w:id="1593587185">
      <w:bodyDiv w:val="1"/>
      <w:marLeft w:val="0"/>
      <w:marRight w:val="0"/>
      <w:marTop w:val="0"/>
      <w:marBottom w:val="0"/>
      <w:divBdr>
        <w:top w:val="none" w:sz="0" w:space="0" w:color="auto"/>
        <w:left w:val="none" w:sz="0" w:space="0" w:color="auto"/>
        <w:bottom w:val="none" w:sz="0" w:space="0" w:color="auto"/>
        <w:right w:val="none" w:sz="0" w:space="0" w:color="auto"/>
      </w:divBdr>
    </w:div>
    <w:div w:id="1604025297">
      <w:bodyDiv w:val="1"/>
      <w:marLeft w:val="0"/>
      <w:marRight w:val="0"/>
      <w:marTop w:val="0"/>
      <w:marBottom w:val="0"/>
      <w:divBdr>
        <w:top w:val="none" w:sz="0" w:space="0" w:color="auto"/>
        <w:left w:val="none" w:sz="0" w:space="0" w:color="auto"/>
        <w:bottom w:val="none" w:sz="0" w:space="0" w:color="auto"/>
        <w:right w:val="none" w:sz="0" w:space="0" w:color="auto"/>
      </w:divBdr>
    </w:div>
    <w:div w:id="1634484333">
      <w:bodyDiv w:val="1"/>
      <w:marLeft w:val="0"/>
      <w:marRight w:val="0"/>
      <w:marTop w:val="0"/>
      <w:marBottom w:val="0"/>
      <w:divBdr>
        <w:top w:val="none" w:sz="0" w:space="0" w:color="auto"/>
        <w:left w:val="none" w:sz="0" w:space="0" w:color="auto"/>
        <w:bottom w:val="none" w:sz="0" w:space="0" w:color="auto"/>
        <w:right w:val="none" w:sz="0" w:space="0" w:color="auto"/>
      </w:divBdr>
    </w:div>
    <w:div w:id="1647582821">
      <w:bodyDiv w:val="1"/>
      <w:marLeft w:val="0"/>
      <w:marRight w:val="0"/>
      <w:marTop w:val="0"/>
      <w:marBottom w:val="0"/>
      <w:divBdr>
        <w:top w:val="none" w:sz="0" w:space="0" w:color="auto"/>
        <w:left w:val="none" w:sz="0" w:space="0" w:color="auto"/>
        <w:bottom w:val="none" w:sz="0" w:space="0" w:color="auto"/>
        <w:right w:val="none" w:sz="0" w:space="0" w:color="auto"/>
      </w:divBdr>
    </w:div>
    <w:div w:id="1688092894">
      <w:bodyDiv w:val="1"/>
      <w:marLeft w:val="0"/>
      <w:marRight w:val="0"/>
      <w:marTop w:val="0"/>
      <w:marBottom w:val="0"/>
      <w:divBdr>
        <w:top w:val="none" w:sz="0" w:space="0" w:color="auto"/>
        <w:left w:val="none" w:sz="0" w:space="0" w:color="auto"/>
        <w:bottom w:val="none" w:sz="0" w:space="0" w:color="auto"/>
        <w:right w:val="none" w:sz="0" w:space="0" w:color="auto"/>
      </w:divBdr>
    </w:div>
    <w:div w:id="1701471614">
      <w:bodyDiv w:val="1"/>
      <w:marLeft w:val="0"/>
      <w:marRight w:val="0"/>
      <w:marTop w:val="0"/>
      <w:marBottom w:val="0"/>
      <w:divBdr>
        <w:top w:val="none" w:sz="0" w:space="0" w:color="auto"/>
        <w:left w:val="none" w:sz="0" w:space="0" w:color="auto"/>
        <w:bottom w:val="none" w:sz="0" w:space="0" w:color="auto"/>
        <w:right w:val="none" w:sz="0" w:space="0" w:color="auto"/>
      </w:divBdr>
    </w:div>
    <w:div w:id="1707366305">
      <w:bodyDiv w:val="1"/>
      <w:marLeft w:val="0"/>
      <w:marRight w:val="0"/>
      <w:marTop w:val="0"/>
      <w:marBottom w:val="0"/>
      <w:divBdr>
        <w:top w:val="none" w:sz="0" w:space="0" w:color="auto"/>
        <w:left w:val="none" w:sz="0" w:space="0" w:color="auto"/>
        <w:bottom w:val="none" w:sz="0" w:space="0" w:color="auto"/>
        <w:right w:val="none" w:sz="0" w:space="0" w:color="auto"/>
      </w:divBdr>
    </w:div>
    <w:div w:id="1729112973">
      <w:bodyDiv w:val="1"/>
      <w:marLeft w:val="0"/>
      <w:marRight w:val="0"/>
      <w:marTop w:val="0"/>
      <w:marBottom w:val="0"/>
      <w:divBdr>
        <w:top w:val="none" w:sz="0" w:space="0" w:color="auto"/>
        <w:left w:val="none" w:sz="0" w:space="0" w:color="auto"/>
        <w:bottom w:val="none" w:sz="0" w:space="0" w:color="auto"/>
        <w:right w:val="none" w:sz="0" w:space="0" w:color="auto"/>
      </w:divBdr>
    </w:div>
    <w:div w:id="1788305111">
      <w:bodyDiv w:val="1"/>
      <w:marLeft w:val="0"/>
      <w:marRight w:val="0"/>
      <w:marTop w:val="0"/>
      <w:marBottom w:val="0"/>
      <w:divBdr>
        <w:top w:val="none" w:sz="0" w:space="0" w:color="auto"/>
        <w:left w:val="none" w:sz="0" w:space="0" w:color="auto"/>
        <w:bottom w:val="none" w:sz="0" w:space="0" w:color="auto"/>
        <w:right w:val="none" w:sz="0" w:space="0" w:color="auto"/>
      </w:divBdr>
    </w:div>
    <w:div w:id="1814978874">
      <w:bodyDiv w:val="1"/>
      <w:marLeft w:val="0"/>
      <w:marRight w:val="0"/>
      <w:marTop w:val="0"/>
      <w:marBottom w:val="0"/>
      <w:divBdr>
        <w:top w:val="none" w:sz="0" w:space="0" w:color="auto"/>
        <w:left w:val="none" w:sz="0" w:space="0" w:color="auto"/>
        <w:bottom w:val="none" w:sz="0" w:space="0" w:color="auto"/>
        <w:right w:val="none" w:sz="0" w:space="0" w:color="auto"/>
      </w:divBdr>
    </w:div>
    <w:div w:id="1841657521">
      <w:bodyDiv w:val="1"/>
      <w:marLeft w:val="0"/>
      <w:marRight w:val="0"/>
      <w:marTop w:val="0"/>
      <w:marBottom w:val="0"/>
      <w:divBdr>
        <w:top w:val="none" w:sz="0" w:space="0" w:color="auto"/>
        <w:left w:val="none" w:sz="0" w:space="0" w:color="auto"/>
        <w:bottom w:val="none" w:sz="0" w:space="0" w:color="auto"/>
        <w:right w:val="none" w:sz="0" w:space="0" w:color="auto"/>
      </w:divBdr>
    </w:div>
    <w:div w:id="1909268886">
      <w:bodyDiv w:val="1"/>
      <w:marLeft w:val="0"/>
      <w:marRight w:val="0"/>
      <w:marTop w:val="0"/>
      <w:marBottom w:val="0"/>
      <w:divBdr>
        <w:top w:val="none" w:sz="0" w:space="0" w:color="auto"/>
        <w:left w:val="none" w:sz="0" w:space="0" w:color="auto"/>
        <w:bottom w:val="none" w:sz="0" w:space="0" w:color="auto"/>
        <w:right w:val="none" w:sz="0" w:space="0" w:color="auto"/>
      </w:divBdr>
      <w:divsChild>
        <w:div w:id="1987665042">
          <w:marLeft w:val="0"/>
          <w:marRight w:val="0"/>
          <w:marTop w:val="0"/>
          <w:marBottom w:val="0"/>
          <w:divBdr>
            <w:top w:val="none" w:sz="0" w:space="0" w:color="auto"/>
            <w:left w:val="none" w:sz="0" w:space="0" w:color="auto"/>
            <w:bottom w:val="none" w:sz="0" w:space="0" w:color="auto"/>
            <w:right w:val="none" w:sz="0" w:space="0" w:color="auto"/>
          </w:divBdr>
        </w:div>
      </w:divsChild>
    </w:div>
    <w:div w:id="1919552595">
      <w:bodyDiv w:val="1"/>
      <w:marLeft w:val="0"/>
      <w:marRight w:val="0"/>
      <w:marTop w:val="0"/>
      <w:marBottom w:val="0"/>
      <w:divBdr>
        <w:top w:val="none" w:sz="0" w:space="0" w:color="auto"/>
        <w:left w:val="none" w:sz="0" w:space="0" w:color="auto"/>
        <w:bottom w:val="none" w:sz="0" w:space="0" w:color="auto"/>
        <w:right w:val="none" w:sz="0" w:space="0" w:color="auto"/>
      </w:divBdr>
    </w:div>
    <w:div w:id="1972244947">
      <w:bodyDiv w:val="1"/>
      <w:marLeft w:val="0"/>
      <w:marRight w:val="0"/>
      <w:marTop w:val="0"/>
      <w:marBottom w:val="0"/>
      <w:divBdr>
        <w:top w:val="none" w:sz="0" w:space="0" w:color="auto"/>
        <w:left w:val="none" w:sz="0" w:space="0" w:color="auto"/>
        <w:bottom w:val="none" w:sz="0" w:space="0" w:color="auto"/>
        <w:right w:val="none" w:sz="0" w:space="0" w:color="auto"/>
      </w:divBdr>
    </w:div>
    <w:div w:id="1984577516">
      <w:bodyDiv w:val="1"/>
      <w:marLeft w:val="0"/>
      <w:marRight w:val="0"/>
      <w:marTop w:val="0"/>
      <w:marBottom w:val="0"/>
      <w:divBdr>
        <w:top w:val="none" w:sz="0" w:space="0" w:color="auto"/>
        <w:left w:val="none" w:sz="0" w:space="0" w:color="auto"/>
        <w:bottom w:val="none" w:sz="0" w:space="0" w:color="auto"/>
        <w:right w:val="none" w:sz="0" w:space="0" w:color="auto"/>
      </w:divBdr>
    </w:div>
    <w:div w:id="1985811526">
      <w:bodyDiv w:val="1"/>
      <w:marLeft w:val="0"/>
      <w:marRight w:val="0"/>
      <w:marTop w:val="0"/>
      <w:marBottom w:val="0"/>
      <w:divBdr>
        <w:top w:val="none" w:sz="0" w:space="0" w:color="auto"/>
        <w:left w:val="none" w:sz="0" w:space="0" w:color="auto"/>
        <w:bottom w:val="none" w:sz="0" w:space="0" w:color="auto"/>
        <w:right w:val="none" w:sz="0" w:space="0" w:color="auto"/>
      </w:divBdr>
    </w:div>
    <w:div w:id="2016105870">
      <w:bodyDiv w:val="1"/>
      <w:marLeft w:val="0"/>
      <w:marRight w:val="0"/>
      <w:marTop w:val="0"/>
      <w:marBottom w:val="0"/>
      <w:divBdr>
        <w:top w:val="none" w:sz="0" w:space="0" w:color="auto"/>
        <w:left w:val="none" w:sz="0" w:space="0" w:color="auto"/>
        <w:bottom w:val="none" w:sz="0" w:space="0" w:color="auto"/>
        <w:right w:val="none" w:sz="0" w:space="0" w:color="auto"/>
      </w:divBdr>
      <w:divsChild>
        <w:div w:id="1375960936">
          <w:marLeft w:val="0"/>
          <w:marRight w:val="0"/>
          <w:marTop w:val="0"/>
          <w:marBottom w:val="0"/>
          <w:divBdr>
            <w:top w:val="none" w:sz="0" w:space="0" w:color="auto"/>
            <w:left w:val="none" w:sz="0" w:space="0" w:color="auto"/>
            <w:bottom w:val="none" w:sz="0" w:space="0" w:color="auto"/>
            <w:right w:val="none" w:sz="0" w:space="0" w:color="auto"/>
          </w:divBdr>
        </w:div>
        <w:div w:id="158102191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319081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image" Target="media/image3.png"/><Relationship Id="rId26" Type="http://schemas.openxmlformats.org/officeDocument/2006/relationships/hyperlink" Target="https://eur-lex.europa.eu/eli/dir/2019/882/oj"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2.jpeg"/><Relationship Id="rId25" Type="http://schemas.openxmlformats.org/officeDocument/2006/relationships/image" Target="media/image10.png"/><Relationship Id="rId33" Type="http://schemas.openxmlformats.org/officeDocument/2006/relationships/header" Target="header4.xml"/><Relationship Id="rId38"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yperlink" Target="https://inclusion-europe.eu/wp-content/uploads/2015/04/Good_Practices_EN.pdf" TargetMode="External"/><Relationship Id="rId20" Type="http://schemas.openxmlformats.org/officeDocument/2006/relationships/image" Target="media/image5.png"/><Relationship Id="rId29" Type="http://schemas.openxmlformats.org/officeDocument/2006/relationships/hyperlink" Target="https://op.europa.eu/en/publication-detail/-/publication/0efb11fa-75ec-11ed-9887-01aa75ed71a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png"/><Relationship Id="rId32" Type="http://schemas.openxmlformats.org/officeDocument/2006/relationships/hyperlink" Target="http://www.euroblind.org/sites/default/files/documents/ava_report_en_20181119.docx" TargetMode="External"/><Relationship Id="rId37" Type="http://schemas.openxmlformats.org/officeDocument/2006/relationships/header" Target="header6.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fra.europa.eu/en/publication/2014/indicators-right-political-participation-people-disabilities" TargetMode="External"/><Relationship Id="rId23" Type="http://schemas.openxmlformats.org/officeDocument/2006/relationships/image" Target="media/image8.png"/><Relationship Id="rId28" Type="http://schemas.openxmlformats.org/officeDocument/2006/relationships/hyperlink" Target="https://eur-lex.europa.eu/legal-content/EN/TXT/?uri=SWD:2022:410:FIN" TargetMode="External"/><Relationship Id="rId36" Type="http://schemas.openxmlformats.org/officeDocument/2006/relationships/footer" Target="footer5.xml"/><Relationship Id="rId10" Type="http://schemas.openxmlformats.org/officeDocument/2006/relationships/header" Target="header2.xml"/><Relationship Id="rId19" Type="http://schemas.openxmlformats.org/officeDocument/2006/relationships/image" Target="media/image4.emf"/><Relationship Id="rId31" Type="http://schemas.openxmlformats.org/officeDocument/2006/relationships/hyperlink" Target="https://www.edf-feph.org/publications/human-rights-report-2022-political-participation-of-persons-with-disabilities/"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hyperlink" Target="https://www.w3.org/TR/WCAG21/" TargetMode="External"/><Relationship Id="rId30" Type="http://schemas.openxmlformats.org/officeDocument/2006/relationships/hyperlink" Target="https://www.eesc.europa.eu/" TargetMode="External"/><Relationship Id="rId35" Type="http://schemas.openxmlformats.org/officeDocument/2006/relationships/footer" Target="footer4.xml"/></Relationships>
</file>

<file path=word/_rels/footnotes.xml.rels><?xml version="1.0" encoding="UTF-8" standalone="yes"?>
<Relationships xmlns="http://schemas.openxmlformats.org/package/2006/relationships"><Relationship Id="rId26" Type="http://schemas.openxmlformats.org/officeDocument/2006/relationships/hyperlink" Target="https://commission.europa.eu/document/b0898ba3-c7ad-4af5-8467-5e23a0469a78_en" TargetMode="External"/><Relationship Id="rId21" Type="http://schemas.openxmlformats.org/officeDocument/2006/relationships/hyperlink" Target="https://commission.europa.eu/document/c6d5903d-3e12-4716-9149-e36c91fc7f09_en" TargetMode="External"/><Relationship Id="rId42" Type="http://schemas.openxmlformats.org/officeDocument/2006/relationships/hyperlink" Target="https://eur-lex.europa.eu/legal-content/LV/TXT/?uri=CELEX%3A02014L0025-20220101" TargetMode="External"/><Relationship Id="rId47" Type="http://schemas.openxmlformats.org/officeDocument/2006/relationships/hyperlink" Target="https://pace.coe.int/en/files/23519/html" TargetMode="External"/><Relationship Id="rId63" Type="http://schemas.openxmlformats.org/officeDocument/2006/relationships/hyperlink" Target="https://www.once.es/otras-webs/english" TargetMode="External"/><Relationship Id="rId68" Type="http://schemas.openxmlformats.org/officeDocument/2006/relationships/hyperlink" Target="https://www.arcom.fr/sites/default/files/2022-03/Guide%20de%20mise%20en%20image%20de%20la%20Langue%20des%20signes%20fran%C3%A7aise%20%28LSF%29_4.pdf" TargetMode="External"/><Relationship Id="rId84" Type="http://schemas.openxmlformats.org/officeDocument/2006/relationships/hyperlink" Target="https://www.roaep.ro/management-electoral/wp-content/uploads/2023/08/comparative_%20study_ROAEP.pdf" TargetMode="External"/><Relationship Id="rId89" Type="http://schemas.openxmlformats.org/officeDocument/2006/relationships/hyperlink" Target="https://cncph.fr/electoral/" TargetMode="External"/><Relationship Id="rId7" Type="http://schemas.openxmlformats.org/officeDocument/2006/relationships/hyperlink" Target="https://eur-lex.europa.eu/legal-content/LV/TXT/?uri=CELEX%3A52022IP0435&amp;qid=1695894247499" TargetMode="External"/><Relationship Id="rId71" Type="http://schemas.openxmlformats.org/officeDocument/2006/relationships/hyperlink" Target="https://www.arcom.fr" TargetMode="External"/><Relationship Id="rId92" Type="http://schemas.openxmlformats.org/officeDocument/2006/relationships/hyperlink" Target="https://elections.fgov.be/sites/default/files/inline-files/Accessibilite_des_bureaux_de_vote.pdf" TargetMode="External"/><Relationship Id="rId2" Type="http://schemas.openxmlformats.org/officeDocument/2006/relationships/hyperlink" Target="https://ec.europa.eu/eurostat/databrowser/view/HLTH_SILC_12__custom_7946706/bookmark/table?lang=en&amp;bookmarkId=4157eb14-ac56-4e70-8ec2-56d734a3aadc" TargetMode="External"/><Relationship Id="rId16"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9" Type="http://schemas.openxmlformats.org/officeDocument/2006/relationships/hyperlink" Target="https://documents-dds-ny.un.org/doc/UNDOC/GEN/G14/033/13/PDF/G1403313.pdf?OpenElement" TargetMode="External"/><Relationship Id="rId11" Type="http://schemas.openxmlformats.org/officeDocument/2006/relationships/hyperlink" Target="https://digitallibrary.un.org/record/812354?ln=en" TargetMode="External"/><Relationship Id="rId24" Type="http://schemas.openxmlformats.org/officeDocument/2006/relationships/hyperlink" Target="https://commission.europa.eu/system/files/2022-01/eu-citzen_-_political_participation_of_persons_with_disabilities_update.pdf" TargetMode="External"/><Relationship Id="rId32" Type="http://schemas.openxmlformats.org/officeDocument/2006/relationships/hyperlink" Target="https://eur-lex.europa.eu/legal-content/LV/TXT/?uri=CELEX%3A01976X1008%2801%29-20020923" TargetMode="External"/><Relationship Id="rId37" Type="http://schemas.openxmlformats.org/officeDocument/2006/relationships/hyperlink" Target="https://eur-lex.europa.eu/legal-content/LV/TXT/?uri=CELEX%3A01994L0080-20130701" TargetMode="External"/><Relationship Id="rId40" Type="http://schemas.openxmlformats.org/officeDocument/2006/relationships/hyperlink" Target="https://eur-lex.europa.eu/legal-content/LV/TXT/?uri=celex%3A32019L0882" TargetMode="External"/><Relationship Id="rId45" Type="http://schemas.openxmlformats.org/officeDocument/2006/relationships/hyperlink" Target="https://eur-lex.europa.eu/legal-content/LV/TXT/?uri=CELEX%3A52023PC0512" TargetMode="External"/><Relationship Id="rId53" Type="http://schemas.openxmlformats.org/officeDocument/2006/relationships/hyperlink" Target="https://hudoc.echr.coe.int/eng" TargetMode="External"/><Relationship Id="rId58" Type="http://schemas.openxmlformats.org/officeDocument/2006/relationships/hyperlink" Target="https://www.electoralcommission.ie/" TargetMode="External"/><Relationship Id="rId66" Type="http://schemas.openxmlformats.org/officeDocument/2006/relationships/hyperlink" Target="https://uclg-cisdp.org/en/news/latest-news/accessible-and-inclusive-elections-netherlands" TargetMode="External"/><Relationship Id="rId74" Type="http://schemas.openxmlformats.org/officeDocument/2006/relationships/hyperlink" Target="https://www.elections.interieur.gouv.fr/comprendre-elections/comment-je-vote/vote-des-personnes-en-situation-de-handicap-laccessibilite-des" TargetMode="External"/><Relationship Id="rId79" Type="http://schemas.openxmlformats.org/officeDocument/2006/relationships/hyperlink" Target="https://www.dbsv.org/zeugnisvergabe.html" TargetMode="External"/><Relationship Id="rId87" Type="http://schemas.openxmlformats.org/officeDocument/2006/relationships/hyperlink" Target="https://www.smartmatic.com/media/article/online-voting-powers-social-elections-in-germany/" TargetMode="External"/><Relationship Id="rId102" Type="http://schemas.openxmlformats.org/officeDocument/2006/relationships/hyperlink" Target="https://ec.europa.eu/growth/tools-databases/enorm/mandate/587_en" TargetMode="External"/><Relationship Id="rId5" Type="http://schemas.openxmlformats.org/officeDocument/2006/relationships/hyperlink" Target="https://commission.europa.eu/strategy-and-policy/policies/justice-and-fundamental-rights/eu-citizenship/democracy-and-electoral-rights/european-cooperation-network-elections_en" TargetMode="External"/><Relationship Id="rId61" Type="http://schemas.openxmlformats.org/officeDocument/2006/relationships/hyperlink" Target="https://inclusion-europe.eu/wp-content/uploads/2015/04/Policy_Recommendations_EN.pdf" TargetMode="External"/><Relationship Id="rId82" Type="http://schemas.openxmlformats.org/officeDocument/2006/relationships/hyperlink" Target="https://legislatie.just.ro/Public/DetaliiDocument/183591" TargetMode="External"/><Relationship Id="rId90" Type="http://schemas.openxmlformats.org/officeDocument/2006/relationships/hyperlink" Target="https://daisy.org/activities/projects/european-inclusive-publishing-forum/" TargetMode="External"/><Relationship Id="rId95" Type="http://schemas.openxmlformats.org/officeDocument/2006/relationships/hyperlink" Target="https://eur-lex.europa.eu/legal-content/LV/TXT/?uri=celex%3A32019L0882" TargetMode="External"/><Relationship Id="rId19"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14" Type="http://schemas.openxmlformats.org/officeDocument/2006/relationships/hyperlink" Target="https://eur-lex.europa.eu/legal-content/LV/TXT/?uri=COM%3A2021%3A101%3AFIN" TargetMode="External"/><Relationship Id="rId22" Type="http://schemas.openxmlformats.org/officeDocument/2006/relationships/hyperlink" Target="https://commission.europa.eu/system/files/2022-01/eu-citzen_-_type_a_report_-_political_participation_of_persons_with_disabilities.pdf" TargetMode="External"/><Relationship Id="rId27" Type="http://schemas.openxmlformats.org/officeDocument/2006/relationships/hyperlink" Target="https://commission.europa.eu/system/files/2022-01/eu-citzen_-_type_a_report_-_political_participation_of_persons_with_disabilities.pdf" TargetMode="External"/><Relationship Id="rId30" Type="http://schemas.openxmlformats.org/officeDocument/2006/relationships/hyperlink" Target="https://eur-lex.europa.eu/legal-content/LV/TXT/?uri=CELEX:62012CJ0356" TargetMode="External"/><Relationship Id="rId35" Type="http://schemas.openxmlformats.org/officeDocument/2006/relationships/hyperlink" Target="https://eur-lex.europa.eu/legal-content/LV/TXT/?uri=CELEX%3A01993L0109-20130127" TargetMode="External"/><Relationship Id="rId43" Type="http://schemas.openxmlformats.org/officeDocument/2006/relationships/hyperlink" Target="https://eur-lex.europa.eu/legal-content/LV/TXT/?uri=CELEX%3A32016L2102" TargetMode="External"/><Relationship Id="rId48" Type="http://schemas.openxmlformats.org/officeDocument/2006/relationships/hyperlink" Target="https://pace.coe.int/en/files/23519/html" TargetMode="External"/><Relationship Id="rId56" Type="http://schemas.openxmlformats.org/officeDocument/2006/relationships/hyperlink" Target="https://anpd.gov.ro/web/despre-noi/programe-si-strategii/strategia-nationala-dizabilitati-2022-2027/" TargetMode="External"/><Relationship Id="rId64" Type="http://schemas.openxmlformats.org/officeDocument/2006/relationships/hyperlink" Target="https://elecciones.generales23j.es/en/accesibilidad/accesibilidad-proceso-electoral" TargetMode="External"/><Relationship Id="rId69" Type="http://schemas.openxmlformats.org/officeDocument/2006/relationships/hyperlink" Target="https://www.arcom.fr/fr/actualites/presidentielle-2022-comment-larcom-renforce-laccessibilite-de-la-campagne-electorale" TargetMode="External"/><Relationship Id="rId77" Type="http://schemas.openxmlformats.org/officeDocument/2006/relationships/hyperlink" Target="https://www.elections.interieur.gouv.fr/comprendre-elections/comment-je-vote/vote-des-personnes-en-situation-de-handicap-laccessibilite-des" TargetMode="External"/><Relationship Id="rId100" Type="http://schemas.openxmlformats.org/officeDocument/2006/relationships/hyperlink" Target="https://digital-strategy.ec.europa.eu/en/policies/web-accessibility-directive-standards-and-harmonisation" TargetMode="External"/><Relationship Id="rId105" Type="http://schemas.openxmlformats.org/officeDocument/2006/relationships/hyperlink" Target="https://ec.europa.eu/growth/tools-databases/enorm/mandate/587_en" TargetMode="External"/><Relationship Id="rId8" Type="http://schemas.openxmlformats.org/officeDocument/2006/relationships/hyperlink" Target="https://eur-lex.europa.eu/legal-content/LV/TXT/?uri=CELEX%3A52023AP0038&amp;qid=1695896629476" TargetMode="External"/><Relationship Id="rId51" Type="http://schemas.openxmlformats.org/officeDocument/2006/relationships/hyperlink" Target="https://hudoc.echr.coe.int/eng" TargetMode="External"/><Relationship Id="rId72" Type="http://schemas.openxmlformats.org/officeDocument/2006/relationships/hyperlink" Target="https://www.elections.interieur.gouv.fr/comprendre-elections/comment-je-vote/vote-des-personnes-en-situation-de-handicap-laccessibilite-des" TargetMode="External"/><Relationship Id="rId80" Type="http://schemas.openxmlformats.org/officeDocument/2006/relationships/hyperlink" Target="https://www.boe.es/buscar/doc.php?id=BOE-A-2022-9377" TargetMode="External"/><Relationship Id="rId85" Type="http://schemas.openxmlformats.org/officeDocument/2006/relationships/hyperlink" Target="https://www.diplomatie.gouv.fr/fr/services-aux-francais/voter-a-l-etranger/elections-legislatives-partielles-2023/presentation-du-vote-par-internet/" TargetMode="External"/><Relationship Id="rId93" Type="http://schemas.openxmlformats.org/officeDocument/2006/relationships/hyperlink" Target="https://elections.fgov.be/sites/default/files/inline-files/Accessibilite_des_bureaux_de_vote.pdf" TargetMode="External"/><Relationship Id="rId98" Type="http://schemas.openxmlformats.org/officeDocument/2006/relationships/hyperlink" Target="https://eur-lex.europa.eu/legal-content/LV/TXT/?uri=celex%3A32019L0882" TargetMode="External"/><Relationship Id="rId3" Type="http://schemas.openxmlformats.org/officeDocument/2006/relationships/hyperlink" Target="https://ec.europa.eu/eurostat/databrowser/view/HLTH_SILC_12__custom_7946706/bookmark/table?lang=en&amp;bookmarkId=4157eb14-ac56-4e70-8ec2-56d734a3aadc" TargetMode="External"/><Relationship Id="rId12" Type="http://schemas.openxmlformats.org/officeDocument/2006/relationships/hyperlink" Target="https://documents-dds-ny.un.org/doc/UNDOC/GEN/G23/044/85/PDF/G2304485.pdf?OpenElement" TargetMode="External"/><Relationship Id="rId17"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25" Type="http://schemas.openxmlformats.org/officeDocument/2006/relationships/hyperlink" Target="https://eur-lex.europa.eu/legal-content/LV/TXT/?uri=COM%3A2020%3A790%3AFIN&amp;qid=1607079662423" TargetMode="External"/><Relationship Id="rId33" Type="http://schemas.openxmlformats.org/officeDocument/2006/relationships/hyperlink" Target="https://eur-lex.europa.eu/legal-content/LV/TXT/PDF/?uri=CONSIL:ST_9333_2022_INIT" TargetMode="External"/><Relationship Id="rId38" Type="http://schemas.openxmlformats.org/officeDocument/2006/relationships/hyperlink" Target="https://commission.europa.eu/strategy-and-policy/policies/justice-and-fundamental-rights/eu-citizenship/democracy-and-electoral-rights_en" TargetMode="External"/><Relationship Id="rId46" Type="http://schemas.openxmlformats.org/officeDocument/2006/relationships/hyperlink" Target="https://www.echr.coe.int/documents/d/echr/Convention_ENG" TargetMode="External"/><Relationship Id="rId59" Type="http://schemas.openxmlformats.org/officeDocument/2006/relationships/hyperlink" Target="https://www.edf-feph.org/projects/disability-rights-in-the-european-elections-dree/" TargetMode="External"/><Relationship Id="rId67" Type="http://schemas.openxmlformats.org/officeDocument/2006/relationships/hyperlink" Target="https://www.w3.org/WAI/standards-guidelines/wcag/" TargetMode="External"/><Relationship Id="rId103" Type="http://schemas.openxmlformats.org/officeDocument/2006/relationships/hyperlink" Target="https://digital-strategy.ec.europa.eu/en/policies/web-accessibility-directive-standards-and-harmonisation" TargetMode="External"/><Relationship Id="rId20"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41" Type="http://schemas.openxmlformats.org/officeDocument/2006/relationships/hyperlink" Target="https://eur-lex.europa.eu/legal-content/LV/TXT/?uri=CELEX%3A02014L0024-20220101" TargetMode="External"/><Relationship Id="rId54" Type="http://schemas.openxmlformats.org/officeDocument/2006/relationships/hyperlink" Target="https://www.venice.coe.int/webforms/documents/default.aspx?pdffile=CDL-AD(2011)045-e" TargetMode="External"/><Relationship Id="rId62" Type="http://schemas.openxmlformats.org/officeDocument/2006/relationships/hyperlink" Target="https://inclusion-europe.eu/wp-content/uploads/2015/04/Good_Practices_EN.pdf" TargetMode="External"/><Relationship Id="rId70" Type="http://schemas.openxmlformats.org/officeDocument/2006/relationships/hyperlink" Target="https://www.arcom.fr/fr/actualites/presidentielle-2022-comment-larcom-renforce-laccessibilite-de-la-campagne-electorale" TargetMode="External"/><Relationship Id="rId75" Type="http://schemas.openxmlformats.org/officeDocument/2006/relationships/hyperlink" Target="file:///C:\Users\leahucr\AppData\Local\Microsoft\Windows\INetCache\Content.Outlook\Q93FIJD2\www.waarismijnstemlokaal.nl" TargetMode="External"/><Relationship Id="rId83" Type="http://schemas.openxmlformats.org/officeDocument/2006/relationships/hyperlink" Target="https://www.hoewerktstemmen.nl/nl/" TargetMode="External"/><Relationship Id="rId88" Type="http://schemas.openxmlformats.org/officeDocument/2006/relationships/hyperlink" Target="https://commission.europa.eu/system/files/2022-05/eu_justice_scoreboard_2022.pdf" TargetMode="External"/><Relationship Id="rId91" Type="http://schemas.openxmlformats.org/officeDocument/2006/relationships/hyperlink" Target="https://www.invalidiliitto.fi/aanestyspaikkojen-esteettomyyden-tarkistuslista" TargetMode="External"/><Relationship Id="rId96" Type="http://schemas.openxmlformats.org/officeDocument/2006/relationships/hyperlink" Target="https://eur-lex.europa.eu/legal-content/LV/TXT/?uri=CELEX%3A02014L0024-20220101" TargetMode="External"/><Relationship Id="rId1" Type="http://schemas.openxmlformats.org/officeDocument/2006/relationships/hyperlink" Target="https://commission.europa.eu/system/files/2020-04/political-guidelines-next-commission_lv.pdf" TargetMode="External"/><Relationship Id="rId6" Type="http://schemas.openxmlformats.org/officeDocument/2006/relationships/hyperlink" Target="https://eur-lex.europa.eu/legal-content/LV/TXT/PDF/?uri=CELEX:52022AP0129" TargetMode="External"/><Relationship Id="rId15"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3" Type="http://schemas.openxmlformats.org/officeDocument/2006/relationships/hyperlink" Target="https://commission.europa.eu/system/files/2022-01/eu-citzen_-_political_participation_of_persons_with_disabilities_update.pdf" TargetMode="External"/><Relationship Id="rId28" Type="http://schemas.openxmlformats.org/officeDocument/2006/relationships/hyperlink" Target="https://commission.europa.eu/document/c6d5903d-3e12-4716-9149-e36c91fc7f09_en" TargetMode="External"/><Relationship Id="rId36" Type="http://schemas.openxmlformats.org/officeDocument/2006/relationships/hyperlink" Target="https://eur-lex.europa.eu/legal-content/LV/TXT/?uri=CELEX%3A01994L0080-20130701" TargetMode="External"/><Relationship Id="rId49" Type="http://schemas.openxmlformats.org/officeDocument/2006/relationships/hyperlink" Target="https://hudoc.echr.coe.int/eng" TargetMode="External"/><Relationship Id="rId57" Type="http://schemas.openxmlformats.org/officeDocument/2006/relationships/hyperlink" Target="https://yle.fi/a/3-11966415" TargetMode="External"/><Relationship Id="rId106" Type="http://schemas.openxmlformats.org/officeDocument/2006/relationships/hyperlink" Target="https://www.cencenelec.eu/news-and-events/news/2021/eninthespotlight/2021-03-18-en-17210-2021-accessible-and-usable-built-environment/" TargetMode="External"/><Relationship Id="rId10" Type="http://schemas.openxmlformats.org/officeDocument/2006/relationships/hyperlink" Target="https://www.eesc.europa.eu/sites/default/files/files/qe-02-19-153-lv-n.pdf" TargetMode="External"/><Relationship Id="rId31" Type="http://schemas.openxmlformats.org/officeDocument/2006/relationships/hyperlink" Target="https://eur-lex.europa.eu/legal-content/LV/TXT/?uri=CELEX%3A01976X1008%2801%29-20020923" TargetMode="External"/><Relationship Id="rId44" Type="http://schemas.openxmlformats.org/officeDocument/2006/relationships/hyperlink" Target="https://eur-lex.europa.eu/legal-content/LV/TXT/?uri=CELEX%3A02010L0013-20181218" TargetMode="External"/><Relationship Id="rId52" Type="http://schemas.openxmlformats.org/officeDocument/2006/relationships/hyperlink" Target="https://hudoc.echr.coe.int/eng" TargetMode="External"/><Relationship Id="rId60" Type="http://schemas.openxmlformats.org/officeDocument/2006/relationships/hyperlink" Target="https://inclusion-europe.eu/wp-content/uploads/2015/04/Voting_for_all_guide_EN.pdf" TargetMode="External"/><Relationship Id="rId65" Type="http://schemas.openxmlformats.org/officeDocument/2006/relationships/hyperlink" Target="https://elecciones.locales2023.es/pdf/ES/11-Guia-para-se%c3%b1aliza-los-Colegios-Electorales-2023.pdf" TargetMode="External"/><Relationship Id="rId73" Type="http://schemas.openxmlformats.org/officeDocument/2006/relationships/hyperlink" Target="https://www.elections.interieur.gouv.fr/comprendre-elections/comment-je-vote/vote-des-personnes-en-situation-de-handicap-laccessibilite-des" TargetMode="External"/><Relationship Id="rId78" Type="http://schemas.openxmlformats.org/officeDocument/2006/relationships/hyperlink" Target="https://www.elections.interieur.gouv.fr/comprendre-elections/comment-je-vote/vote-des-personnes-en-situation-de-handicap-laccessibilite-des" TargetMode="External"/><Relationship Id="rId81" Type="http://schemas.openxmlformats.org/officeDocument/2006/relationships/hyperlink" Target="https://www.boe.es/buscar/act.php?id=BOE-A-1999-8583" TargetMode="External"/><Relationship Id="rId86" Type="http://schemas.openxmlformats.org/officeDocument/2006/relationships/hyperlink" Target="https://www.diplomatie.gouv.fr/fr/services-aux-francais/voter-a-l-etranger/elections-legislatives-partielles-2023/presentation-du-vote-par-internet/" TargetMode="External"/><Relationship Id="rId94" Type="http://schemas.openxmlformats.org/officeDocument/2006/relationships/hyperlink" Target="https://elections.fgov.be/sites/default/files/inline-files/Accessibilite_des_bureaux_de_vote.pdf" TargetMode="External"/><Relationship Id="rId99" Type="http://schemas.openxmlformats.org/officeDocument/2006/relationships/hyperlink" Target="https://eur-lex.europa.eu/legal-content/LV/TXT/?uri=CELEX%3A02010L0013-20181218" TargetMode="External"/><Relationship Id="rId101" Type="http://schemas.openxmlformats.org/officeDocument/2006/relationships/hyperlink" Target="https://digital-strategy.ec.europa.eu/en/policies/web-accessibility-directive-standards-and-harmonisation" TargetMode="External"/><Relationship Id="rId4" Type="http://schemas.openxmlformats.org/officeDocument/2006/relationships/hyperlink" Target="https://eur-lex.europa.eu/legal-content/LV/TXT/?uri=CELEX:52020DC0252" TargetMode="External"/><Relationship Id="rId9" Type="http://schemas.openxmlformats.org/officeDocument/2006/relationships/hyperlink" Target="https://eur-lex.europa.eu/legal-content/LV/TXT/?uri=CELEX%3A52023AP0037&amp;qid=1695896629476" TargetMode="External"/><Relationship Id="rId13" Type="http://schemas.openxmlformats.org/officeDocument/2006/relationships/hyperlink" Target="https://eur-lex.europa.eu/legal-content/LV/TXT/?uri=COM%3A2021%3A101%3AFIN" TargetMode="External"/><Relationship Id="rId18"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39" Type="http://schemas.openxmlformats.org/officeDocument/2006/relationships/hyperlink" Target="https://eur-lex.europa.eu/legal-content/LV/TXT/?uri=CELEX%3A52021PC0731" TargetMode="External"/><Relationship Id="rId34" Type="http://schemas.openxmlformats.org/officeDocument/2006/relationships/hyperlink" Target="https://eur-lex.europa.eu/legal-content/LV/TXT/?uri=CELEX%3A01993L0109-20130127" TargetMode="External"/><Relationship Id="rId50" Type="http://schemas.openxmlformats.org/officeDocument/2006/relationships/hyperlink" Target="https://hudoc.echr.coe.int/eng" TargetMode="External"/><Relationship Id="rId55" Type="http://schemas.openxmlformats.org/officeDocument/2006/relationships/hyperlink" Target="https://www.osce.org/odihr/elections" TargetMode="External"/><Relationship Id="rId76" Type="http://schemas.openxmlformats.org/officeDocument/2006/relationships/hyperlink" Target="https://www.elections.interieur.gouv.fr/comprendre-elections/comment-je-vote/vote-des-personnes-en-situation-de-handicap-laccessibilite-des" TargetMode="External"/><Relationship Id="rId97" Type="http://schemas.openxmlformats.org/officeDocument/2006/relationships/hyperlink" Target="https://eur-lex.europa.eu/legal-content/LV/TXT/?uri=CELEX%3A02014L0025-20220101" TargetMode="External"/><Relationship Id="rId104" Type="http://schemas.openxmlformats.org/officeDocument/2006/relationships/hyperlink" Target="https://digital-strategy.ec.europa.eu/en/policies/web-accessibility-directive-standards-and-harmonisat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4861ED-886B-4971-AAFA-D4FC7A916C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16206</Words>
  <Characters>92377</Characters>
  <Application>Microsoft Office Word</Application>
  <DocSecurity>0</DocSecurity>
  <Lines>769</Lines>
  <Paragraphs>216</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108367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2024-02-07T08:45:00Z</dcterms:created>
  <dcterms:modified xsi:type="dcterms:W3CDTF">2024-02-14T16:29:00Z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Status">
    <vt:lpwstr>Green</vt:lpwstr>
  </property>
  <property fmtid="{D5CDD505-2E9C-101B-9397-08002B2CF9AE}" pid="3" name="Last edited using">
    <vt:lpwstr>LW 9.0, Build 20230317</vt:lpwstr>
  </property>
  <property fmtid="{D5CDD505-2E9C-101B-9397-08002B2CF9AE}" pid="4" name="MSIP_Label_6bd9ddd1-4d20-43f6-abfa-fc3c07406f94_Enabled">
    <vt:lpwstr>true</vt:lpwstr>
  </property>
  <property fmtid="{D5CDD505-2E9C-101B-9397-08002B2CF9AE}" pid="5" name="MSIP_Label_6bd9ddd1-4d20-43f6-abfa-fc3c07406f94_SetDate">
    <vt:lpwstr>2023-11-27T12:51:02Z</vt:lpwstr>
  </property>
  <property fmtid="{D5CDD505-2E9C-101B-9397-08002B2CF9AE}" pid="6" name="MSIP_Label_6bd9ddd1-4d20-43f6-abfa-fc3c07406f94_Method">
    <vt:lpwstr>Standard</vt:lpwstr>
  </property>
  <property fmtid="{D5CDD505-2E9C-101B-9397-08002B2CF9AE}" pid="7" name="MSIP_Label_6bd9ddd1-4d20-43f6-abfa-fc3c07406f94_Name">
    <vt:lpwstr>Commission Use</vt:lpwstr>
  </property>
  <property fmtid="{D5CDD505-2E9C-101B-9397-08002B2CF9AE}" pid="8" name="MSIP_Label_6bd9ddd1-4d20-43f6-abfa-fc3c07406f94_SiteId">
    <vt:lpwstr>b24c8b06-522c-46fe-9080-70926f8dddb1</vt:lpwstr>
  </property>
  <property fmtid="{D5CDD505-2E9C-101B-9397-08002B2CF9AE}" pid="9" name="MSIP_Label_6bd9ddd1-4d20-43f6-abfa-fc3c07406f94_ActionId">
    <vt:lpwstr>48f7468c-de08-4eef-8e84-3425a772580c</vt:lpwstr>
  </property>
  <property fmtid="{D5CDD505-2E9C-101B-9397-08002B2CF9AE}" pid="10" name="MSIP_Label_6bd9ddd1-4d20-43f6-abfa-fc3c07406f94_ContentBits">
    <vt:lpwstr>0</vt:lpwstr>
  </property>
  <property fmtid="{D5CDD505-2E9C-101B-9397-08002B2CF9AE}" pid="11" name="Level of sensitivity">
    <vt:lpwstr>Standard treatment</vt:lpwstr>
  </property>
  <property fmtid="{D5CDD505-2E9C-101B-9397-08002B2CF9AE}" pid="12" name="Part">
    <vt:lpwstr>1</vt:lpwstr>
  </property>
  <property fmtid="{D5CDD505-2E9C-101B-9397-08002B2CF9AE}" pid="13" name="Total parts">
    <vt:lpwstr>1</vt:lpwstr>
  </property>
  <property fmtid="{D5CDD505-2E9C-101B-9397-08002B2CF9AE}" pid="14" name="CPTemplateID">
    <vt:lpwstr>CP-024</vt:lpwstr>
  </property>
</Properties>
</file>