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6ED3ECEF" w:rsidR="00BB79A4" w:rsidRPr="00B42AEB" w:rsidRDefault="00250FB9" w:rsidP="00250FB9">
      <w:pPr>
        <w:pStyle w:val="Pagedecouverture"/>
        <w:rPr>
          <w:noProof/>
        </w:rPr>
      </w:pPr>
      <w:bookmarkStart w:id="0" w:name="LW_BM_COVERPAGE"/>
      <w:r>
        <w:rPr>
          <w:noProof/>
        </w:rPr>
        <w:pict w14:anchorId="066DFE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366ED21A-D972-4433-B584-0997962ECE58" style="width:455.15pt;height:310.45pt">
            <v:imagedata r:id="rId8" o:title=""/>
          </v:shape>
        </w:pict>
      </w:r>
    </w:p>
    <w:bookmarkEnd w:id="0"/>
    <w:p w14:paraId="7528B035" w14:textId="77777777" w:rsidR="004329BF" w:rsidRPr="00B42AEB" w:rsidRDefault="004329BF" w:rsidP="00B42AEB">
      <w:pPr>
        <w:rPr>
          <w:noProof/>
        </w:rPr>
        <w:sectPr w:rsidR="004329BF" w:rsidRPr="00B42AEB" w:rsidSect="00250FB9">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135229"/>
      <w:bookmarkStart w:id="4" w:name="_GoBack"/>
      <w:bookmarkEnd w:id="1"/>
      <w:bookmarkEnd w:id="2"/>
      <w:bookmarkEnd w:id="4"/>
      <w:r>
        <w:rPr>
          <w:noProof/>
        </w:rPr>
        <w:lastRenderedPageBreak/>
        <w:t>Tartalomjegyzék</w:t>
      </w:r>
      <w:bookmarkEnd w:id="3"/>
    </w:p>
    <w:sdt>
      <w:sdtPr>
        <w:id w:val="-2143641472"/>
        <w:docPartObj>
          <w:docPartGallery w:val="Table of Contents"/>
          <w:docPartUnique/>
        </w:docPartObj>
      </w:sdtPr>
      <w:sdtEndPr/>
      <w:sdtContent>
        <w:p w14:paraId="69032071" w14:textId="43735654" w:rsidR="00713543" w:rsidRPr="006804BF" w:rsidRDefault="00A11876" w:rsidP="006804BF">
          <w:pPr>
            <w:pStyle w:val="TOC1"/>
            <w:rPr>
              <w:rFonts w:asciiTheme="minorHAnsi" w:eastAsiaTheme="minorEastAsia" w:hAnsiTheme="minorHAnsi" w:cstheme="minorBidi"/>
              <w:kern w:val="2"/>
              <w:sz w:val="22"/>
              <w:szCs w:val="22"/>
              <w14:ligatures w14:val="standardContextual"/>
            </w:rPr>
          </w:pPr>
          <w:r>
            <w:fldChar w:fldCharType="begin"/>
          </w:r>
          <w:r>
            <w:instrText xml:space="preserve"> TOC \o "1-3" \h \z \u </w:instrText>
          </w:r>
          <w:r>
            <w:fldChar w:fldCharType="separate"/>
          </w:r>
          <w:hyperlink w:anchor="_Toc158135230" w:history="1">
            <w:r w:rsidR="00713543" w:rsidRPr="006804BF">
              <w:rPr>
                <w:rStyle w:val="Hyperlink"/>
                <w:b/>
                <w:bCs/>
              </w:rPr>
              <w:t>1.</w:t>
            </w:r>
            <w:r w:rsidR="00713543" w:rsidRPr="006804BF">
              <w:rPr>
                <w:rFonts w:asciiTheme="minorHAnsi" w:eastAsiaTheme="minorEastAsia" w:hAnsiTheme="minorHAnsi" w:cstheme="minorBidi"/>
                <w:kern w:val="2"/>
                <w:sz w:val="22"/>
                <w:szCs w:val="22"/>
                <w14:ligatures w14:val="standardContextual"/>
              </w:rPr>
              <w:tab/>
            </w:r>
            <w:r w:rsidR="00713543" w:rsidRPr="006804BF">
              <w:rPr>
                <w:rStyle w:val="Hyperlink"/>
                <w:b/>
                <w:bCs/>
              </w:rPr>
              <w:t>Bevezetés</w:t>
            </w:r>
            <w:r w:rsidR="00713543" w:rsidRPr="006804BF">
              <w:rPr>
                <w:webHidden/>
              </w:rPr>
              <w:tab/>
            </w:r>
            <w:r w:rsidR="00713543" w:rsidRPr="006804BF">
              <w:rPr>
                <w:webHidden/>
              </w:rPr>
              <w:fldChar w:fldCharType="begin"/>
            </w:r>
            <w:r w:rsidR="00713543" w:rsidRPr="006804BF">
              <w:rPr>
                <w:webHidden/>
              </w:rPr>
              <w:instrText xml:space="preserve"> PAGEREF _Toc158135230 \h </w:instrText>
            </w:r>
            <w:r w:rsidR="00713543" w:rsidRPr="006804BF">
              <w:rPr>
                <w:webHidden/>
              </w:rPr>
            </w:r>
            <w:r w:rsidR="00713543" w:rsidRPr="006804BF">
              <w:rPr>
                <w:webHidden/>
              </w:rPr>
              <w:fldChar w:fldCharType="separate"/>
            </w:r>
            <w:r w:rsidR="00713543" w:rsidRPr="006804BF">
              <w:rPr>
                <w:webHidden/>
              </w:rPr>
              <w:t>3</w:t>
            </w:r>
            <w:r w:rsidR="00713543" w:rsidRPr="006804BF">
              <w:rPr>
                <w:webHidden/>
              </w:rPr>
              <w:fldChar w:fldCharType="end"/>
            </w:r>
          </w:hyperlink>
        </w:p>
        <w:p w14:paraId="38008BCF" w14:textId="5BA8D3A5"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31" w:history="1">
            <w:r w:rsidR="00713543" w:rsidRPr="006804BF">
              <w:rPr>
                <w:rStyle w:val="Hyperlink"/>
                <w:b/>
                <w:bCs/>
              </w:rPr>
              <w:t>2.</w:t>
            </w:r>
            <w:r w:rsidR="00713543" w:rsidRPr="006804BF">
              <w:rPr>
                <w:rFonts w:asciiTheme="minorHAnsi" w:eastAsiaTheme="minorEastAsia" w:hAnsiTheme="minorHAnsi" w:cstheme="minorBidi"/>
                <w:kern w:val="2"/>
                <w:sz w:val="22"/>
                <w:szCs w:val="22"/>
                <w14:ligatures w14:val="standardContextual"/>
              </w:rPr>
              <w:tab/>
            </w:r>
            <w:r w:rsidR="00713543" w:rsidRPr="006804BF">
              <w:rPr>
                <w:rStyle w:val="Hyperlink"/>
                <w:b/>
                <w:bCs/>
              </w:rPr>
              <w:t>A fogyatékossággal élő polgárokat érintő legfontosabb problémák</w:t>
            </w:r>
            <w:r w:rsidR="00713543" w:rsidRPr="006804BF">
              <w:rPr>
                <w:webHidden/>
              </w:rPr>
              <w:tab/>
            </w:r>
            <w:r w:rsidR="00713543" w:rsidRPr="006804BF">
              <w:rPr>
                <w:webHidden/>
              </w:rPr>
              <w:fldChar w:fldCharType="begin"/>
            </w:r>
            <w:r w:rsidR="00713543" w:rsidRPr="006804BF">
              <w:rPr>
                <w:webHidden/>
              </w:rPr>
              <w:instrText xml:space="preserve"> PAGEREF _Toc158135231 \h </w:instrText>
            </w:r>
            <w:r w:rsidR="00713543" w:rsidRPr="006804BF">
              <w:rPr>
                <w:webHidden/>
              </w:rPr>
            </w:r>
            <w:r w:rsidR="00713543" w:rsidRPr="006804BF">
              <w:rPr>
                <w:webHidden/>
              </w:rPr>
              <w:fldChar w:fldCharType="separate"/>
            </w:r>
            <w:r w:rsidR="00713543" w:rsidRPr="006804BF">
              <w:rPr>
                <w:webHidden/>
              </w:rPr>
              <w:t>9</w:t>
            </w:r>
            <w:r w:rsidR="00713543" w:rsidRPr="006804BF">
              <w:rPr>
                <w:webHidden/>
              </w:rPr>
              <w:fldChar w:fldCharType="end"/>
            </w:r>
          </w:hyperlink>
        </w:p>
        <w:p w14:paraId="0800483D" w14:textId="1C701BEA"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32" w:history="1">
            <w:r w:rsidR="00713543" w:rsidRPr="006804BF">
              <w:rPr>
                <w:rStyle w:val="Hyperlink"/>
                <w:b/>
                <w:bCs/>
              </w:rPr>
              <w:t>3.</w:t>
            </w:r>
            <w:r w:rsidR="00713543" w:rsidRPr="006804BF">
              <w:rPr>
                <w:rFonts w:asciiTheme="minorHAnsi" w:eastAsiaTheme="minorEastAsia" w:hAnsiTheme="minorHAnsi" w:cstheme="minorBidi"/>
                <w:kern w:val="2"/>
                <w:sz w:val="22"/>
                <w:szCs w:val="22"/>
                <w14:ligatures w14:val="standardContextual"/>
              </w:rPr>
              <w:tab/>
            </w:r>
            <w:r w:rsidR="00713543" w:rsidRPr="006804BF">
              <w:rPr>
                <w:rStyle w:val="Hyperlink"/>
                <w:b/>
                <w:bCs/>
              </w:rPr>
              <w:t>Az uniós keret</w:t>
            </w:r>
            <w:r w:rsidR="00713543" w:rsidRPr="006804BF">
              <w:rPr>
                <w:webHidden/>
              </w:rPr>
              <w:tab/>
            </w:r>
            <w:r w:rsidR="00713543" w:rsidRPr="006804BF">
              <w:rPr>
                <w:webHidden/>
              </w:rPr>
              <w:fldChar w:fldCharType="begin"/>
            </w:r>
            <w:r w:rsidR="00713543" w:rsidRPr="006804BF">
              <w:rPr>
                <w:webHidden/>
              </w:rPr>
              <w:instrText xml:space="preserve"> PAGEREF _Toc158135232 \h </w:instrText>
            </w:r>
            <w:r w:rsidR="00713543" w:rsidRPr="006804BF">
              <w:rPr>
                <w:webHidden/>
              </w:rPr>
            </w:r>
            <w:r w:rsidR="00713543" w:rsidRPr="006804BF">
              <w:rPr>
                <w:webHidden/>
              </w:rPr>
              <w:fldChar w:fldCharType="separate"/>
            </w:r>
            <w:r w:rsidR="00713543" w:rsidRPr="006804BF">
              <w:rPr>
                <w:webHidden/>
              </w:rPr>
              <w:t>10</w:t>
            </w:r>
            <w:r w:rsidR="00713543" w:rsidRPr="006804BF">
              <w:rPr>
                <w:webHidden/>
              </w:rPr>
              <w:fldChar w:fldCharType="end"/>
            </w:r>
          </w:hyperlink>
        </w:p>
        <w:p w14:paraId="0DDFFCF1" w14:textId="58AF6FA2"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3" w:history="1">
            <w:r w:rsidR="00713543" w:rsidRPr="00D20860">
              <w:rPr>
                <w:rStyle w:val="Hyperlink"/>
                <w:noProof/>
              </w:rPr>
              <w:t>3.1.</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Szerződések</w:t>
            </w:r>
            <w:r w:rsidR="00713543">
              <w:rPr>
                <w:noProof/>
                <w:webHidden/>
              </w:rPr>
              <w:tab/>
            </w:r>
            <w:r w:rsidR="00713543">
              <w:rPr>
                <w:noProof/>
                <w:webHidden/>
              </w:rPr>
              <w:fldChar w:fldCharType="begin"/>
            </w:r>
            <w:r w:rsidR="00713543">
              <w:rPr>
                <w:noProof/>
                <w:webHidden/>
              </w:rPr>
              <w:instrText xml:space="preserve"> PAGEREF _Toc158135233 \h </w:instrText>
            </w:r>
            <w:r w:rsidR="00713543">
              <w:rPr>
                <w:noProof/>
                <w:webHidden/>
              </w:rPr>
            </w:r>
            <w:r w:rsidR="00713543">
              <w:rPr>
                <w:noProof/>
                <w:webHidden/>
              </w:rPr>
              <w:fldChar w:fldCharType="separate"/>
            </w:r>
            <w:r w:rsidR="00713543">
              <w:rPr>
                <w:noProof/>
                <w:webHidden/>
              </w:rPr>
              <w:t>10</w:t>
            </w:r>
            <w:r w:rsidR="00713543">
              <w:rPr>
                <w:noProof/>
                <w:webHidden/>
              </w:rPr>
              <w:fldChar w:fldCharType="end"/>
            </w:r>
          </w:hyperlink>
        </w:p>
        <w:p w14:paraId="64F7668A" w14:textId="447C16C3"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4" w:history="1">
            <w:r w:rsidR="00713543" w:rsidRPr="00D20860">
              <w:rPr>
                <w:rStyle w:val="Hyperlink"/>
                <w:noProof/>
              </w:rPr>
              <w:t>3.2.</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Az Egyesült Nemzetek fogyatékossággal élő személyek jogairól szóló egyezménye</w:t>
            </w:r>
            <w:r w:rsidR="00713543">
              <w:rPr>
                <w:noProof/>
                <w:webHidden/>
              </w:rPr>
              <w:tab/>
            </w:r>
            <w:r w:rsidR="00713543">
              <w:rPr>
                <w:noProof/>
                <w:webHidden/>
              </w:rPr>
              <w:fldChar w:fldCharType="begin"/>
            </w:r>
            <w:r w:rsidR="00713543">
              <w:rPr>
                <w:noProof/>
                <w:webHidden/>
              </w:rPr>
              <w:instrText xml:space="preserve"> PAGEREF _Toc158135234 \h </w:instrText>
            </w:r>
            <w:r w:rsidR="00713543">
              <w:rPr>
                <w:noProof/>
                <w:webHidden/>
              </w:rPr>
            </w:r>
            <w:r w:rsidR="00713543">
              <w:rPr>
                <w:noProof/>
                <w:webHidden/>
              </w:rPr>
              <w:fldChar w:fldCharType="separate"/>
            </w:r>
            <w:r w:rsidR="00713543">
              <w:rPr>
                <w:noProof/>
                <w:webHidden/>
              </w:rPr>
              <w:t>10</w:t>
            </w:r>
            <w:r w:rsidR="00713543">
              <w:rPr>
                <w:noProof/>
                <w:webHidden/>
              </w:rPr>
              <w:fldChar w:fldCharType="end"/>
            </w:r>
          </w:hyperlink>
        </w:p>
        <w:p w14:paraId="0225B6CB" w14:textId="72E4FADE"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5" w:history="1">
            <w:r w:rsidR="00713543" w:rsidRPr="00D20860">
              <w:rPr>
                <w:rStyle w:val="Hyperlink"/>
                <w:noProof/>
              </w:rPr>
              <w:t>3.3.</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Az Európai Unió Alapjogi Chartája</w:t>
            </w:r>
            <w:r w:rsidR="00713543">
              <w:rPr>
                <w:noProof/>
                <w:webHidden/>
              </w:rPr>
              <w:tab/>
            </w:r>
            <w:r w:rsidR="00713543">
              <w:rPr>
                <w:noProof/>
                <w:webHidden/>
              </w:rPr>
              <w:fldChar w:fldCharType="begin"/>
            </w:r>
            <w:r w:rsidR="00713543">
              <w:rPr>
                <w:noProof/>
                <w:webHidden/>
              </w:rPr>
              <w:instrText xml:space="preserve"> PAGEREF _Toc158135235 \h </w:instrText>
            </w:r>
            <w:r w:rsidR="00713543">
              <w:rPr>
                <w:noProof/>
                <w:webHidden/>
              </w:rPr>
            </w:r>
            <w:r w:rsidR="00713543">
              <w:rPr>
                <w:noProof/>
                <w:webHidden/>
              </w:rPr>
              <w:fldChar w:fldCharType="separate"/>
            </w:r>
            <w:r w:rsidR="00713543">
              <w:rPr>
                <w:noProof/>
                <w:webHidden/>
              </w:rPr>
              <w:t>11</w:t>
            </w:r>
            <w:r w:rsidR="00713543">
              <w:rPr>
                <w:noProof/>
                <w:webHidden/>
              </w:rPr>
              <w:fldChar w:fldCharType="end"/>
            </w:r>
          </w:hyperlink>
        </w:p>
        <w:p w14:paraId="7BE24A7B" w14:textId="3600E7DF"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6" w:history="1">
            <w:r w:rsidR="00713543" w:rsidRPr="00D20860">
              <w:rPr>
                <w:rStyle w:val="Hyperlink"/>
                <w:noProof/>
              </w:rPr>
              <w:t>3.4.</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Uniós választási jog</w:t>
            </w:r>
            <w:r w:rsidR="00713543">
              <w:rPr>
                <w:noProof/>
                <w:webHidden/>
              </w:rPr>
              <w:tab/>
            </w:r>
            <w:r w:rsidR="00713543">
              <w:rPr>
                <w:noProof/>
                <w:webHidden/>
              </w:rPr>
              <w:fldChar w:fldCharType="begin"/>
            </w:r>
            <w:r w:rsidR="00713543">
              <w:rPr>
                <w:noProof/>
                <w:webHidden/>
              </w:rPr>
              <w:instrText xml:space="preserve"> PAGEREF _Toc158135236 \h </w:instrText>
            </w:r>
            <w:r w:rsidR="00713543">
              <w:rPr>
                <w:noProof/>
                <w:webHidden/>
              </w:rPr>
            </w:r>
            <w:r w:rsidR="00713543">
              <w:rPr>
                <w:noProof/>
                <w:webHidden/>
              </w:rPr>
              <w:fldChar w:fldCharType="separate"/>
            </w:r>
            <w:r w:rsidR="00713543">
              <w:rPr>
                <w:noProof/>
                <w:webHidden/>
              </w:rPr>
              <w:t>11</w:t>
            </w:r>
            <w:r w:rsidR="00713543">
              <w:rPr>
                <w:noProof/>
                <w:webHidden/>
              </w:rPr>
              <w:fldChar w:fldCharType="end"/>
            </w:r>
          </w:hyperlink>
        </w:p>
        <w:p w14:paraId="33504E7E" w14:textId="1A908320"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7" w:history="1">
            <w:r w:rsidR="00713543" w:rsidRPr="00D20860">
              <w:rPr>
                <w:rStyle w:val="Hyperlink"/>
                <w:noProof/>
              </w:rPr>
              <w:t>3.5.</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A mobilis uniós polgárok szavazati jogai</w:t>
            </w:r>
            <w:r w:rsidR="00713543">
              <w:rPr>
                <w:noProof/>
                <w:webHidden/>
              </w:rPr>
              <w:tab/>
            </w:r>
            <w:r w:rsidR="00713543">
              <w:rPr>
                <w:noProof/>
                <w:webHidden/>
              </w:rPr>
              <w:fldChar w:fldCharType="begin"/>
            </w:r>
            <w:r w:rsidR="00713543">
              <w:rPr>
                <w:noProof/>
                <w:webHidden/>
              </w:rPr>
              <w:instrText xml:space="preserve"> PAGEREF _Toc158135237 \h </w:instrText>
            </w:r>
            <w:r w:rsidR="00713543">
              <w:rPr>
                <w:noProof/>
                <w:webHidden/>
              </w:rPr>
            </w:r>
            <w:r w:rsidR="00713543">
              <w:rPr>
                <w:noProof/>
                <w:webHidden/>
              </w:rPr>
              <w:fldChar w:fldCharType="separate"/>
            </w:r>
            <w:r w:rsidR="00713543">
              <w:rPr>
                <w:noProof/>
                <w:webHidden/>
              </w:rPr>
              <w:t>12</w:t>
            </w:r>
            <w:r w:rsidR="00713543">
              <w:rPr>
                <w:noProof/>
                <w:webHidden/>
              </w:rPr>
              <w:fldChar w:fldCharType="end"/>
            </w:r>
          </w:hyperlink>
        </w:p>
        <w:p w14:paraId="2AE00148" w14:textId="0C038EBA"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8" w:history="1">
            <w:r w:rsidR="00713543" w:rsidRPr="00D20860">
              <w:rPr>
                <w:rStyle w:val="Hyperlink"/>
                <w:noProof/>
              </w:rPr>
              <w:t>3.6.</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A politikai reklám átláthatósága</w:t>
            </w:r>
            <w:r w:rsidR="00713543">
              <w:rPr>
                <w:noProof/>
                <w:webHidden/>
              </w:rPr>
              <w:tab/>
            </w:r>
            <w:r w:rsidR="00713543">
              <w:rPr>
                <w:noProof/>
                <w:webHidden/>
              </w:rPr>
              <w:fldChar w:fldCharType="begin"/>
            </w:r>
            <w:r w:rsidR="00713543">
              <w:rPr>
                <w:noProof/>
                <w:webHidden/>
              </w:rPr>
              <w:instrText xml:space="preserve"> PAGEREF _Toc158135238 \h </w:instrText>
            </w:r>
            <w:r w:rsidR="00713543">
              <w:rPr>
                <w:noProof/>
                <w:webHidden/>
              </w:rPr>
            </w:r>
            <w:r w:rsidR="00713543">
              <w:rPr>
                <w:noProof/>
                <w:webHidden/>
              </w:rPr>
              <w:fldChar w:fldCharType="separate"/>
            </w:r>
            <w:r w:rsidR="00713543">
              <w:rPr>
                <w:noProof/>
                <w:webHidden/>
              </w:rPr>
              <w:t>13</w:t>
            </w:r>
            <w:r w:rsidR="00713543">
              <w:rPr>
                <w:noProof/>
                <w:webHidden/>
              </w:rPr>
              <w:fldChar w:fldCharType="end"/>
            </w:r>
          </w:hyperlink>
        </w:p>
        <w:p w14:paraId="6E9DE1E6" w14:textId="41517984"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39" w:history="1">
            <w:r w:rsidR="00713543" w:rsidRPr="00D20860">
              <w:rPr>
                <w:rStyle w:val="Hyperlink"/>
                <w:noProof/>
              </w:rPr>
              <w:t>3.7.</w:t>
            </w:r>
            <w:r w:rsidR="00713543">
              <w:rPr>
                <w:rFonts w:asciiTheme="minorHAnsi" w:eastAsiaTheme="minorEastAsia" w:hAnsiTheme="minorHAnsi" w:cstheme="minorBidi"/>
                <w:noProof/>
                <w:kern w:val="2"/>
                <w:sz w:val="22"/>
                <w:szCs w:val="22"/>
                <w14:ligatures w14:val="standardContextual"/>
              </w:rPr>
              <w:tab/>
            </w:r>
            <w:r w:rsidR="00713543" w:rsidRPr="00D20860">
              <w:rPr>
                <w:rStyle w:val="Hyperlink"/>
                <w:noProof/>
              </w:rPr>
              <w:t>Egyéb uniós jogi szövegek</w:t>
            </w:r>
            <w:r w:rsidR="00713543">
              <w:rPr>
                <w:noProof/>
                <w:webHidden/>
              </w:rPr>
              <w:tab/>
            </w:r>
            <w:r w:rsidR="00713543">
              <w:rPr>
                <w:noProof/>
                <w:webHidden/>
              </w:rPr>
              <w:fldChar w:fldCharType="begin"/>
            </w:r>
            <w:r w:rsidR="00713543">
              <w:rPr>
                <w:noProof/>
                <w:webHidden/>
              </w:rPr>
              <w:instrText xml:space="preserve"> PAGEREF _Toc158135239 \h </w:instrText>
            </w:r>
            <w:r w:rsidR="00713543">
              <w:rPr>
                <w:noProof/>
                <w:webHidden/>
              </w:rPr>
            </w:r>
            <w:r w:rsidR="00713543">
              <w:rPr>
                <w:noProof/>
                <w:webHidden/>
              </w:rPr>
              <w:fldChar w:fldCharType="separate"/>
            </w:r>
            <w:r w:rsidR="00713543">
              <w:rPr>
                <w:noProof/>
                <w:webHidden/>
              </w:rPr>
              <w:t>14</w:t>
            </w:r>
            <w:r w:rsidR="00713543">
              <w:rPr>
                <w:noProof/>
                <w:webHidden/>
              </w:rPr>
              <w:fldChar w:fldCharType="end"/>
            </w:r>
          </w:hyperlink>
        </w:p>
        <w:p w14:paraId="39F01DFB" w14:textId="0B9D0E8B"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40" w:history="1">
            <w:r w:rsidR="00713543" w:rsidRPr="006804BF">
              <w:rPr>
                <w:rStyle w:val="Hyperlink"/>
                <w:b/>
                <w:bCs/>
              </w:rPr>
              <w:t>4. Az uniós tagállamokra alkalmazandó nemzetközi szabványok</w:t>
            </w:r>
            <w:r w:rsidR="00713543" w:rsidRPr="006804BF">
              <w:rPr>
                <w:webHidden/>
              </w:rPr>
              <w:tab/>
            </w:r>
            <w:r w:rsidR="00713543" w:rsidRPr="006804BF">
              <w:rPr>
                <w:webHidden/>
              </w:rPr>
              <w:fldChar w:fldCharType="begin"/>
            </w:r>
            <w:r w:rsidR="00713543" w:rsidRPr="006804BF">
              <w:rPr>
                <w:webHidden/>
              </w:rPr>
              <w:instrText xml:space="preserve"> PAGEREF _Toc158135240 \h </w:instrText>
            </w:r>
            <w:r w:rsidR="00713543" w:rsidRPr="006804BF">
              <w:rPr>
                <w:webHidden/>
              </w:rPr>
            </w:r>
            <w:r w:rsidR="00713543" w:rsidRPr="006804BF">
              <w:rPr>
                <w:webHidden/>
              </w:rPr>
              <w:fldChar w:fldCharType="separate"/>
            </w:r>
            <w:r w:rsidR="00713543" w:rsidRPr="006804BF">
              <w:rPr>
                <w:webHidden/>
              </w:rPr>
              <w:t>14</w:t>
            </w:r>
            <w:r w:rsidR="00713543" w:rsidRPr="006804BF">
              <w:rPr>
                <w:webHidden/>
              </w:rPr>
              <w:fldChar w:fldCharType="end"/>
            </w:r>
          </w:hyperlink>
        </w:p>
        <w:p w14:paraId="4BBAEF8A" w14:textId="77B1E04E"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41" w:history="1">
            <w:r w:rsidR="00713543" w:rsidRPr="006804BF">
              <w:rPr>
                <w:rStyle w:val="Hyperlink"/>
                <w:b/>
                <w:bCs/>
              </w:rPr>
              <w:t>5. A választásokon való részvételt támogató környezet</w:t>
            </w:r>
            <w:r w:rsidR="00713543" w:rsidRPr="006804BF">
              <w:rPr>
                <w:webHidden/>
              </w:rPr>
              <w:tab/>
            </w:r>
            <w:r w:rsidR="00713543" w:rsidRPr="006804BF">
              <w:rPr>
                <w:webHidden/>
              </w:rPr>
              <w:fldChar w:fldCharType="begin"/>
            </w:r>
            <w:r w:rsidR="00713543" w:rsidRPr="006804BF">
              <w:rPr>
                <w:webHidden/>
              </w:rPr>
              <w:instrText xml:space="preserve"> PAGEREF _Toc158135241 \h </w:instrText>
            </w:r>
            <w:r w:rsidR="00713543" w:rsidRPr="006804BF">
              <w:rPr>
                <w:webHidden/>
              </w:rPr>
            </w:r>
            <w:r w:rsidR="00713543" w:rsidRPr="006804BF">
              <w:rPr>
                <w:webHidden/>
              </w:rPr>
              <w:fldChar w:fldCharType="separate"/>
            </w:r>
            <w:r w:rsidR="00713543" w:rsidRPr="006804BF">
              <w:rPr>
                <w:webHidden/>
              </w:rPr>
              <w:t>16</w:t>
            </w:r>
            <w:r w:rsidR="00713543" w:rsidRPr="006804BF">
              <w:rPr>
                <w:webHidden/>
              </w:rPr>
              <w:fldChar w:fldCharType="end"/>
            </w:r>
          </w:hyperlink>
        </w:p>
        <w:p w14:paraId="5D84544D" w14:textId="07A53AE4"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2" w:history="1">
            <w:r w:rsidR="00713543" w:rsidRPr="00D20860">
              <w:rPr>
                <w:rStyle w:val="Hyperlink"/>
                <w:noProof/>
              </w:rPr>
              <w:t>5.1. Egyedi szakpolitikák kidolgozása</w:t>
            </w:r>
            <w:r w:rsidR="00713543">
              <w:rPr>
                <w:noProof/>
                <w:webHidden/>
              </w:rPr>
              <w:tab/>
            </w:r>
            <w:r w:rsidR="00713543">
              <w:rPr>
                <w:noProof/>
                <w:webHidden/>
              </w:rPr>
              <w:fldChar w:fldCharType="begin"/>
            </w:r>
            <w:r w:rsidR="00713543">
              <w:rPr>
                <w:noProof/>
                <w:webHidden/>
              </w:rPr>
              <w:instrText xml:space="preserve"> PAGEREF _Toc158135242 \h </w:instrText>
            </w:r>
            <w:r w:rsidR="00713543">
              <w:rPr>
                <w:noProof/>
                <w:webHidden/>
              </w:rPr>
            </w:r>
            <w:r w:rsidR="00713543">
              <w:rPr>
                <w:noProof/>
                <w:webHidden/>
              </w:rPr>
              <w:fldChar w:fldCharType="separate"/>
            </w:r>
            <w:r w:rsidR="00713543">
              <w:rPr>
                <w:noProof/>
                <w:webHidden/>
              </w:rPr>
              <w:t>16</w:t>
            </w:r>
            <w:r w:rsidR="00713543">
              <w:rPr>
                <w:noProof/>
                <w:webHidden/>
              </w:rPr>
              <w:fldChar w:fldCharType="end"/>
            </w:r>
          </w:hyperlink>
        </w:p>
        <w:p w14:paraId="38A2FFA4" w14:textId="1F5FE184"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3" w:history="1">
            <w:r w:rsidR="00713543" w:rsidRPr="00D20860">
              <w:rPr>
                <w:rStyle w:val="Hyperlink"/>
                <w:noProof/>
              </w:rPr>
              <w:t>5.2. Figyelemfelkeltés és a magatartás megváltoztatása</w:t>
            </w:r>
            <w:r w:rsidR="00713543">
              <w:rPr>
                <w:noProof/>
                <w:webHidden/>
              </w:rPr>
              <w:tab/>
            </w:r>
            <w:r w:rsidR="00713543">
              <w:rPr>
                <w:noProof/>
                <w:webHidden/>
              </w:rPr>
              <w:fldChar w:fldCharType="begin"/>
            </w:r>
            <w:r w:rsidR="00713543">
              <w:rPr>
                <w:noProof/>
                <w:webHidden/>
              </w:rPr>
              <w:instrText xml:space="preserve"> PAGEREF _Toc158135243 \h </w:instrText>
            </w:r>
            <w:r w:rsidR="00713543">
              <w:rPr>
                <w:noProof/>
                <w:webHidden/>
              </w:rPr>
            </w:r>
            <w:r w:rsidR="00713543">
              <w:rPr>
                <w:noProof/>
                <w:webHidden/>
              </w:rPr>
              <w:fldChar w:fldCharType="separate"/>
            </w:r>
            <w:r w:rsidR="00713543">
              <w:rPr>
                <w:noProof/>
                <w:webHidden/>
              </w:rPr>
              <w:t>17</w:t>
            </w:r>
            <w:r w:rsidR="00713543">
              <w:rPr>
                <w:noProof/>
                <w:webHidden/>
              </w:rPr>
              <w:fldChar w:fldCharType="end"/>
            </w:r>
          </w:hyperlink>
        </w:p>
        <w:p w14:paraId="6035FF1B" w14:textId="1C28832B"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4" w:history="1">
            <w:r w:rsidR="00713543" w:rsidRPr="00D20860">
              <w:rPr>
                <w:rStyle w:val="Hyperlink"/>
                <w:noProof/>
              </w:rPr>
              <w:t>5.3. Együttműködés a fogyatékossággal élő személyek jogait támogató szervezetekkel</w:t>
            </w:r>
            <w:r w:rsidR="00713543">
              <w:rPr>
                <w:noProof/>
                <w:webHidden/>
              </w:rPr>
              <w:tab/>
            </w:r>
            <w:r w:rsidR="00713543">
              <w:rPr>
                <w:noProof/>
                <w:webHidden/>
              </w:rPr>
              <w:fldChar w:fldCharType="begin"/>
            </w:r>
            <w:r w:rsidR="00713543">
              <w:rPr>
                <w:noProof/>
                <w:webHidden/>
              </w:rPr>
              <w:instrText xml:space="preserve"> PAGEREF _Toc158135244 \h </w:instrText>
            </w:r>
            <w:r w:rsidR="00713543">
              <w:rPr>
                <w:noProof/>
                <w:webHidden/>
              </w:rPr>
            </w:r>
            <w:r w:rsidR="00713543">
              <w:rPr>
                <w:noProof/>
                <w:webHidden/>
              </w:rPr>
              <w:fldChar w:fldCharType="separate"/>
            </w:r>
            <w:r w:rsidR="00713543">
              <w:rPr>
                <w:noProof/>
                <w:webHidden/>
              </w:rPr>
              <w:t>18</w:t>
            </w:r>
            <w:r w:rsidR="00713543">
              <w:rPr>
                <w:noProof/>
                <w:webHidden/>
              </w:rPr>
              <w:fldChar w:fldCharType="end"/>
            </w:r>
          </w:hyperlink>
        </w:p>
        <w:p w14:paraId="1288A86C" w14:textId="0AF7ADFE"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5" w:history="1">
            <w:r w:rsidR="00713543" w:rsidRPr="00D20860">
              <w:rPr>
                <w:rStyle w:val="Hyperlink"/>
                <w:noProof/>
              </w:rPr>
              <w:t>5.4. Az épületek akadálymentességének és használhatóságának növelése</w:t>
            </w:r>
            <w:r w:rsidR="00713543">
              <w:rPr>
                <w:noProof/>
                <w:webHidden/>
              </w:rPr>
              <w:tab/>
            </w:r>
            <w:r w:rsidR="00713543">
              <w:rPr>
                <w:noProof/>
                <w:webHidden/>
              </w:rPr>
              <w:fldChar w:fldCharType="begin"/>
            </w:r>
            <w:r w:rsidR="00713543">
              <w:rPr>
                <w:noProof/>
                <w:webHidden/>
              </w:rPr>
              <w:instrText xml:space="preserve"> PAGEREF _Toc158135245 \h </w:instrText>
            </w:r>
            <w:r w:rsidR="00713543">
              <w:rPr>
                <w:noProof/>
                <w:webHidden/>
              </w:rPr>
            </w:r>
            <w:r w:rsidR="00713543">
              <w:rPr>
                <w:noProof/>
                <w:webHidden/>
              </w:rPr>
              <w:fldChar w:fldCharType="separate"/>
            </w:r>
            <w:r w:rsidR="00713543">
              <w:rPr>
                <w:noProof/>
                <w:webHidden/>
              </w:rPr>
              <w:t>20</w:t>
            </w:r>
            <w:r w:rsidR="00713543">
              <w:rPr>
                <w:noProof/>
                <w:webHidden/>
              </w:rPr>
              <w:fldChar w:fldCharType="end"/>
            </w:r>
          </w:hyperlink>
        </w:p>
        <w:p w14:paraId="1FB1E325" w14:textId="61773102"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6" w:history="1">
            <w:r w:rsidR="00713543" w:rsidRPr="00D20860">
              <w:rPr>
                <w:rStyle w:val="Hyperlink"/>
                <w:noProof/>
              </w:rPr>
              <w:t>5.5. A választási tisztviselők képzése és különleges támogatása</w:t>
            </w:r>
            <w:r w:rsidR="00713543">
              <w:rPr>
                <w:noProof/>
                <w:webHidden/>
              </w:rPr>
              <w:tab/>
            </w:r>
            <w:r w:rsidR="00713543">
              <w:rPr>
                <w:noProof/>
                <w:webHidden/>
              </w:rPr>
              <w:fldChar w:fldCharType="begin"/>
            </w:r>
            <w:r w:rsidR="00713543">
              <w:rPr>
                <w:noProof/>
                <w:webHidden/>
              </w:rPr>
              <w:instrText xml:space="preserve"> PAGEREF _Toc158135246 \h </w:instrText>
            </w:r>
            <w:r w:rsidR="00713543">
              <w:rPr>
                <w:noProof/>
                <w:webHidden/>
              </w:rPr>
            </w:r>
            <w:r w:rsidR="00713543">
              <w:rPr>
                <w:noProof/>
                <w:webHidden/>
              </w:rPr>
              <w:fldChar w:fldCharType="separate"/>
            </w:r>
            <w:r w:rsidR="00713543">
              <w:rPr>
                <w:noProof/>
                <w:webHidden/>
              </w:rPr>
              <w:t>20</w:t>
            </w:r>
            <w:r w:rsidR="00713543">
              <w:rPr>
                <w:noProof/>
                <w:webHidden/>
              </w:rPr>
              <w:fldChar w:fldCharType="end"/>
            </w:r>
          </w:hyperlink>
        </w:p>
        <w:p w14:paraId="0663C6DB" w14:textId="7F35408E"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47" w:history="1">
            <w:r w:rsidR="00713543" w:rsidRPr="006804BF">
              <w:rPr>
                <w:rStyle w:val="Hyperlink"/>
                <w:b/>
                <w:bCs/>
              </w:rPr>
              <w:t>6. A fogyatékossággal élő személyek megszólítása a választási ciklus során</w:t>
            </w:r>
            <w:r w:rsidR="00713543" w:rsidRPr="006804BF">
              <w:rPr>
                <w:webHidden/>
              </w:rPr>
              <w:tab/>
            </w:r>
            <w:r w:rsidR="00713543" w:rsidRPr="006804BF">
              <w:rPr>
                <w:webHidden/>
              </w:rPr>
              <w:fldChar w:fldCharType="begin"/>
            </w:r>
            <w:r w:rsidR="00713543" w:rsidRPr="006804BF">
              <w:rPr>
                <w:webHidden/>
              </w:rPr>
              <w:instrText xml:space="preserve"> PAGEREF _Toc158135247 \h </w:instrText>
            </w:r>
            <w:r w:rsidR="00713543" w:rsidRPr="006804BF">
              <w:rPr>
                <w:webHidden/>
              </w:rPr>
            </w:r>
            <w:r w:rsidR="00713543" w:rsidRPr="006804BF">
              <w:rPr>
                <w:webHidden/>
              </w:rPr>
              <w:fldChar w:fldCharType="separate"/>
            </w:r>
            <w:r w:rsidR="00713543" w:rsidRPr="006804BF">
              <w:rPr>
                <w:webHidden/>
              </w:rPr>
              <w:t>21</w:t>
            </w:r>
            <w:r w:rsidR="00713543" w:rsidRPr="006804BF">
              <w:rPr>
                <w:webHidden/>
              </w:rPr>
              <w:fldChar w:fldCharType="end"/>
            </w:r>
          </w:hyperlink>
        </w:p>
        <w:p w14:paraId="3CD06CD1" w14:textId="46B46438"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8" w:history="1">
            <w:r w:rsidR="00713543" w:rsidRPr="00D20860">
              <w:rPr>
                <w:rStyle w:val="Hyperlink"/>
                <w:noProof/>
              </w:rPr>
              <w:t>6.1. A hivatalos kommunikáció akadálymentessége</w:t>
            </w:r>
            <w:r w:rsidR="00713543">
              <w:rPr>
                <w:noProof/>
                <w:webHidden/>
              </w:rPr>
              <w:tab/>
            </w:r>
            <w:r w:rsidR="00713543">
              <w:rPr>
                <w:noProof/>
                <w:webHidden/>
              </w:rPr>
              <w:fldChar w:fldCharType="begin"/>
            </w:r>
            <w:r w:rsidR="00713543">
              <w:rPr>
                <w:noProof/>
                <w:webHidden/>
              </w:rPr>
              <w:instrText xml:space="preserve"> PAGEREF _Toc158135248 \h </w:instrText>
            </w:r>
            <w:r w:rsidR="00713543">
              <w:rPr>
                <w:noProof/>
                <w:webHidden/>
              </w:rPr>
            </w:r>
            <w:r w:rsidR="00713543">
              <w:rPr>
                <w:noProof/>
                <w:webHidden/>
              </w:rPr>
              <w:fldChar w:fldCharType="separate"/>
            </w:r>
            <w:r w:rsidR="00713543">
              <w:rPr>
                <w:noProof/>
                <w:webHidden/>
              </w:rPr>
              <w:t>21</w:t>
            </w:r>
            <w:r w:rsidR="00713543">
              <w:rPr>
                <w:noProof/>
                <w:webHidden/>
              </w:rPr>
              <w:fldChar w:fldCharType="end"/>
            </w:r>
          </w:hyperlink>
        </w:p>
        <w:p w14:paraId="22EB5CAD" w14:textId="34BADCE6"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49" w:history="1">
            <w:r w:rsidR="00713543" w:rsidRPr="00D20860">
              <w:rPr>
                <w:rStyle w:val="Hyperlink"/>
                <w:noProof/>
              </w:rPr>
              <w:t>6.2. A politikai reklám akadálymentessége</w:t>
            </w:r>
            <w:r w:rsidR="00713543">
              <w:rPr>
                <w:noProof/>
                <w:webHidden/>
              </w:rPr>
              <w:tab/>
            </w:r>
            <w:r w:rsidR="00713543">
              <w:rPr>
                <w:noProof/>
                <w:webHidden/>
              </w:rPr>
              <w:fldChar w:fldCharType="begin"/>
            </w:r>
            <w:r w:rsidR="00713543">
              <w:rPr>
                <w:noProof/>
                <w:webHidden/>
              </w:rPr>
              <w:instrText xml:space="preserve"> PAGEREF _Toc158135249 \h </w:instrText>
            </w:r>
            <w:r w:rsidR="00713543">
              <w:rPr>
                <w:noProof/>
                <w:webHidden/>
              </w:rPr>
            </w:r>
            <w:r w:rsidR="00713543">
              <w:rPr>
                <w:noProof/>
                <w:webHidden/>
              </w:rPr>
              <w:fldChar w:fldCharType="separate"/>
            </w:r>
            <w:r w:rsidR="00713543">
              <w:rPr>
                <w:noProof/>
                <w:webHidden/>
              </w:rPr>
              <w:t>23</w:t>
            </w:r>
            <w:r w:rsidR="00713543">
              <w:rPr>
                <w:noProof/>
                <w:webHidden/>
              </w:rPr>
              <w:fldChar w:fldCharType="end"/>
            </w:r>
          </w:hyperlink>
        </w:p>
        <w:p w14:paraId="3A4F2F04" w14:textId="53222BD4"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50" w:history="1">
            <w:r w:rsidR="00713543" w:rsidRPr="006804BF">
              <w:rPr>
                <w:rStyle w:val="Hyperlink"/>
                <w:b/>
                <w:bCs/>
              </w:rPr>
              <w:t>7. Egyetemes tervezés és észszerű alkalmazkodás a választási ciklusban – eljárások, létesítmények és anyagok</w:t>
            </w:r>
            <w:r w:rsidR="00713543" w:rsidRPr="006804BF">
              <w:rPr>
                <w:webHidden/>
              </w:rPr>
              <w:tab/>
            </w:r>
            <w:r w:rsidR="00713543" w:rsidRPr="006804BF">
              <w:rPr>
                <w:webHidden/>
              </w:rPr>
              <w:fldChar w:fldCharType="begin"/>
            </w:r>
            <w:r w:rsidR="00713543" w:rsidRPr="006804BF">
              <w:rPr>
                <w:webHidden/>
              </w:rPr>
              <w:instrText xml:space="preserve"> PAGEREF _Toc158135250 \h </w:instrText>
            </w:r>
            <w:r w:rsidR="00713543" w:rsidRPr="006804BF">
              <w:rPr>
                <w:webHidden/>
              </w:rPr>
            </w:r>
            <w:r w:rsidR="00713543" w:rsidRPr="006804BF">
              <w:rPr>
                <w:webHidden/>
              </w:rPr>
              <w:fldChar w:fldCharType="separate"/>
            </w:r>
            <w:r w:rsidR="00713543" w:rsidRPr="006804BF">
              <w:rPr>
                <w:webHidden/>
              </w:rPr>
              <w:t>24</w:t>
            </w:r>
            <w:r w:rsidR="00713543" w:rsidRPr="006804BF">
              <w:rPr>
                <w:webHidden/>
              </w:rPr>
              <w:fldChar w:fldCharType="end"/>
            </w:r>
          </w:hyperlink>
        </w:p>
        <w:p w14:paraId="0ACB81F3" w14:textId="505C33B8"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1" w:history="1">
            <w:r w:rsidR="00713543" w:rsidRPr="00D20860">
              <w:rPr>
                <w:rStyle w:val="Hyperlink"/>
                <w:noProof/>
              </w:rPr>
              <w:t>7.1. Regisztrációs eljárások</w:t>
            </w:r>
            <w:r w:rsidR="00713543">
              <w:rPr>
                <w:noProof/>
                <w:webHidden/>
              </w:rPr>
              <w:tab/>
            </w:r>
            <w:r w:rsidR="00713543">
              <w:rPr>
                <w:noProof/>
                <w:webHidden/>
              </w:rPr>
              <w:fldChar w:fldCharType="begin"/>
            </w:r>
            <w:r w:rsidR="00713543">
              <w:rPr>
                <w:noProof/>
                <w:webHidden/>
              </w:rPr>
              <w:instrText xml:space="preserve"> PAGEREF _Toc158135251 \h </w:instrText>
            </w:r>
            <w:r w:rsidR="00713543">
              <w:rPr>
                <w:noProof/>
                <w:webHidden/>
              </w:rPr>
            </w:r>
            <w:r w:rsidR="00713543">
              <w:rPr>
                <w:noProof/>
                <w:webHidden/>
              </w:rPr>
              <w:fldChar w:fldCharType="separate"/>
            </w:r>
            <w:r w:rsidR="00713543">
              <w:rPr>
                <w:noProof/>
                <w:webHidden/>
              </w:rPr>
              <w:t>24</w:t>
            </w:r>
            <w:r w:rsidR="00713543">
              <w:rPr>
                <w:noProof/>
                <w:webHidden/>
              </w:rPr>
              <w:fldChar w:fldCharType="end"/>
            </w:r>
          </w:hyperlink>
        </w:p>
        <w:p w14:paraId="3C45046B" w14:textId="659B2F0F"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2" w:history="1">
            <w:r w:rsidR="00713543" w:rsidRPr="00D20860">
              <w:rPr>
                <w:rStyle w:val="Hyperlink"/>
                <w:noProof/>
              </w:rPr>
              <w:t>7.2. A szavazóhelyiségek, szavazófülkék és szavazóurnák akadálymentességének javítása</w:t>
            </w:r>
            <w:r w:rsidR="00713543">
              <w:rPr>
                <w:noProof/>
                <w:webHidden/>
              </w:rPr>
              <w:tab/>
            </w:r>
            <w:r w:rsidR="00713543">
              <w:rPr>
                <w:noProof/>
                <w:webHidden/>
              </w:rPr>
              <w:fldChar w:fldCharType="begin"/>
            </w:r>
            <w:r w:rsidR="00713543">
              <w:rPr>
                <w:noProof/>
                <w:webHidden/>
              </w:rPr>
              <w:instrText xml:space="preserve"> PAGEREF _Toc158135252 \h </w:instrText>
            </w:r>
            <w:r w:rsidR="00713543">
              <w:rPr>
                <w:noProof/>
                <w:webHidden/>
              </w:rPr>
            </w:r>
            <w:r w:rsidR="00713543">
              <w:rPr>
                <w:noProof/>
                <w:webHidden/>
              </w:rPr>
              <w:fldChar w:fldCharType="separate"/>
            </w:r>
            <w:r w:rsidR="00713543">
              <w:rPr>
                <w:noProof/>
                <w:webHidden/>
              </w:rPr>
              <w:t>25</w:t>
            </w:r>
            <w:r w:rsidR="00713543">
              <w:rPr>
                <w:noProof/>
                <w:webHidden/>
              </w:rPr>
              <w:fldChar w:fldCharType="end"/>
            </w:r>
          </w:hyperlink>
        </w:p>
        <w:p w14:paraId="3EC75F1A" w14:textId="015E0D4C"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3" w:history="1">
            <w:r w:rsidR="00713543" w:rsidRPr="00D20860">
              <w:rPr>
                <w:rStyle w:val="Hyperlink"/>
                <w:noProof/>
              </w:rPr>
              <w:t>7.3. A papíralapú szavazólapok akadálymentességének javítása</w:t>
            </w:r>
            <w:r w:rsidR="00713543">
              <w:rPr>
                <w:noProof/>
                <w:webHidden/>
              </w:rPr>
              <w:tab/>
            </w:r>
            <w:r w:rsidR="00713543">
              <w:rPr>
                <w:noProof/>
                <w:webHidden/>
              </w:rPr>
              <w:fldChar w:fldCharType="begin"/>
            </w:r>
            <w:r w:rsidR="00713543">
              <w:rPr>
                <w:noProof/>
                <w:webHidden/>
              </w:rPr>
              <w:instrText xml:space="preserve"> PAGEREF _Toc158135253 \h </w:instrText>
            </w:r>
            <w:r w:rsidR="00713543">
              <w:rPr>
                <w:noProof/>
                <w:webHidden/>
              </w:rPr>
            </w:r>
            <w:r w:rsidR="00713543">
              <w:rPr>
                <w:noProof/>
                <w:webHidden/>
              </w:rPr>
              <w:fldChar w:fldCharType="separate"/>
            </w:r>
            <w:r w:rsidR="00713543">
              <w:rPr>
                <w:noProof/>
                <w:webHidden/>
              </w:rPr>
              <w:t>28</w:t>
            </w:r>
            <w:r w:rsidR="00713543">
              <w:rPr>
                <w:noProof/>
                <w:webHidden/>
              </w:rPr>
              <w:fldChar w:fldCharType="end"/>
            </w:r>
          </w:hyperlink>
        </w:p>
        <w:p w14:paraId="0198474F" w14:textId="44AEAC14"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4" w:history="1">
            <w:r w:rsidR="00713543" w:rsidRPr="00D20860">
              <w:rPr>
                <w:rStyle w:val="Hyperlink"/>
                <w:noProof/>
              </w:rPr>
              <w:t>7.4. A szavazógépek akadálymentességének javítása</w:t>
            </w:r>
            <w:r w:rsidR="00713543">
              <w:rPr>
                <w:noProof/>
                <w:webHidden/>
              </w:rPr>
              <w:tab/>
            </w:r>
            <w:r w:rsidR="00713543">
              <w:rPr>
                <w:noProof/>
                <w:webHidden/>
              </w:rPr>
              <w:fldChar w:fldCharType="begin"/>
            </w:r>
            <w:r w:rsidR="00713543">
              <w:rPr>
                <w:noProof/>
                <w:webHidden/>
              </w:rPr>
              <w:instrText xml:space="preserve"> PAGEREF _Toc158135254 \h </w:instrText>
            </w:r>
            <w:r w:rsidR="00713543">
              <w:rPr>
                <w:noProof/>
                <w:webHidden/>
              </w:rPr>
            </w:r>
            <w:r w:rsidR="00713543">
              <w:rPr>
                <w:noProof/>
                <w:webHidden/>
              </w:rPr>
              <w:fldChar w:fldCharType="separate"/>
            </w:r>
            <w:r w:rsidR="00713543">
              <w:rPr>
                <w:noProof/>
                <w:webHidden/>
              </w:rPr>
              <w:t>29</w:t>
            </w:r>
            <w:r w:rsidR="00713543">
              <w:rPr>
                <w:noProof/>
                <w:webHidden/>
              </w:rPr>
              <w:fldChar w:fldCharType="end"/>
            </w:r>
          </w:hyperlink>
        </w:p>
        <w:p w14:paraId="49F45387" w14:textId="21DA19D8"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5" w:history="1">
            <w:r w:rsidR="00713543" w:rsidRPr="00D20860">
              <w:rPr>
                <w:rStyle w:val="Hyperlink"/>
                <w:noProof/>
              </w:rPr>
              <w:t>7.5. Kiegészítő szavazási módszerek</w:t>
            </w:r>
            <w:r w:rsidR="00713543">
              <w:rPr>
                <w:noProof/>
                <w:webHidden/>
              </w:rPr>
              <w:tab/>
            </w:r>
            <w:r w:rsidR="00713543">
              <w:rPr>
                <w:noProof/>
                <w:webHidden/>
              </w:rPr>
              <w:fldChar w:fldCharType="begin"/>
            </w:r>
            <w:r w:rsidR="00713543">
              <w:rPr>
                <w:noProof/>
                <w:webHidden/>
              </w:rPr>
              <w:instrText xml:space="preserve"> PAGEREF _Toc158135255 \h </w:instrText>
            </w:r>
            <w:r w:rsidR="00713543">
              <w:rPr>
                <w:noProof/>
                <w:webHidden/>
              </w:rPr>
            </w:r>
            <w:r w:rsidR="00713543">
              <w:rPr>
                <w:noProof/>
                <w:webHidden/>
              </w:rPr>
              <w:fldChar w:fldCharType="separate"/>
            </w:r>
            <w:r w:rsidR="00713543">
              <w:rPr>
                <w:noProof/>
                <w:webHidden/>
              </w:rPr>
              <w:t>30</w:t>
            </w:r>
            <w:r w:rsidR="00713543">
              <w:rPr>
                <w:noProof/>
                <w:webHidden/>
              </w:rPr>
              <w:fldChar w:fldCharType="end"/>
            </w:r>
          </w:hyperlink>
        </w:p>
        <w:p w14:paraId="3D3533DE" w14:textId="7253E214"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6" w:history="1">
            <w:r w:rsidR="00713543" w:rsidRPr="00D20860">
              <w:rPr>
                <w:rStyle w:val="Hyperlink"/>
                <w:noProof/>
              </w:rPr>
              <w:t>7.6. A választási vitarendezéshez való hozzáférés</w:t>
            </w:r>
            <w:r w:rsidR="00713543">
              <w:rPr>
                <w:noProof/>
                <w:webHidden/>
              </w:rPr>
              <w:tab/>
            </w:r>
            <w:r w:rsidR="00713543">
              <w:rPr>
                <w:noProof/>
                <w:webHidden/>
              </w:rPr>
              <w:fldChar w:fldCharType="begin"/>
            </w:r>
            <w:r w:rsidR="00713543">
              <w:rPr>
                <w:noProof/>
                <w:webHidden/>
              </w:rPr>
              <w:instrText xml:space="preserve"> PAGEREF _Toc158135256 \h </w:instrText>
            </w:r>
            <w:r w:rsidR="00713543">
              <w:rPr>
                <w:noProof/>
                <w:webHidden/>
              </w:rPr>
            </w:r>
            <w:r w:rsidR="00713543">
              <w:rPr>
                <w:noProof/>
                <w:webHidden/>
              </w:rPr>
              <w:fldChar w:fldCharType="separate"/>
            </w:r>
            <w:r w:rsidR="00713543">
              <w:rPr>
                <w:noProof/>
                <w:webHidden/>
              </w:rPr>
              <w:t>32</w:t>
            </w:r>
            <w:r w:rsidR="00713543">
              <w:rPr>
                <w:noProof/>
                <w:webHidden/>
              </w:rPr>
              <w:fldChar w:fldCharType="end"/>
            </w:r>
          </w:hyperlink>
        </w:p>
        <w:p w14:paraId="3D139813" w14:textId="097B6CBE"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7" w:history="1">
            <w:r w:rsidR="00713543" w:rsidRPr="00D20860">
              <w:rPr>
                <w:rStyle w:val="Hyperlink"/>
                <w:noProof/>
              </w:rPr>
              <w:t>7.7. Adatgyűjtés a fogyatékossággal élő személyek választásokon való részvételéről</w:t>
            </w:r>
            <w:r w:rsidR="00713543">
              <w:rPr>
                <w:noProof/>
                <w:webHidden/>
              </w:rPr>
              <w:tab/>
            </w:r>
            <w:r w:rsidR="00713543">
              <w:rPr>
                <w:noProof/>
                <w:webHidden/>
              </w:rPr>
              <w:fldChar w:fldCharType="begin"/>
            </w:r>
            <w:r w:rsidR="00713543">
              <w:rPr>
                <w:noProof/>
                <w:webHidden/>
              </w:rPr>
              <w:instrText xml:space="preserve"> PAGEREF _Toc158135257 \h </w:instrText>
            </w:r>
            <w:r w:rsidR="00713543">
              <w:rPr>
                <w:noProof/>
                <w:webHidden/>
              </w:rPr>
            </w:r>
            <w:r w:rsidR="00713543">
              <w:rPr>
                <w:noProof/>
                <w:webHidden/>
              </w:rPr>
              <w:fldChar w:fldCharType="separate"/>
            </w:r>
            <w:r w:rsidR="00713543">
              <w:rPr>
                <w:noProof/>
                <w:webHidden/>
              </w:rPr>
              <w:t>33</w:t>
            </w:r>
            <w:r w:rsidR="00713543">
              <w:rPr>
                <w:noProof/>
                <w:webHidden/>
              </w:rPr>
              <w:fldChar w:fldCharType="end"/>
            </w:r>
          </w:hyperlink>
        </w:p>
        <w:p w14:paraId="33BDF53B" w14:textId="4CE3D83E" w:rsidR="00713543" w:rsidRDefault="00250FB9">
          <w:pPr>
            <w:pStyle w:val="TOC2"/>
            <w:rPr>
              <w:rFonts w:asciiTheme="minorHAnsi" w:eastAsiaTheme="minorEastAsia" w:hAnsiTheme="minorHAnsi" w:cstheme="minorBidi"/>
              <w:noProof/>
              <w:kern w:val="2"/>
              <w:sz w:val="22"/>
              <w:szCs w:val="22"/>
              <w14:ligatures w14:val="standardContextual"/>
            </w:rPr>
          </w:pPr>
          <w:hyperlink w:anchor="_Toc158135258" w:history="1">
            <w:r w:rsidR="00713543" w:rsidRPr="00D20860">
              <w:rPr>
                <w:rStyle w:val="Hyperlink"/>
                <w:noProof/>
              </w:rPr>
              <w:t>7.8. A választások akadálymentességének nyomon követése és értékelése</w:t>
            </w:r>
            <w:r w:rsidR="00713543">
              <w:rPr>
                <w:noProof/>
                <w:webHidden/>
              </w:rPr>
              <w:tab/>
            </w:r>
            <w:r w:rsidR="00713543">
              <w:rPr>
                <w:noProof/>
                <w:webHidden/>
              </w:rPr>
              <w:fldChar w:fldCharType="begin"/>
            </w:r>
            <w:r w:rsidR="00713543">
              <w:rPr>
                <w:noProof/>
                <w:webHidden/>
              </w:rPr>
              <w:instrText xml:space="preserve"> PAGEREF _Toc158135258 \h </w:instrText>
            </w:r>
            <w:r w:rsidR="00713543">
              <w:rPr>
                <w:noProof/>
                <w:webHidden/>
              </w:rPr>
            </w:r>
            <w:r w:rsidR="00713543">
              <w:rPr>
                <w:noProof/>
                <w:webHidden/>
              </w:rPr>
              <w:fldChar w:fldCharType="separate"/>
            </w:r>
            <w:r w:rsidR="00713543">
              <w:rPr>
                <w:noProof/>
                <w:webHidden/>
              </w:rPr>
              <w:t>34</w:t>
            </w:r>
            <w:r w:rsidR="00713543">
              <w:rPr>
                <w:noProof/>
                <w:webHidden/>
              </w:rPr>
              <w:fldChar w:fldCharType="end"/>
            </w:r>
          </w:hyperlink>
        </w:p>
        <w:p w14:paraId="1975BA98" w14:textId="58A2283A" w:rsidR="00713543" w:rsidRPr="006804BF" w:rsidRDefault="00250FB9" w:rsidP="006804BF">
          <w:pPr>
            <w:pStyle w:val="TOC1"/>
            <w:rPr>
              <w:rFonts w:asciiTheme="minorHAnsi" w:eastAsiaTheme="minorEastAsia" w:hAnsiTheme="minorHAnsi" w:cstheme="minorBidi"/>
              <w:kern w:val="2"/>
              <w:sz w:val="22"/>
              <w:szCs w:val="22"/>
              <w14:ligatures w14:val="standardContextual"/>
            </w:rPr>
          </w:pPr>
          <w:hyperlink w:anchor="_Toc158135259" w:history="1">
            <w:r w:rsidR="00713543" w:rsidRPr="006804BF">
              <w:rPr>
                <w:rStyle w:val="Hyperlink"/>
                <w:b/>
                <w:bCs/>
              </w:rPr>
              <w:t>8. Záró megállapítások</w:t>
            </w:r>
            <w:r w:rsidR="00713543" w:rsidRPr="006804BF">
              <w:rPr>
                <w:webHidden/>
              </w:rPr>
              <w:tab/>
            </w:r>
            <w:r w:rsidR="00713543" w:rsidRPr="006804BF">
              <w:rPr>
                <w:webHidden/>
              </w:rPr>
              <w:fldChar w:fldCharType="begin"/>
            </w:r>
            <w:r w:rsidR="00713543" w:rsidRPr="006804BF">
              <w:rPr>
                <w:webHidden/>
              </w:rPr>
              <w:instrText xml:space="preserve"> PAGEREF _Toc158135259 \h </w:instrText>
            </w:r>
            <w:r w:rsidR="00713543" w:rsidRPr="006804BF">
              <w:rPr>
                <w:webHidden/>
              </w:rPr>
            </w:r>
            <w:r w:rsidR="00713543" w:rsidRPr="006804BF">
              <w:rPr>
                <w:webHidden/>
              </w:rPr>
              <w:fldChar w:fldCharType="separate"/>
            </w:r>
            <w:r w:rsidR="00713543" w:rsidRPr="006804BF">
              <w:rPr>
                <w:webHidden/>
              </w:rPr>
              <w:t>35</w:t>
            </w:r>
            <w:r w:rsidR="00713543" w:rsidRPr="006804BF">
              <w:rPr>
                <w:webHidden/>
              </w:rPr>
              <w:fldChar w:fldCharType="end"/>
            </w:r>
          </w:hyperlink>
        </w:p>
        <w:p w14:paraId="54840ABF" w14:textId="31923C34"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0" w:history="1">
            <w:r w:rsidR="00713543" w:rsidRPr="00D20860">
              <w:rPr>
                <w:rStyle w:val="Hyperlink"/>
              </w:rPr>
              <w:t>1. melléklet – A fogyatékossággal élő személyek választásokhoz való hozzáférését lehetővé tevő keretrendszer</w:t>
            </w:r>
            <w:r w:rsidR="00713543">
              <w:rPr>
                <w:webHidden/>
              </w:rPr>
              <w:tab/>
            </w:r>
            <w:r w:rsidR="00713543">
              <w:rPr>
                <w:webHidden/>
              </w:rPr>
              <w:fldChar w:fldCharType="begin"/>
            </w:r>
            <w:r w:rsidR="00713543">
              <w:rPr>
                <w:webHidden/>
              </w:rPr>
              <w:instrText xml:space="preserve"> PAGEREF _Toc158135260 \h </w:instrText>
            </w:r>
            <w:r w:rsidR="00713543">
              <w:rPr>
                <w:webHidden/>
              </w:rPr>
            </w:r>
            <w:r w:rsidR="00713543">
              <w:rPr>
                <w:webHidden/>
              </w:rPr>
              <w:fldChar w:fldCharType="separate"/>
            </w:r>
            <w:r w:rsidR="00713543">
              <w:rPr>
                <w:webHidden/>
              </w:rPr>
              <w:t>38</w:t>
            </w:r>
            <w:r w:rsidR="00713543">
              <w:rPr>
                <w:webHidden/>
              </w:rPr>
              <w:fldChar w:fldCharType="end"/>
            </w:r>
          </w:hyperlink>
        </w:p>
        <w:p w14:paraId="689D1DB2" w14:textId="35DDC084"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1" w:history="1">
            <w:r w:rsidR="00713543" w:rsidRPr="00D20860">
              <w:rPr>
                <w:rStyle w:val="Hyperlink"/>
              </w:rPr>
              <w:t>2. melléklet – Példák a szavazóhelyiségek akadálymentességének értékelésére szolgáló ellenőrzőlistákra</w:t>
            </w:r>
            <w:r w:rsidR="00713543">
              <w:rPr>
                <w:webHidden/>
              </w:rPr>
              <w:tab/>
            </w:r>
            <w:r w:rsidR="00713543">
              <w:rPr>
                <w:webHidden/>
              </w:rPr>
              <w:fldChar w:fldCharType="begin"/>
            </w:r>
            <w:r w:rsidR="00713543">
              <w:rPr>
                <w:webHidden/>
              </w:rPr>
              <w:instrText xml:space="preserve"> PAGEREF _Toc158135261 \h </w:instrText>
            </w:r>
            <w:r w:rsidR="00713543">
              <w:rPr>
                <w:webHidden/>
              </w:rPr>
            </w:r>
            <w:r w:rsidR="00713543">
              <w:rPr>
                <w:webHidden/>
              </w:rPr>
              <w:fldChar w:fldCharType="separate"/>
            </w:r>
            <w:r w:rsidR="00713543">
              <w:rPr>
                <w:webHidden/>
              </w:rPr>
              <w:t>40</w:t>
            </w:r>
            <w:r w:rsidR="00713543">
              <w:rPr>
                <w:webHidden/>
              </w:rPr>
              <w:fldChar w:fldCharType="end"/>
            </w:r>
          </w:hyperlink>
        </w:p>
        <w:p w14:paraId="6E892D79" w14:textId="1255985B"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2" w:history="1">
            <w:r w:rsidR="00713543" w:rsidRPr="00D20860">
              <w:rPr>
                <w:rStyle w:val="Hyperlink"/>
              </w:rPr>
              <w:t>3. melléklet – Példa a szavazóhelyiségek tisztviselőire vonatkozó általános ajánlásokra</w:t>
            </w:r>
            <w:r w:rsidR="00713543">
              <w:rPr>
                <w:webHidden/>
              </w:rPr>
              <w:tab/>
            </w:r>
            <w:r w:rsidR="00713543">
              <w:rPr>
                <w:webHidden/>
              </w:rPr>
              <w:fldChar w:fldCharType="begin"/>
            </w:r>
            <w:r w:rsidR="00713543">
              <w:rPr>
                <w:webHidden/>
              </w:rPr>
              <w:instrText xml:space="preserve"> PAGEREF _Toc158135262 \h </w:instrText>
            </w:r>
            <w:r w:rsidR="00713543">
              <w:rPr>
                <w:webHidden/>
              </w:rPr>
            </w:r>
            <w:r w:rsidR="00713543">
              <w:rPr>
                <w:webHidden/>
              </w:rPr>
              <w:fldChar w:fldCharType="separate"/>
            </w:r>
            <w:r w:rsidR="00713543">
              <w:rPr>
                <w:webHidden/>
              </w:rPr>
              <w:t>43</w:t>
            </w:r>
            <w:r w:rsidR="00713543">
              <w:rPr>
                <w:webHidden/>
              </w:rPr>
              <w:fldChar w:fldCharType="end"/>
            </w:r>
          </w:hyperlink>
        </w:p>
        <w:p w14:paraId="1FA265CF" w14:textId="35753AF0"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3" w:history="1">
            <w:r w:rsidR="00713543" w:rsidRPr="00D20860">
              <w:rPr>
                <w:rStyle w:val="Hyperlink"/>
              </w:rPr>
              <w:t>4. melléklet – Példa a szavazóhelyiség akadálymentes megközelítésének biztosítására </w:t>
            </w:r>
            <w:r w:rsidR="00713543">
              <w:rPr>
                <w:webHidden/>
              </w:rPr>
              <w:tab/>
            </w:r>
            <w:r w:rsidR="00713543">
              <w:rPr>
                <w:webHidden/>
              </w:rPr>
              <w:fldChar w:fldCharType="begin"/>
            </w:r>
            <w:r w:rsidR="00713543">
              <w:rPr>
                <w:webHidden/>
              </w:rPr>
              <w:instrText xml:space="preserve"> PAGEREF _Toc158135263 \h </w:instrText>
            </w:r>
            <w:r w:rsidR="00713543">
              <w:rPr>
                <w:webHidden/>
              </w:rPr>
            </w:r>
            <w:r w:rsidR="00713543">
              <w:rPr>
                <w:webHidden/>
              </w:rPr>
              <w:fldChar w:fldCharType="separate"/>
            </w:r>
            <w:r w:rsidR="00713543">
              <w:rPr>
                <w:webHidden/>
              </w:rPr>
              <w:t>44</w:t>
            </w:r>
            <w:r w:rsidR="00713543">
              <w:rPr>
                <w:webHidden/>
              </w:rPr>
              <w:fldChar w:fldCharType="end"/>
            </w:r>
          </w:hyperlink>
        </w:p>
        <w:p w14:paraId="34286A93" w14:textId="0A5F7056"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4" w:history="1">
            <w:r w:rsidR="00713543" w:rsidRPr="00D20860">
              <w:rPr>
                <w:rStyle w:val="Hyperlink"/>
              </w:rPr>
              <w:t>5. melléklet – Példa az akadálymentes szavazóhelyiség kialakítására </w:t>
            </w:r>
            <w:r w:rsidR="00713543">
              <w:rPr>
                <w:webHidden/>
              </w:rPr>
              <w:tab/>
            </w:r>
            <w:r w:rsidR="00713543">
              <w:rPr>
                <w:webHidden/>
              </w:rPr>
              <w:fldChar w:fldCharType="begin"/>
            </w:r>
            <w:r w:rsidR="00713543">
              <w:rPr>
                <w:webHidden/>
              </w:rPr>
              <w:instrText xml:space="preserve"> PAGEREF _Toc158135264 \h </w:instrText>
            </w:r>
            <w:r w:rsidR="00713543">
              <w:rPr>
                <w:webHidden/>
              </w:rPr>
            </w:r>
            <w:r w:rsidR="00713543">
              <w:rPr>
                <w:webHidden/>
              </w:rPr>
              <w:fldChar w:fldCharType="separate"/>
            </w:r>
            <w:r w:rsidR="00713543">
              <w:rPr>
                <w:webHidden/>
              </w:rPr>
              <w:t>44</w:t>
            </w:r>
            <w:r w:rsidR="00713543">
              <w:rPr>
                <w:webHidden/>
              </w:rPr>
              <w:fldChar w:fldCharType="end"/>
            </w:r>
          </w:hyperlink>
        </w:p>
        <w:p w14:paraId="0D8D61F9" w14:textId="6EF46591"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5" w:history="1">
            <w:r w:rsidR="00713543" w:rsidRPr="00D20860">
              <w:rPr>
                <w:rStyle w:val="Hyperlink"/>
              </w:rPr>
              <w:t>6. melléklet – Példák kiigazított szavazófülkékre </w:t>
            </w:r>
            <w:r w:rsidR="00713543">
              <w:rPr>
                <w:webHidden/>
              </w:rPr>
              <w:tab/>
            </w:r>
            <w:r w:rsidR="00713543">
              <w:rPr>
                <w:webHidden/>
              </w:rPr>
              <w:fldChar w:fldCharType="begin"/>
            </w:r>
            <w:r w:rsidR="00713543">
              <w:rPr>
                <w:webHidden/>
              </w:rPr>
              <w:instrText xml:space="preserve"> PAGEREF _Toc158135265 \h </w:instrText>
            </w:r>
            <w:r w:rsidR="00713543">
              <w:rPr>
                <w:webHidden/>
              </w:rPr>
            </w:r>
            <w:r w:rsidR="00713543">
              <w:rPr>
                <w:webHidden/>
              </w:rPr>
              <w:fldChar w:fldCharType="separate"/>
            </w:r>
            <w:r w:rsidR="00713543">
              <w:rPr>
                <w:webHidden/>
              </w:rPr>
              <w:t>45</w:t>
            </w:r>
            <w:r w:rsidR="00713543">
              <w:rPr>
                <w:webHidden/>
              </w:rPr>
              <w:fldChar w:fldCharType="end"/>
            </w:r>
          </w:hyperlink>
        </w:p>
        <w:p w14:paraId="03F43566" w14:textId="543A1387"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6" w:history="1">
            <w:r w:rsidR="00713543" w:rsidRPr="00D20860">
              <w:rPr>
                <w:rStyle w:val="Hyperlink"/>
              </w:rPr>
              <w:t>7. melléklet – A fogyatékosságnak a tagállamok által a választásokkal összefüggésben használt fogalma</w:t>
            </w:r>
            <w:r w:rsidR="00713543">
              <w:rPr>
                <w:webHidden/>
              </w:rPr>
              <w:tab/>
            </w:r>
            <w:r w:rsidR="00713543">
              <w:rPr>
                <w:webHidden/>
              </w:rPr>
              <w:fldChar w:fldCharType="begin"/>
            </w:r>
            <w:r w:rsidR="00713543">
              <w:rPr>
                <w:webHidden/>
              </w:rPr>
              <w:instrText xml:space="preserve"> PAGEREF _Toc158135266 \h </w:instrText>
            </w:r>
            <w:r w:rsidR="00713543">
              <w:rPr>
                <w:webHidden/>
              </w:rPr>
            </w:r>
            <w:r w:rsidR="00713543">
              <w:rPr>
                <w:webHidden/>
              </w:rPr>
              <w:fldChar w:fldCharType="separate"/>
            </w:r>
            <w:r w:rsidR="00713543">
              <w:rPr>
                <w:webHidden/>
              </w:rPr>
              <w:t>45</w:t>
            </w:r>
            <w:r w:rsidR="00713543">
              <w:rPr>
                <w:webHidden/>
              </w:rPr>
              <w:fldChar w:fldCharType="end"/>
            </w:r>
          </w:hyperlink>
        </w:p>
        <w:p w14:paraId="4AB13669" w14:textId="34DE44EA"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7" w:history="1">
            <w:r w:rsidR="00713543" w:rsidRPr="00D20860">
              <w:rPr>
                <w:rStyle w:val="Hyperlink"/>
              </w:rPr>
              <w:t>8. melléklet – Uniós jog és uniós szabványok a választások fogyatékossággal élő személyek számára történő akadálymentesítésével összefüggésben</w:t>
            </w:r>
            <w:r w:rsidR="00713543">
              <w:rPr>
                <w:webHidden/>
              </w:rPr>
              <w:tab/>
            </w:r>
            <w:r w:rsidR="00713543">
              <w:rPr>
                <w:webHidden/>
              </w:rPr>
              <w:fldChar w:fldCharType="begin"/>
            </w:r>
            <w:r w:rsidR="00713543">
              <w:rPr>
                <w:webHidden/>
              </w:rPr>
              <w:instrText xml:space="preserve"> PAGEREF _Toc158135267 \h </w:instrText>
            </w:r>
            <w:r w:rsidR="00713543">
              <w:rPr>
                <w:webHidden/>
              </w:rPr>
            </w:r>
            <w:r w:rsidR="00713543">
              <w:rPr>
                <w:webHidden/>
              </w:rPr>
              <w:fldChar w:fldCharType="separate"/>
            </w:r>
            <w:r w:rsidR="00713543">
              <w:rPr>
                <w:webHidden/>
              </w:rPr>
              <w:t>48</w:t>
            </w:r>
            <w:r w:rsidR="00713543">
              <w:rPr>
                <w:webHidden/>
              </w:rPr>
              <w:fldChar w:fldCharType="end"/>
            </w:r>
          </w:hyperlink>
        </w:p>
        <w:p w14:paraId="0B81485E" w14:textId="5AD3DD2C"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8" w:history="1">
            <w:r w:rsidR="00713543" w:rsidRPr="00D20860">
              <w:rPr>
                <w:rStyle w:val="Hyperlink"/>
              </w:rPr>
              <w:t>9. melléklet – A Bizottság által 2023. szeptember 7-én szervezett, a választások fogyatékossággal élő személyek szempontjából érvényes akadálymentességével foglalkozó fókuszcsoport eredményei</w:t>
            </w:r>
            <w:r w:rsidR="00713543">
              <w:rPr>
                <w:webHidden/>
              </w:rPr>
              <w:tab/>
            </w:r>
            <w:r w:rsidR="00713543">
              <w:rPr>
                <w:webHidden/>
              </w:rPr>
              <w:fldChar w:fldCharType="begin"/>
            </w:r>
            <w:r w:rsidR="00713543">
              <w:rPr>
                <w:webHidden/>
              </w:rPr>
              <w:instrText xml:space="preserve"> PAGEREF _Toc158135268 \h </w:instrText>
            </w:r>
            <w:r w:rsidR="00713543">
              <w:rPr>
                <w:webHidden/>
              </w:rPr>
            </w:r>
            <w:r w:rsidR="00713543">
              <w:rPr>
                <w:webHidden/>
              </w:rPr>
              <w:fldChar w:fldCharType="separate"/>
            </w:r>
            <w:r w:rsidR="00713543">
              <w:rPr>
                <w:webHidden/>
              </w:rPr>
              <w:t>52</w:t>
            </w:r>
            <w:r w:rsidR="00713543">
              <w:rPr>
                <w:webHidden/>
              </w:rPr>
              <w:fldChar w:fldCharType="end"/>
            </w:r>
          </w:hyperlink>
        </w:p>
        <w:p w14:paraId="79C1F90A" w14:textId="4CA89D1C"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69" w:history="1">
            <w:r w:rsidR="00713543" w:rsidRPr="00D20860">
              <w:rPr>
                <w:rStyle w:val="Hyperlink"/>
              </w:rPr>
              <w:t>10. melléklet – Segítő eszközök, akadálymentes szavazófülkék és szavazóurnák rendelkezésre állása </w:t>
            </w:r>
            <w:r w:rsidR="00713543">
              <w:rPr>
                <w:webHidden/>
              </w:rPr>
              <w:tab/>
            </w:r>
            <w:r w:rsidR="00713543">
              <w:rPr>
                <w:webHidden/>
              </w:rPr>
              <w:fldChar w:fldCharType="begin"/>
            </w:r>
            <w:r w:rsidR="00713543">
              <w:rPr>
                <w:webHidden/>
              </w:rPr>
              <w:instrText xml:space="preserve"> PAGEREF _Toc158135269 \h </w:instrText>
            </w:r>
            <w:r w:rsidR="00713543">
              <w:rPr>
                <w:webHidden/>
              </w:rPr>
            </w:r>
            <w:r w:rsidR="00713543">
              <w:rPr>
                <w:webHidden/>
              </w:rPr>
              <w:fldChar w:fldCharType="separate"/>
            </w:r>
            <w:r w:rsidR="00713543">
              <w:rPr>
                <w:webHidden/>
              </w:rPr>
              <w:t>54</w:t>
            </w:r>
            <w:r w:rsidR="00713543">
              <w:rPr>
                <w:webHidden/>
              </w:rPr>
              <w:fldChar w:fldCharType="end"/>
            </w:r>
          </w:hyperlink>
        </w:p>
        <w:p w14:paraId="217BEBFF" w14:textId="3C9EC7E3" w:rsidR="00713543" w:rsidRDefault="00250FB9" w:rsidP="006804BF">
          <w:pPr>
            <w:pStyle w:val="TOC1"/>
            <w:rPr>
              <w:rFonts w:asciiTheme="minorHAnsi" w:eastAsiaTheme="minorEastAsia" w:hAnsiTheme="minorHAnsi" w:cstheme="minorBidi"/>
              <w:kern w:val="2"/>
              <w:sz w:val="22"/>
              <w:szCs w:val="22"/>
              <w14:ligatures w14:val="standardContextual"/>
            </w:rPr>
          </w:pPr>
          <w:hyperlink w:anchor="_Toc158135270" w:history="1">
            <w:r w:rsidR="00713543" w:rsidRPr="00D20860">
              <w:rPr>
                <w:rStyle w:val="Hyperlink"/>
              </w:rPr>
              <w:t>11. melléklet – Kiegészítő szavazási lehetőségek a fogyatékossággal élő személyek számára az uniós tagállamokban </w:t>
            </w:r>
            <w:r w:rsidR="00713543">
              <w:rPr>
                <w:webHidden/>
              </w:rPr>
              <w:tab/>
            </w:r>
            <w:r w:rsidR="00713543">
              <w:rPr>
                <w:webHidden/>
              </w:rPr>
              <w:fldChar w:fldCharType="begin"/>
            </w:r>
            <w:r w:rsidR="00713543">
              <w:rPr>
                <w:webHidden/>
              </w:rPr>
              <w:instrText xml:space="preserve"> PAGEREF _Toc158135270 \h </w:instrText>
            </w:r>
            <w:r w:rsidR="00713543">
              <w:rPr>
                <w:webHidden/>
              </w:rPr>
            </w:r>
            <w:r w:rsidR="00713543">
              <w:rPr>
                <w:webHidden/>
              </w:rPr>
              <w:fldChar w:fldCharType="separate"/>
            </w:r>
            <w:r w:rsidR="00713543">
              <w:rPr>
                <w:webHidden/>
              </w:rPr>
              <w:t>57</w:t>
            </w:r>
            <w:r w:rsidR="00713543">
              <w:rPr>
                <w:webHidden/>
              </w:rPr>
              <w:fldChar w:fldCharType="end"/>
            </w:r>
          </w:hyperlink>
        </w:p>
        <w:p w14:paraId="3A48D0F8" w14:textId="2A1956C0"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135230"/>
      <w:bookmarkEnd w:id="5"/>
      <w:bookmarkEnd w:id="6"/>
      <w:bookmarkEnd w:id="7"/>
      <w:bookmarkEnd w:id="8"/>
      <w:r>
        <w:rPr>
          <w:noProof/>
        </w:rPr>
        <w:t>Bevezetés</w:t>
      </w:r>
      <w:bookmarkEnd w:id="9"/>
      <w:bookmarkEnd w:id="10"/>
    </w:p>
    <w:p w14:paraId="4FB845FE" w14:textId="4D65AA3A" w:rsidR="00F06738" w:rsidRPr="00B42AEB" w:rsidRDefault="00A96911" w:rsidP="00B42AEB">
      <w:pPr>
        <w:rPr>
          <w:noProof/>
        </w:rPr>
      </w:pPr>
      <w:r>
        <w:rPr>
          <w:noProof/>
        </w:rPr>
        <w:t>Ursula von der Leyen, az Európai Bizottság elnöke hivatalba lépésekor bejelentette, hogy az egyenlőségközpontú Unió létrehozása lesz a Bizottság egyik legfontosabb prioritása </w:t>
      </w:r>
      <w:r>
        <w:rPr>
          <w:rStyle w:val="FootnoteReference"/>
          <w:noProof/>
        </w:rPr>
        <w:t>(</w:t>
      </w:r>
      <w:r>
        <w:rPr>
          <w:rStyle w:val="FootnoteReference"/>
          <w:noProof/>
        </w:rPr>
        <w:footnoteReference w:id="2"/>
      </w:r>
      <w:r>
        <w:rPr>
          <w:rStyle w:val="FootnoteReference"/>
          <w:noProof/>
        </w:rPr>
        <w:t>))</w:t>
      </w:r>
      <w:r>
        <w:rPr>
          <w:noProof/>
        </w:rPr>
        <w:t>.</w:t>
      </w:r>
    </w:p>
    <w:p w14:paraId="74B96FFE" w14:textId="0A0BA016" w:rsidR="00BF5544" w:rsidRPr="00B42AEB" w:rsidRDefault="00EF5AB9" w:rsidP="00B42AEB">
      <w:pPr>
        <w:rPr>
          <w:noProof/>
        </w:rPr>
      </w:pPr>
      <w:r>
        <w:rPr>
          <w:noProof/>
        </w:rPr>
        <w:t>A választásokon való részvétel képessége a működő demokráciák elengedhetetlen feltétele. Nem csupán a szavazati jogot foglalja magában, hanem a következő lehetőségekre is kiterjed: választhatóság, politikai pártba való belépés, a választási folyamatban választási tisztviselőként vagy megfigyelőként való részvétel és az információkhoz való hozzáférés. Azt is jelenti, hogy mindenki szabadon és tisztességes feltételek, valamint teljes titoktartás mellett fejezheti ki választási preferenciáit. Minden polgár számára lehetővé kell tenni, hogy ténylegesen részt vegyen az EU politikai életében. Minden szavazat számít. A politikai életben való részvétel azonban sokak számára továbbra is kihívást jelent.</w:t>
      </w:r>
    </w:p>
    <w:p w14:paraId="60452DE3" w14:textId="3FFBA92D" w:rsidR="00A54759" w:rsidRPr="00B42AEB" w:rsidRDefault="1A7BFF85" w:rsidP="00B42AEB">
      <w:pPr>
        <w:rPr>
          <w:noProof/>
        </w:rPr>
      </w:pPr>
      <w:r>
        <w:rPr>
          <w:noProof/>
        </w:rPr>
        <w:t>Az EU-ban a fogyatékossággal élő személyek még ma is nehézségekbe ütköznek választójoguk gyakorlása során. Az uniós népesség mintegy 27 %-a él valamilyen fogyatékossággal </w:t>
      </w:r>
      <w:r>
        <w:rPr>
          <w:noProof/>
          <w:vertAlign w:val="superscript"/>
        </w:rPr>
        <w:t>(</w:t>
      </w:r>
      <w:r>
        <w:rPr>
          <w:noProof/>
          <w:vertAlign w:val="superscript"/>
        </w:rPr>
        <w:footnoteReference w:id="3"/>
      </w:r>
      <w:r>
        <w:rPr>
          <w:noProof/>
          <w:vertAlign w:val="superscript"/>
        </w:rPr>
        <w:t>)</w:t>
      </w:r>
      <w:r>
        <w:rPr>
          <w:noProof/>
        </w:rPr>
        <w:t>. Ide tartoznak azok a személyek, akik tartós testi, mentális, értelmi vagy érzékszervi károsodással élnek, amely számos egyéb akadállyal együtt korlátozhatja az adott személy teljes, valódi és másokkal egyenlő társadalmi szerepvállalását.</w:t>
      </w:r>
    </w:p>
    <w:p w14:paraId="3FD5B7BF" w14:textId="38B21CF3" w:rsidR="00C24C52" w:rsidRPr="00B42AEB" w:rsidRDefault="00E86740" w:rsidP="00B42AEB">
      <w:pPr>
        <w:rPr>
          <w:noProof/>
        </w:rPr>
      </w:pPr>
      <w:r>
        <w:rPr>
          <w:noProof/>
        </w:rPr>
        <w:t>A tagállamok felelőssége, hogy nemzetközi kötelezettségvállalásaikkal összhangban nemzeti választásokat szervezzenek. A Bizottság támogatja többek között a bevált gyakorlatok megosztását, például az akadálymentes szavazógépekre, egyedi módosításokra, valamint arra vonatkozóan, hogy milyen megoldásokat lehet biztosítani a fogyatékossággal élő választópolgárok számára. Az EU emellett a fogyatékossággal élőket képviselő uniós szintű szervezeteket is finanszírozza a tudatosság növelése és a jogok érvényesítése, valamint a tagszervezeteik kapacitásának fejlesztése érdekében.</w:t>
      </w:r>
    </w:p>
    <w:p w14:paraId="00221810" w14:textId="410D9FB9" w:rsidR="005F5A33" w:rsidRPr="00B42AEB" w:rsidRDefault="00ED1FD7" w:rsidP="00B42AEB">
      <w:pPr>
        <w:rPr>
          <w:noProof/>
        </w:rPr>
      </w:pPr>
      <w:r>
        <w:rPr>
          <w:noProof/>
        </w:rPr>
        <w:t>A Bizottság 2019. évi európai parlamenti választásokról szóló jelentése </w:t>
      </w:r>
      <w:r>
        <w:rPr>
          <w:rStyle w:val="FootnoteReference"/>
          <w:noProof/>
        </w:rPr>
        <w:t>(</w:t>
      </w:r>
      <w:r>
        <w:rPr>
          <w:rStyle w:val="FootnoteReference"/>
          <w:noProof/>
        </w:rPr>
        <w:footnoteReference w:id="4"/>
      </w:r>
      <w:r>
        <w:rPr>
          <w:rStyle w:val="FootnoteReference"/>
          <w:noProof/>
        </w:rPr>
        <w:t>))</w:t>
      </w:r>
      <w:r>
        <w:rPr>
          <w:noProof/>
        </w:rPr>
        <w:t xml:space="preserve"> hangsúlyozta, hogy a fogyatékossággal élő állampolgároknak további korlátokkal is szembe kell nézniük a választójoguk gyakorlása terén </w:t>
      </w:r>
      <w:r>
        <w:rPr>
          <w:rStyle w:val="FootnoteReference"/>
          <w:noProof/>
        </w:rPr>
        <w:t>(</w:t>
      </w:r>
      <w:r>
        <w:rPr>
          <w:rStyle w:val="FootnoteReference"/>
          <w:noProof/>
        </w:rPr>
        <w:footnoteReference w:id="5"/>
      </w:r>
      <w:r>
        <w:rPr>
          <w:rStyle w:val="FootnoteReference"/>
          <w:noProof/>
        </w:rPr>
        <w:t>))</w:t>
      </w:r>
      <w:r>
        <w:rPr>
          <w:noProof/>
        </w:rPr>
        <w:t>. A jelentés kiemelte, mennyire fontos, hogy ezeket az akadályokat még a következő európai parlamenti választások előtt felszámolják.</w:t>
      </w:r>
    </w:p>
    <w:p w14:paraId="4E2F3A83" w14:textId="0438E144" w:rsidR="00B25AC6" w:rsidRPr="00B42AEB" w:rsidRDefault="00B25AC6" w:rsidP="00B42AEB">
      <w:pPr>
        <w:rPr>
          <w:noProof/>
        </w:rPr>
      </w:pPr>
      <w:r>
        <w:rPr>
          <w:noProof/>
        </w:rPr>
        <w:t>Az Európai Parlament hangsúlyozta, mennyire fontos a fogyatékossággal élő személyek szavazati jogának támogatása. Az európai választások értékeléséről szóló, 2020. november 26-i állásfoglalásában az Európai Parlament felszólította a tagállamokat, hogy fokozzák a bevált gyakorlatok cseréjét azzal kapcsolatban, hogy miként lehet megkönnyíteni a fogyatékossággal élő személyek számára a szavazóhelyiségek megközelítését. Az Európai Parlament rámutatott arra, hogy a fogyatékossággal élő választók esetében a szavazás gyakorlati feltételei ugyanolyan fontosak, mint az információkhoz való hozzáférés, illetve a szavazóhelyiségek megközelíthetősége. Az uniós polgárságról szóló 2020. évi jelentésről szóló, 2022. március 10-i állásfoglalásában a Parlament felszólította a Bizottságot és a tagállamokat, hogy az európai választási együttműködési hálózaton </w:t>
      </w:r>
      <w:r>
        <w:rPr>
          <w:rStyle w:val="FootnoteReference"/>
          <w:noProof/>
        </w:rPr>
        <w:t>(</w:t>
      </w:r>
      <w:r>
        <w:rPr>
          <w:rStyle w:val="FootnoteReference"/>
          <w:noProof/>
        </w:rPr>
        <w:footnoteReference w:id="6"/>
      </w:r>
      <w:r>
        <w:rPr>
          <w:rStyle w:val="FootnoteReference"/>
          <w:noProof/>
        </w:rPr>
        <w:t>))</w:t>
      </w:r>
      <w:r>
        <w:rPr>
          <w:noProof/>
        </w:rPr>
        <w:t xml:space="preserve"> belül osszák meg és mozdítsák elő az arra vonatkozó bevált gyakorlatokat, hogy miként lehet kezelni a polgárok hátrányos helyzetű csoportjainak sajátos választási igényeit annak biztosítása érdekében, hogy nagyobb arányban vegyenek részt a választásokon és a következő európai választásokon hatékonyan gyakorolhassák szavazati jogukat.</w:t>
      </w:r>
    </w:p>
    <w:p w14:paraId="04E49DFE" w14:textId="2E5B1372" w:rsidR="00B25AC6" w:rsidRPr="00B42AEB" w:rsidRDefault="0043426B" w:rsidP="00B42AEB">
      <w:pPr>
        <w:rPr>
          <w:noProof/>
        </w:rPr>
      </w:pPr>
      <w:r>
        <w:rPr>
          <w:noProof/>
        </w:rPr>
        <w:t>Az Európai Parlament tagjainak közvetlen és általános választójog alapján történő választásáról szóló tanácsi rendeletre irányuló javaslatról szóló jogalkotási állásfoglalásában </w:t>
      </w:r>
      <w:r>
        <w:rPr>
          <w:noProof/>
          <w:vertAlign w:val="superscript"/>
        </w:rPr>
        <w:t>(</w:t>
      </w:r>
      <w:r>
        <w:rPr>
          <w:noProof/>
          <w:vertAlign w:val="superscript"/>
        </w:rPr>
        <w:footnoteReference w:id="7"/>
      </w:r>
      <w:r>
        <w:rPr>
          <w:noProof/>
          <w:vertAlign w:val="superscript"/>
        </w:rPr>
        <w:t>)</w:t>
      </w:r>
      <w:r>
        <w:rPr>
          <w:noProof/>
        </w:rPr>
        <w:t xml:space="preserve"> az Európai Parlament felszólította a tagállamokat, hogy minden polgár számára egyenlően biztosítsák az információkhoz és a szavazáshoz való hozzáférést, többek között a fogyatékossággal élő személyek számára is. Ez magában foglalja például a szükségleteikhez igazított helyiségek kibérlését, ha a közintézmények nem megfelelőek </w:t>
      </w:r>
      <w:r>
        <w:rPr>
          <w:noProof/>
          <w:vertAlign w:val="superscript"/>
        </w:rPr>
        <w:t>(</w:t>
      </w:r>
      <w:r>
        <w:rPr>
          <w:noProof/>
          <w:vertAlign w:val="superscript"/>
        </w:rPr>
        <w:footnoteReference w:id="8"/>
      </w:r>
      <w:r>
        <w:rPr>
          <w:noProof/>
          <w:vertAlign w:val="superscript"/>
        </w:rPr>
        <w:t>)</w:t>
      </w:r>
      <w:r>
        <w:rPr>
          <w:noProof/>
        </w:rPr>
        <w:t>.</w:t>
      </w:r>
    </w:p>
    <w:p w14:paraId="1B39E2C0" w14:textId="34960415" w:rsidR="001418CF" w:rsidRPr="00B42AEB" w:rsidRDefault="0043426B" w:rsidP="00B42AEB">
      <w:pPr>
        <w:rPr>
          <w:noProof/>
        </w:rPr>
      </w:pPr>
      <w:r>
        <w:rPr>
          <w:noProof/>
        </w:rPr>
        <w:t>A közelmúltban a fogyatékossággal élő személyek egyenlő jogairól szóló, 2022. december 13-i európai parlamenti állásfoglalás </w:t>
      </w:r>
      <w:r>
        <w:rPr>
          <w:rStyle w:val="FootnoteReference"/>
          <w:noProof/>
        </w:rPr>
        <w:t>(</w:t>
      </w:r>
      <w:r>
        <w:rPr>
          <w:rStyle w:val="FootnoteReference"/>
          <w:noProof/>
        </w:rPr>
        <w:footnoteReference w:id="9"/>
      </w:r>
      <w:r>
        <w:rPr>
          <w:rStyle w:val="FootnoteReference"/>
          <w:noProof/>
        </w:rPr>
        <w:t>))</w:t>
      </w:r>
      <w:r>
        <w:rPr>
          <w:noProof/>
        </w:rPr>
        <w:t xml:space="preserve"> az európai választási jogszabályok és minden vonatkozó nemzeti jogszabály módosítására szólított fel annak biztosítása érdekében, hogy minden fogyatékossággal élő személy másokkal azonos alapon szavazhasson és indulhasson a választásokon. A Parlament azt is hangsúlyozta, hogy a származási tagállam által a jogképességtől fogyatékosság miatti megfosztásról hozott határozatok nem foszthatják meg az uniós polgárokat a lakóhelyük szerinti tagállambeli választójoguktól, ha e tagállam joga korlátozás nélkül minden fogyatékossággal élő személy számára biztosítja ezt a jogot </w:t>
      </w:r>
      <w:r>
        <w:rPr>
          <w:rStyle w:val="FootnoteReference"/>
          <w:noProof/>
        </w:rPr>
        <w:t>(</w:t>
      </w:r>
      <w:r>
        <w:rPr>
          <w:rStyle w:val="FootnoteReference"/>
          <w:noProof/>
        </w:rPr>
        <w:footnoteReference w:id="10"/>
      </w:r>
      <w:r>
        <w:rPr>
          <w:rStyle w:val="FootnoteReference"/>
          <w:noProof/>
        </w:rPr>
        <w:t>))</w:t>
      </w:r>
      <w:r>
        <w:rPr>
          <w:noProof/>
        </w:rPr>
        <w:t>.</w:t>
      </w:r>
    </w:p>
    <w:p w14:paraId="6295BB90" w14:textId="7A276035" w:rsidR="001418CF" w:rsidRPr="00B42AEB" w:rsidRDefault="00A14C18" w:rsidP="00B42AEB">
      <w:pPr>
        <w:rPr>
          <w:noProof/>
        </w:rPr>
      </w:pPr>
      <w:r>
        <w:rPr>
          <w:noProof/>
        </w:rPr>
        <w:t>A fogyatékossággal élő személyek szavazati jogának kérdése a mobilis uniós polgárok szavazati jogát szabályozó választási irányelvekről szóló európai parlamenti vélemény keretében is felmerült. Ez kiterjed a választási információknak az (EU) 2019/882 európai parlamenti és tanácsi irányelv I. mellékletében meghatározott akadálymentességi követelmények, valamint a fogyatékossággal élő személyeket segítő kommunikációs eszközök, módok és formátumok – például jelnyelv, Braille-írás vagy könnyen érthető formátum alkalmazásával történő hozzáférhetővé tételére a fogyatékossággal élő személyek számára </w:t>
      </w:r>
      <w:r>
        <w:rPr>
          <w:rStyle w:val="FootnoteReference"/>
          <w:noProof/>
        </w:rPr>
        <w:t>(</w:t>
      </w:r>
      <w:r>
        <w:rPr>
          <w:rStyle w:val="FootnoteReference"/>
          <w:noProof/>
        </w:rPr>
        <w:footnoteReference w:id="11"/>
      </w:r>
      <w:r>
        <w:rPr>
          <w:rStyle w:val="FootnoteReference"/>
          <w:noProof/>
        </w:rPr>
        <w:t>))</w:t>
      </w:r>
      <w:r>
        <w:rPr>
          <w:noProof/>
        </w:rPr>
        <w:t>.</w:t>
      </w:r>
    </w:p>
    <w:p w14:paraId="518DCA0D" w14:textId="32F79C0C" w:rsidR="00B25AC6" w:rsidRPr="00B42AEB" w:rsidRDefault="00DF59AA" w:rsidP="00B42AEB">
      <w:pPr>
        <w:rPr>
          <w:noProof/>
        </w:rPr>
      </w:pPr>
      <w:r>
        <w:rPr>
          <w:noProof/>
        </w:rPr>
        <w:t>Ebben a véleményben az Európai Parlament felszólította a tagállamokat, hogy hozzanak a nemzeti választási eljárásaikhoz igazodó megfelelő intézkedéseket a fogyatékossággal élő polgárok szavazásának megkönnyítése érdekében, ideértve például a szavazóhelyiségek megválasztásának lehetőségét, zárt szavazóhelyiségeket a kulcsfontosságú helyeken, valamint olyan segítő technológiák, formátumok és technikák használatát, mint a Braille-írás, a nagybetűs írás, a hangalapú tájékoztatás, a tapintható stencilek, a könnyen olvasható információk és a jelnyelvi kommunikáció. A Parlament arra is felkérte a tagállamokat, hogy mérlegeljék a szavazást megkönnyítő kiegészítő eszközök bevezetését, például az előzetes személyes szavazást és a meghatalmazott útján történő szavazást, valamint az elektronikus és online szavazást.</w:t>
      </w:r>
    </w:p>
    <w:p w14:paraId="0AD2DD61" w14:textId="0DE9528D" w:rsidR="002428CE" w:rsidRPr="00B42AEB" w:rsidRDefault="00177336" w:rsidP="00B42AEB">
      <w:pPr>
        <w:rPr>
          <w:noProof/>
        </w:rPr>
      </w:pPr>
      <w:r>
        <w:rPr>
          <w:noProof/>
        </w:rPr>
        <w:t>Az Európai Gazdasági és Szociális Bizottság 2019. március 20-án jelentést </w:t>
      </w:r>
      <w:r>
        <w:rPr>
          <w:rStyle w:val="FootnoteReference"/>
          <w:noProof/>
        </w:rPr>
        <w:t>(</w:t>
      </w:r>
      <w:r>
        <w:rPr>
          <w:rStyle w:val="FootnoteReference"/>
          <w:noProof/>
        </w:rPr>
        <w:footnoteReference w:id="12"/>
      </w:r>
      <w:r>
        <w:rPr>
          <w:rStyle w:val="FootnoteReference"/>
          <w:noProof/>
        </w:rPr>
        <w:t>))</w:t>
      </w:r>
      <w:r>
        <w:rPr>
          <w:noProof/>
        </w:rPr>
        <w:t xml:space="preserve"> fogadott el, amelyben ismertette, hogyan érvényesül jelenleg a fogyatékossággal élő uniós polgárok esetében az európai parlamenti választásokon való szavazás joga. A jelentés számos akadályt állapít meg, amellyel a fogyatékossággal élő személyek választójoguk gyakorlása során szembesülnek. A jelentés több bevált gyakorlatot </w:t>
      </w:r>
      <w:r>
        <w:rPr>
          <w:rStyle w:val="FootnoteReference"/>
          <w:noProof/>
        </w:rPr>
        <w:t>(</w:t>
      </w:r>
      <w:r>
        <w:rPr>
          <w:rStyle w:val="FootnoteReference"/>
          <w:noProof/>
        </w:rPr>
        <w:footnoteReference w:id="13"/>
      </w:r>
      <w:r>
        <w:rPr>
          <w:rStyle w:val="FootnoteReference"/>
          <w:noProof/>
        </w:rPr>
        <w:t>))</w:t>
      </w:r>
      <w:r>
        <w:rPr>
          <w:noProof/>
        </w:rPr>
        <w:t xml:space="preserve"> is ismertet a következők vonatkozásában: az információkhoz való hozzáférés a választás előtti időszakban, a szavazás megszervezése az „általános” szavazóhelyiségekben, a szavazólap és annak akadálymentessége. Bemutatja továbbá a csak néhány tagállamban létező megoldásokat: idő előtti szavazás kijelölt szavazóhelyiségekben, postai úton történő szavazás, mozgóurnás szavazás, képviselő útján történő szavazás, valamint elektronikus szavazás. Végezetül a jelentés a kórházban és tartós gondozást végző intézményekben tartózkodók számára a szavazást lehetővé tevő mechanizmusokkal, a szavazást kötelezően előíró országokban a fogyatékossággal élők szavazáshoz való jogával és az olyan esetekben alkalmazott eljárásokkal kapcsolatos egyes szempontokat ismerteti, amikor a fogyatékossággal élő személy nem a származás helye szerinti országban él.</w:t>
      </w:r>
    </w:p>
    <w:p w14:paraId="57AC243C" w14:textId="03A68E8C" w:rsidR="00407A29" w:rsidRPr="00B42AEB" w:rsidRDefault="00BB4CF0" w:rsidP="00B42AEB">
      <w:pPr>
        <w:rPr>
          <w:noProof/>
        </w:rPr>
      </w:pPr>
      <w:r>
        <w:rPr>
          <w:noProof/>
        </w:rPr>
        <w:t>Az ENSZ Fogyatékossággal Élő Személyek Jogainak Bizottsága azt ajánlotta az EU-nak, hogy tagállamaival és a fogyatékossággal élő személyeket képviselő szervezetekkel együttműködve tegye meg a szükséges intézkedéseket annak érdekében, hogy minden fogyatékossággal élő személy gyakorolhassa aktív és passzív választójogát </w:t>
      </w:r>
      <w:r>
        <w:rPr>
          <w:rStyle w:val="FootnoteReference"/>
          <w:noProof/>
        </w:rPr>
        <w:t>(</w:t>
      </w:r>
      <w:r>
        <w:rPr>
          <w:rStyle w:val="FootnoteReference"/>
          <w:noProof/>
        </w:rPr>
        <w:footnoteReference w:id="14"/>
      </w:r>
      <w:r>
        <w:rPr>
          <w:rStyle w:val="FootnoteReference"/>
          <w:noProof/>
        </w:rPr>
        <w:t>))</w:t>
      </w:r>
      <w:r>
        <w:rPr>
          <w:noProof/>
        </w:rPr>
        <w:t>.</w:t>
      </w:r>
    </w:p>
    <w:p w14:paraId="6C2DCB59" w14:textId="27B732F4" w:rsidR="00ED61D7" w:rsidRPr="00B42AEB" w:rsidRDefault="00ED61D7" w:rsidP="00B42AEB">
      <w:pPr>
        <w:rPr>
          <w:noProof/>
        </w:rPr>
      </w:pPr>
      <w:r>
        <w:rPr>
          <w:noProof/>
        </w:rPr>
        <w:t>A Bizottság a fogyatékossággal élő személyek jogainak érvényre juttatását célzó, 2021–2030-as időszakra szóló stratégiájában </w:t>
      </w:r>
      <w:r>
        <w:rPr>
          <w:rStyle w:val="FootnoteReference"/>
          <w:noProof/>
        </w:rPr>
        <w:t>(</w:t>
      </w:r>
      <w:r>
        <w:rPr>
          <w:rStyle w:val="FootnoteReference"/>
          <w:noProof/>
        </w:rPr>
        <w:footnoteReference w:id="15"/>
      </w:r>
      <w:r>
        <w:rPr>
          <w:rStyle w:val="FootnoteReference"/>
          <w:noProof/>
        </w:rPr>
        <w:t>))</w:t>
      </w:r>
      <w:r>
        <w:rPr>
          <w:noProof/>
        </w:rPr>
        <w:t xml:space="preserve"> bejelentette, hogy útmutatót fog készíteni a fogyatékossággal élő polgárok választási folyamatban való részvételére vonatkozó helyes választási gyakorlatról. Ez az útmutató a tagállamokkal szoros együttműködésben, az európai választási együttműködési hálózat keretében készült el. Alapjául a Bizottság által 2023. október 23–24-én szervezett, a választásokról szóló magas szintű rendezvényen </w:t>
      </w:r>
      <w:r>
        <w:rPr>
          <w:rStyle w:val="FootnoteReference"/>
          <w:noProof/>
        </w:rPr>
        <w:t>(</w:t>
      </w:r>
      <w:r>
        <w:rPr>
          <w:rStyle w:val="FootnoteReference"/>
          <w:noProof/>
        </w:rPr>
        <w:footnoteReference w:id="16"/>
      </w:r>
      <w:r>
        <w:rPr>
          <w:rStyle w:val="FootnoteReference"/>
          <w:noProof/>
        </w:rPr>
        <w:t>))</w:t>
      </w:r>
      <w:r>
        <w:rPr>
          <w:noProof/>
        </w:rPr>
        <w:t xml:space="preserve"> folytatott megbeszélések szolgáltak.</w:t>
      </w:r>
    </w:p>
    <w:p w14:paraId="1F77BC31" w14:textId="6063F90A" w:rsidR="00475D7E" w:rsidRPr="00B42AEB" w:rsidRDefault="00475D7E" w:rsidP="00B42AEB">
      <w:pPr>
        <w:rPr>
          <w:noProof/>
        </w:rPr>
      </w:pPr>
      <w:r>
        <w:rPr>
          <w:noProof/>
        </w:rPr>
        <w:t>A Bizottság a fogyatékossággal élő személyek jogairól szóló stratégiájában bejelentette, hogy:</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noProof/>
        </w:rPr>
        <w:t>együttműködik</w:t>
      </w:r>
      <w:r>
        <w:rPr>
          <w:rFonts w:ascii="Arial" w:hAnsi="Arial"/>
          <w:noProof/>
        </w:rPr>
        <w:t xml:space="preserve"> a tagállamokkal, többek között az európai választási együttműködési hálózat és az Európai Parlament keretében folytatott célzott megbeszélések révén, hogy garantálja a másokkal azonos alapon biztosított politikai jogokat a fogyatékossággal élő személyek számára;</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noProof/>
        </w:rPr>
        <w:t xml:space="preserve">a demokráciára vonatkozó cselekvési tervben bejelentett, választásokról szóló (2023. október 23-án és 24-ben megrendezett) magas szintű rendezvény keretében </w:t>
      </w:r>
      <w:r>
        <w:rPr>
          <w:rFonts w:ascii="Arial" w:hAnsi="Arial"/>
          <w:b/>
          <w:noProof/>
        </w:rPr>
        <w:t>megvitatja</w:t>
      </w:r>
      <w:r>
        <w:rPr>
          <w:rFonts w:ascii="Arial" w:hAnsi="Arial"/>
          <w:noProof/>
        </w:rPr>
        <w:t xml:space="preserve"> az inkluzív demokráciával kapcsolatos gyakorlatokat azzal a céllal, hogy a jelöltlisták tükrözzék társadalmaink sokszínűségét;</w:t>
      </w:r>
    </w:p>
    <w:p w14:paraId="03B1A87B" w14:textId="70E2628B" w:rsidR="00475D7E" w:rsidRPr="00860D52" w:rsidRDefault="00475D7E" w:rsidP="00860D52">
      <w:pPr>
        <w:pStyle w:val="ListBullet2"/>
        <w:spacing w:after="120" w:line="288" w:lineRule="auto"/>
        <w:jc w:val="left"/>
        <w:rPr>
          <w:rFonts w:ascii="Arial" w:hAnsi="Arial" w:cs="Arial"/>
          <w:noProof/>
        </w:rPr>
      </w:pPr>
      <w:r>
        <w:rPr>
          <w:rFonts w:ascii="Arial" w:hAnsi="Arial"/>
          <w:b/>
          <w:noProof/>
        </w:rPr>
        <w:t>támogatja</w:t>
      </w:r>
      <w:r>
        <w:rPr>
          <w:rFonts w:ascii="Arial" w:hAnsi="Arial"/>
          <w:noProof/>
        </w:rPr>
        <w:t xml:space="preserve"> az inkluzív demokratikus részvételt, többek között a fogyatékossággal élő személyek esetében is, az új „Polgárok, egyenlőség, jogok és értékek” program </w:t>
      </w:r>
      <w:r>
        <w:rPr>
          <w:rStyle w:val="FootnoteReference"/>
          <w:noProof/>
        </w:rPr>
        <w:t>(</w:t>
      </w:r>
      <w:r>
        <w:rPr>
          <w:rStyle w:val="FootnoteReference"/>
          <w:noProof/>
        </w:rPr>
        <w:footnoteReference w:id="17"/>
      </w:r>
      <w:r>
        <w:rPr>
          <w:rStyle w:val="FootnoteReference"/>
          <w:noProof/>
        </w:rPr>
        <w:t>))</w:t>
      </w:r>
      <w:r>
        <w:rPr>
          <w:rFonts w:ascii="Arial" w:hAnsi="Arial"/>
          <w:noProof/>
        </w:rPr>
        <w:t xml:space="preserve"> révén.</w:t>
      </w:r>
    </w:p>
    <w:p w14:paraId="4AD0AA7C" w14:textId="53A2D580" w:rsidR="0008772F" w:rsidRPr="00B42AEB" w:rsidRDefault="0088209D" w:rsidP="00B42AEB">
      <w:pPr>
        <w:rPr>
          <w:noProof/>
        </w:rPr>
      </w:pPr>
      <w:r>
        <w:rPr>
          <w:noProof/>
        </w:rPr>
        <w:t>Ennek az útmutatónak az elkészítése az Alapjogi Ügynökség munkáján alapul </w:t>
      </w:r>
      <w:r>
        <w:rPr>
          <w:rStyle w:val="FootnoteReference"/>
          <w:noProof/>
        </w:rPr>
        <w:t>(</w:t>
      </w:r>
      <w:r>
        <w:rPr>
          <w:rStyle w:val="FootnoteReference"/>
          <w:noProof/>
        </w:rPr>
        <w:footnoteReference w:id="18"/>
      </w:r>
      <w:r>
        <w:rPr>
          <w:rStyle w:val="FootnoteReference"/>
          <w:noProof/>
        </w:rPr>
        <w:t>))</w:t>
      </w:r>
      <w:r>
        <w:rPr>
          <w:noProof/>
        </w:rPr>
        <w:t xml:space="preserve">, szoros együttműködésben az </w:t>
      </w:r>
      <w:bookmarkStart w:id="11" w:name="_Hlk141276234"/>
      <w:r>
        <w:rPr>
          <w:noProof/>
        </w:rPr>
        <w:t>Európai Bizottsággal és Európai Fogyatékosügyi Szakértők Tudományos Hálózatával.</w:t>
      </w:r>
      <w:bookmarkEnd w:id="11"/>
      <w:r>
        <w:rPr>
          <w:noProof/>
        </w:rPr>
        <w:t xml:space="preserve"> A hálózat </w:t>
      </w:r>
      <w:hyperlink r:id="rId15" w:history="1">
        <w:r>
          <w:rPr>
            <w:rStyle w:val="Hyperlink"/>
            <w:noProof/>
          </w:rPr>
          <w:t>28 emberi jogi mutatót</w:t>
        </w:r>
      </w:hyperlink>
      <w:r>
        <w:rPr>
          <w:noProof/>
        </w:rPr>
        <w:t xml:space="preserve"> dolgozott ki a fogyatékossággal élő személyek politikai részvételének értékelésére az EU-ban. Az adatok négy fő téma köré csoportosíthatók: 1. jogi és adminisztratív akadályok megszüntetése; 2. a jogokkal kapcsolatos tudatosság növelése; 3. a politikai részvétel akadálymentesítése; 4. a részvételi lehetőségek bővítése.</w:t>
      </w:r>
    </w:p>
    <w:p w14:paraId="22C5DBAA" w14:textId="387FBF17" w:rsidR="0026573B" w:rsidRPr="00B42AEB" w:rsidRDefault="00736B50" w:rsidP="00B42AEB">
      <w:pPr>
        <w:rPr>
          <w:noProof/>
        </w:rPr>
      </w:pPr>
      <w:r>
        <w:rPr>
          <w:noProof/>
        </w:rPr>
        <w:t>Az európai választási együttműködési hálózat aktívan részt vett ezen útmutató elkészítésében, többek között egy, erre a célra létrehozott alcsoport keretében. A fogyatékossággal élő személyek igényeinek megfelelő választási gyakorlatok többször is megjelentek a tagállamok között e hálózat keretében folytatott megbeszéléseken, és szerves részét képezik a Bizottság azon erőfeszítéseinek, hogy segítse az embereket választójoguk gyakorlásában </w:t>
      </w:r>
      <w:r>
        <w:rPr>
          <w:rStyle w:val="FootnoteReference"/>
          <w:noProof/>
        </w:rPr>
        <w:t>(</w:t>
      </w:r>
      <w:r>
        <w:rPr>
          <w:rStyle w:val="FootnoteReference"/>
          <w:noProof/>
        </w:rPr>
        <w:footnoteReference w:id="19"/>
      </w:r>
      <w:r>
        <w:rPr>
          <w:rStyle w:val="FootnoteReference"/>
          <w:noProof/>
        </w:rPr>
        <w:t>))</w:t>
      </w:r>
      <w:r>
        <w:rPr>
          <w:noProof/>
        </w:rPr>
        <w:t>.</w:t>
      </w:r>
    </w:p>
    <w:p w14:paraId="2D946BC5" w14:textId="082245C4" w:rsidR="00090D1B" w:rsidRPr="00B42AEB" w:rsidRDefault="00666F5C" w:rsidP="00B42AEB">
      <w:pPr>
        <w:rPr>
          <w:noProof/>
        </w:rPr>
      </w:pPr>
      <w:r>
        <w:rPr>
          <w:noProof/>
        </w:rPr>
        <w:t>Ezzel összefüggésben 22 tagállam küldött észrevételeket a fogyatékossággal élő személyek választásokon való részvételére vonatkozó választási keretekről és gyakorlatokról. A felmérés feltárta, hogy rengeteg gyakorlat segíti annak biztosítását, hogy a választások mindenki számára akadálymentesek legyenek.</w:t>
      </w:r>
    </w:p>
    <w:p w14:paraId="1A1EE013" w14:textId="63FCBE53" w:rsidR="00573F10" w:rsidRPr="00B42AEB" w:rsidRDefault="005D1899" w:rsidP="00B42AEB">
      <w:pPr>
        <w:rPr>
          <w:noProof/>
        </w:rPr>
      </w:pPr>
      <w:r>
        <w:rPr>
          <w:noProof/>
        </w:rPr>
        <w:t>Az útmutató elkészítésének támogatásához az állampolgársággal foglalkozó tudományos szakemberek hálózata tanulmányt készített a fogyatékossággal élő polgárok választásokon való részvételéről </w:t>
      </w:r>
      <w:r>
        <w:rPr>
          <w:rStyle w:val="FootnoteReference"/>
          <w:noProof/>
        </w:rPr>
        <w:t>(</w:t>
      </w:r>
      <w:r>
        <w:rPr>
          <w:rStyle w:val="FootnoteReference"/>
          <w:noProof/>
        </w:rPr>
        <w:footnoteReference w:id="20"/>
      </w:r>
      <w:r>
        <w:rPr>
          <w:rStyle w:val="FootnoteReference"/>
          <w:noProof/>
        </w:rPr>
        <w:t>))</w:t>
      </w:r>
      <w:r>
        <w:rPr>
          <w:noProof/>
        </w:rPr>
        <w:t>. Ez az útmutató az európai polgársághoz kapcsolódó jogok akadémiai hálózatának a fogyatékossággal élő személyek politikai részvételéről szóló </w:t>
      </w:r>
      <w:r>
        <w:rPr>
          <w:noProof/>
          <w:vertAlign w:val="superscript"/>
        </w:rPr>
        <w:t>(</w:t>
      </w:r>
      <w:r>
        <w:rPr>
          <w:noProof/>
          <w:vertAlign w:val="superscript"/>
        </w:rPr>
        <w:footnoteReference w:id="21"/>
      </w:r>
      <w:r>
        <w:rPr>
          <w:noProof/>
          <w:vertAlign w:val="superscript"/>
        </w:rPr>
        <w:t>)</w:t>
      </w:r>
      <w:r>
        <w:rPr>
          <w:noProof/>
        </w:rPr>
        <w:t>, 2018-ban készült és 2021-ben aktualizált jelentésén </w:t>
      </w:r>
      <w:r>
        <w:rPr>
          <w:rStyle w:val="FootnoteReference"/>
          <w:noProof/>
        </w:rPr>
        <w:t>(</w:t>
      </w:r>
      <w:r>
        <w:rPr>
          <w:rStyle w:val="FootnoteReference"/>
          <w:noProof/>
        </w:rPr>
        <w:footnoteReference w:id="22"/>
      </w:r>
      <w:r>
        <w:rPr>
          <w:rStyle w:val="FootnoteReference"/>
          <w:noProof/>
        </w:rPr>
        <w:t>))</w:t>
      </w:r>
      <w:r>
        <w:rPr>
          <w:noProof/>
        </w:rPr>
        <w:t xml:space="preserve"> is alapul.</w:t>
      </w:r>
    </w:p>
    <w:p w14:paraId="7C9E0D75" w14:textId="7785B0FC" w:rsidR="006A58FF" w:rsidRPr="00B42AEB" w:rsidRDefault="006A58FF" w:rsidP="006B02A7">
      <w:pPr>
        <w:rPr>
          <w:noProof/>
        </w:rPr>
      </w:pPr>
      <w:r>
        <w:rPr>
          <w:noProof/>
        </w:rPr>
        <w:t>A Bizottság eseti konzultációkat is folytatott a fogyatékossággal élő polgárok részvételét támogató csoportokkal </w:t>
      </w:r>
      <w:r>
        <w:rPr>
          <w:rStyle w:val="FootnoteReference"/>
          <w:noProof/>
        </w:rPr>
        <w:t>(</w:t>
      </w:r>
      <w:r>
        <w:rPr>
          <w:rStyle w:val="FootnoteReference"/>
          <w:noProof/>
        </w:rPr>
        <w:footnoteReference w:id="23"/>
      </w:r>
      <w:r>
        <w:rPr>
          <w:rStyle w:val="FootnoteReference"/>
          <w:noProof/>
        </w:rPr>
        <w:t>))</w:t>
      </w:r>
      <w:r>
        <w:rPr>
          <w:noProof/>
        </w:rPr>
        <w:t>.</w:t>
      </w:r>
    </w:p>
    <w:p w14:paraId="21997086" w14:textId="395576B5" w:rsidR="00DC4711" w:rsidRPr="00B42AEB" w:rsidRDefault="00DC4711" w:rsidP="00B42AEB">
      <w:pPr>
        <w:rPr>
          <w:noProof/>
        </w:rPr>
      </w:pPr>
      <w:r>
        <w:rPr>
          <w:noProof/>
        </w:rPr>
        <w:t>Ezzel az útmutatóval párhuzamosan a Bizottság összeállította az e-szavazási gyakorlatok kézikönyvét, amint azt az európai demokráciáról szóló cselekvési tervben </w:t>
      </w:r>
      <w:r>
        <w:rPr>
          <w:rStyle w:val="FootnoteReference"/>
          <w:noProof/>
        </w:rPr>
        <w:t>(</w:t>
      </w:r>
      <w:r>
        <w:rPr>
          <w:rStyle w:val="FootnoteReference"/>
          <w:noProof/>
        </w:rPr>
        <w:footnoteReference w:id="24"/>
      </w:r>
      <w:r>
        <w:rPr>
          <w:rStyle w:val="FootnoteReference"/>
          <w:noProof/>
        </w:rPr>
        <w:t>))</w:t>
      </w:r>
      <w:r>
        <w:rPr>
          <w:noProof/>
        </w:rPr>
        <w:t xml:space="preserve"> és a fogyatékossággal élő személyek jogairól szóló stratégiában is bejelentette. Konkrétabban a kézikönyv </w:t>
      </w:r>
      <w:r>
        <w:rPr>
          <w:rStyle w:val="FootnoteReference"/>
          <w:noProof/>
        </w:rPr>
        <w:t>(</w:t>
      </w:r>
      <w:r>
        <w:rPr>
          <w:rStyle w:val="FootnoteReference"/>
          <w:noProof/>
        </w:rPr>
        <w:footnoteReference w:id="25"/>
      </w:r>
      <w:r>
        <w:rPr>
          <w:rStyle w:val="FootnoteReference"/>
          <w:noProof/>
        </w:rPr>
        <w:t>))</w:t>
      </w:r>
      <w:r>
        <w:rPr>
          <w:noProof/>
        </w:rPr>
        <w:t xml:space="preserve"> a szavazóhelyiségekben használt szavazóautomaták szavazók által használt elemeinek és az online szavazás – amely a fogyatékossággal élő személyek számára is hasznos szavazási módszer – interfészének akadálymentességével kapcsolatos problémákat vizsgálja.</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135231"/>
      <w:r>
        <w:rPr>
          <w:noProof/>
        </w:rPr>
        <w:t>A fogyatékossággal élő polgárokat érintő legfontosabb problémák</w:t>
      </w:r>
      <w:bookmarkEnd w:id="12"/>
      <w:bookmarkEnd w:id="13"/>
    </w:p>
    <w:p w14:paraId="1994D7F6" w14:textId="17A106AC" w:rsidR="00573F10" w:rsidRPr="00B42AEB" w:rsidRDefault="00FF640F" w:rsidP="00B42AEB">
      <w:pPr>
        <w:rPr>
          <w:noProof/>
        </w:rPr>
      </w:pPr>
      <w:r>
        <w:rPr>
          <w:noProof/>
        </w:rPr>
        <w:t>A tagállamok felelőssége, hogy meghatározzák a fogyatékossági státusz elismerésére vonatkozó jogosultsági feltételeket és elbírálási eljárásokat. Az uniós joggal és a vonatkozó nemzetközi normákkal összhangban annak meghatározásáért is felelősek, hogy ki jogosult szavazni és indulni a választásokon. A fogyatékossággal élő polgárok számos jogi, adminisztratív és intézményi akadályba ütköznek, amikor aktívan részt kívánnak venni a demokratikus életben. Az értelmi fogyatékossággal élő polgárok különösen jelentős akadályokkal szembesülnek politikai jogaik gyakorlása során, tekintettel számos jogi és adminisztratív akadályra. Más tulajdonságok, mint például az életkor és a nem, valamint az olyan tényezők, mint a társadalmi-gazdasági helyzet és az anyagi források szűkössége, szintén hatással vannak a fogyatékossággal élő polgárok politikai részvételének mértékére. Bár mindenféle szinten történtek jelentős erőfeszítések e problémák kezelésére – például a szabályozási keret felülvizsgálata, a választási anyagok és létesítmények akadálymentességének javítása révén –, még sok a tennivaló a fogyatékossággal élő polgárok demokratikus és választójogai gyakorlásának támogatása terén </w:t>
      </w:r>
      <w:r>
        <w:rPr>
          <w:rStyle w:val="FootnoteReference"/>
          <w:noProof/>
        </w:rPr>
        <w:t>(</w:t>
      </w:r>
      <w:r>
        <w:rPr>
          <w:rStyle w:val="FootnoteReference"/>
          <w:noProof/>
        </w:rPr>
        <w:footnoteReference w:id="26"/>
      </w:r>
      <w:r>
        <w:rPr>
          <w:rStyle w:val="FootnoteReference"/>
          <w:noProof/>
        </w:rPr>
        <w:t>))</w:t>
      </w:r>
      <w:r>
        <w:rPr>
          <w:noProof/>
        </w:rPr>
        <w:t>.</w:t>
      </w:r>
    </w:p>
    <w:p w14:paraId="398F79D2" w14:textId="3472DC09" w:rsidR="003E706D" w:rsidRPr="00B42AEB" w:rsidRDefault="002C5F2D" w:rsidP="00B42AEB">
      <w:pPr>
        <w:rPr>
          <w:noProof/>
        </w:rPr>
      </w:pPr>
      <w:r>
        <w:rPr>
          <w:noProof/>
        </w:rPr>
        <w:t xml:space="preserve">A szakirodalomban </w:t>
      </w:r>
      <w:bookmarkStart w:id="14" w:name="_Hlk151654247"/>
      <w:r>
        <w:rPr>
          <w:noProof/>
        </w:rPr>
        <w:t>és az érdekelt felek körében</w:t>
      </w:r>
      <w:bookmarkEnd w:id="14"/>
      <w:r>
        <w:rPr>
          <w:noProof/>
        </w:rPr>
        <w:t xml:space="preserve"> megfogalmazott fő aggályok a következő akadályokra vonatkoznak:</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Fizikai akadályok</w:t>
      </w:r>
      <w:r>
        <w:rPr>
          <w:noProof/>
        </w:rPr>
        <w:t xml:space="preserve"> (többek között a nem akadálymentes szavazóhelyiségek, a bentlakásos vagy tartós ápolási-gondozási intézményekben, kórházakban élő vagy az otthonukat elhagyni nem képes személyek szavazásához szükséges intézkedések elégtelensége, a mobilitási akadályok és a választások során használt nem akadálymentes anyagok, például szavazólapok, szavazófülkék vagy szavazógépek, korlátozott szavazási lehetőségek).</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Információs akadályok</w:t>
      </w:r>
      <w:r>
        <w:rPr>
          <w:noProof/>
        </w:rPr>
        <w:t xml:space="preserve"> (többek között a politikai jelöltekre és a pártokra vonatkozó információkhoz való hozzáférés hiánya, a választási folyamattal kapcsolatos ismeretek hiánya – hol, mikor és hogyan kell szavazni).</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 xml:space="preserve">Segítségnyújtás akadályai </w:t>
      </w:r>
      <w:r>
        <w:rPr>
          <w:noProof/>
        </w:rPr>
        <w:t>(többek között a szavazás során nyújtott korlátozott segítség, a szavazóhelyiségek személyzetének a segítségnyújtás módjáról szóló képzés hiánya, valamint</w:t>
      </w:r>
      <w:r>
        <w:rPr>
          <w:b/>
          <w:noProof/>
        </w:rPr>
        <w:t xml:space="preserve"> </w:t>
      </w:r>
      <w:r>
        <w:rPr>
          <w:noProof/>
        </w:rPr>
        <w:t>annak korlátozása, hogy ki részesülhet segítségben).</w:t>
      </w:r>
    </w:p>
    <w:p w14:paraId="424D0409" w14:textId="4E04FDEA" w:rsidR="003E706D" w:rsidRPr="00B42AEB" w:rsidRDefault="003E706D" w:rsidP="002D36F0">
      <w:pPr>
        <w:pStyle w:val="ListParagraph"/>
        <w:numPr>
          <w:ilvl w:val="0"/>
          <w:numId w:val="5"/>
        </w:numPr>
        <w:spacing w:after="120" w:line="288" w:lineRule="auto"/>
        <w:rPr>
          <w:noProof/>
        </w:rPr>
      </w:pPr>
      <w:r>
        <w:rPr>
          <w:b/>
          <w:noProof/>
        </w:rPr>
        <w:t xml:space="preserve">Társadalmi akadályok </w:t>
      </w:r>
      <w:r>
        <w:rPr>
          <w:noProof/>
        </w:rPr>
        <w:t>(többek között a fogyatékossággal élő polgárokkal kapcsolatos sztereotípiák, a gondozók/segítők hozzáállása és véleménye, valamint a támogató hálózatok elérhetősége és az azokhoz való hozzáférés) </w:t>
      </w:r>
      <w:r>
        <w:rPr>
          <w:rStyle w:val="FootnoteReference"/>
          <w:noProof/>
        </w:rPr>
        <w:t>(</w:t>
      </w:r>
      <w:r>
        <w:rPr>
          <w:rStyle w:val="FootnoteReference"/>
          <w:noProof/>
        </w:rPr>
        <w:footnoteReference w:id="27"/>
      </w:r>
      <w:r>
        <w:rPr>
          <w:rStyle w:val="FootnoteReference"/>
          <w:noProof/>
        </w:rPr>
        <w:t>))</w:t>
      </w:r>
      <w:r>
        <w:rPr>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135232"/>
      <w:r>
        <w:rPr>
          <w:noProof/>
        </w:rPr>
        <w:t>Az uniós keret</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135233"/>
      <w:r>
        <w:rPr>
          <w:noProof/>
        </w:rPr>
        <w:t>Szerződések</w:t>
      </w:r>
      <w:bookmarkEnd w:id="17"/>
      <w:bookmarkEnd w:id="18"/>
    </w:p>
    <w:p w14:paraId="22F239CA" w14:textId="4C6CF697" w:rsidR="0024514D" w:rsidRPr="00B42AEB" w:rsidRDefault="0069065F" w:rsidP="00B42AEB">
      <w:pPr>
        <w:rPr>
          <w:noProof/>
        </w:rPr>
      </w:pPr>
      <w:r>
        <w:rPr>
          <w:noProof/>
        </w:rPr>
        <w:t>Az Európai Unió működéséről szóló szerződés (EUMSZ) 10. cikke úgy rendelkezik, hogy „politikái és tevékenységei meghatározása és végrehajtása során az Unió küzd mindenfajta […] fogyatékosságon […] alapuló megkülönböztetés ellen”.</w:t>
      </w:r>
    </w:p>
    <w:p w14:paraId="5095E76E" w14:textId="0828C1E1" w:rsidR="00271CAD" w:rsidRPr="00B42AEB" w:rsidRDefault="00271CAD" w:rsidP="00B42AEB">
      <w:pPr>
        <w:rPr>
          <w:noProof/>
        </w:rPr>
      </w:pPr>
      <w:r>
        <w:rPr>
          <w:noProof/>
        </w:rPr>
        <w:t>Az EUMSZ 19. cikkének (1) bekezdése. szerint „a Szerződések egyéb rendelkezéseinek sérelme nélkül és a Szerződések által az Unióra átruházott hatáskörök keretén belül a Tanács az Európai Parlament egyetértését követően, különleges jogalkotási eljárás keretében, egyhangúlag megfelelő intézkedéseket tehet a […] fogyatékosságon alapuló megkülönböztetés leküzdésére”.</w:t>
      </w:r>
    </w:p>
    <w:p w14:paraId="32738849" w14:textId="4E9F4303" w:rsidR="0069065F" w:rsidRPr="00B42AEB" w:rsidRDefault="0069065F" w:rsidP="00B42AEB">
      <w:pPr>
        <w:rPr>
          <w:noProof/>
        </w:rPr>
      </w:pPr>
      <w:r>
        <w:rPr>
          <w:noProof/>
        </w:rPr>
        <w:t>Az EUMSZ 19. cikkének (2) bekezdése értelmében „[…] az Európai Parlament és a Tanács rendes jogalkotási eljárás keretében elfogadhatja a tagállamok által az (1) bekezdésben említett célkitűzések elérése érdekében tett intézkedéseket támogató uniós ösztönző intézkedések alapelveit, kizárva azonban a […] rendelkezéseinek bármilyen összehangolását”.</w:t>
      </w:r>
    </w:p>
    <w:p w14:paraId="61A67F60" w14:textId="13F383A9" w:rsidR="00F5599C" w:rsidRPr="00B42AEB" w:rsidRDefault="00850940" w:rsidP="006B02A7">
      <w:pPr>
        <w:pStyle w:val="Heading2"/>
        <w:numPr>
          <w:ilvl w:val="1"/>
          <w:numId w:val="1"/>
        </w:numPr>
        <w:spacing w:before="240" w:after="240"/>
        <w:rPr>
          <w:noProof/>
        </w:rPr>
      </w:pPr>
      <w:bookmarkStart w:id="19" w:name="_Toc158135234"/>
      <w:r>
        <w:rPr>
          <w:noProof/>
        </w:rPr>
        <w:t>Az Egyesült Nemzetek fogyatékossággal élő személyek jogairól szóló egyezménye</w:t>
      </w:r>
      <w:bookmarkEnd w:id="19"/>
    </w:p>
    <w:p w14:paraId="7C3E267C" w14:textId="4A9A9364" w:rsidR="00850940" w:rsidRPr="00B42AEB" w:rsidRDefault="00F5599C" w:rsidP="00B42AEB">
      <w:pPr>
        <w:rPr>
          <w:noProof/>
        </w:rPr>
      </w:pPr>
      <w:r>
        <w:rPr>
          <w:noProof/>
        </w:rPr>
        <w:t>Az Unió részes fele a fogyatékossággal élő személyek jogairól szóló ENSZ-egyezménynek (UNCRPD). Következésképpen az Unió hatáskörén belül ezen egyezmény rendelkezései az uniós jogrend szerves részét képezik.</w:t>
      </w:r>
    </w:p>
    <w:p w14:paraId="750F94E7" w14:textId="1EA277E2" w:rsidR="001D613C" w:rsidRPr="00B42AEB" w:rsidRDefault="00850940" w:rsidP="00B42AEB">
      <w:pPr>
        <w:rPr>
          <w:noProof/>
        </w:rPr>
      </w:pPr>
      <w:r>
        <w:rPr>
          <w:noProof/>
        </w:rPr>
        <w:t>A fogyatékossággal élő személyek jogairól szóló ENSZ-egyezmény 29. cikke értelmében a részes államoknak többek között biztosítaniuk kell, hogy a szavazási eljárások, létesítmények és anyagok megfelelőek, akadálymentesek és könnyen érthetők legyenek.</w:t>
      </w:r>
    </w:p>
    <w:p w14:paraId="5D6B24E2" w14:textId="59DDD3D8" w:rsidR="00850940" w:rsidRPr="00B42AEB" w:rsidRDefault="00850940" w:rsidP="00B42AEB">
      <w:pPr>
        <w:rPr>
          <w:noProof/>
        </w:rPr>
      </w:pPr>
      <w:r>
        <w:rPr>
          <w:noProof/>
        </w:rPr>
        <w:t>Az egyezmény arra kötelezi a részes államokat, hogy védjék a fogyatékossággal élő személyeknek azon jogát, hogy a választásokon és népszavazásokon megfélemlítés nélkül, titkosan szavazhassanak, és hogy szabadon megválaszthatók legyenek, hogy ténylegesen tisztséget, kormányszintű közhivatalt viselhessenek, és hogy szükség esetén tegyék lehetővé részükre a segítő és új technológiák igénybevételét.</w:t>
      </w:r>
    </w:p>
    <w:p w14:paraId="7272E26B" w14:textId="2E14EEE5" w:rsidR="00850940" w:rsidRPr="00B42AEB" w:rsidRDefault="00850940" w:rsidP="00B42AEB">
      <w:pPr>
        <w:rPr>
          <w:noProof/>
        </w:rPr>
      </w:pPr>
      <w:r>
        <w:rPr>
          <w:noProof/>
        </w:rPr>
        <w:t>A tagállamoknak továbbá biztosítaniuk kell a fogyatékossággal élő személyek mint választók szabad akaratnyilvánítását. E célból és szükség esetén a tagállamoknak lehetővé kell tenniük a fogyatékossággal élő személy számára, hogy kérésére egy általa kiválasztott személy segítse őt a szavazásban.</w:t>
      </w:r>
    </w:p>
    <w:p w14:paraId="53D95EA0" w14:textId="30D56785" w:rsidR="00F5599C" w:rsidRPr="00B42AEB" w:rsidRDefault="00850940" w:rsidP="00B42AEB">
      <w:pPr>
        <w:rPr>
          <w:noProof/>
        </w:rPr>
      </w:pPr>
      <w:r>
        <w:rPr>
          <w:rStyle w:val="sbb9ee52a"/>
          <w:noProof/>
        </w:rPr>
        <w:t>A fogyatékossággal élő személyek jogairól szóló ENSZ-egyezmény</w:t>
      </w:r>
      <w:r>
        <w:rPr>
          <w:b/>
          <w:noProof/>
        </w:rPr>
        <w:t xml:space="preserve"> </w:t>
      </w:r>
      <w:r>
        <w:rPr>
          <w:noProof/>
        </w:rPr>
        <w:t>9. cikkéhez fűzött 2. sz.</w:t>
      </w:r>
      <w:r w:rsidRPr="00286511">
        <w:rPr>
          <w:bCs/>
          <w:noProof/>
        </w:rPr>
        <w:t xml:space="preserve"> </w:t>
      </w:r>
      <w:r>
        <w:rPr>
          <w:noProof/>
        </w:rPr>
        <w:t xml:space="preserve">általános észrevétel, </w:t>
      </w:r>
      <w:r>
        <w:rPr>
          <w:rStyle w:val="sbb9ee52a"/>
          <w:noProof/>
        </w:rPr>
        <w:t>amelyet a Fogyatékossággal Élő Személyek Jogainak Bizottsága </w:t>
      </w:r>
      <w:r>
        <w:rPr>
          <w:rStyle w:val="FootnoteReference"/>
          <w:noProof/>
        </w:rPr>
        <w:t>(</w:t>
      </w:r>
      <w:r>
        <w:rPr>
          <w:rStyle w:val="FootnoteReference"/>
          <w:noProof/>
        </w:rPr>
        <w:footnoteReference w:id="28"/>
      </w:r>
      <w:r>
        <w:rPr>
          <w:rStyle w:val="FootnoteReference"/>
          <w:noProof/>
        </w:rPr>
        <w:t>))</w:t>
      </w:r>
      <w:r>
        <w:rPr>
          <w:rStyle w:val="sbb9ee52a"/>
          <w:noProof/>
        </w:rPr>
        <w:t xml:space="preserve"> 2014. április 11-én fogadott el,</w:t>
      </w:r>
      <w:r>
        <w:rPr>
          <w:noProof/>
        </w:rPr>
        <w:t xml:space="preserve"> kimondja, hogy </w:t>
      </w:r>
      <w:r>
        <w:rPr>
          <w:rStyle w:val="sbb9ee52a"/>
          <w:noProof/>
        </w:rPr>
        <w:t>az is fontos, hogy a politikai gyűlések és választásokon részt vevő politikai pártok vagy egyéni jelöltek által használt és előállított anyagok akadálymentesek legyenek.</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135235"/>
      <w:r>
        <w:rPr>
          <w:noProof/>
        </w:rPr>
        <w:t>Az Európai Unió Alapjogi Chartája</w:t>
      </w:r>
      <w:bookmarkEnd w:id="20"/>
      <w:bookmarkEnd w:id="21"/>
    </w:p>
    <w:p w14:paraId="2A5B1C10" w14:textId="741D9078" w:rsidR="00271CAD" w:rsidRPr="00B42AEB" w:rsidRDefault="008E6A92" w:rsidP="00B42AEB">
      <w:pPr>
        <w:rPr>
          <w:noProof/>
        </w:rPr>
      </w:pPr>
      <w:r>
        <w:rPr>
          <w:noProof/>
        </w:rPr>
        <w:t>Az Európai Unió Alapjogi Chartájának (a továbbiakban: a Charta) 21. cikke tiltja a megkülönböztetés minden formáját, beleértve a fogyatékosság alapján történő megkülönböztetést.</w:t>
      </w:r>
    </w:p>
    <w:p w14:paraId="5824D6D2" w14:textId="7F1D748B" w:rsidR="00846458" w:rsidRPr="00B42AEB" w:rsidRDefault="00846458" w:rsidP="00B42AEB">
      <w:pPr>
        <w:rPr>
          <w:noProof/>
        </w:rPr>
      </w:pPr>
      <w:r>
        <w:rPr>
          <w:noProof/>
        </w:rPr>
        <w:t>Az Európai Unió Alapjogi Chartájának a fogyatékkal élő személyek beilleszkedéséről szóló 26. cikke megállapítja, hogy az Unió elismeri és tiszteletben tartja a fogyatékkal élő személyek jogát az önállóságuk, társadalmi és foglalkozási beilleszkedésük, valamint a közösség életében való részvételük biztosítását célzó intézkedésekre. Amint azt az Európai Unió Bírósága a Glatzel-ítéletben </w:t>
      </w:r>
      <w:r>
        <w:rPr>
          <w:rStyle w:val="FootnoteReference"/>
          <w:noProof/>
        </w:rPr>
        <w:t>(</w:t>
      </w:r>
      <w:r>
        <w:rPr>
          <w:rStyle w:val="FootnoteReference"/>
          <w:noProof/>
        </w:rPr>
        <w:footnoteReference w:id="29"/>
      </w:r>
      <w:r>
        <w:rPr>
          <w:rStyle w:val="FootnoteReference"/>
          <w:noProof/>
        </w:rPr>
        <w:t>) )</w:t>
      </w:r>
      <w:r>
        <w:rPr>
          <w:noProof/>
        </w:rPr>
        <w:t xml:space="preserve"> kiemelte, a fogyatékossággal élő személyek beilleszkedését végrehajtó uniós jogalkotói aktusok értelmezése és felülvizsgálata céljából a 26. cikk alapján lehet a Bírósághoz fordulni.</w:t>
      </w:r>
    </w:p>
    <w:p w14:paraId="360C3401" w14:textId="737E3B47" w:rsidR="00C34E12" w:rsidRPr="00B42AEB" w:rsidRDefault="00C34E12" w:rsidP="00B42AEB">
      <w:pPr>
        <w:rPr>
          <w:noProof/>
        </w:rPr>
      </w:pPr>
      <w:r>
        <w:rPr>
          <w:noProof/>
        </w:rPr>
        <w:t>A Charta 39. és 40. cikke az európai parlamenti és helyhatósági választásokra vonatkozó aktív és passzív választójogról szól.</w:t>
      </w:r>
    </w:p>
    <w:p w14:paraId="75C93C24" w14:textId="2D3C3E29" w:rsidR="00BE5CB3" w:rsidRPr="00B42AEB" w:rsidRDefault="00FF3AD9" w:rsidP="00B42AEB">
      <w:pPr>
        <w:rPr>
          <w:noProof/>
        </w:rPr>
      </w:pPr>
      <w:r>
        <w:rPr>
          <w:noProof/>
        </w:rPr>
        <w:t>A Charta 53. cikke kimondja, hogy a Chartában meghatározott jogokat úgy kell értelmezni, hogy azok összhangban állnak a nemzetközi joggal, valamint az Unió vagy a tagállamok mindegyikének részességével kötött nemzetközi megállapodásokkal. Ez az emberi jogok európai egyezményét (EJEE) és a fogyatékossággal élő személyek jogairól szóló ENSZ-egyezményt is magában foglalja. Főként a Charta 21. cikkében rögzített megkülönböztetésmentességhez való jogot kell az Emberi Jogok Európai Bírósága ítélkezési gyakorlatának figyelembevételével értelmezni.</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135236"/>
      <w:r>
        <w:rPr>
          <w:noProof/>
        </w:rPr>
        <w:t>Uniós választási jog</w:t>
      </w:r>
      <w:bookmarkEnd w:id="22"/>
      <w:bookmarkEnd w:id="23"/>
    </w:p>
    <w:p w14:paraId="5C2746D7" w14:textId="58C5B0F7" w:rsidR="004B299C" w:rsidRPr="00B42AEB" w:rsidRDefault="002E02A2" w:rsidP="00B42AEB">
      <w:pPr>
        <w:rPr>
          <w:noProof/>
        </w:rPr>
      </w:pPr>
      <w:r>
        <w:rPr>
          <w:noProof/>
        </w:rPr>
        <w:t>Ami az európai parlamenti képviselők megválasztásának eljárását illeti, az EUMSZ 223. cikkének (1) bekezdése először is úgy rendelkezik, hogy az Európai Parlament feladata, hogy javaslatot dolgozzon ki a tagjainak valamennyi tagállamban egységes eljárás szerint vagy valamennyi tagállamban közös elveknek megfelelően tartandó, közvetlen és általános választójog alapján történő megválasztásához szükséges intézkedésekre vonatkozóan. Másrészt pontosítja, hogy a szóban forgó rendelkezéseket az Európai Unió Tanácsának kell meghatároznia.</w:t>
      </w:r>
    </w:p>
    <w:p w14:paraId="002A177F" w14:textId="12E353A3" w:rsidR="00F37BF3" w:rsidRPr="00B42AEB" w:rsidRDefault="00F37BF3" w:rsidP="00B42AEB">
      <w:pPr>
        <w:rPr>
          <w:noProof/>
        </w:rPr>
      </w:pPr>
      <w:r>
        <w:rPr>
          <w:noProof/>
        </w:rPr>
        <w:t>Az 1976. évi választási okmány </w:t>
      </w:r>
      <w:r>
        <w:rPr>
          <w:rStyle w:val="FootnoteReference"/>
          <w:noProof/>
        </w:rPr>
        <w:t>(</w:t>
      </w:r>
      <w:r>
        <w:rPr>
          <w:rStyle w:val="FootnoteReference"/>
          <w:noProof/>
        </w:rPr>
        <w:footnoteReference w:id="30"/>
      </w:r>
      <w:r>
        <w:rPr>
          <w:rStyle w:val="FootnoteReference"/>
          <w:noProof/>
        </w:rPr>
        <w:t>))</w:t>
      </w:r>
      <w:r>
        <w:rPr>
          <w:noProof/>
        </w:rPr>
        <w:t xml:space="preserve"> meghatározza az európai parlamenti képviselők közvetlen és általános választójog alapján történő megválasztására alkalmazandó közös elveket.</w:t>
      </w:r>
    </w:p>
    <w:p w14:paraId="1544DEA1" w14:textId="07970F8B" w:rsidR="00A40202" w:rsidRPr="00B42AEB" w:rsidRDefault="00A40202" w:rsidP="00B42AEB">
      <w:pPr>
        <w:rPr>
          <w:noProof/>
        </w:rPr>
      </w:pPr>
      <w:r>
        <w:rPr>
          <w:noProof/>
        </w:rPr>
        <w:t>Ezen okmány 8. cikkének (1) bekezdése úgy rendelkezik, hogy az egyéb rendelkezésekre is figyelemmel „a választási eljárásra az egyes tagállamok saját nemzeti rendelkezései az irányadók”.</w:t>
      </w:r>
    </w:p>
    <w:p w14:paraId="4AE87950" w14:textId="22F9A390" w:rsidR="0026422C" w:rsidRPr="00B42AEB" w:rsidRDefault="0026422C" w:rsidP="00B42AEB">
      <w:pPr>
        <w:rPr>
          <w:noProof/>
          <w:bdr w:val="none" w:sz="0" w:space="0" w:color="auto" w:frame="1"/>
        </w:rPr>
      </w:pPr>
      <w:r>
        <w:rPr>
          <w:noProof/>
          <w:bdr w:val="none" w:sz="0" w:space="0" w:color="auto" w:frame="1"/>
        </w:rPr>
        <w:t>2022. május 3-án az Európai Parlament jogalkotási aktus tervezetét fogadta el, amely hatályon kívül helyezné a választási okmányt, és azt az Európai Parlament tagjainak közvetlen és általános választójog alapján történő választásáról szóló új tanácsi rendelettel </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xml:space="preserve"> váltaná fel. Ez a rendelet olyan intézkedéseket foglalna magában, amelyek lehetővé tennék a fogyatékossággal élő személyek számára, hogy másokkal azonos alapon vegyenek részt a választási folyamatban, a jogképességüktől megfosztott személyeket is beleértve </w:t>
      </w:r>
      <w:r>
        <w:rPr>
          <w:rStyle w:val="FootnoteReference"/>
          <w:noProof/>
          <w:bdr w:val="none" w:sz="0" w:space="0" w:color="auto" w:frame="1"/>
        </w:rPr>
        <w:t>(</w:t>
      </w:r>
      <w:r>
        <w:rPr>
          <w:rStyle w:val="FootnoteReference"/>
          <w:noProof/>
          <w:bdr w:val="none" w:sz="0" w:space="0" w:color="auto" w:frame="1"/>
        </w:rPr>
        <w:footnoteReference w:id="32"/>
      </w:r>
      <w:r>
        <w:rPr>
          <w:rStyle w:val="FootnoteReference"/>
          <w:noProof/>
          <w:bdr w:val="none" w:sz="0" w:space="0" w:color="auto" w:frame="1"/>
        </w:rPr>
        <w:t>))</w:t>
      </w:r>
      <w:r>
        <w:rPr>
          <w:noProof/>
          <w:bdr w:val="none" w:sz="0" w:space="0" w:color="auto" w:frame="1"/>
        </w:rPr>
        <w:t xml:space="preserve">. </w:t>
      </w:r>
      <w:r>
        <w:rPr>
          <w:noProof/>
        </w:rPr>
        <w:t>A Parlament azt is javasolja, hogy kötelezzék a tagállamokat megfelelő intézkedések meghozatalára annak érdekében, hogy megkönnyítsék a fogyatékossággal élő személyek választójogának független és titkosan vagy egy általuk választott személy segítségével történő gyakorlását.</w:t>
      </w:r>
    </w:p>
    <w:p w14:paraId="113D0B73" w14:textId="077C3ED0" w:rsidR="00EE13BB" w:rsidRPr="00B42AEB" w:rsidRDefault="00E47BA1" w:rsidP="00B42AEB">
      <w:pPr>
        <w:rPr>
          <w:noProof/>
          <w:bdr w:val="none" w:sz="0" w:space="0" w:color="auto" w:frame="1"/>
        </w:rPr>
      </w:pPr>
      <w:r>
        <w:rPr>
          <w:noProof/>
          <w:bdr w:val="none" w:sz="0" w:space="0" w:color="auto" w:frame="1"/>
        </w:rPr>
        <w:t>A szövegről jelenleg folynak az intézményközi megbeszélések.</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135237"/>
      <w:r>
        <w:rPr>
          <w:noProof/>
        </w:rPr>
        <w:t>A mobilis uniós polgárok szavazati jogai</w:t>
      </w:r>
      <w:bookmarkEnd w:id="24"/>
      <w:bookmarkEnd w:id="25"/>
    </w:p>
    <w:p w14:paraId="2CE8187B" w14:textId="4A8AF298" w:rsidR="00E7243F" w:rsidRPr="00B42AEB" w:rsidRDefault="00E7243F" w:rsidP="00B42AEB">
      <w:pPr>
        <w:rPr>
          <w:noProof/>
        </w:rPr>
      </w:pPr>
      <w:r>
        <w:rPr>
          <w:noProof/>
        </w:rPr>
        <w:t>Az EUMSZ 20. cikke (2) bekezdésének b) pontja és 22. cikke értelmében az uniós tagállamok állampolgárai: a) választásra jogosultak és választhatók az európai parlamenti választásokon, továbbá b) választásra jogosultak és választhatók a lakóhelyük szerinti tagállam helyhatósági választásain. Ezt a két jogot a Charta is biztosítja </w:t>
      </w:r>
      <w:r>
        <w:rPr>
          <w:noProof/>
          <w:vertAlign w:val="superscript"/>
        </w:rPr>
        <w:t>(</w:t>
      </w:r>
      <w:r>
        <w:rPr>
          <w:noProof/>
          <w:vertAlign w:val="superscript"/>
        </w:rPr>
        <w:footnoteReference w:id="33"/>
      </w:r>
      <w:r>
        <w:rPr>
          <w:noProof/>
          <w:vertAlign w:val="superscript"/>
        </w:rPr>
        <w:t>)</w:t>
      </w:r>
      <w:r>
        <w:rPr>
          <w:noProof/>
        </w:rPr>
        <w:t>.</w:t>
      </w:r>
    </w:p>
    <w:p w14:paraId="5EFFFEB9" w14:textId="601EA5A8" w:rsidR="00E7243F" w:rsidRPr="00B42AEB" w:rsidRDefault="00E7243F" w:rsidP="00B42AEB">
      <w:pPr>
        <w:rPr>
          <w:noProof/>
        </w:rPr>
      </w:pPr>
      <w:r>
        <w:rPr>
          <w:noProof/>
        </w:rPr>
        <w:t>Az EUMSZ 20. és 22. cikke úgy rendelkezik, hogy minden uniós polgár, akinek lakóhelye olyan tagállamban van, amelynek nem állampolgára („mobilis” uniós polgár), e jogokat ugyanolyan feltételekkel gyakorolhatja, mint az adott tagállam állampolgárai. Ennek eredményeként a kizárólag nemzeti jellegű szavazati jog gyakorlásának feltételeit meghatározó nemzeti jogszabályokat a helyhatósági és az európai parlamenti választások tekintetében a mobilis uniós polgárokra is alkalmazni kell.</w:t>
      </w:r>
    </w:p>
    <w:p w14:paraId="1DDBE975" w14:textId="662400ED" w:rsidR="00E7243F" w:rsidRPr="00B42AEB" w:rsidRDefault="00E7243F" w:rsidP="00B42AEB">
      <w:pPr>
        <w:rPr>
          <w:noProof/>
        </w:rPr>
      </w:pPr>
      <w:r>
        <w:rPr>
          <w:noProof/>
        </w:rPr>
        <w:t>A 93/109/EK </w:t>
      </w:r>
      <w:r>
        <w:rPr>
          <w:rStyle w:val="FootnoteReference"/>
          <w:noProof/>
        </w:rPr>
        <w:t>(</w:t>
      </w:r>
      <w:r>
        <w:rPr>
          <w:rStyle w:val="FootnoteReference"/>
          <w:noProof/>
        </w:rPr>
        <w:footnoteReference w:id="34"/>
      </w:r>
      <w:r>
        <w:rPr>
          <w:rStyle w:val="FootnoteReference"/>
          <w:noProof/>
        </w:rPr>
        <w:t>))</w:t>
      </w:r>
      <w:r>
        <w:rPr>
          <w:noProof/>
        </w:rPr>
        <w:t xml:space="preserve"> és a 94/80/EK </w:t>
      </w:r>
      <w:r>
        <w:rPr>
          <w:rStyle w:val="FootnoteReference"/>
          <w:noProof/>
        </w:rPr>
        <w:t>(</w:t>
      </w:r>
      <w:r>
        <w:rPr>
          <w:rStyle w:val="FootnoteReference"/>
          <w:noProof/>
        </w:rPr>
        <w:footnoteReference w:id="35"/>
      </w:r>
      <w:r>
        <w:rPr>
          <w:rStyle w:val="FootnoteReference"/>
          <w:noProof/>
        </w:rPr>
        <w:t>))</w:t>
      </w:r>
      <w:r>
        <w:rPr>
          <w:noProof/>
        </w:rPr>
        <w:t xml:space="preserve"> irányelv a mobilis uniós polgárok aktív és passzív választójogának az európai parlamenti és a helyhatósági választásokon történő gyakorlására vonatkozó részletes szabályokat állapít meg.</w:t>
      </w:r>
    </w:p>
    <w:p w14:paraId="0CBDF673" w14:textId="03292E51" w:rsidR="00181B90" w:rsidRPr="00B42AEB" w:rsidRDefault="00E7243F" w:rsidP="00B42AEB">
      <w:pPr>
        <w:rPr>
          <w:noProof/>
        </w:rPr>
      </w:pPr>
      <w:r>
        <w:rPr>
          <w:noProof/>
        </w:rPr>
        <w:t>A Bizottság 2021. november 25-én intézkedéscsomagot fogadott el a demokrácia megerősítése és a választások integritásának védelme érdekében. Ez két átdolgozott jogalkotási javaslatot tartalmazott, amelyek részletes szabályokat határoztak meg a mobilis uniós polgárok választójogára vonatkozóan </w:t>
      </w:r>
      <w:r>
        <w:rPr>
          <w:rStyle w:val="FootnoteReference"/>
          <w:noProof/>
        </w:rPr>
        <w:t>(</w:t>
      </w:r>
      <w:r>
        <w:rPr>
          <w:rStyle w:val="FootnoteReference"/>
          <w:noProof/>
        </w:rPr>
        <w:footnoteReference w:id="36"/>
      </w:r>
      <w:r>
        <w:rPr>
          <w:rStyle w:val="FootnoteReference"/>
          <w:noProof/>
        </w:rPr>
        <w:t>))</w:t>
      </w:r>
      <w:r>
        <w:rPr>
          <w:noProof/>
        </w:rPr>
        <w:t>.</w:t>
      </w:r>
    </w:p>
    <w:p w14:paraId="18E0695B" w14:textId="32B224C5" w:rsidR="00E7243F" w:rsidRPr="00B42AEB" w:rsidRDefault="00E7243F" w:rsidP="00B42AEB">
      <w:pPr>
        <w:rPr>
          <w:noProof/>
        </w:rPr>
      </w:pPr>
      <w:r>
        <w:rPr>
          <w:noProof/>
        </w:rPr>
        <w:t>Ezek a kezdeményezések aktualizálják, pontosítják és megerősítik a mobilis uniós polgárok – köztük a fogyatékossággal élő polgárok – nehézségeinek leküzdését célzó szabályokat. A cél a választásokon való széles körű és inkluzív részvétel biztosítása, e csoportok támogatása jogaik gyakorlásában, valamint a választások integritásának védelme. Ezek a kezdeményezések arra is felkérik a tagállamokat, hogy a választásokkal kapcsolatos információkat megfelelő kommunikációs eszközök, módok és formátumok alkalmazásával tegyék hozzáférhetővé a fogyatékossággal élő mobilis uniós polgárok számára. A kezdeményezések előirányozzák, hogy a mobilis uniós polgárok ugyanolyan feltételekkel férhessenek hozzá a távszavazási és elektronikus szavazási lehetőségekhez, mint az adott tagállam állampolgárai. E szövegekről jelenleg is folynak az intézményközi megbeszélések.</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135238"/>
      <w:r>
        <w:rPr>
          <w:noProof/>
        </w:rPr>
        <w:t>A politikai reklám átláthatósága</w:t>
      </w:r>
      <w:bookmarkEnd w:id="26"/>
      <w:bookmarkEnd w:id="27"/>
    </w:p>
    <w:p w14:paraId="683C934D" w14:textId="7F03E17E" w:rsidR="00E7243F" w:rsidRPr="00B42AEB" w:rsidRDefault="00E7243F" w:rsidP="00B42AEB">
      <w:pPr>
        <w:rPr>
          <w:noProof/>
        </w:rPr>
      </w:pPr>
      <w:r>
        <w:rPr>
          <w:noProof/>
        </w:rPr>
        <w:t>A politikai reklám átláthatóságáról és targetálásáról szóló, ugyanazon jogalkotási csomag részét képező javaslatában </w:t>
      </w:r>
      <w:r>
        <w:rPr>
          <w:rStyle w:val="FootnoteReference"/>
          <w:noProof/>
        </w:rPr>
        <w:t>(</w:t>
      </w:r>
      <w:r>
        <w:rPr>
          <w:rStyle w:val="FootnoteReference"/>
          <w:noProof/>
        </w:rPr>
        <w:footnoteReference w:id="37"/>
      </w:r>
      <w:r>
        <w:rPr>
          <w:rStyle w:val="FootnoteReference"/>
          <w:noProof/>
        </w:rPr>
        <w:t>))</w:t>
      </w:r>
      <w:r>
        <w:rPr>
          <w:noProof/>
        </w:rPr>
        <w:t xml:space="preserve"> a Bizottság annak szükségességét is szem előtt tartotta, hogy a politikai reklámokat kísérő átláthatósági közleményeket a fogyatékossággal élő személyek számára is hozzáférhetővé kell tenni.</w:t>
      </w:r>
    </w:p>
    <w:p w14:paraId="315B1338" w14:textId="22858B3F" w:rsidR="00157E17" w:rsidRPr="00B42AEB" w:rsidRDefault="00A1581C" w:rsidP="00B42AEB">
      <w:pPr>
        <w:rPr>
          <w:noProof/>
          <w:u w:val="single"/>
        </w:rPr>
      </w:pPr>
      <w:r>
        <w:rPr>
          <w:noProof/>
        </w:rPr>
        <w:t>A szövegről jelenleg folynak az intézményközi megbeszélések.</w:t>
      </w:r>
    </w:p>
    <w:p w14:paraId="38A09369" w14:textId="7B297A64"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135239"/>
      <w:r>
        <w:rPr>
          <w:noProof/>
        </w:rPr>
        <w:t>Egyéb uniós jogi szövegek</w:t>
      </w:r>
      <w:bookmarkEnd w:id="28"/>
      <w:bookmarkEnd w:id="29"/>
    </w:p>
    <w:p w14:paraId="3B65A866" w14:textId="45FA2247" w:rsidR="003316F0" w:rsidRPr="00B42AEB" w:rsidRDefault="00EB4917" w:rsidP="00B42AEB">
      <w:pPr>
        <w:rPr>
          <w:noProof/>
        </w:rPr>
      </w:pPr>
      <w:r>
        <w:rPr>
          <w:noProof/>
        </w:rPr>
        <w:t>Az egyéb releváns uniós jogi szövegek közé tartoznak a következők: a termékekre és a szolgáltatásokra vonatkozó akadálymentességi követelményekről szóló (EU) 2019/882 irányelv </w:t>
      </w:r>
      <w:r>
        <w:rPr>
          <w:noProof/>
          <w:vertAlign w:val="superscript"/>
        </w:rPr>
        <w:t>(</w:t>
      </w:r>
      <w:r>
        <w:rPr>
          <w:noProof/>
          <w:vertAlign w:val="superscript"/>
        </w:rPr>
        <w:footnoteReference w:id="38"/>
      </w:r>
      <w:r>
        <w:rPr>
          <w:noProof/>
          <w:vertAlign w:val="superscript"/>
        </w:rPr>
        <w:t>)</w:t>
      </w:r>
      <w:r>
        <w:rPr>
          <w:noProof/>
        </w:rPr>
        <w:t xml:space="preserve"> (európai akadálymentesítési irányelv), a közbeszerzésről szóló 2014/24/EU </w:t>
      </w:r>
      <w:r>
        <w:rPr>
          <w:noProof/>
          <w:vertAlign w:val="superscript"/>
        </w:rPr>
        <w:t>(</w:t>
      </w:r>
      <w:r>
        <w:rPr>
          <w:noProof/>
          <w:vertAlign w:val="superscript"/>
        </w:rPr>
        <w:footnoteReference w:id="39"/>
      </w:r>
      <w:r>
        <w:rPr>
          <w:noProof/>
          <w:vertAlign w:val="superscript"/>
        </w:rPr>
        <w:t>)</w:t>
      </w:r>
      <w:r>
        <w:rPr>
          <w:noProof/>
        </w:rPr>
        <w:t xml:space="preserve"> és 2014/25/EU </w:t>
      </w:r>
      <w:r>
        <w:rPr>
          <w:noProof/>
          <w:vertAlign w:val="superscript"/>
        </w:rPr>
        <w:t>(</w:t>
      </w:r>
      <w:r>
        <w:rPr>
          <w:noProof/>
          <w:vertAlign w:val="superscript"/>
        </w:rPr>
        <w:footnoteReference w:id="40"/>
      </w:r>
      <w:r>
        <w:rPr>
          <w:noProof/>
          <w:vertAlign w:val="superscript"/>
        </w:rPr>
        <w:t>)</w:t>
      </w:r>
      <w:r>
        <w:rPr>
          <w:noProof/>
        </w:rPr>
        <w:t> európai parlamenti és tanácsi irányelv, az (EU) 2016/2102 irányelv </w:t>
      </w:r>
      <w:r>
        <w:rPr>
          <w:noProof/>
          <w:vertAlign w:val="superscript"/>
        </w:rPr>
        <w:t>(</w:t>
      </w:r>
      <w:r>
        <w:rPr>
          <w:noProof/>
          <w:vertAlign w:val="superscript"/>
        </w:rPr>
        <w:footnoteReference w:id="41"/>
      </w:r>
      <w:r>
        <w:rPr>
          <w:noProof/>
          <w:vertAlign w:val="superscript"/>
        </w:rPr>
        <w:t>)</w:t>
      </w:r>
      <w:r>
        <w:rPr>
          <w:noProof/>
        </w:rPr>
        <w:t xml:space="preserve"> (a honlapok akadálymentesítéséről szóló irányelv) és a 2010/13/EU irányelv </w:t>
      </w:r>
      <w:r>
        <w:rPr>
          <w:noProof/>
          <w:vertAlign w:val="superscript"/>
        </w:rPr>
        <w:t>(</w:t>
      </w:r>
      <w:r>
        <w:rPr>
          <w:noProof/>
          <w:vertAlign w:val="superscript"/>
        </w:rPr>
        <w:footnoteReference w:id="42"/>
      </w:r>
      <w:r>
        <w:rPr>
          <w:noProof/>
          <w:vertAlign w:val="superscript"/>
        </w:rPr>
        <w:t>)</w:t>
      </w:r>
      <w:r>
        <w:rPr>
          <w:noProof/>
        </w:rPr>
        <w:t xml:space="preserve"> (az audiovizuális médiaszolgáltatásokról szóló irányelv).</w:t>
      </w:r>
    </w:p>
    <w:p w14:paraId="6AE2A251" w14:textId="1A2FAABF" w:rsidR="00912818" w:rsidRPr="006B02A7" w:rsidRDefault="00912818" w:rsidP="00B42AEB">
      <w:pPr>
        <w:rPr>
          <w:noProof/>
          <w:shd w:val="clear" w:color="auto" w:fill="FFFFFF"/>
        </w:rPr>
      </w:pPr>
      <w:r>
        <w:rPr>
          <w:noProof/>
          <w:shd w:val="clear" w:color="auto" w:fill="FFFFFF"/>
        </w:rPr>
        <w:t>Az európai akadálymentesítési irányelv 3. cikkének 1. pontja szerint fogyatékossággal élő személy minden olyan személy, aki hosszan tartó fizikai, értelmi, szellemi, vagy érzékszervi károsodással él, amely számos egyéb akadállyal együtt korlátozhatja az adott személy teljes, hatékony és másokkal egyenlő társadalmi szerepvállalását. A Bizottság ugyanennek a fogalommeghatározásnak a használatát javasolta az európai fogyatékossági kártyáról és a fogyatékossággal élő személyek európai parkolási kártyájáról szóló javaslatában </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135240"/>
      <w:bookmarkEnd w:id="30"/>
      <w:bookmarkEnd w:id="31"/>
      <w:bookmarkEnd w:id="32"/>
      <w:bookmarkEnd w:id="33"/>
      <w:bookmarkEnd w:id="34"/>
      <w:bookmarkEnd w:id="35"/>
      <w:bookmarkEnd w:id="36"/>
      <w:bookmarkEnd w:id="37"/>
      <w:bookmarkEnd w:id="38"/>
      <w:r>
        <w:rPr>
          <w:noProof/>
        </w:rPr>
        <w:t>4. Az uniós tagállamokra</w:t>
      </w:r>
      <w:bookmarkEnd w:id="39"/>
      <w:r>
        <w:rPr>
          <w:noProof/>
        </w:rPr>
        <w:t xml:space="preserve"> alkalmazandó nemzetközi szabványok</w:t>
      </w:r>
      <w:bookmarkEnd w:id="40"/>
    </w:p>
    <w:p w14:paraId="027134CE" w14:textId="014943D2" w:rsidR="007144EF" w:rsidRPr="00B42AEB" w:rsidRDefault="004801BB" w:rsidP="00B42AEB">
      <w:pPr>
        <w:rPr>
          <w:rStyle w:val="sbb9ee52a"/>
          <w:noProof/>
        </w:rPr>
      </w:pPr>
      <w:r>
        <w:rPr>
          <w:noProof/>
        </w:rPr>
        <w:t>A fogyatékossággal élő személyek jogairól szóló ENSZ-egyezmény mellett, amelynek az EU és tagállamai egyaránt részes felei, az uniós tagállamok kötelezettséget vállaltak arra, hogy tiszteletben tartanak számos, a fogyatékossággal élő személyek választójogával kapcsolatos számos nemzetközi szabványt.</w:t>
      </w:r>
    </w:p>
    <w:p w14:paraId="0A4F2E0E" w14:textId="2C0A2013" w:rsidR="00F91223" w:rsidRPr="00B42AEB" w:rsidRDefault="008B438A" w:rsidP="00B42AEB">
      <w:pPr>
        <w:rPr>
          <w:noProof/>
        </w:rPr>
      </w:pPr>
      <w:r>
        <w:rPr>
          <w:noProof/>
        </w:rPr>
        <w:t>Az emberi jogok és alapvető szabadságok védelméről szóló európai egyezmény (a továbbiakban: egyezmény) </w:t>
      </w:r>
      <w:r>
        <w:rPr>
          <w:rStyle w:val="FootnoteReference"/>
          <w:noProof/>
        </w:rPr>
        <w:t>(</w:t>
      </w:r>
      <w:r>
        <w:rPr>
          <w:rStyle w:val="FootnoteReference"/>
          <w:noProof/>
        </w:rPr>
        <w:footnoteReference w:id="44"/>
      </w:r>
      <w:r>
        <w:rPr>
          <w:rStyle w:val="FootnoteReference"/>
          <w:noProof/>
        </w:rPr>
        <w:t>))</w:t>
      </w:r>
      <w:r>
        <w:rPr>
          <w:noProof/>
        </w:rPr>
        <w:t xml:space="preserve"> – amely rögzíti a szabad választásokhoz való jogot – a fogyatékossággal élő személyek választójogával összefüggésben is releváns.</w:t>
      </w:r>
    </w:p>
    <w:p w14:paraId="6BAF844C" w14:textId="72BB7B92" w:rsidR="00F15CB6" w:rsidRPr="00B42AEB" w:rsidRDefault="00E418CB" w:rsidP="00B42AEB">
      <w:pPr>
        <w:rPr>
          <w:noProof/>
        </w:rPr>
      </w:pPr>
      <w:r>
        <w:rPr>
          <w:noProof/>
        </w:rPr>
        <w:t>Az Európa Tanács Parlamenti Közgyűlésének a fogyatékossággal élő személyek politikai jogairól szóló 2155(2017) sz. állásfoglalása felszólítja a tagállamokat, hogy hozzanak konkrét és egyedi intézkedéseket a fogyatékossággal élő személyek szavazáshoz való hozzáférésének és választásokon való részvételének megkönnyítése érdekében </w:t>
      </w:r>
      <w:r>
        <w:rPr>
          <w:rStyle w:val="FootnoteReference"/>
          <w:noProof/>
        </w:rPr>
        <w:t>(</w:t>
      </w:r>
      <w:r>
        <w:rPr>
          <w:rStyle w:val="FootnoteReference"/>
          <w:noProof/>
        </w:rPr>
        <w:footnoteReference w:id="45"/>
      </w:r>
      <w:r>
        <w:rPr>
          <w:rStyle w:val="FootnoteReference"/>
          <w:noProof/>
        </w:rPr>
        <w:t>))</w:t>
      </w:r>
      <w:r>
        <w:rPr>
          <w:noProof/>
        </w:rPr>
        <w:t>.</w:t>
      </w:r>
    </w:p>
    <w:p w14:paraId="1E7EDD37" w14:textId="1D80774B" w:rsidR="00BA7E91" w:rsidRPr="00B42AEB" w:rsidRDefault="00F15CB6" w:rsidP="00B42AEB">
      <w:pPr>
        <w:rPr>
          <w:b/>
          <w:noProof/>
        </w:rPr>
      </w:pPr>
      <w:r>
        <w:rPr>
          <w:noProof/>
        </w:rPr>
        <w:t>Az Emberi Jogok Európai Bírósága (EJEB) több esetben is vizsgálta, hogy az emberi jogok európai egyezményének a választásokra vonatkozó rendelkezései összeegyeztethetők-e a gyámság alá helyezett személyek szavazati jogának megvonásával. A Kiss Alajos kontra Magyarország ügyben </w:t>
      </w:r>
      <w:r>
        <w:rPr>
          <w:rStyle w:val="FootnoteReference"/>
          <w:noProof/>
        </w:rPr>
        <w:t>(</w:t>
      </w:r>
      <w:r>
        <w:rPr>
          <w:rStyle w:val="FootnoteReference"/>
          <w:noProof/>
        </w:rPr>
        <w:footnoteReference w:id="46"/>
      </w:r>
      <w:r>
        <w:rPr>
          <w:rStyle w:val="FootnoteReference"/>
          <w:noProof/>
        </w:rPr>
        <w:t>))</w:t>
      </w:r>
      <w:r>
        <w:rPr>
          <w:noProof/>
        </w:rPr>
        <w:t xml:space="preserve"> és a közelmúltban az Anatoliy Marinov kontra Bulgária ügyben </w:t>
      </w:r>
      <w:r>
        <w:rPr>
          <w:rStyle w:val="FootnoteReference"/>
          <w:noProof/>
        </w:rPr>
        <w:t>(</w:t>
      </w:r>
      <w:r>
        <w:rPr>
          <w:rStyle w:val="FootnoteReference"/>
          <w:noProof/>
        </w:rPr>
        <w:footnoteReference w:id="47"/>
      </w:r>
      <w:r>
        <w:rPr>
          <w:rStyle w:val="FootnoteReference"/>
          <w:noProof/>
        </w:rPr>
        <w:t>))</w:t>
      </w:r>
      <w:r>
        <w:rPr>
          <w:noProof/>
        </w:rPr>
        <w:t xml:space="preserve"> az EJEB megállapította, hogy a szavazati jogok megkülönböztetés nélküli, személyre szabott bírósági értékelés nélkül, kizárólag a részleges gyámságot igénylő értelmi fogyatékosság alapján történő megszüntetése nem tekinthető összeegyeztethetőnek a szavazati jog korlátozásának jogos indokaival. Az EJEB nem állapította meg az egyezmény megsértését a Strøbye és Rosenlind kontra Dánia </w:t>
      </w:r>
      <w:r>
        <w:rPr>
          <w:rStyle w:val="FootnoteReference"/>
          <w:noProof/>
        </w:rPr>
        <w:t>(</w:t>
      </w:r>
      <w:r>
        <w:rPr>
          <w:rStyle w:val="FootnoteReference"/>
          <w:noProof/>
        </w:rPr>
        <w:footnoteReference w:id="48"/>
      </w:r>
      <w:r>
        <w:rPr>
          <w:rStyle w:val="FootnoteReference"/>
          <w:noProof/>
        </w:rPr>
        <w:t>))</w:t>
      </w:r>
      <w:r>
        <w:rPr>
          <w:noProof/>
        </w:rPr>
        <w:t xml:space="preserve"> és a Caamaño Valle kontra Spanyolország </w:t>
      </w:r>
      <w:r>
        <w:rPr>
          <w:rStyle w:val="FootnoteReference"/>
          <w:noProof/>
        </w:rPr>
        <w:t>(</w:t>
      </w:r>
      <w:r>
        <w:rPr>
          <w:rStyle w:val="FootnoteReference"/>
          <w:noProof/>
        </w:rPr>
        <w:footnoteReference w:id="49"/>
      </w:r>
      <w:r>
        <w:rPr>
          <w:rStyle w:val="FootnoteReference"/>
          <w:noProof/>
        </w:rPr>
        <w:t>))</w:t>
      </w:r>
      <w:r>
        <w:rPr>
          <w:noProof/>
        </w:rPr>
        <w:t xml:space="preserve"> ügyekben, amelyekben a gyámság alatt álló személyek szavazati jogának megvonása alapos és személyre szabott bírósági értékelésen alapul. Az EJEB azt is megállapította, hogy nem zárható ki, hogy amennyiben a hatóságok nem biztosítják a kerekesszékesek számára a szavazóhelyiségekhez való megfelelő hozzáférést, az hatással lehet a magán- és családi élet tiszteletben tartásához való, az egyezmény 8. cikkében rögzített jogukra </w:t>
      </w:r>
      <w:r>
        <w:rPr>
          <w:rStyle w:val="FootnoteReference"/>
          <w:noProof/>
        </w:rPr>
        <w:t>(</w:t>
      </w:r>
      <w:r>
        <w:rPr>
          <w:rStyle w:val="FootnoteReference"/>
          <w:noProof/>
        </w:rPr>
        <w:footnoteReference w:id="50"/>
      </w:r>
      <w:r>
        <w:rPr>
          <w:rStyle w:val="FootnoteReference"/>
          <w:noProof/>
        </w:rPr>
        <w:t>))</w:t>
      </w:r>
      <w:r>
        <w:rPr>
          <w:noProof/>
        </w:rPr>
        <w:t>.</w:t>
      </w:r>
    </w:p>
    <w:p w14:paraId="083BEEB1" w14:textId="6479FFA5" w:rsidR="007144EF" w:rsidRPr="00B42AEB" w:rsidRDefault="00065DBE" w:rsidP="00B42AEB">
      <w:pPr>
        <w:rPr>
          <w:noProof/>
        </w:rPr>
      </w:pPr>
      <w:r>
        <w:rPr>
          <w:noProof/>
        </w:rPr>
        <w:t>A Velencei Bizottság a fogyatékossággal élő személyek választásokon való részvételéről szóló felülvizsgált értelmező nyilatkozatot adott ki a választási magatartási kódexhez </w:t>
      </w:r>
      <w:r>
        <w:rPr>
          <w:noProof/>
          <w:vertAlign w:val="superscript"/>
        </w:rPr>
        <w:t>(</w:t>
      </w:r>
      <w:r>
        <w:rPr>
          <w:noProof/>
          <w:vertAlign w:val="superscript"/>
        </w:rPr>
        <w:footnoteReference w:id="51"/>
      </w:r>
      <w:r>
        <w:rPr>
          <w:noProof/>
          <w:vertAlign w:val="superscript"/>
        </w:rPr>
        <w:t>)</w:t>
      </w:r>
      <w:r>
        <w:rPr>
          <w:noProof/>
        </w:rPr>
        <w:t>. Ez a nyilatkozat kiegészíti az európai választási hagyományok alapját képező öt elvet: egyetemes, egyenlő, szabad, titkos és közvetlen választójog annak biztosítása érdekében, hogy a fogyatékossággal élő személyek másokkal azonos alapon gyakorolhassák szavazati jogukat.</w:t>
      </w:r>
    </w:p>
    <w:p w14:paraId="6407A629" w14:textId="324DC868" w:rsidR="00453A34" w:rsidRPr="00B42AEB" w:rsidRDefault="00453A34" w:rsidP="00B42AEB">
      <w:pPr>
        <w:rPr>
          <w:noProof/>
        </w:rPr>
      </w:pPr>
      <w:r>
        <w:rPr>
          <w:noProof/>
        </w:rPr>
        <w:t>Az Európai Biztonsági és Együttműködési Szervezet (EBESZ) Demokratikus Intézmények és Emberi Jogok Hivatalának (ODIHR) egyik tevékenysége a választások megfigyelése. Az ODIHR választási megfigyelő missziói vizsgálják a tájékoztató anyagok, a jelöltlisták, a szavazólapok és a szavazóhelyiségek akadálymentességét. Az ODIHR a választási megfigyelésről szóló jelentéseiben egyre többször hivatkozik a fogyatékossággal élő személyek jogairól szóló ENSZ-egyezményre, valamint az EBESZ koppenhágai dokumentumára és az Európa Tanács normáira, például a Velencei Bizottság által kiadott választási magatartási kódexre, valamint a fogyatékossággal élő személyek választásokon való részvételéről és az EJEB ítélkezési gyakorlatának következményeiről szóló felülvizsgált értelmező nyilatkozatra </w:t>
      </w:r>
      <w:r>
        <w:rPr>
          <w:rStyle w:val="FootnoteReference"/>
          <w:noProof/>
        </w:rPr>
        <w:t>(</w:t>
      </w:r>
      <w:r>
        <w:rPr>
          <w:rStyle w:val="FootnoteReference"/>
          <w:noProof/>
        </w:rPr>
        <w:footnoteReference w:id="52"/>
      </w:r>
      <w:r>
        <w:rPr>
          <w:rStyle w:val="FootnoteReference"/>
          <w:noProof/>
        </w:rPr>
        <w:t>))</w:t>
      </w:r>
      <w:r>
        <w:rPr>
          <w:noProof/>
        </w:rPr>
        <w:t>.</w:t>
      </w:r>
    </w:p>
    <w:p w14:paraId="17E933B8" w14:textId="646D42CC" w:rsidR="008D65A6" w:rsidRPr="00B42AEB" w:rsidRDefault="005F4D4C" w:rsidP="006B02A7">
      <w:pPr>
        <w:pStyle w:val="Heading1"/>
        <w:spacing w:before="360" w:after="240" w:line="288" w:lineRule="auto"/>
        <w:rPr>
          <w:noProof/>
        </w:rPr>
      </w:pPr>
      <w:bookmarkStart w:id="41" w:name="_Toc148718584"/>
      <w:bookmarkStart w:id="42" w:name="_Toc158135241"/>
      <w:r>
        <w:rPr>
          <w:noProof/>
        </w:rPr>
        <w:t>5. A választásokon való részvételt támogató környezet</w:t>
      </w:r>
      <w:bookmarkEnd w:id="41"/>
      <w:bookmarkEnd w:id="42"/>
    </w:p>
    <w:p w14:paraId="737AFB17" w14:textId="4EA8820C" w:rsidR="00A74464" w:rsidRPr="00B42AEB" w:rsidRDefault="009D30C1" w:rsidP="00B42AEB">
      <w:pPr>
        <w:rPr>
          <w:noProof/>
        </w:rPr>
      </w:pPr>
      <w:bookmarkStart w:id="43" w:name="_Toc148715277"/>
      <w:r>
        <w:rPr>
          <w:noProof/>
        </w:rPr>
        <w:t>A fogyatékossággal élő személyek választási részvételének támogatása érdekében sokrétű megközelítésre van szükség azon környezet, szolgáltatások és információk általános akadálymentességének javítása érdekében, amelyekkel a fogyatékossággal élő személyek kapcsolatba kerülnek.</w:t>
      </w:r>
      <w:bookmarkEnd w:id="43"/>
    </w:p>
    <w:p w14:paraId="6114B8EC" w14:textId="3191DC74" w:rsidR="009D30C1" w:rsidRPr="00B42AEB" w:rsidRDefault="00500632" w:rsidP="00B42AEB">
      <w:pPr>
        <w:rPr>
          <w:noProof/>
        </w:rPr>
      </w:pPr>
      <w:bookmarkStart w:id="44" w:name="_Toc148715278"/>
      <w:r>
        <w:rPr>
          <w:noProof/>
        </w:rPr>
        <w:t>A következő pontok a tagállamok bevált választási gyakorlatait mutatják be. Az I. melléklet, amely e bevált gyakorlatokon alapul, gyakorlati ellenőrzőlistát tartalmaz a különböző megoldandó kérdésekről.</w:t>
      </w:r>
      <w:bookmarkEnd w:id="44"/>
    </w:p>
    <w:p w14:paraId="5C39848D" w14:textId="4DBFCFB7" w:rsidR="000421AB" w:rsidRPr="00B42AEB" w:rsidRDefault="0099175B" w:rsidP="006B02A7">
      <w:pPr>
        <w:pStyle w:val="Heading2"/>
        <w:spacing w:before="240" w:after="240"/>
        <w:rPr>
          <w:noProof/>
        </w:rPr>
      </w:pPr>
      <w:bookmarkStart w:id="45" w:name="_Toc148718585"/>
      <w:bookmarkStart w:id="46" w:name="_Toc158135242"/>
      <w:r>
        <w:rPr>
          <w:noProof/>
        </w:rPr>
        <w:t>5.1. Egyedi szakpolitikák kidolgozása</w:t>
      </w:r>
      <w:bookmarkEnd w:id="45"/>
      <w:bookmarkEnd w:id="46"/>
    </w:p>
    <w:p w14:paraId="4026B982" w14:textId="43C31CAA" w:rsidR="00671367" w:rsidRPr="00B42AEB" w:rsidRDefault="004E4D77" w:rsidP="00B42AEB">
      <w:pPr>
        <w:rPr>
          <w:noProof/>
        </w:rPr>
      </w:pPr>
      <w:r>
        <w:rPr>
          <w:noProof/>
        </w:rPr>
        <w:t>Egyedi szakpolitikákat kell kidolgozni a különböző érintett szervezetekkel, többek között a nemzeti, regionális és helyi szintű illetékes hatóságokkal, az egyenlőséggel foglalkozó szervekkel és a választási hatóságokkal.</w:t>
      </w:r>
    </w:p>
    <w:p w14:paraId="760931A2" w14:textId="67F50F36" w:rsidR="00A67DD6" w:rsidRPr="00B42AEB" w:rsidRDefault="007471B2" w:rsidP="00B42AEB">
      <w:pPr>
        <w:rPr>
          <w:noProof/>
        </w:rPr>
      </w:pPr>
      <w:r>
        <w:rPr>
          <w:noProof/>
        </w:rPr>
        <w:t>Több tagállam dolgozott már ki ilyen politikákat. Hollandiában például 2021-ben és 2022-ben a Belügyekért és Királysági Kapcsolatokért Felelős Minisztérium akadálymentes szavazási cselekvési tervet dolgozott ki a fogyatékossággal élőket képviselő szervezetekkel és más érdekcsoportokkal, a Holland Önkormányzatok Szövetségével, a Holland Polgárok Érdekszövetségével, a Választási Tanáccsal, valamint az Egészségügyi, Jóléti és Sportminisztériummal együttműködésben. A terv célja az volt, hogy javítsa a szavazóhelyiségek akadálymentességét, mindenki számára könnyebben érthető tájékoztatást nyújtson a szavazásról, jobban tájékoztassa a szavazóhelyiségek munkatársait az akadálymentességről, és ösztönözze a politikai pártokat arra, hogy választási kampányuk során egyszerű nyelvezetet használva szólaljanak fel és írjanak.</w:t>
      </w:r>
    </w:p>
    <w:p w14:paraId="0A99A2D0" w14:textId="31898362" w:rsidR="00182075" w:rsidRPr="00B42AEB" w:rsidRDefault="00182075" w:rsidP="00B42AEB">
      <w:pPr>
        <w:rPr>
          <w:noProof/>
        </w:rPr>
      </w:pPr>
      <w:r>
        <w:rPr>
          <w:noProof/>
        </w:rPr>
        <w:t>Málta a fogyatékossággal élő személyek jogairól szóló, 2021–2030-as időszakra vonatkozó nemzeti stratégiájában intézkedéseket vázolt fel a fogyatékossággal élő jelöltek helyi, nemzeti és uniós választásokon való támogatására. A választási bizottság, a politikai pártok és a fogyatékossággal élő jelöltek képviselői szorosan együttműködnek a Fogyatékossággal Élő Személyek Jogainak Bizottságával annak érdekében, hogy 2026-ig támogató jogalkotási és szakpolitikai intézkedéseket dolgozzanak ki és hajtsanak végre.</w:t>
      </w:r>
    </w:p>
    <w:p w14:paraId="5C014B9F" w14:textId="2F2F8D63" w:rsidR="00AB4623" w:rsidRPr="00B42AEB" w:rsidRDefault="00AB4623" w:rsidP="00B42AEB">
      <w:pPr>
        <w:rPr>
          <w:noProof/>
        </w:rPr>
      </w:pPr>
      <w:r>
        <w:rPr>
          <w:noProof/>
        </w:rPr>
        <w:t>A választási hatóságok által végzett munka nagy része a választások tervezési szakaszára irányul. Átfogó tervezés, valamint egyedi szakpolitikák és intézkedések révén ezek a hatóságok segíthetnek biztosítani a választások inkluzív jellegét, és hozzájárulhatnak a fogyatékossággal élő személyek részvételének növeléséhez, különösen azokban az esetekben, amikor ez a választásokra vonatkozó operatív tervekbe beépített horizontális cél.</w:t>
      </w:r>
    </w:p>
    <w:p w14:paraId="5B8B9119" w14:textId="5E21A462" w:rsidR="008B7FC0" w:rsidRPr="00B42AEB" w:rsidRDefault="0099175B" w:rsidP="006B02A7">
      <w:pPr>
        <w:pStyle w:val="Heading2"/>
        <w:spacing w:before="240" w:after="240"/>
        <w:rPr>
          <w:noProof/>
        </w:rPr>
      </w:pPr>
      <w:bookmarkStart w:id="47" w:name="_Toc148718586"/>
      <w:bookmarkStart w:id="48" w:name="_Toc158135243"/>
      <w:r>
        <w:rPr>
          <w:noProof/>
        </w:rPr>
        <w:t>5.2. Figyelemfelkeltés és a magatartás megváltoztatása</w:t>
      </w:r>
      <w:bookmarkEnd w:id="47"/>
      <w:bookmarkEnd w:id="48"/>
    </w:p>
    <w:p w14:paraId="3C165A4D" w14:textId="10F98B4F" w:rsidR="002D0F67" w:rsidRPr="00B42AEB" w:rsidRDefault="00AD2E4E" w:rsidP="00B42AEB">
      <w:pPr>
        <w:rPr>
          <w:noProof/>
        </w:rPr>
      </w:pPr>
      <w:r>
        <w:rPr>
          <w:noProof/>
        </w:rPr>
        <w:t>A tagállamok különböző megközelítéseket alkalmaztak a választási folyamatban részt vevő fogyatékossággal élő személyek választójogának támogatására. Több tagállamban több különböző szintű hatóság, köztük az egyenlőséggel foglalkozó szervek és a választási hatóságok azon dolgoznak, hogy növeljék a választásokon való részvételt és a politikai folyamatok ismertségét a fogyatékossággal élő személyek körében. Ez magában foglalja találkozók szervezését, egyedi tájékoztató kampányok lebonyolítását, kommunikációs anyagok, szavazás-előkészítő ismeretterjesztő anyagok és könnyen érthető füzetek, képek és ábrák elkészítését.</w:t>
      </w:r>
    </w:p>
    <w:p w14:paraId="471F5993" w14:textId="6D271727" w:rsidR="00A132D3" w:rsidRPr="00B42AEB" w:rsidRDefault="00A132D3" w:rsidP="00B42AEB">
      <w:pPr>
        <w:rPr>
          <w:noProof/>
        </w:rPr>
      </w:pPr>
      <w:r>
        <w:rPr>
          <w:noProof/>
        </w:rPr>
        <w:t>A fogyatékossággal élő személyek jogairól szóló nemzeti stratégiájában (</w:t>
      </w:r>
      <w:r>
        <w:rPr>
          <w:i/>
          <w:noProof/>
        </w:rPr>
        <w:t>Egyenlő Románia, 2022–2027</w:t>
      </w:r>
      <w:r>
        <w:rPr>
          <w:noProof/>
        </w:rPr>
        <w:t>) </w:t>
      </w:r>
      <w:r>
        <w:rPr>
          <w:rStyle w:val="FootnoteReference"/>
          <w:noProof/>
        </w:rPr>
        <w:t>(</w:t>
      </w:r>
      <w:r>
        <w:rPr>
          <w:rStyle w:val="FootnoteReference"/>
          <w:noProof/>
        </w:rPr>
        <w:footnoteReference w:id="53"/>
      </w:r>
      <w:r>
        <w:rPr>
          <w:rStyle w:val="FootnoteReference"/>
          <w:noProof/>
        </w:rPr>
        <w:t>))</w:t>
      </w:r>
      <w:r>
        <w:rPr>
          <w:noProof/>
        </w:rPr>
        <w:t xml:space="preserve"> Románia kötelezettséget vállalt arra, hogy a fogyatékossággal élőket képviselő szervezetekkel együttműködve tájékoztató kampányt indít a fogyatékossággal élő személyek számára a választásokon és népszavazásokon való részvételről. Finnország esetében az derült ki, hogy hasznos lehet a fogyatékossággal élő személyek részére készült videók segítségével történő tájékoztatás </w:t>
      </w:r>
      <w:r>
        <w:rPr>
          <w:rStyle w:val="FootnoteReference"/>
          <w:noProof/>
        </w:rPr>
        <w:t>(</w:t>
      </w:r>
      <w:r>
        <w:rPr>
          <w:rStyle w:val="FootnoteReference"/>
          <w:noProof/>
        </w:rPr>
        <w:footnoteReference w:id="54"/>
      </w:r>
      <w:r>
        <w:rPr>
          <w:rStyle w:val="FootnoteReference"/>
          <w:noProof/>
        </w:rPr>
        <w:t>))</w:t>
      </w:r>
      <w:r>
        <w:rPr>
          <w:noProof/>
        </w:rPr>
        <w:t>.</w:t>
      </w:r>
    </w:p>
    <w:p w14:paraId="1D89DF84" w14:textId="4E4FCA75" w:rsidR="009D07B8" w:rsidRPr="00B42AEB" w:rsidRDefault="009D07B8" w:rsidP="006B02A7">
      <w:pPr>
        <w:rPr>
          <w:noProof/>
        </w:rPr>
      </w:pPr>
      <w:r>
        <w:rPr>
          <w:noProof/>
        </w:rPr>
        <w:t>Írország újonnan létrehozott, An Coimisiún Toghcháin elnevezésű választási bizottsága a szavazók felvilágosítására és tudatosságának növelésére irányuló új funkcióval rendelkezik, amely az ír demokratikus folyamatokban való részvétel növelésén és az azokkal kapcsolatos tudatosság előmozdításán munkálkodik. A lakosság bevonására irányuló feladatának részeként ösztönözni fogja a nehezen elérhető csoportok, például a fogyatékossággal élő személyek választáson való részvételét </w:t>
      </w:r>
      <w:r>
        <w:rPr>
          <w:rStyle w:val="FootnoteReference"/>
          <w:noProof/>
        </w:rPr>
        <w:t>(</w:t>
      </w:r>
      <w:r>
        <w:rPr>
          <w:rStyle w:val="FootnoteReference"/>
          <w:noProof/>
        </w:rPr>
        <w:footnoteReference w:id="55"/>
      </w:r>
      <w:r>
        <w:rPr>
          <w:rStyle w:val="FootnoteReference"/>
          <w:noProof/>
        </w:rPr>
        <w:t>))</w:t>
      </w:r>
      <w:r>
        <w:rPr>
          <w:noProof/>
        </w:rPr>
        <w:t>.</w:t>
      </w:r>
    </w:p>
    <w:p w14:paraId="202DCA59" w14:textId="225ED5B5" w:rsidR="00892F1F" w:rsidRPr="00B42AEB" w:rsidRDefault="00934A8A" w:rsidP="006B02A7">
      <w:pPr>
        <w:rPr>
          <w:noProof/>
        </w:rPr>
      </w:pPr>
      <w:r>
        <w:rPr>
          <w:noProof/>
        </w:rPr>
        <w:t>Más szervezetek figyelemfelkeltő tevékenységeket végeznek. Például az Európai Fogyatékosügyi Fórum koordinál egy uniós finanszírozású projektet (Fogyatékossággal élő személyek jogai az európai parlamenti választásokon, DREE), amelynek célja a fogyatékossággal élő személyek politikai részvételének növelése a 2024-es európai parlamenti választásokon. A DREE projekt hét nemzeti tagszervezettel közösen felkészíti és mozgósítja a fogyatékossággal élő személyeket, hogy szavazók, jelöltek és szószólók legyenek </w:t>
      </w:r>
      <w:r>
        <w:rPr>
          <w:rStyle w:val="FootnoteReference"/>
          <w:noProof/>
        </w:rPr>
        <w:t>(</w:t>
      </w:r>
      <w:r>
        <w:rPr>
          <w:rStyle w:val="FootnoteReference"/>
          <w:noProof/>
        </w:rPr>
        <w:footnoteReference w:id="56"/>
      </w:r>
      <w:r>
        <w:rPr>
          <w:rStyle w:val="FootnoteReference"/>
          <w:noProof/>
        </w:rPr>
        <w:t>))</w:t>
      </w:r>
      <w:r>
        <w:rPr>
          <w:noProof/>
        </w:rPr>
        <w:t>.</w:t>
      </w:r>
    </w:p>
    <w:p w14:paraId="6A38201D" w14:textId="17C50366" w:rsidR="00B81268" w:rsidRPr="00B42AEB" w:rsidRDefault="00CB50DA" w:rsidP="006B02A7">
      <w:pPr>
        <w:rPr>
          <w:noProof/>
        </w:rPr>
      </w:pPr>
      <w:r>
        <w:rPr>
          <w:noProof/>
        </w:rPr>
        <w:t>2011-ben az Inclusion Europe végrehajtotta az „Alapvető jogok és polgárság” program keretében finanszírozott „</w:t>
      </w:r>
      <w:r>
        <w:rPr>
          <w:i/>
          <w:noProof/>
        </w:rPr>
        <w:t>A sokszínűség támogatása az európai választásokon való aktív részvétel érdekében</w:t>
      </w:r>
      <w:r>
        <w:rPr>
          <w:noProof/>
        </w:rPr>
        <w:t xml:space="preserve">” elnevezésű projektet, amely felhívta a figyelmet a </w:t>
      </w:r>
      <w:r>
        <w:rPr>
          <w:rStyle w:val="Strong"/>
          <w:b w:val="0"/>
          <w:noProof/>
        </w:rPr>
        <w:t>fogyatékossággal élő személyek választásokhoz való hozzáférésének akadályaira Európában</w:t>
      </w:r>
      <w:r>
        <w:rPr>
          <w:noProof/>
        </w:rPr>
        <w:t>. Kidolgozott továbbá egy nemzeti útmutatót </w:t>
      </w:r>
      <w:r>
        <w:rPr>
          <w:rStyle w:val="FootnoteReference"/>
          <w:noProof/>
        </w:rPr>
        <w:t>(</w:t>
      </w:r>
      <w:r>
        <w:rPr>
          <w:rStyle w:val="FootnoteReference"/>
          <w:noProof/>
        </w:rPr>
        <w:footnoteReference w:id="57"/>
      </w:r>
      <w:r>
        <w:rPr>
          <w:rStyle w:val="FootnoteReference"/>
          <w:noProof/>
        </w:rPr>
        <w:t>))</w:t>
      </w:r>
      <w:r>
        <w:rPr>
          <w:noProof/>
        </w:rPr>
        <w:t>, amelynek címe </w:t>
      </w:r>
      <w:r>
        <w:rPr>
          <w:i/>
          <w:noProof/>
        </w:rPr>
        <w:t>Szavazást mindenkinek!</w:t>
      </w:r>
      <w:r>
        <w:rPr>
          <w:noProof/>
        </w:rPr>
        <w:t>,</w:t>
      </w:r>
      <w:r>
        <w:rPr>
          <w:rStyle w:val="Hyperlink"/>
          <w:noProof/>
          <w:u w:val="none"/>
        </w:rPr>
        <w:t xml:space="preserve"> Ajánlások az akadálymentes választásokhoz Európában</w:t>
      </w:r>
      <w:r>
        <w:rPr>
          <w:noProof/>
        </w:rPr>
        <w:t> </w:t>
      </w:r>
      <w:r>
        <w:rPr>
          <w:rStyle w:val="FootnoteReference"/>
          <w:noProof/>
        </w:rPr>
        <w:t>(</w:t>
      </w:r>
      <w:r>
        <w:rPr>
          <w:rStyle w:val="FootnoteReference"/>
          <w:noProof/>
        </w:rPr>
        <w:footnoteReference w:id="58"/>
      </w:r>
      <w:r>
        <w:rPr>
          <w:rStyle w:val="FootnoteReference"/>
          <w:noProof/>
        </w:rPr>
        <w:t>))</w:t>
      </w:r>
      <w:r>
        <w:rPr>
          <w:rStyle w:val="Hyperlink"/>
          <w:noProof/>
          <w:u w:val="none"/>
        </w:rPr>
        <w:t xml:space="preserve">, </w:t>
      </w:r>
      <w:r>
        <w:rPr>
          <w:noProof/>
        </w:rPr>
        <w:t>valamint az akadálymentes választások bevált európai gyakorlatainak gyűjteményét </w:t>
      </w:r>
      <w:hyperlink r:id="rId16" w:history="1">
        <w:r>
          <w:rPr>
            <w:rStyle w:val="FootnoteReference"/>
            <w:noProof/>
          </w:rPr>
          <w:t>(</w:t>
        </w:r>
        <w:r>
          <w:rPr>
            <w:rStyle w:val="FootnoteReference"/>
            <w:noProof/>
          </w:rPr>
          <w:footnoteReference w:id="59"/>
        </w:r>
        <w:r>
          <w:rPr>
            <w:rStyle w:val="FootnoteReference"/>
            <w:noProof/>
          </w:rPr>
          <w:t>))</w:t>
        </w:r>
      </w:hyperlink>
      <w:r>
        <w:rPr>
          <w:noProof/>
        </w:rPr>
        <w:t>, amely angol, francia és cseh nyelven jelent meg. A következő európai parlamenti választások során az Inclusion Europe figyelemfelhívó kampányt fog folytatni, amely az értelmi fogyatékossággal élő nőkre és a politikai részvételre összpontosít. A kampány egy sor interjút fog tartalmazni az érdekvédőkkel, a politikával foglalkozó fogyatékossággal élő nőkkel, hogy megoszthassák az aktív és passzív választójog fontosságára vonatkozó visszajelzéseiket. A kampány keretében videókat fognak közzétenni a szavazásról, a gyámság kérdéséről, továbbá kommunikációs kampány indításával felhívják a fogyatékossággal élő személyek figyelmét a választásokra.</w:t>
      </w:r>
    </w:p>
    <w:p w14:paraId="72D47D9D" w14:textId="26EFCF48" w:rsidR="000C2E6C" w:rsidRPr="00B42AEB" w:rsidRDefault="0099175B" w:rsidP="006B02A7">
      <w:pPr>
        <w:pStyle w:val="Heading2"/>
        <w:spacing w:before="240" w:after="240"/>
        <w:rPr>
          <w:noProof/>
        </w:rPr>
      </w:pPr>
      <w:bookmarkStart w:id="49" w:name="_Toc148718587"/>
      <w:bookmarkStart w:id="50" w:name="_Toc158135244"/>
      <w:r>
        <w:rPr>
          <w:noProof/>
        </w:rPr>
        <w:t>5.3. Együttműködés a fogyatékossággal élő személyek jogait támogató szervezetekkel</w:t>
      </w:r>
      <w:bookmarkEnd w:id="49"/>
      <w:bookmarkEnd w:id="50"/>
    </w:p>
    <w:p w14:paraId="63D80D6C" w14:textId="6616CCE2" w:rsidR="002B1D7A" w:rsidRPr="00B42AEB" w:rsidRDefault="00ED062E" w:rsidP="00B42AEB">
      <w:pPr>
        <w:rPr>
          <w:noProof/>
        </w:rPr>
      </w:pPr>
      <w:r>
        <w:rPr>
          <w:noProof/>
        </w:rPr>
        <w:t>A legtöbb tagállamban a fogyatékossággal élő személyek jogait támogató szervezetek az érintett hatóságokkal folytatott párbeszéd és szoros együttműködés révén a választási ciklus valamennyi szakaszában részt vesznek. Ezek a szervezetek például részt vesznek a támogatott szavazással kapcsolatos új szabályok megvitatásának és kidolgozásának folyamatában, illetve a konkrét választásokkal kapcsolatos segítségnyújtásra vonatkozó szabályok értékelésében.</w:t>
      </w:r>
    </w:p>
    <w:p w14:paraId="277A3225" w14:textId="552ABE6C" w:rsidR="00DA420F" w:rsidRPr="00B42AEB" w:rsidRDefault="00E438AF" w:rsidP="00B42AEB">
      <w:pPr>
        <w:rPr>
          <w:noProof/>
        </w:rPr>
      </w:pPr>
      <w:r>
        <w:rPr>
          <w:noProof/>
        </w:rPr>
        <w:t>Horvátországban és Spanyolországban a fogyatékossággal élőket képviselő szervezetek olyan közös projektekben vesznek részt, amelyek célja a látássérült szavazók támogatása azáltal, hogy hangfelvételeket készítenek a jelöltek listájáról, vagy támogatják a hallás- és látássérült szavazókat. Ezt a támogatást olyan tolmácsok révén biztosítják, akik otthonuktól a szavazóhelyiségig kísérik őket, jelnyelvi tolmácsolást vagy egyéb speciális tolmácsolást biztosítanak, és segítik őket a szavazólapok kitöltésében.</w:t>
      </w:r>
    </w:p>
    <w:p w14:paraId="35B98893" w14:textId="7F05D92A" w:rsidR="00063E3F" w:rsidRPr="00B42AEB" w:rsidRDefault="00D81741" w:rsidP="00B42AEB">
      <w:pPr>
        <w:rPr>
          <w:noProof/>
        </w:rPr>
      </w:pPr>
      <w:r>
        <w:rPr>
          <w:noProof/>
        </w:rPr>
        <w:t>A fogyatékossággal élőket képviselő szervezetek segíthetnek a hivatalos választási anyagok és képzések elkészítésében, a választással kapcsolatos, közérthető nyelven készített információkat – amint az Litvániában, Luxemburgban és Portugáliában történt –, valamint a könnyen érthető szavazólapokat – mint Magyarországon – is beleértve. Saját kezdeményezéseiket is végrehajtják annak érdekében, hogy előmozdítsák a választások akadálymentesítését. Például információkat terjesztenek a szavazóhelyiségek akadálymentességéről, és képzést nyújtanak a választási tisztviselőknek az akadálymentesítésről. A finn Igazságügyi Minisztérium a Látássérültek Finn Szövetségével együtt támogatja a látássérültek választási tájékoztatását. Spanyolországban a látássérült személyek számára a Braille-írás segítségével akadálymentesített szavazási eljárást az ONCE-vel (a spanyol vakok nemzeti szervezetével) </w:t>
      </w:r>
      <w:r>
        <w:rPr>
          <w:rStyle w:val="FootnoteReference"/>
          <w:noProof/>
        </w:rPr>
        <w:t>(</w:t>
      </w:r>
      <w:r>
        <w:rPr>
          <w:rStyle w:val="FootnoteReference"/>
          <w:noProof/>
        </w:rPr>
        <w:footnoteReference w:id="60"/>
      </w:r>
      <w:r>
        <w:rPr>
          <w:rStyle w:val="FootnoteReference"/>
          <w:noProof/>
        </w:rPr>
        <w:t>))</w:t>
      </w:r>
      <w:r>
        <w:rPr>
          <w:noProof/>
        </w:rPr>
        <w:t xml:space="preserve"> együttműködésben vezetik be. A spanyol hatóságok és a fogyatékossággal élőket képviselő szervezetek között a választási folyamatok során tapasztalt akadályok felszámolása érdekében folytatott együttműködés a szavazóhelyiségekben az akadálymentes jelzések, valamint a szavazóhelyiségek munkatársai részére kidolgozott, könnyen érthető kézikönyv használatát eredményezte.</w:t>
      </w:r>
    </w:p>
    <w:p w14:paraId="315ADAA3" w14:textId="7528BDA4" w:rsidR="00C70372" w:rsidRPr="00B42AEB" w:rsidRDefault="00050F3E" w:rsidP="00B42AEB">
      <w:pPr>
        <w:rPr>
          <w:noProof/>
        </w:rPr>
      </w:pPr>
      <w:r>
        <w:rPr>
          <w:noProof/>
        </w:rPr>
        <w:t>Több tagállamban a szavazóhelyiségek akadálymentességét az illetékes hatóságok és a fogyatékossággal élőket képviselő szervezetek által közösen létrehozott vagy az ilyen szervezetek által kidolgozott ellenőrzőlisták alapján értékelik. Az ilyen szervezetek segíthetik a hatóságokat kérdőívek elkészítésével – például Lettországban –, iránymutatások készítésével – például Belgiumban és Romániában –, továbbá ajánlások közzétételével, valamint a szavazóhelyiségek és választási anyagok akadálymentességére vonatkozó visszajelzések gyűjtésével és benyújtásával. Részt vehetnek a szavazóhelyiségek ellenőrzésében is annak megállapítása érdekében, hogy azok akadálymentesek-e (ld. Litvániában).</w:t>
      </w:r>
    </w:p>
    <w:p w14:paraId="5595ACB4" w14:textId="18F59403" w:rsidR="00256917" w:rsidRPr="00B42AEB" w:rsidRDefault="00EA544A" w:rsidP="00B42AEB">
      <w:pPr>
        <w:rPr>
          <w:noProof/>
        </w:rPr>
      </w:pPr>
      <w:r>
        <w:rPr>
          <w:noProof/>
        </w:rPr>
        <w:t>Más tagállamok, például Horvátország, Írország, Románia és Spanyolország konkrét megállapodások megkötésével vagy munkacsoportok létrehozásával tették hivatalossá együttműködésüket a fogyatékossággal élőket képviselő szervezetekkel.</w:t>
      </w:r>
    </w:p>
    <w:p w14:paraId="31DD48CB" w14:textId="76B0ED88" w:rsidR="009A02EB" w:rsidRPr="00B42AEB" w:rsidRDefault="009A02EB" w:rsidP="00B42AEB">
      <w:pPr>
        <w:rPr>
          <w:noProof/>
        </w:rPr>
      </w:pPr>
      <w:r>
        <w:rPr>
          <w:noProof/>
        </w:rPr>
        <w:t xml:space="preserve">A spanyol Belügyminisztérium és a </w:t>
      </w:r>
      <w:r>
        <w:rPr>
          <w:i/>
          <w:noProof/>
        </w:rPr>
        <w:t>Plena Inclusión España</w:t>
      </w:r>
      <w:r>
        <w:rPr>
          <w:noProof/>
        </w:rPr>
        <w:t xml:space="preserve"> (Teljes Integráció Spanyolország) egyesület között 2021-ben aláírt megállapodás eredményeként a legutóbbi, 2023-as helyhatósági választások során kísérleti projekt indult az akadálymentes jelzésekre vonatkozóan </w:t>
      </w:r>
      <w:r>
        <w:rPr>
          <w:noProof/>
          <w:vertAlign w:val="superscript"/>
        </w:rPr>
        <w:t>(</w:t>
      </w:r>
      <w:r>
        <w:rPr>
          <w:noProof/>
          <w:vertAlign w:val="superscript"/>
        </w:rPr>
        <w:footnoteReference w:id="61"/>
      </w:r>
      <w:r>
        <w:rPr>
          <w:noProof/>
          <w:vertAlign w:val="superscript"/>
        </w:rPr>
        <w:t>), (</w:t>
      </w:r>
      <w:r>
        <w:rPr>
          <w:noProof/>
          <w:vertAlign w:val="superscript"/>
        </w:rPr>
        <w:footnoteReference w:id="62"/>
      </w:r>
      <w:r>
        <w:rPr>
          <w:noProof/>
          <w:vertAlign w:val="superscript"/>
        </w:rPr>
        <w:t>)</w:t>
      </w:r>
      <w:r>
        <w:rPr>
          <w:noProof/>
        </w:rPr>
        <w:t xml:space="preserve">. A projekt keretében plakátokat terjesztettek annak érdekében, hogy előmozdítsák a kognitív akadálymentesítést (az értelmi fogyatékossággal élő személyek és az idősek számára) Madrid város szavazóhelyiségeiben, amely projekt a madridi Kormánydelegáció együttműködésével valósult meg. A projekt, amelyet a legutóbbi parlamenti választásokon is végrehajtottak, a </w:t>
      </w:r>
      <w:r>
        <w:rPr>
          <w:i/>
          <w:noProof/>
        </w:rPr>
        <w:t>Plena Inclusión</w:t>
      </w:r>
      <w:r>
        <w:rPr>
          <w:noProof/>
        </w:rPr>
        <w:t xml:space="preserve"> által a szavazóhelyiséghez való hozzáférés megkönnyítése érdekében tervezett hét piktogramból, valamint egy útmutatóból állt </w:t>
      </w:r>
      <w:r>
        <w:rPr>
          <w:noProof/>
          <w:vertAlign w:val="superscript"/>
        </w:rPr>
        <w:t>(</w:t>
      </w:r>
      <w:r>
        <w:rPr>
          <w:noProof/>
          <w:vertAlign w:val="superscript"/>
        </w:rPr>
        <w:footnoteReference w:id="63"/>
      </w:r>
      <w:r>
        <w:rPr>
          <w:noProof/>
          <w:vertAlign w:val="superscript"/>
        </w:rPr>
        <w:t>)</w:t>
      </w:r>
      <w:r>
        <w:rPr>
          <w:noProof/>
        </w:rPr>
        <w:t>. A tervek szerint ezt a projektet a jövőbeli pályázati felhívásokban más városokra is kiterjesztik.</w:t>
      </w:r>
    </w:p>
    <w:p w14:paraId="7DBC5EDA" w14:textId="2C5AF618" w:rsidR="008B7FC0" w:rsidRPr="00B42AEB" w:rsidRDefault="0099175B" w:rsidP="006B02A7">
      <w:pPr>
        <w:pStyle w:val="Heading2"/>
        <w:spacing w:before="240" w:after="240"/>
        <w:rPr>
          <w:noProof/>
        </w:rPr>
      </w:pPr>
      <w:bookmarkStart w:id="51" w:name="_Toc148718588"/>
      <w:bookmarkStart w:id="52" w:name="_Toc158135245"/>
      <w:r>
        <w:rPr>
          <w:noProof/>
        </w:rPr>
        <w:t>5.4. Az épületek akadálymentességének és használhatóságának növelése</w:t>
      </w:r>
      <w:bookmarkEnd w:id="51"/>
      <w:bookmarkEnd w:id="52"/>
    </w:p>
    <w:p w14:paraId="674CA5D0" w14:textId="65F2DCA3" w:rsidR="00907E91" w:rsidRPr="00B42AEB" w:rsidRDefault="00AB6108" w:rsidP="00B42AEB">
      <w:pPr>
        <w:rPr>
          <w:noProof/>
        </w:rPr>
      </w:pPr>
      <w:r>
        <w:rPr>
          <w:noProof/>
        </w:rPr>
        <w:t>A legtöbb tagállam egyedi követelményeket fogadott el annak biztosítása érdekében, hogy a fogyatékossággal élő személyek is bejuthassanak az épületekbe. Előírás, hogy a mozgáskorlátozott személyek biztonságosan és akadálymentesen tudják használni az épületeket. Az akadálymentes épület mindenki számára kényelmesen, biztonságosan és önállóan használható, beleértve a fogyatékossággal élő személyeket, illetve a különleges eszközöket vagy műszaki megoldásokat igénylő csoportokat is. Az épületeknek és az infrastruktúrának legalább egy akadálymentes útvonallal kell rendelkeznie, amely biztonságos és kényelmes hozzáférést biztosít a csökkent mozgásképességű személyek számára.</w:t>
      </w:r>
    </w:p>
    <w:p w14:paraId="33512755" w14:textId="07633403" w:rsidR="009612AC" w:rsidRPr="00B42AEB" w:rsidRDefault="0099175B" w:rsidP="006B02A7">
      <w:pPr>
        <w:pStyle w:val="Heading2"/>
        <w:spacing w:before="240" w:after="240"/>
        <w:rPr>
          <w:noProof/>
        </w:rPr>
      </w:pPr>
      <w:bookmarkStart w:id="53" w:name="_Toc148718589"/>
      <w:bookmarkStart w:id="54" w:name="_Toc158135246"/>
      <w:r>
        <w:rPr>
          <w:noProof/>
        </w:rPr>
        <w:t>5.5. A választási tisztviselők képzése és különleges támogatása</w:t>
      </w:r>
      <w:bookmarkEnd w:id="53"/>
      <w:bookmarkEnd w:id="54"/>
    </w:p>
    <w:p w14:paraId="7E4E2AC9" w14:textId="12B90AB5" w:rsidR="00C66196" w:rsidRPr="00B42AEB" w:rsidRDefault="00DF759A" w:rsidP="00B42AEB">
      <w:pPr>
        <w:rPr>
          <w:noProof/>
        </w:rPr>
      </w:pPr>
      <w:r>
        <w:rPr>
          <w:noProof/>
        </w:rPr>
        <w:t>Több tagállamban a szavazóhelyiségek tisztviselőinek szóló iránymutatások és kézikönyvek – amelyeket általában a fogyatékossággal élőket képviselő szervezetekkel együttműködésben készítenek el – nyújtanak tájékoztatást arról, hogy miként lehet megkönnyíteni a fogyatékossággal élő személyek szavazását, beleértve a fogyatékossággal élő választópolgárok fogadását és a nekik nyújtott segítséget, alkalmazkodva a fogyatékosságuk jellegéhez. A szavazóhelyiségek tisztviselőit arra vonatkozóan is képzésben részesítik, hogy hogyan fogadják a fogyatékossággal élő személyeket, és hogyan segítsék őket szavazati joguk – akár önállóan, akár segítséggel történő – gyakorlásában </w:t>
      </w:r>
      <w:r>
        <w:rPr>
          <w:rStyle w:val="FootnoteReference"/>
          <w:noProof/>
        </w:rPr>
        <w:t>(</w:t>
      </w:r>
      <w:r>
        <w:rPr>
          <w:rStyle w:val="FootnoteReference"/>
          <w:noProof/>
        </w:rPr>
        <w:footnoteReference w:id="64"/>
      </w:r>
      <w:r>
        <w:rPr>
          <w:rStyle w:val="FootnoteReference"/>
          <w:noProof/>
        </w:rPr>
        <w:t>))</w:t>
      </w:r>
      <w:r>
        <w:rPr>
          <w:noProof/>
        </w:rPr>
        <w:t>. Dánia teszteket állít össze a választási tisztviselők számára, hogy próbára tehessék a szavazók támogatásával kapcsolatos tudásukat. Hollandiában a fogyatékossággal élő személyek önkéntesként vállalhatják, hogy segítik a szavazóhelyiségek munkáját </w:t>
      </w:r>
      <w:r>
        <w:rPr>
          <w:rStyle w:val="FootnoteReference"/>
          <w:noProof/>
        </w:rPr>
        <w:t>(</w:t>
      </w:r>
      <w:r>
        <w:rPr>
          <w:rStyle w:val="FootnoteReference"/>
          <w:noProof/>
        </w:rPr>
        <w:footnoteReference w:id="65"/>
      </w:r>
      <w:r>
        <w:rPr>
          <w:rStyle w:val="FootnoteReference"/>
          <w:noProof/>
        </w:rPr>
        <w:t>))</w:t>
      </w:r>
      <w:r>
        <w:rPr>
          <w:noProof/>
        </w:rPr>
        <w:t>. Horvátország képzést biztosít a választási tisztviselők számára arról, hogy miként segíthetik a fogyatékossággal élő választópolgárokat, és konkrét tájékoztató anyagokat tesz közzé a fogyatékossággal élő személyek szavazási eljárásairól, amelyeket a választási bizottságoknak küldenek ki.</w:t>
      </w:r>
    </w:p>
    <w:p w14:paraId="1E9282EE" w14:textId="17E8D9AB" w:rsidR="00927A12" w:rsidRPr="00B42AEB" w:rsidRDefault="00DF0F46" w:rsidP="00B42AEB">
      <w:pPr>
        <w:rPr>
          <w:noProof/>
        </w:rPr>
      </w:pPr>
      <w:r>
        <w:rPr>
          <w:noProof/>
        </w:rPr>
        <w:t>Spanyolország külön támogatást nyújt a látás-, halláskárosodással vagy értelmi fogyatékossággal élő személyek számára, amelyet államilag finanszíroznak. Ez magában foglalja a könnyen érthető nyelvezetű kézikönyveket és a szavazóhelyiségben ingyenes mágneses indukciós hurok szolgáltatás rendelkezésre bocsátását azon hallássérült személyek (hallókészüléket használók) részére, akik a választási bizottság kijelölt tagjai (teljes jogú és póttagok egyaránt). Ingyenes jelnyelvi tolmácsolási szolgáltatást is biztosítanak a választási bizottság tagjává kinevezett hallássérült személyek, valamint a látássérüléssel és kognitív zavarral élő személyek kérésére </w:t>
      </w:r>
      <w:r>
        <w:rPr>
          <w:rStyle w:val="FootnoteReference"/>
          <w:noProof/>
        </w:rPr>
        <w:t>(</w:t>
      </w:r>
      <w:r>
        <w:rPr>
          <w:rStyle w:val="FootnoteReference"/>
          <w:noProof/>
        </w:rPr>
        <w:footnoteReference w:id="66"/>
      </w:r>
      <w:r>
        <w:rPr>
          <w:rStyle w:val="FootnoteReference"/>
          <w:noProof/>
        </w:rPr>
        <w:t>))</w:t>
      </w:r>
      <w:r>
        <w:rPr>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135247"/>
      <w:r>
        <w:rPr>
          <w:noProof/>
        </w:rPr>
        <w:t>6. A fogyatékossággal élő személyek megszólítása a választási ciklus során</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135248"/>
      <w:r>
        <w:rPr>
          <w:noProof/>
        </w:rPr>
        <w:t>6.1. A hivatalos kommunikáció akadálymentessége</w:t>
      </w:r>
      <w:bookmarkEnd w:id="57"/>
      <w:bookmarkEnd w:id="58"/>
    </w:p>
    <w:p w14:paraId="33BA5F03" w14:textId="55D84704" w:rsidR="00875B38" w:rsidRPr="00B42AEB" w:rsidRDefault="00622E27" w:rsidP="00B42AEB">
      <w:pPr>
        <w:rPr>
          <w:noProof/>
        </w:rPr>
      </w:pPr>
      <w:r>
        <w:rPr>
          <w:noProof/>
        </w:rPr>
        <w:t>A legtöbb tagállam (ideértve Ausztriát, Belgiumot, Bulgáriát, Csehországot, Franciaországot, Hollandiát, Írországot, Lettországot, Litvániát, Luxemburgot, Magyarországot, Németországot, Olaszországot, Portugáliát, Romániát, Spanyolországot, Svédországot) választói oktatási anyagokat készít és terjeszt, és választási információkat nyújt, többek között a választók meghatározott csoportjai, például a fogyatékossággal élő személyek számára. A választásokról különböző formátumokban nyújtanak tájékoztatást, mint például videó, hangfelvétel, nagybetűs kiadványok, tájékoztató füzetek, szórólapok és brosúrák könnyen érthető nyelvezettel, Braille-írással és Daisy hangoskönyv-olvasóval.</w:t>
      </w:r>
    </w:p>
    <w:p w14:paraId="774EC49E" w14:textId="640C7A77" w:rsidR="00571599" w:rsidRPr="00B42AEB" w:rsidRDefault="00786ACA" w:rsidP="00B42AEB">
      <w:pPr>
        <w:rPr>
          <w:noProof/>
        </w:rPr>
      </w:pPr>
      <w:r>
        <w:rPr>
          <w:noProof/>
        </w:rPr>
        <w:t>A választásokról tájékoztatást nyújtó weboldalaknak meg kell felelniük a nemzetközi akadálymentességi követelményeknek, például a Web Akadálymentesítési Útmutatónak </w:t>
      </w:r>
      <w:r>
        <w:rPr>
          <w:rStyle w:val="FootnoteReference"/>
          <w:noProof/>
        </w:rPr>
        <w:t>(</w:t>
      </w:r>
      <w:r>
        <w:rPr>
          <w:rStyle w:val="FootnoteReference"/>
          <w:noProof/>
        </w:rPr>
        <w:footnoteReference w:id="67"/>
      </w:r>
      <w:r>
        <w:rPr>
          <w:rStyle w:val="FootnoteReference"/>
          <w:noProof/>
        </w:rPr>
        <w:t>))</w:t>
      </w:r>
      <w:r>
        <w:rPr>
          <w:noProof/>
        </w:rPr>
        <w:t>. A honlapok valamennyi tagállamban fokozatosan akadálymentessé válnak. Egyes esetekben a szavazók – mint Németországban – kapcsolatfelvételi űrlapon jelenthetik be az ilyen tartalmak akadálymentességének hiányosságait.</w:t>
      </w:r>
    </w:p>
    <w:p w14:paraId="088F70CC" w14:textId="449ADD5C" w:rsidR="00DB46C5" w:rsidRPr="00B42AEB" w:rsidRDefault="002D7A8A" w:rsidP="00B42AEB">
      <w:pPr>
        <w:rPr>
          <w:noProof/>
        </w:rPr>
      </w:pPr>
      <w:r>
        <w:rPr>
          <w:noProof/>
        </w:rPr>
        <w:t>Egyes tagállamok külön digitális formátumokon, például videókon és alkalmazásokon is dolgoznak, hogy segítsék a fogyatékossággal élő személyek bevonását és hozzájáruljanak az akadálymentesítéshez. Más országokban, például Csehországban a szórólapok QR-kódokat tartalmaznak, amelyek a hallássérülteknek készült szavazólap-mintákra és jelnyelvi videókra mutatnak. Finnország minden választás előtt választási telefonos információs vonalat és WhatsApp-szolgáltatást indít. Görögország „</w:t>
      </w:r>
      <w:r>
        <w:rPr>
          <w:i/>
          <w:noProof/>
        </w:rPr>
        <w:t>Tudja meg, hol kell szavaznia</w:t>
      </w:r>
      <w:r>
        <w:rPr>
          <w:noProof/>
        </w:rPr>
        <w:t>” néven online szolgáltatást nyújt, ahol a szavazók kitölthetik az alapvető személyes információkat tartalmazó űrlapot, és automatikus tájékoztatást kaphatnak arról a szavazóhelyiségről, amelyben szavazni fognak, beleértve a címet és a szavazóhelyiség megközelíthetőségét tartalmazó térképét. Litvániában a Központi Választási Bizottság által készített vagy megrendelt, választásokkal kapcsolatos videókat az országos televíziós csatornákon és hírportálokon sugározzák, és jelnyelvre lefordítják.</w:t>
      </w:r>
    </w:p>
    <w:p w14:paraId="3C85D29C" w14:textId="0403273B" w:rsidR="00E2390C" w:rsidRPr="00B42AEB" w:rsidRDefault="004D2A71" w:rsidP="00B42AEB">
      <w:pPr>
        <w:rPr>
          <w:noProof/>
        </w:rPr>
      </w:pPr>
      <w:r>
        <w:rPr>
          <w:noProof/>
        </w:rPr>
        <w:t>Számos tagállamban, például Franciaországban és Görögországban a médiaszolgáltatókat arra ösztönzik, hogy akadálymentesítsék a választásokkal kapcsolatos valamennyi műsorukat: a televíziós híreket, a jelöltek közötti vitákat, a választási kampányokról és jelöltekről szóló programokat és dokumentumfilmeket. Az akadálymentesítést feliratozással (élő közvetítés esetén azonnali feliratozással) és jeltolmácsolással lehet elérni. A francia médiaszabályozó útmutatót tett közzé, amely konkrét példákat tartalmazott a jelnyelvi tolmácsolás vizuális minőségének javítására </w:t>
      </w:r>
      <w:r>
        <w:rPr>
          <w:rStyle w:val="FootnoteReference"/>
          <w:noProof/>
        </w:rPr>
        <w:t>(</w:t>
      </w:r>
      <w:r>
        <w:rPr>
          <w:rStyle w:val="FootnoteReference"/>
          <w:noProof/>
        </w:rPr>
        <w:footnoteReference w:id="68"/>
      </w:r>
      <w:r>
        <w:rPr>
          <w:rStyle w:val="FootnoteReference"/>
          <w:noProof/>
        </w:rPr>
        <w:t>))</w:t>
      </w:r>
      <w:r>
        <w:rPr>
          <w:noProof/>
        </w:rPr>
        <w:t>. Azok a francia televíziós műsorszolgáltatók, amelyek átlagos éves nézőszáma a teljes nézőszám 2,5 %-a, feliratozással vagy jelnyelvi tolmácsolással kötelesek hozzáférést biztosítani a választási hírműsorokhoz a hallássérüléssel élő személyek számára. A francia elnökválasztás során minden jelöltnek akadálymentes televíziós reklámokat kell sugároznia, legalább feliratozással, még akkor is, ha egyes jelöltek jelnyelvi tolmácsolást is biztosítanak </w:t>
      </w:r>
      <w:r>
        <w:rPr>
          <w:rStyle w:val="FootnoteReference"/>
          <w:noProof/>
        </w:rPr>
        <w:t>(</w:t>
      </w:r>
      <w:r>
        <w:rPr>
          <w:rStyle w:val="FootnoteReference"/>
          <w:noProof/>
        </w:rPr>
        <w:footnoteReference w:id="69"/>
      </w:r>
      <w:r>
        <w:rPr>
          <w:rStyle w:val="FootnoteReference"/>
          <w:noProof/>
        </w:rPr>
        <w:t>))</w:t>
      </w:r>
      <w:r>
        <w:rPr>
          <w:noProof/>
        </w:rPr>
        <w:t>. E kötelezettség teljesítését a médiával kapcsolatos kampányszabályokat megállapító független hatóság ellenőrzi </w:t>
      </w:r>
      <w:r>
        <w:rPr>
          <w:rStyle w:val="FootnoteReference"/>
          <w:noProof/>
        </w:rPr>
        <w:t>(</w:t>
      </w:r>
      <w:r>
        <w:rPr>
          <w:rStyle w:val="FootnoteReference"/>
          <w:noProof/>
        </w:rPr>
        <w:footnoteReference w:id="70"/>
      </w:r>
      <w:r>
        <w:rPr>
          <w:rStyle w:val="FootnoteReference"/>
          <w:noProof/>
        </w:rPr>
        <w:t>))</w:t>
      </w:r>
      <w:r>
        <w:rPr>
          <w:noProof/>
        </w:rPr>
        <w:t>. Más francia televíziós műsorszolgáltatók kötelesek (feliratozással vagy jelnyelvi tolmácsolással) hozzáférést biztosítani a halláskárosodással élő személyek számára a főműsoridőben sugárzott legfontosabb választási hírműsorokhoz, és akadálymentesen kell sugározniuk a jelöltek közötti vitákat. A televíziós platformokra meghívott jelöltek rákérdezhetnek a tévécsatornánál, hogy valóban biztosítják-e ezeket az akadálymentesítési funkciókat </w:t>
      </w:r>
      <w:r>
        <w:rPr>
          <w:rStyle w:val="FootnoteReference"/>
          <w:noProof/>
        </w:rPr>
        <w:t>(</w:t>
      </w:r>
      <w:r>
        <w:rPr>
          <w:rStyle w:val="FootnoteReference"/>
          <w:noProof/>
        </w:rPr>
        <w:footnoteReference w:id="71"/>
      </w:r>
      <w:r>
        <w:rPr>
          <w:rStyle w:val="FootnoteReference"/>
          <w:noProof/>
        </w:rPr>
        <w:t>))</w:t>
      </w:r>
      <w:r>
        <w:rPr>
          <w:noProof/>
        </w:rPr>
        <w:t>.</w:t>
      </w:r>
    </w:p>
    <w:p w14:paraId="79703C3C" w14:textId="0055DD1D" w:rsidR="00B139EA" w:rsidRPr="00B42AEB" w:rsidRDefault="00B139EA" w:rsidP="00B42AEB">
      <w:pPr>
        <w:rPr>
          <w:noProof/>
        </w:rPr>
      </w:pPr>
      <w:r>
        <w:rPr>
          <w:noProof/>
        </w:rPr>
        <w:t>Több tagállam (például Észtország, Németország, Magyarország és Litvánia) a szavazóhelyiségek akadálymentességéről digitálistérkép-alkalmazásokon keresztül, a választási hatóságok honlapján, illetve a választópolgároknak küldött választási értesítésben nyújt tájékoztatást.</w:t>
      </w:r>
    </w:p>
    <w:p w14:paraId="61C3C521" w14:textId="77777777" w:rsidR="00B139EA" w:rsidRPr="00B42AEB" w:rsidRDefault="00B139EA" w:rsidP="00B42AEB">
      <w:pPr>
        <w:rPr>
          <w:noProof/>
        </w:rPr>
      </w:pPr>
      <w:r>
        <w:rPr>
          <w:noProof/>
        </w:rPr>
        <w:t>Németországban a szavazóknak a szavazóhelyiségek helyéről nyújtott tájékoztatás több piktogramot is tartalmaz, amely a szavazóhelyiség elrendezését írja le, és telefonszámokat is tartalmaz.</w:t>
      </w:r>
    </w:p>
    <w:p w14:paraId="2E6E5C3B" w14:textId="7024B3FE" w:rsidR="00B139EA" w:rsidRPr="00B42AEB" w:rsidRDefault="004801BB" w:rsidP="00B42AEB">
      <w:pPr>
        <w:rPr>
          <w:noProof/>
        </w:rPr>
      </w:pPr>
      <w:r>
        <w:rPr>
          <w:noProof/>
        </w:rPr>
        <w:t>Hollandia</w:t>
      </w:r>
      <w:r>
        <w:rPr>
          <w:b/>
          <w:noProof/>
        </w:rPr>
        <w:t xml:space="preserve"> </w:t>
      </w:r>
      <w:r>
        <w:rPr>
          <w:noProof/>
        </w:rPr>
        <w:t>online eszközt </w:t>
      </w:r>
      <w:r>
        <w:rPr>
          <w:rStyle w:val="FootnoteReference"/>
          <w:noProof/>
        </w:rPr>
        <w:t>(</w:t>
      </w:r>
      <w:r>
        <w:rPr>
          <w:rStyle w:val="FootnoteReference"/>
          <w:noProof/>
        </w:rPr>
        <w:footnoteReference w:id="72"/>
      </w:r>
      <w:r>
        <w:rPr>
          <w:rStyle w:val="FootnoteReference"/>
          <w:noProof/>
        </w:rPr>
        <w:t>))</w:t>
      </w:r>
      <w:r>
        <w:rPr>
          <w:noProof/>
        </w:rPr>
        <w:t xml:space="preserve"> biztosít a fogyatékossággal élő személyek számára az akadálymentes szavazóhelyiségek megtalálásához. Az eszköz különböző keresési kritériumokkal rendelkezik, ideértve a vizuális segédeszközöket, hangos eszközöket, a hallássérülteknek megfelelő akusztikát és más akadálymentes eszközöket.</w:t>
      </w:r>
    </w:p>
    <w:p w14:paraId="1F40A8D4" w14:textId="7E4CF357" w:rsidR="00B139EA" w:rsidRPr="00B42AEB" w:rsidRDefault="00B139EA" w:rsidP="00B42AEB">
      <w:pPr>
        <w:rPr>
          <w:noProof/>
        </w:rPr>
      </w:pPr>
      <w:r>
        <w:rPr>
          <w:noProof/>
        </w:rPr>
        <w:t>Franciaország kültéri információs paneleket is használ a szavazóhelyiségek helyének és nyitvatartási idejének jelzésére, amelyeknek meg kell felelniük az információk olvashatóságának és láthatóságának biztosítása érdekében meghatározott követelményeknek.</w:t>
      </w:r>
    </w:p>
    <w:p w14:paraId="0E997E06" w14:textId="3F9BD0DD" w:rsidR="00B139EA" w:rsidRPr="00B42AEB" w:rsidRDefault="00B139EA" w:rsidP="00B42AEB">
      <w:pPr>
        <w:rPr>
          <w:noProof/>
        </w:rPr>
      </w:pPr>
      <w:r>
        <w:rPr>
          <w:noProof/>
        </w:rPr>
        <w:t>Spanyolországban a szavazóhelyiségeket megfelelően jelezni kell, és külön meg kell említeni a rendelkezésre álló akadálymentes létesítményeket és azok nyitvatartási idejét.</w:t>
      </w:r>
    </w:p>
    <w:p w14:paraId="0D38607A" w14:textId="595E6DAA" w:rsidR="00256917" w:rsidRPr="00B42AEB" w:rsidRDefault="00825735" w:rsidP="00B42AEB">
      <w:pPr>
        <w:rPr>
          <w:noProof/>
        </w:rPr>
      </w:pPr>
      <w:r>
        <w:rPr>
          <w:noProof/>
        </w:rPr>
        <w:t>Magyarországon a választói tájékoztató kampányok közé tartoznak a választóknak kiküldött egyéni értesítők és a fogyatékossággal élő személyeknek szóló, személyre szabott üzenetek. A szavazó kérésére könnyen érthető szavazólapokat és egyszerű nyelvezetű kísérő anyagokat bocsátanak rendelkezésre.</w:t>
      </w:r>
    </w:p>
    <w:p w14:paraId="01341A63" w14:textId="618AB543" w:rsidR="00742678" w:rsidRPr="00B42AEB" w:rsidRDefault="00B15B45" w:rsidP="00B42AEB">
      <w:pPr>
        <w:rPr>
          <w:noProof/>
        </w:rPr>
      </w:pPr>
      <w:r>
        <w:rPr>
          <w:noProof/>
        </w:rPr>
        <w:t>Hollandia digitális eszköztárat bocsát az önkormányzatok és más partnerek rendelkezésére, amely számos kommunikációs eszközt tartalmaz a fogyatékossággal élő szavazók számára. Tájékoztat arról, hogy milyen eszközök állnak rendelkezésre a szavazóhelyiségben ahhoz, hogy a szavazók önállóan leadhassák szavazatukat. Emellett egy erre a célra létrehozott weboldalon közérthető nyelven és jelnyelven is nyújt tájékoztatást a választásokról. Az eszköztár például a szavazólap digitálisan hozzáférhető változatát is tartalmazza. A választásokkal kapcsolatos valamennyi kommunikációs anyag esetében a lehető legnagyobb mértékben hangsúlyozza a vizuális kommunikációt és az egyértelmű nyelvezet használatát. Az érdekcsoportokkal együttműködésben kommunikációs anyagokat dolgoztak ki és bocsátanak a fogyatékossággal élő személyek rendelkezésére. Ez magában foglalja a következőket: a szavazási sablon használatával történő szavazásra vonatkozó utasítások, a(z enyhe) kognitív fogyatékossággal élő választópolgároknak szórólap és választási újság, a szavazóhelyiségben használható segédeszközöket tartalmazó infografika, jelnyelvi tájékoztató videók, a szavazólap digitálisan hozzáférhető változata és online elérhető meghatalmazás, információ a szavazóhelyiségekben elérhető akadálymentesítési lehetőségekről egy külön weboldalon. Emellett egyes önkormányzatok próbaszavazást szerveznek a választások előtt, hogy a választók tudják gyakorolni a szavazást, és hogy lehetővé tegyék számukra a választás napján az önálló szavazást.</w:t>
      </w:r>
    </w:p>
    <w:p w14:paraId="548ECC0D" w14:textId="2158B2E5" w:rsidR="00C40F26" w:rsidRPr="00B42AEB" w:rsidRDefault="007E53A1" w:rsidP="00B42AEB">
      <w:pPr>
        <w:rPr>
          <w:noProof/>
        </w:rPr>
      </w:pPr>
      <w:r>
        <w:rPr>
          <w:noProof/>
        </w:rPr>
        <w:t>Spanyolország ingyenes ügyfélszolgálati telefonszámot biztosít azon személyek számára, akik akadálymentes szavazási eljárást – Braille-írásos rendszert – kívánnak használni. Ez a telefonos szolgáltatás tájékoztatást nyújt a választási jelöltekről és a szavazási eljárás egyéb szempontjairól is.</w:t>
      </w:r>
    </w:p>
    <w:p w14:paraId="280F39DD" w14:textId="0A1B5C58" w:rsidR="00825735" w:rsidRPr="00B42AEB" w:rsidRDefault="007E53A1" w:rsidP="00B42AEB">
      <w:pPr>
        <w:rPr>
          <w:noProof/>
        </w:rPr>
      </w:pPr>
      <w:r>
        <w:rPr>
          <w:noProof/>
        </w:rPr>
        <w:t>Svédország „beszélő” weboldalt biztosít a látássérültek és a szöveg olvasásában nehézségekkel küzdő személyek (például diszlexiában szenvedők) számára, hogy a felolvasott információkat meghallgathassák.</w:t>
      </w:r>
    </w:p>
    <w:p w14:paraId="3239ABD7" w14:textId="7EF59031" w:rsidR="00AC3895" w:rsidRPr="00B42AEB" w:rsidRDefault="0099175B" w:rsidP="006B02A7">
      <w:pPr>
        <w:pStyle w:val="Heading2"/>
        <w:spacing w:before="240" w:after="240"/>
        <w:rPr>
          <w:noProof/>
        </w:rPr>
      </w:pPr>
      <w:bookmarkStart w:id="59" w:name="_Toc148718592"/>
      <w:bookmarkStart w:id="60" w:name="_Toc158135249"/>
      <w:r>
        <w:rPr>
          <w:noProof/>
        </w:rPr>
        <w:t>6.2. A politikai reklám akadálymentessége</w:t>
      </w:r>
      <w:bookmarkEnd w:id="59"/>
      <w:bookmarkEnd w:id="60"/>
    </w:p>
    <w:p w14:paraId="0FE306DC" w14:textId="7D41D35E" w:rsidR="00C476EE" w:rsidRPr="00B42AEB" w:rsidRDefault="00C476EE" w:rsidP="00B42AEB">
      <w:pPr>
        <w:rPr>
          <w:noProof/>
        </w:rPr>
      </w:pPr>
      <w:r>
        <w:rPr>
          <w:noProof/>
        </w:rPr>
        <w:t>Franciaországban a jelölteket felkérik, hogy a választási kampány valamennyi dokumentumát (pl. szórólapokat) egyidejűleg nyomtatott formában, egy (a jogszabályi akadálymentesítési követelményeknek megfelelő </w:t>
      </w:r>
      <w:r>
        <w:rPr>
          <w:rStyle w:val="FootnoteReference"/>
          <w:noProof/>
        </w:rPr>
        <w:t>(</w:t>
      </w:r>
      <w:r>
        <w:rPr>
          <w:rStyle w:val="FootnoteReference"/>
          <w:noProof/>
        </w:rPr>
        <w:footnoteReference w:id="73"/>
      </w:r>
      <w:r>
        <w:rPr>
          <w:rStyle w:val="FootnoteReference"/>
          <w:noProof/>
        </w:rPr>
        <w:t>))</w:t>
      </w:r>
      <w:r>
        <w:rPr>
          <w:noProof/>
        </w:rPr>
        <w:t>) weboldalon és bizonyíthatóan akadálymentes formátumban bocsássák rendelkezésre, összhangban az egyenlő jogokról és esélyegyenlőségről szóló 2005-ös törvény akadálymentességi kritériumaival. A dokumentumoknak könnyen olvasható és érthető változatban is elérhetőnek kell lenniük. Ezeknek az anyagoknak a választási kampány kezdetétől a szavazás lezárásáig rendelkezésre kell állniuk </w:t>
      </w:r>
      <w:r>
        <w:rPr>
          <w:rStyle w:val="FootnoteReference"/>
          <w:noProof/>
        </w:rPr>
        <w:t>(</w:t>
      </w:r>
      <w:r>
        <w:rPr>
          <w:rStyle w:val="FootnoteReference"/>
          <w:noProof/>
        </w:rPr>
        <w:footnoteReference w:id="74"/>
      </w:r>
      <w:r>
        <w:rPr>
          <w:rStyle w:val="FootnoteReference"/>
          <w:noProof/>
        </w:rPr>
        <w:t>))</w:t>
      </w:r>
      <w:r>
        <w:rPr>
          <w:noProof/>
        </w:rPr>
        <w:t>.</w:t>
      </w:r>
    </w:p>
    <w:p w14:paraId="5D5B2CA1" w14:textId="2F35E92F" w:rsidR="00C40F26" w:rsidRPr="00B42AEB" w:rsidRDefault="00742678" w:rsidP="00B42AEB">
      <w:pPr>
        <w:rPr>
          <w:noProof/>
        </w:rPr>
      </w:pPr>
      <w:r>
        <w:rPr>
          <w:noProof/>
        </w:rPr>
        <w:t>Több tagállamban, például Magyarországon és Spanyolországban a szponzoroknak biztosítaniuk kell a politikai reklámok akadálymentességét. Litvániában 2019-től kezdődően a Központi Választási Bizottság minden választás esetében tájékoztatja a jelölteket, hogy választási anyagaik elkészítése során figyelembe kell venniük a fogyatékossággal élő választók igényeit.</w:t>
      </w:r>
    </w:p>
    <w:p w14:paraId="09D8B868" w14:textId="3F0BC82E" w:rsidR="00990F3C" w:rsidRPr="00B42AEB" w:rsidRDefault="00C40F26" w:rsidP="00B42AEB">
      <w:pPr>
        <w:rPr>
          <w:noProof/>
        </w:rPr>
      </w:pPr>
      <w:r>
        <w:rPr>
          <w:noProof/>
        </w:rPr>
        <w:t>Spanyolországban a politikai szervezeteknek biztosítaniuk kell, hogy nyilvános tevékenységeik a fogyatékossággal élő személyek számára akadálymentesek legyenek, és lehetőség szerint akadálymentes tájékoztatást kell nyújtaniuk. Ide tartoznak a weboldalak, a fogyatékossággal élő személyek szempontjából akadálymentes formátumú nyomtatott anyagok, a telefonos segítségnyújtási szolgáltatások és az audiovizuális formátumok. Az állami tulajdonú nemzeti televízió- és rádióállomásoknak ingyenes lehetőséget kell biztosítaniuk a jelöltek, politikai pártok, szövetségek, koalíciók és választói csoportok azon politikai hirdetései számára, amelyek megfelelnek a fogyatékossággal élő személyek sajátos akadálymentesítési igényeinek.</w:t>
      </w:r>
    </w:p>
    <w:p w14:paraId="7F648CD6" w14:textId="4140BEEE" w:rsidR="0073307C" w:rsidRPr="00B42AEB" w:rsidRDefault="00990F3C" w:rsidP="00B42AEB">
      <w:pPr>
        <w:rPr>
          <w:noProof/>
        </w:rPr>
      </w:pPr>
      <w:r>
        <w:rPr>
          <w:noProof/>
        </w:rPr>
        <w:t>A 2019-es európai parlamenti választások során a Vakok és Látássérültek Német Szövetsége tesztelte a választási kampány során használt anyagok használhatóságát és olvashatóságát a felolvasóprogramot használók körében. Az anyagokat meghatározott kritériumok alapján rangsorolták, és az értékelés eredményeit megküldték a választáson induló politikai pártoknak </w:t>
      </w:r>
      <w:r>
        <w:rPr>
          <w:rStyle w:val="FootnoteReference"/>
          <w:noProof/>
        </w:rPr>
        <w:t>(</w:t>
      </w:r>
      <w:r>
        <w:rPr>
          <w:rStyle w:val="FootnoteReference"/>
          <w:noProof/>
        </w:rPr>
        <w:footnoteReference w:id="75"/>
      </w:r>
      <w:r>
        <w:rPr>
          <w:rStyle w:val="FootnoteReference"/>
          <w:noProof/>
        </w:rPr>
        <w:t>))</w:t>
      </w:r>
      <w:r>
        <w:rPr>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135250"/>
      <w:r>
        <w:rPr>
          <w:noProof/>
        </w:rPr>
        <w:t>7. Egyetemes tervezés és észszerű alkalmazkodás a választási ciklusban – eljárások, létesítmények és anyagok</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135251"/>
      <w:r>
        <w:rPr>
          <w:noProof/>
        </w:rPr>
        <w:t xml:space="preserve">7.1. </w:t>
      </w:r>
      <w:bookmarkEnd w:id="63"/>
      <w:r>
        <w:rPr>
          <w:noProof/>
        </w:rPr>
        <w:t>Regisztrációs eljárások</w:t>
      </w:r>
      <w:bookmarkEnd w:id="64"/>
    </w:p>
    <w:p w14:paraId="4EC47BED" w14:textId="15E12600" w:rsidR="001726FB" w:rsidRPr="00B42AEB" w:rsidRDefault="009E6BD5" w:rsidP="00B42AEB">
      <w:pPr>
        <w:rPr>
          <w:noProof/>
        </w:rPr>
      </w:pPr>
      <w:r>
        <w:rPr>
          <w:noProof/>
        </w:rPr>
        <w:t>A regisztrációs eljárások választási folyamatban való alkalmazása – függetlenül azok céljától – kiemelten fontos lehetőségeket kínál a fogyatékossággal élő személyek és az illetékes hatóságok közötti interakciók megkönnyítésére, többek között különböző akadálymentes eszközök, például akadálymentes papíralapú és digitális formanyomtatványok révén. Amennyiben a regisztráció személyes jelenléttel történik, a helyszínek és az információk akadálymentessége elsődleges fontosságú.</w:t>
      </w:r>
    </w:p>
    <w:p w14:paraId="79621768" w14:textId="3FFBBD8B" w:rsidR="00C64C88" w:rsidRPr="00B42AEB" w:rsidRDefault="00EF4A32" w:rsidP="00B42AEB">
      <w:pPr>
        <w:rPr>
          <w:noProof/>
        </w:rPr>
      </w:pPr>
      <w:r>
        <w:rPr>
          <w:noProof/>
        </w:rPr>
        <w:t>A legtöbb tagállamban automatikusan regisztrálják a választókat a nemzeti választásokon. Két tagállam – Ciprus és Írország – aktív választói regisztrációt alkalmaz, míg mások online eszközöket használnak a különleges szavazási eljárásra, például levélszavazásra vagy mozgóurnás szavazásra irányuló preferencia vagy jogosultság regisztrálásához. Ezen eszközök használatának megkönnyítése érdekében a tagállamok akadálymentességi követelményeket vezettek be, és biztosítják, hogy az online tartalmak számos eszközön keresztül hozzáférhetők legyenek. Emellett világos és felhasználóközpontú nyelvezetű, egyszerűsített formanyomtatványokat is kidolgoztak. Cipruson a járási közigazgatási szervek azon irodái, amelyek a választói névjegyzékbe való felvétel iránti kérelmeket kezelik, akadálymentesen hozzáférhetők a fogyatékossággal élő személyek számára. A választók regisztrációjára vonatkozó, több tagállam, például Luxemburg által biztosított akadálymentes információk szintén kulcsfontosságúak e folyamat megkönnyítéséhez.</w:t>
      </w:r>
    </w:p>
    <w:p w14:paraId="719DA231" w14:textId="1B16D682" w:rsidR="008F291D" w:rsidRPr="00B42AEB" w:rsidRDefault="00F3686B" w:rsidP="00B42AEB">
      <w:pPr>
        <w:rPr>
          <w:noProof/>
        </w:rPr>
      </w:pPr>
      <w:r>
        <w:rPr>
          <w:noProof/>
        </w:rPr>
        <w:t>Egyes tagállamokban a jelöltek különleges támogatásban, például jeltolmácsolásra és szállításra felhasználható kis összegű támogatásban részesülhetnek, ami megkönnyítheti a dokumentumok benyújtását, amennyiben erre csak személyesen van lehetőség. Más tagállamokban, például Romániában </w:t>
      </w:r>
      <w:r>
        <w:rPr>
          <w:rStyle w:val="FootnoteReference"/>
          <w:noProof/>
        </w:rPr>
        <w:t>(</w:t>
      </w:r>
      <w:r>
        <w:rPr>
          <w:rStyle w:val="FootnoteReference"/>
          <w:noProof/>
        </w:rPr>
        <w:footnoteReference w:id="76"/>
      </w:r>
      <w:r>
        <w:rPr>
          <w:rStyle w:val="FootnoteReference"/>
          <w:noProof/>
        </w:rPr>
        <w:t>))</w:t>
      </w:r>
      <w:r>
        <w:rPr>
          <w:noProof/>
        </w:rPr>
        <w:t xml:space="preserve"> a jelöltek elektronikus úton is gyűjthetnek támogató aláírásokat.</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135252"/>
      <w:r>
        <w:rPr>
          <w:noProof/>
        </w:rPr>
        <w:t>7.2. A szavazóhelyiségek, szavazófülkék és szavazóurnák akadálymentességének javítása</w:t>
      </w:r>
      <w:bookmarkEnd w:id="65"/>
      <w:bookmarkEnd w:id="66"/>
      <w:bookmarkEnd w:id="67"/>
    </w:p>
    <w:p w14:paraId="71544D5C" w14:textId="05517545" w:rsidR="00626892" w:rsidRPr="00B42AEB" w:rsidRDefault="002B2D35" w:rsidP="00B42AEB">
      <w:pPr>
        <w:rPr>
          <w:noProof/>
        </w:rPr>
      </w:pPr>
      <w:r>
        <w:rPr>
          <w:noProof/>
        </w:rPr>
        <w:t>A legtöbb tagállam számos követelményt fogadott el annak biztosítása érdekében, hogy a fogyatékossággal élő személyek a szavazóhelyiségekben szavazhassanak. A követelmények kiterjednek a szavazási folyamat különböző szempontjaira, valamint a fogyatékossággal élő szavazókkal a szavazás helyszínén történő bánásmódra, a választási anyagokra és a választási munkatársakra </w:t>
      </w:r>
      <w:r>
        <w:rPr>
          <w:rStyle w:val="FootnoteReference"/>
          <w:noProof/>
        </w:rPr>
        <w:t>(</w:t>
      </w:r>
      <w:r>
        <w:rPr>
          <w:rStyle w:val="FootnoteReference"/>
          <w:noProof/>
        </w:rPr>
        <w:footnoteReference w:id="77"/>
      </w:r>
      <w:r>
        <w:rPr>
          <w:rStyle w:val="FootnoteReference"/>
          <w:noProof/>
        </w:rPr>
        <w:t>))</w:t>
      </w:r>
      <w:r>
        <w:rPr>
          <w:noProof/>
        </w:rPr>
        <w:t>. Ez magában foglalja a szavazóhelyiségbe való megérkezést és az oda való belépést, a választópolgárok azonosítását, a választói névjegyzék kézzel vagy elektronikus úton történő aláírását, a szavazófülkébe való belépést, a papíralapú szavazólapokon vagy szavazógépeken történő szavazást, a papíralapú szavazólap szavazóurnába való behelyezését és a szavazóhelyiségből való kilépést. Számos tagállam nyújtott be részletes iránymutatásokat és ellenőrzőlistákat, amelyeket gyakran a fogyatékossággal élők szervezeteivel közösen dolgoztak ki, és amelyek mindenfajta kritériumra kiterjednek, mint például a tömegközlekedésen való megközelítés, rendelkezésre álló rámpák és a soron kívüli bejutás. Málta például azzal könnyíti meg a fogyatékossággal élő személyek szavazását, hogy a szavazóhelyiségben (egy meghatározott idősávban) a sorban előre kerülhetnek.</w:t>
      </w:r>
    </w:p>
    <w:p w14:paraId="25A72D5C" w14:textId="19DB6CA2" w:rsidR="002B44F6" w:rsidRPr="00B42AEB" w:rsidRDefault="002B44F6" w:rsidP="00B42AEB">
      <w:pPr>
        <w:rPr>
          <w:b/>
          <w:noProof/>
        </w:rPr>
      </w:pPr>
      <w:r>
        <w:rPr>
          <w:noProof/>
        </w:rPr>
        <w:t>Egyes tagállamokban, például Ausztriában </w:t>
      </w:r>
      <w:r>
        <w:rPr>
          <w:rStyle w:val="FootnoteReference"/>
          <w:noProof/>
        </w:rPr>
        <w:t>(</w:t>
      </w:r>
      <w:r>
        <w:rPr>
          <w:rStyle w:val="FootnoteReference"/>
          <w:noProof/>
        </w:rPr>
        <w:footnoteReference w:id="78"/>
      </w:r>
      <w:r>
        <w:rPr>
          <w:rStyle w:val="FootnoteReference"/>
          <w:noProof/>
        </w:rPr>
        <w:t>))</w:t>
      </w:r>
      <w:r>
        <w:rPr>
          <w:noProof/>
        </w:rPr>
        <w:t xml:space="preserve"> és Magyarországon minden településnek legalább egy akadálymentes szavazóhelyiséget kell biztosítania. Más tagállamokban – például Franciaországban, Hollandiában, Spanyolországban és Szlovéniában – minden szavazóhelyiséget akadálymentessé kell tenni. Más tagállamok, például Görögország a fogyatékossággal élő személyekre vonatkozó nemzeti cselekvési terv keretében arra törekszik, hogy települési szinten (a helyi önkormányzat első szintjén) állítsák össze azon akadálymentes épületek nyilvántartását, amelyeket szavazóhelyiségként is használni fognak. Más tagállamokban, például Írországban a választási tisztviselőknek meg kell tenniük a szavazóhelyiségek akadálymentességének biztosításához szükséges intézkedéseket, ami magában foglalja, hogy minden szavazóhelyiségben megfelelő asztalt és széket bocsássanak rendelkezésre, amelyet úgy kell elhelyezni, hogy az biztosítsa a szavazás titkosságát, továbbá a kerekesszéket használó, a testi fogyatékossággal élő, látássérült vagy idősebb szavazók kényelmét.</w:t>
      </w:r>
    </w:p>
    <w:p w14:paraId="3A607801" w14:textId="423F6AF8" w:rsidR="005C7F85" w:rsidRPr="00B42AEB" w:rsidRDefault="00EA3DF5" w:rsidP="00B42AEB">
      <w:pPr>
        <w:rPr>
          <w:noProof/>
        </w:rPr>
      </w:pPr>
      <w:r>
        <w:rPr>
          <w:noProof/>
        </w:rPr>
        <w:t>A szavazóhelyiségek melletti parkolóhelyeknek számos tagállamban – például Belgiumban, Luxemburgban és Hollandiában – szigorú követelményeknek kell megfelelniük a jelzéseket és a felületet illetően. A szavazóhelyiségeknek tömegközlekedéssel megközelíthetőnek kell lenniük. A fogyatékossággal élő személyeknek, beleértve a kerekesszéket használókat is, lehetőséget kell biztosítani a szavazóhelyiségekbe való belépésre, a szavazóhelyiségen belüli mozgásra és az onnan való kilépésre, szükség esetén átmeneti vagy tartós megoldások révén (mint például Belgiumban, Németországban, Dániában, Észtországban, Franciaországban, Finnországban, Írországban, Litvániában, Luxemburgban, Hollandiában, Romániában, Svédországban és Szlovéniában). Ez magában foglalja az egyszintes épületek előnyben részesítését, az automatikusan vagy könnyen üzemeltethető széles ajtónyílásokat, az alacsony dőlésszögű rámpákat, a megszakítás nélküli kapaszkodókat, az ajtók előtti sík mozgásteret, a kellően széles folyosókat, az akadálymentes útvonalakat, a megfelelő világítást, a várakozási zónában lévő székeket, adaptált jelzéseket, vezetősávokat, színkódokat és a látássérült szavazókat eligazító egyéb megfelelő eszközöket. Más tagállamok, például Franciaország, Dánia, Luxemburg, Hollandia és Spanyolország azt is lehetővé teszik a fogyatékossággal élő személyek számára, hogy vakvezető kutyával és segítő kutyával lépjenek be.</w:t>
      </w:r>
    </w:p>
    <w:p w14:paraId="2169E13B" w14:textId="620C40F5" w:rsidR="005A2789" w:rsidRPr="00B42AEB" w:rsidRDefault="00722578" w:rsidP="00B42AEB">
      <w:pPr>
        <w:rPr>
          <w:noProof/>
        </w:rPr>
      </w:pPr>
      <w:r>
        <w:rPr>
          <w:noProof/>
        </w:rPr>
        <w:t>Egyes tagállamok, például Belgium, Spanyolország </w:t>
      </w:r>
      <w:r>
        <w:rPr>
          <w:noProof/>
          <w:vertAlign w:val="superscript"/>
        </w:rPr>
        <w:t>(</w:t>
      </w:r>
      <w:r>
        <w:rPr>
          <w:rStyle w:val="FootnoteReference"/>
          <w:noProof/>
        </w:rPr>
        <w:footnoteReference w:id="79"/>
      </w:r>
      <w:r>
        <w:rPr>
          <w:noProof/>
          <w:vertAlign w:val="superscript"/>
        </w:rPr>
        <w:t>)</w:t>
      </w:r>
      <w:r>
        <w:rPr>
          <w:noProof/>
        </w:rPr>
        <w:t xml:space="preserve"> és Románia </w:t>
      </w:r>
      <w:r>
        <w:rPr>
          <w:rStyle w:val="FootnoteReference"/>
          <w:noProof/>
        </w:rPr>
        <w:t>(</w:t>
      </w:r>
      <w:r>
        <w:rPr>
          <w:rStyle w:val="FootnoteReference"/>
          <w:noProof/>
        </w:rPr>
        <w:footnoteReference w:id="80"/>
      </w:r>
      <w:r>
        <w:rPr>
          <w:rStyle w:val="FootnoteReference"/>
          <w:noProof/>
        </w:rPr>
        <w:t>))</w:t>
      </w:r>
      <w:r>
        <w:rPr>
          <w:noProof/>
        </w:rPr>
        <w:t xml:space="preserve"> jogszabályban határozzák meg a szavazófülkék műszaki előírásait. A szavazófülkéket úgy kell kialakítani, hogy megfeleljenek a fogyatékossággal élő személyek, különösen a kerekesszéket használók igényeinek. Luxemburgban, Franciaországban és Olaszországban például az egyes szavazóhelyiségekben felállítandó fülkék egyikét a fogyatékkal élők számára akadálymentessé kell tenni. Ez azt jelenti, hogy e fülkéknek bizonyos méretnél nagyobbnak kell lenniük, olyan területen kell elhelyezkedniük, amely elegendő forgásteret biztosít, és olyan különleges jellemzőkkel kell rendelkezniük, mint például a vízszintes kapaszkodók, adott magasságon elhelyezett vagy állítható magasságú asztal vagy polc, elegendő lábtérrel és megfelelő világítással. Néhány tagállam, például Hollandia, világítással ellátott nagyítókat bocsát rendelkezésre. A szavazáshoz használt egyéb eszközöknek, például tollaknak vagy ceruzáknak a fogyatékossággal élő személyek számára könnyen hozzáférhetőnek kell lenniük.</w:t>
      </w:r>
    </w:p>
    <w:p w14:paraId="0AD2DFFB" w14:textId="7AD8ECED" w:rsidR="00F8466F" w:rsidRPr="00B42AEB" w:rsidRDefault="00E0730B" w:rsidP="00B42AEB">
      <w:pPr>
        <w:rPr>
          <w:noProof/>
        </w:rPr>
      </w:pPr>
      <w:r>
        <w:rPr>
          <w:noProof/>
        </w:rPr>
        <w:t>A szavazóurnák akadálymentessége abban az esetben is fontos, ha a szavazóknak maguknak kell bedobniuk a szavazatukat. A szavazóurnának könnyen megkülönböztethetőnek kell lennie, és olyan területen kell elhelyezkednie, amely akadálytalan hozzáférést és elegendő mozgásteret biztosít. A szavazóurna nyílását és az elektronikus szavazógépek vezérlőegységeit meghatározott magasságban kell elhelyezni. Fellépőt kell biztosítani azon személyek számára, akik a biztonsági követelmények betartása mellett nem tudják elérni a szavazóurna nyílását. Franciaországban például a törvény előírja, hogy az egyes szavazóhelyiségekben a szavazóurnáknak a kerekesszéket használók számára is hozzáférhetőnek kell lenniük.</w:t>
      </w:r>
    </w:p>
    <w:p w14:paraId="45D3DB32" w14:textId="71B1D0FB" w:rsidR="00005528" w:rsidRPr="00B42AEB" w:rsidRDefault="00005528" w:rsidP="00B42AEB">
      <w:pPr>
        <w:rPr>
          <w:noProof/>
        </w:rPr>
      </w:pPr>
      <w:r>
        <w:rPr>
          <w:noProof/>
        </w:rPr>
        <w:t>Egyes tagállamokban (például Észtországban) a szavazóhelyiségek asztalokkal és képernyőkkel vannak felszerelve, amelyek lehetővé teszik a szavazók számára, hogy ülve vagy a kerekesszékben töltsék ki a szavazólapot. Nagyítók állnak rendelkezésre, amelyek segítik a szavazókat a szavazólap kitöltésében és a jelöltek listájának elolvasásában. Távoli jelnyelvi tolmácsolási szolgáltatások állnak rendelkezésre, amelyek lehetővé teszik a jelnyelvet beszélő szavazók számára, hogy könnyebben kommunikáljanak a szavazókerületi bizottság tagjaival. Franciaországban annak érdekében, hogy a vakok vagy látássérült személyek a választói névjegyzékeken vagy a jelenléti íveken a megfelelő helyen írhassák alá a nevüket, ajánlatos egy kontrasztos színnel ellátott aláírási segédeszközt rendelkezésükre bocsátani (ablak egy kis méretű műanyag sorvezetőn).</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A képen egy Ausztriában használt szavazólap-sablon látha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Ausztriában használt szavazólap-sablon</w:t>
      </w:r>
    </w:p>
    <w:p w14:paraId="5F247431" w14:textId="6BB7D2A7" w:rsidR="00F53BDC" w:rsidRPr="00B42AEB" w:rsidRDefault="002052F5" w:rsidP="006B02A7">
      <w:pPr>
        <w:pStyle w:val="Heading2"/>
        <w:spacing w:before="240" w:after="240"/>
        <w:rPr>
          <w:noProof/>
        </w:rPr>
      </w:pPr>
      <w:bookmarkStart w:id="70" w:name="_Toc158135253"/>
      <w:r>
        <w:rPr>
          <w:noProof/>
        </w:rPr>
        <w:t>7.3. A papíralapú szavazólapok akadálymentességének javítása</w:t>
      </w:r>
      <w:bookmarkEnd w:id="68"/>
      <w:bookmarkEnd w:id="69"/>
      <w:bookmarkEnd w:id="70"/>
    </w:p>
    <w:p w14:paraId="1A770A21" w14:textId="4EC8D530" w:rsidR="00B42AEB" w:rsidRPr="00B42AEB" w:rsidRDefault="00386D1A" w:rsidP="00B42AEB">
      <w:pPr>
        <w:rPr>
          <w:noProof/>
        </w:rPr>
      </w:pPr>
      <w:r>
        <w:rPr>
          <w:noProof/>
        </w:rPr>
        <w:t>Ausztriában, Dániában </w:t>
      </w:r>
      <w:r>
        <w:rPr>
          <w:rStyle w:val="FootnoteReference"/>
          <w:noProof/>
        </w:rPr>
        <w:t>(</w:t>
      </w:r>
      <w:r>
        <w:rPr>
          <w:rStyle w:val="FootnoteReference"/>
          <w:noProof/>
        </w:rPr>
        <w:footnoteReference w:id="81"/>
      </w:r>
      <w:r>
        <w:rPr>
          <w:rStyle w:val="FootnoteReference"/>
          <w:noProof/>
        </w:rPr>
        <w:t>))</w:t>
      </w:r>
      <w:r>
        <w:rPr>
          <w:noProof/>
        </w:rPr>
        <w:t>, Magyarországon, Luxemburgban </w:t>
      </w:r>
      <w:r>
        <w:rPr>
          <w:rStyle w:val="FootnoteReference"/>
          <w:noProof/>
        </w:rPr>
        <w:t>(</w:t>
      </w:r>
      <w:r>
        <w:rPr>
          <w:rStyle w:val="FootnoteReference"/>
          <w:noProof/>
        </w:rPr>
        <w:footnoteReference w:id="82"/>
      </w:r>
      <w:r>
        <w:rPr>
          <w:rStyle w:val="FootnoteReference"/>
          <w:noProof/>
        </w:rPr>
        <w:t>))</w:t>
      </w:r>
      <w:r>
        <w:rPr>
          <w:noProof/>
        </w:rPr>
        <w:t>, Németországban, Szlovéniában, Írországban, Portugáliában és Spanyolországban a szavazóhelyiségeket a papíralapú szavazólapokhoz külön sablonnal kell ellátni, a Braille-írást is beleértve. Hollandiában és Máltán ezeket a sablonokat hangalapú támogatás vagy nyomtatott magyarázó anyagok is kísérik, ahogyan Portugáliában és Spanyolországban is, amelyek elmagyarázzák a stencil használatát, a szavazólap felépítését, azt, hogy mely jelöltek és pártok indulnak a választásokon, és hogy a stencilben milyen nyílást kell használni az egyes jelöltek számára.</w:t>
      </w:r>
    </w:p>
    <w:p w14:paraId="3AD5F5C0" w14:textId="2396D488" w:rsidR="005B294B" w:rsidRPr="00B42AEB" w:rsidRDefault="00905FF2" w:rsidP="00B42AEB">
      <w:pPr>
        <w:rPr>
          <w:noProof/>
        </w:rPr>
      </w:pPr>
      <w:r>
        <w:rPr>
          <w:noProof/>
        </w:rPr>
        <w:t>Írországban a Braille-írásos sablon használatát egy telefonvonal támogatja, amelyet a szavazók a szavazólap elrendezésének és a jelöltek sorrendjének meghallgatása céljából hívhatnak fel. Ausztriában a közelmúltban történt jogszabályi változásokat követően a szavazólapot oly módon fejlesztették tovább, hogy a látássérültek részére az egyik oldalon ék alakban megjelölték a lap sarkát, és szavazókártya-sablon bevezetését is tervezik. Csehország a postán kiküldött szavazólapokhoz csatolt szavazási utasításokra mutató QR-kódokat ad meg, a QR-kódok pedig jelnyelvi videóhoz vezetnek. Több tagállamban, például Belgiumban és Hollandiában is segítő eszközök, például nagyítók állnak a fogyatékossággal élő választók rendelkezésére.</w:t>
      </w:r>
    </w:p>
    <w:p w14:paraId="1A117F92" w14:textId="61635AD3" w:rsidR="00B77091" w:rsidRPr="00B42AEB" w:rsidRDefault="00B77091" w:rsidP="00B42AEB">
      <w:pPr>
        <w:rPr>
          <w:noProof/>
        </w:rPr>
      </w:pPr>
      <w:r>
        <w:rPr>
          <w:noProof/>
        </w:rPr>
        <w:t>Dániában azok a szavazók, akiknek segítségre van szükségük ahhoz, hogy szavazatukat önállóan leadhassák, olyan technikai segédeszközöket használhatnak, mint például egy vastagabb fekete toll, amely segít a szavazónak abban, hogy jobban lássa, hol kell megjelölnie a szavazólapot, egy nagyítólencse, amely felnagyítja a szavazólapot és megkönnyíti annak olvashatóságát, valamint egy LED-lámpa a jobb megvilágításhoz, ami minden látáscsökkent személynek segítséget jelent. A szavazó maga szabályozhatja a lámpa fényességét, színét és fényerejét. Ezeket az eszközöket egy CCTV (zártláncú televízió) egészíti ki, amely egy különleges fajtájú nagyítóüveg, amely a szavazólapot kinagyítja egy képernyőn, a szavazó pedig be tudja állítani a nagyítás mértékét és a kontrasztot. Ezenkívül egy állítható asztalt is rendelkezésre kell bocsátani, amely lehetővé teszi a kerekesszékes szavazók számára, hogy kitöltsék a szavazólapot.</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A képen a Litvánia által használt szavazólap-mappák látható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Litvániában használt szavazólap-mappák</w:t>
      </w:r>
    </w:p>
    <w:p w14:paraId="3F2088A4" w14:textId="0A322D57" w:rsidR="00202542" w:rsidRPr="00B42AEB" w:rsidRDefault="0064747E" w:rsidP="00B42AEB">
      <w:pPr>
        <w:rPr>
          <w:noProof/>
        </w:rPr>
      </w:pPr>
      <w:r>
        <w:rPr>
          <w:noProof/>
        </w:rPr>
        <w:t>Litvánia Braille-írással ellátott papírmappákat bocsát rendelkezésre, amelyekben a szavazók a standard papíralapú szavazólapokat helyezhetik el. Máltán minden szavazóhelyiség rendelkezik a szavazólap tartalmát beolvasó hanglejátszó eszközzel. Hollandiában a külföldön szavazó polgárok korlátozott szavazással szavaznak. Eldönthetik, hogy postai úton vagy e-mailben kívánják-e megkapni a szavazólapot. A szavazólappal együtt a pártokat és a jelölteket tartalmazó dokumentumot is kiküldik részükre. Minden szavazóhelyiségben nagy formátumú jelöltlistákat helyeznek el.</w:t>
      </w:r>
    </w:p>
    <w:p w14:paraId="3994C551" w14:textId="36ACE17A" w:rsidR="00E972D7" w:rsidRPr="00B42AEB" w:rsidRDefault="00A4693C" w:rsidP="00B42AEB">
      <w:pPr>
        <w:rPr>
          <w:noProof/>
        </w:rPr>
      </w:pPr>
      <w:r>
        <w:rPr>
          <w:noProof/>
        </w:rPr>
        <w:t>Hollandiában a kognitív fogyatékossággal élő szavazók (a szavazófülkén kívül) magyarázatot kaphatnak a szavazólap működéséről. Számos település és civil társadalmi szervezet tart szavazási felvilágosítást a választások előtt. Emellett a kognitív fogyatékossággal élő szavazók egy weboldalon is megtekinthetik a magyarázatokat </w:t>
      </w:r>
      <w:r>
        <w:rPr>
          <w:rStyle w:val="FootnoteReference"/>
          <w:noProof/>
        </w:rPr>
        <w:t>(</w:t>
      </w:r>
      <w:r>
        <w:rPr>
          <w:rStyle w:val="FootnoteReference"/>
          <w:noProof/>
        </w:rPr>
        <w:footnoteReference w:id="83"/>
      </w:r>
      <w:r>
        <w:rPr>
          <w:rStyle w:val="FootnoteReference"/>
          <w:noProof/>
        </w:rPr>
        <w:t>))</w:t>
      </w:r>
      <w:r>
        <w:rPr>
          <w:noProof/>
        </w:rPr>
        <w:t>.</w:t>
      </w:r>
    </w:p>
    <w:p w14:paraId="218EB0B2" w14:textId="3450CDE2" w:rsidR="005F3847" w:rsidRPr="00B42AEB" w:rsidRDefault="005F3847" w:rsidP="00B42AEB">
      <w:pPr>
        <w:rPr>
          <w:noProof/>
        </w:rPr>
      </w:pPr>
      <w:r>
        <w:rPr>
          <w:noProof/>
        </w:rPr>
        <w:t>Hollandiában jelenleg egy új szavazólap kialakításán dolgoznak. Ez a szavazólap jobban megfelel majd a fogyatékossággal élő személyek igényeinek is. A betűtípus nagyobb és könnyebben olvasható. A szavazólapon a politikai pártok logóit is elhelyezik, így a pártok könnyebben felismerhetők és megtalálhatók. Az új szavazólaphoz egy univerzális sablont is kidolgoznak a látássérült személyek számára. A cél az, hogy a település rendelkezzen legalább egy sablonnal, amely egy hangszóróval egészül ki. Románia azt is megvizsgálta, hogy miként lehetne egyetlen papírlapra szűkítve egyszerűsíteni a papíralapú szavazólapokat, ami javíthatná az általános akadálymentességet, többek között a látássérült szavazók számára is </w:t>
      </w:r>
      <w:r>
        <w:rPr>
          <w:rStyle w:val="FootnoteReference"/>
          <w:noProof/>
        </w:rPr>
        <w:t>(</w:t>
      </w:r>
      <w:r>
        <w:rPr>
          <w:rStyle w:val="FootnoteReference"/>
          <w:noProof/>
        </w:rPr>
        <w:footnoteReference w:id="84"/>
      </w:r>
      <w:r>
        <w:rPr>
          <w:rStyle w:val="FootnoteReference"/>
          <w:noProof/>
        </w:rPr>
        <w:t>))</w:t>
      </w:r>
      <w:r>
        <w:rPr>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135254"/>
      <w:r>
        <w:rPr>
          <w:noProof/>
        </w:rPr>
        <w:t>7.4. A szavazógépek akadálymentességének javítása</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A 2018. évi helyhatósági választásokra és a 2019. évi szövetségi választásokra Belgium kísérleti projektet dolgozott ki az elektronikus szavazógépek hangmodullal való kiegészítése céljából, hogy a látássérült személyek önállóan szavazhassanak. Ezt a kísérleti projektet a fogyatékossággal élőket képviselő szervezetekkel és a látássérülteket képviselő szervezetekkel szoros együttműködésben dolgozták ki. Logisztikai okokból ezt a projektet nem lehetett széles körben megvalósítani.</w:t>
      </w:r>
    </w:p>
    <w:p w14:paraId="1CF6307E" w14:textId="38F06BD7" w:rsidR="00DA1AB1" w:rsidRPr="00B42AEB" w:rsidRDefault="00DA1AB1" w:rsidP="00B42AEB">
      <w:pPr>
        <w:rPr>
          <w:noProof/>
          <w:bdr w:val="none" w:sz="0" w:space="0" w:color="auto" w:frame="1"/>
        </w:rPr>
      </w:pPr>
      <w:r>
        <w:rPr>
          <w:noProof/>
          <w:bdr w:val="none" w:sz="0" w:space="0" w:color="auto" w:frame="1"/>
        </w:rPr>
        <w:t>Bulgáriában</w:t>
      </w:r>
      <w:r>
        <w:rPr>
          <w:noProof/>
        </w:rPr>
        <w:t xml:space="preserve"> a szavazógépek kötelezővé váltak azokban az országon belül és külföldön található szavazóhelyiségekben, ahol legalább 300 szavazó van. Az interfész egy érintőképernyőből áll. Miután a szavazó leadja a szavazatot, az eszköz kinyomtat egy igazoló papírt, amelyet a szavazó ellenőrizhet. Ez lehetővé teszi a kézi szavazatszámlálást is abban az esetben, ha az elektronikusan tárolt szavazatok elvesznek. A bolgár választási törvény előírja, hogy a szavazógépeket úgy kell megtervezni, kivitelezni és karbantartani, hogy az biztosítsa többek között a gépi szavazás mechanizmusaihoz és módszereihez való egyszerű és könnyen érthető hozzáférést, beleértve a látássérült vagy mozgásszervi fogyatékossággal élő szavazók számára az egyszerűsített hozzáférést.</w:t>
      </w:r>
    </w:p>
    <w:p w14:paraId="2B6B6BE4" w14:textId="3D806DB2" w:rsidR="00357AEF" w:rsidRPr="00B42AEB" w:rsidRDefault="00357AEF" w:rsidP="00B42AEB">
      <w:pPr>
        <w:rPr>
          <w:noProof/>
        </w:rPr>
      </w:pPr>
      <w:r>
        <w:rPr>
          <w:noProof/>
        </w:rPr>
        <w:t>A ZVDZ-C módosító törvény 2017. május 20-i hatálybalépése óta a szlovéniai választásokon és népszavazásokon már nem használnak szavazóautomatákat a fogyatékossággal élő választópolgárok számára </w:t>
      </w:r>
      <w:r>
        <w:rPr>
          <w:rStyle w:val="FootnoteReference"/>
          <w:noProof/>
        </w:rPr>
        <w:t>(</w:t>
      </w:r>
      <w:r>
        <w:rPr>
          <w:rStyle w:val="FootnoteReference"/>
          <w:noProof/>
        </w:rPr>
        <w:footnoteReference w:id="85"/>
      </w:r>
      <w:r>
        <w:rPr>
          <w:rStyle w:val="FootnoteReference"/>
          <w:noProof/>
        </w:rPr>
        <w:t>))</w:t>
      </w:r>
      <w:r>
        <w:rPr>
          <w:noProof/>
        </w:rPr>
        <w:t>. A jogszabályt annak biztosítása érdekében módosították, hogy valamennyi szavazóhelyiség teljes mértékben akadálymentes legyen a fogyatékossággal élő személyek számára. A jogalkotó emellett más országok példáját követte </w:t>
      </w:r>
      <w:r>
        <w:rPr>
          <w:rStyle w:val="FootnoteReference"/>
          <w:noProof/>
        </w:rPr>
        <w:t>(</w:t>
      </w:r>
      <w:r>
        <w:rPr>
          <w:rStyle w:val="FootnoteReference"/>
          <w:noProof/>
        </w:rPr>
        <w:footnoteReference w:id="86"/>
      </w:r>
      <w:r>
        <w:rPr>
          <w:rStyle w:val="FootnoteReference"/>
          <w:noProof/>
        </w:rPr>
        <w:t>))</w:t>
      </w:r>
      <w:r>
        <w:rPr>
          <w:noProof/>
        </w:rPr>
        <w:t>, és lehetővé tette a fogyatékossággal élő személyek számára, hogy a szavazóhelyiségekben való szavazás mellett levélben is szavazhassanak.</w:t>
      </w:r>
    </w:p>
    <w:p w14:paraId="68D7323C" w14:textId="1FD244B7" w:rsidR="00F1598C" w:rsidRPr="00B42AEB" w:rsidRDefault="0099175B" w:rsidP="006B02A7">
      <w:pPr>
        <w:pStyle w:val="Heading2"/>
        <w:spacing w:before="240" w:after="240"/>
        <w:rPr>
          <w:noProof/>
        </w:rPr>
      </w:pPr>
      <w:bookmarkStart w:id="73" w:name="_Toc148718598"/>
      <w:bookmarkStart w:id="74" w:name="_Toc158135255"/>
      <w:r>
        <w:rPr>
          <w:noProof/>
        </w:rPr>
        <w:t>7.5. Kiegészítő szavazási módszerek</w:t>
      </w:r>
      <w:bookmarkEnd w:id="73"/>
      <w:bookmarkEnd w:id="74"/>
    </w:p>
    <w:p w14:paraId="124E64A4" w14:textId="282862A9" w:rsidR="00F1598C" w:rsidRPr="00B42AEB" w:rsidRDefault="00FF48B0" w:rsidP="00B42AEB">
      <w:pPr>
        <w:rPr>
          <w:noProof/>
        </w:rPr>
      </w:pPr>
      <w:r>
        <w:rPr>
          <w:noProof/>
        </w:rPr>
        <w:t>Több tagállam lehetővé teszi azoknak a választópolgároknak, akik a választás napján nem tudnak megjelenni a szavazóhelyiségben, hogy akár otthonukban, akár kórházban (mint Dániában, Máltán és Portugáliában), akár a választás napja előtt megnyitott szavazóhelyiségben (például Ausztriában, Dániában, Németországban, Észtországban, Finnországban, Lettországban, Litvániában, Máltán, Portugáliában, Szlovéniában és Svédországban) előszavazáson vegyenek részt.</w:t>
      </w:r>
    </w:p>
    <w:p w14:paraId="63FE761A" w14:textId="15F78ABB" w:rsidR="00FE4F70" w:rsidRPr="00B42AEB" w:rsidRDefault="004E4D77" w:rsidP="00B42AEB">
      <w:pPr>
        <w:rPr>
          <w:noProof/>
        </w:rPr>
      </w:pPr>
      <w:r>
        <w:rPr>
          <w:noProof/>
        </w:rPr>
        <w:t>A fogyatékossággal élő személyeknek több tagállamban, például Ausztriában, Belgiumban, Dániában, Németországban, Magyarországon, Írországban, Olaszországban, Lettországban, Litvániában és Romániában is lehetőségük van arra, hogy akadálymentes szavazóhelyiségben szavazzanak </w:t>
      </w:r>
      <w:r>
        <w:rPr>
          <w:rStyle w:val="FootnoteReference"/>
          <w:noProof/>
        </w:rPr>
        <w:t>(</w:t>
      </w:r>
      <w:r>
        <w:rPr>
          <w:rStyle w:val="FootnoteReference"/>
          <w:noProof/>
        </w:rPr>
        <w:footnoteReference w:id="87"/>
      </w:r>
      <w:r>
        <w:rPr>
          <w:rStyle w:val="FootnoteReference"/>
          <w:noProof/>
        </w:rPr>
        <w:t>))</w:t>
      </w:r>
      <w:r>
        <w:rPr>
          <w:noProof/>
        </w:rPr>
        <w:t>. Hollandiában a szavazók számára nem jelölnek ki szavazóhelyiséget. A szavazókártyájukkal a településük bármely szavazóhelyiségében szavazhatnak. Egyes tagállamokban, például Horvátországban, Észtországban, Írországban, Máltán és Hollandiában speciális szavazóhelyiségeket szerveznek kórházakban és/vagy más gondozó intézményekben.</w:t>
      </w:r>
    </w:p>
    <w:p w14:paraId="662BA159" w14:textId="5491EB38" w:rsidR="001D73C2" w:rsidRPr="00B42AEB" w:rsidRDefault="00475B8D" w:rsidP="00B42AEB">
      <w:pPr>
        <w:rPr>
          <w:noProof/>
        </w:rPr>
      </w:pPr>
      <w:r>
        <w:rPr>
          <w:noProof/>
        </w:rPr>
        <w:t>Egyes tagállamokban (például Horvátországban, Dániában, Csehországban, Szlovéniában és Svédországban) lehetőség van a szavazóhelyiségen kívül, az épület földszintjén vagy a szavazóhelyiség bejáratánál történő szavazásra.</w:t>
      </w:r>
    </w:p>
    <w:p w14:paraId="579CDE2D" w14:textId="3A16FC16" w:rsidR="00637F9E" w:rsidRPr="00B42AEB" w:rsidRDefault="00637F9E" w:rsidP="00B42AEB">
      <w:pPr>
        <w:rPr>
          <w:noProof/>
        </w:rPr>
      </w:pPr>
      <w:r>
        <w:rPr>
          <w:noProof/>
        </w:rPr>
        <w:t>A mozgóurnás szavazást – ami azt jelenti, hogy a szavazóurnákat a választás megszervezéséért felelős hatóság tisztviselője viszi ki a szavazó tartózkodási helyére (lakóhelyre, kórházba vagy bármely más helyre) – több tagállamban (például Ausztriában, Bulgáriában, Csehországban, Dániában, Észtországban, Horvátországban, Magyarországon, Olaszországban, Írországban, Lettországban, Litvániában, Portugáliában, Romániában, Szlovéniában és Svédországban) is alkalmazzák. Néhány tagállam, köztük Finnország, Luxemburg </w:t>
      </w:r>
      <w:r>
        <w:rPr>
          <w:rStyle w:val="FootnoteReference"/>
          <w:noProof/>
        </w:rPr>
        <w:t>(</w:t>
      </w:r>
      <w:r>
        <w:rPr>
          <w:rStyle w:val="FootnoteReference"/>
          <w:noProof/>
        </w:rPr>
        <w:footnoteReference w:id="88"/>
      </w:r>
      <w:r>
        <w:rPr>
          <w:rStyle w:val="FootnoteReference"/>
          <w:noProof/>
        </w:rPr>
        <w:t>))</w:t>
      </w:r>
      <w:r>
        <w:rPr>
          <w:noProof/>
        </w:rPr>
        <w:t>, Olaszország (néhány településen), Portugália és Lengyelország bizonyos feltételek mellett még ingyenes szállítást is biztosít a szavazók, köztük a fogyatékossággal élő személyek számára a szavazóhelyiségekbe. Belgium szintén nyújt támogatást a szavazóhelyiségekbe történő szállításhoz.</w:t>
      </w:r>
    </w:p>
    <w:p w14:paraId="667B739F" w14:textId="7CF9A186" w:rsidR="00E53CB9" w:rsidRPr="00B42AEB" w:rsidRDefault="004E4D77" w:rsidP="00B42AEB">
      <w:pPr>
        <w:rPr>
          <w:noProof/>
        </w:rPr>
      </w:pPr>
      <w:r>
        <w:rPr>
          <w:noProof/>
        </w:rPr>
        <w:t>A fogyatékossággal élő személyek minden tagállamban kaphatnak segítséget a szavazási eljárás során. Vannak különbségek a tekintetben, hogy ki segítheti a szavazót, és hogy a szavazónak milyen feltételeknek kell megfelelnie. A legtöbb tagállamban, például Ausztriában, Belgiumban, Dániában, Németországban, Magyarországon, Spanyolországban, Szlovéniában és Svédországban a fogyatékossággal élő szavazókat korlátozás nélkül bármely személy segítheti, akiben megbíznak.</w:t>
      </w:r>
    </w:p>
    <w:p w14:paraId="197C46A5" w14:textId="2259223A" w:rsidR="00F1598C" w:rsidRPr="00B42AEB" w:rsidRDefault="00953CBA" w:rsidP="00B42AEB">
      <w:pPr>
        <w:rPr>
          <w:noProof/>
        </w:rPr>
      </w:pPr>
      <w:r>
        <w:rPr>
          <w:noProof/>
        </w:rPr>
        <w:t>A levélszavazás útján – akár az országon belül, akár külföldről – 20 tagállamban lehet szavazni. Az országon belüli levélszavazás gyakorlata Unió-szerte eltérő. Csak néhány tagállam, például Németország és Spanyolország teszi lehetővé valamennyi szavazó számára, hogy levélben szavazzon. Egyes tagállamokban, például Ausztriában, Írországban, Litvániában, Hollandiában és Szlovéniában ez a módszer meghatározott csoportokra, például a fogyatékossággal élő vagy a külföldön tartózkodó szavazókra korlátozódik.</w:t>
      </w:r>
    </w:p>
    <w:p w14:paraId="3FA774EC" w14:textId="4472BFE9" w:rsidR="004F42CB" w:rsidRPr="00B42AEB" w:rsidRDefault="00786ACA" w:rsidP="00B42AEB">
      <w:pPr>
        <w:rPr>
          <w:noProof/>
        </w:rPr>
      </w:pPr>
      <w:r>
        <w:rPr>
          <w:noProof/>
        </w:rPr>
        <w:t>Észtországban lehetőség van online szavazásra, ahol a szavazók eldönthetik, hogy a választás napján elmennek-e a szavazóhelyiségbe, vagy a választási időszak alatt egy weboldalon keresztül adják le a szavazatukat. Az észt választási törvény előírja, hogy a szavazóalkalmazásnak támogatnia kell a látássérült személyeket. Ez a követelmény a gyakorlatban úgy teljesül, hogy lehetővé teszi e csoport számára, hogy segítség nélkül gyakorolhassa szavazati jogát.</w:t>
      </w:r>
    </w:p>
    <w:p w14:paraId="48204868" w14:textId="0FB69E40" w:rsidR="004F42CB" w:rsidRPr="00B42AEB" w:rsidRDefault="004F42CB" w:rsidP="00B42AEB">
      <w:pPr>
        <w:rPr>
          <w:noProof/>
        </w:rPr>
      </w:pPr>
      <w:r>
        <w:rPr>
          <w:noProof/>
        </w:rPr>
        <w:t>Franciaországban online szavazással választják meg a külföldön élő francia állampolgárok képviselőit a parlamenti és a konzuli választásokon. Az online szavazáshoz a francia választópolgároknak hivatalosan külföldön kell lakniuk, és fel kell őket venni a konzuli választási névjegyzékbe. A felhasználóknak érvényes e-mail-címmel és telefonszámmal is szerepelniük kell a névjegyzékben ahhoz, hogy megkaphassák felhasználónevüket (e-mailben) és jelszavukat (SMS-en keresztül). Egyéb alaki követelmény nem szükséges </w:t>
      </w:r>
      <w:r>
        <w:rPr>
          <w:rStyle w:val="FootnoteReference"/>
          <w:noProof/>
        </w:rPr>
        <w:t>(</w:t>
      </w:r>
      <w:r>
        <w:rPr>
          <w:rStyle w:val="FootnoteReference"/>
          <w:noProof/>
        </w:rPr>
        <w:footnoteReference w:id="89"/>
      </w:r>
      <w:r>
        <w:rPr>
          <w:rStyle w:val="FootnoteReference"/>
          <w:noProof/>
        </w:rPr>
        <w:t>))</w:t>
      </w:r>
      <w:r>
        <w:rPr>
          <w:noProof/>
        </w:rPr>
        <w:t>. A 2022. évi elnökválasztáson a külföldön élő francia választópolgárok öt egymást követő napon keresztül online szavazhattak. Az Európaügyi- és Külügyminisztérium weboldala egy sor, kifejezetten az online szavazással kapcsolatos kérdést és választ tett közzé.</w:t>
      </w:r>
    </w:p>
    <w:p w14:paraId="198691A1" w14:textId="54F236BD" w:rsidR="004F42CB" w:rsidRPr="00B42AEB" w:rsidRDefault="004F42CB" w:rsidP="00B42AEB">
      <w:pPr>
        <w:rPr>
          <w:noProof/>
        </w:rPr>
      </w:pPr>
      <w:r>
        <w:rPr>
          <w:noProof/>
        </w:rPr>
        <w:t>2023-ban Németország az online szavazást használta a szociálpolitikai szavazás során, amikor a nemzeti egészség- és nyugdíjbiztosítási pénztárakat felügyelő tanácsot választották meg. Mintegy 22,3 millió szavazópolgárnak volt lehetősége arra, hogy 51 napos szavazási időszak alatt online vagy hagyományos levélszavazás útján szavazzon </w:t>
      </w:r>
      <w:r>
        <w:rPr>
          <w:rStyle w:val="FootnoteReference"/>
          <w:noProof/>
        </w:rPr>
        <w:t>(</w:t>
      </w:r>
      <w:r>
        <w:rPr>
          <w:rStyle w:val="FootnoteReference"/>
          <w:noProof/>
        </w:rPr>
        <w:footnoteReference w:id="90"/>
      </w:r>
      <w:r>
        <w:rPr>
          <w:rStyle w:val="FootnoteReference"/>
          <w:noProof/>
        </w:rPr>
        <w:t>))</w:t>
      </w:r>
      <w:r>
        <w:rPr>
          <w:noProof/>
        </w:rPr>
        <w:t>.</w:t>
      </w:r>
    </w:p>
    <w:p w14:paraId="295D8D84" w14:textId="6BE1A76F" w:rsidR="007E642B" w:rsidRPr="00B42AEB" w:rsidRDefault="007E642B" w:rsidP="00B42AEB">
      <w:pPr>
        <w:rPr>
          <w:noProof/>
        </w:rPr>
      </w:pPr>
      <w:r>
        <w:rPr>
          <w:noProof/>
        </w:rPr>
        <w:t>A meghatalmazás útján történő szavazást Belgiumban, Franciaországban, Hollandiában és Lengyelországban alkalmazzák. Belgiumban és Lengyelországban a meghatalmazás útján történő szavazást azok a választópolgárok – többek között a fogyatékossággal élő személyek – vehetik igénybe, akik bizonyos betegség vagy fogyatékosság, rossz egészségi állapot vagy idős koruk miatt nem jutnak el szavazóhelyiségbe. Franciaországban és Hollandiában minden szavazó szavazhat meghatalmazás útján. A svéd szavazók futárszolgálattal is szavazhatnak, amikor egy másik személy szállítja el a szavazó által elkészített szavazólapot a szavazóhelyiségbe.</w:t>
      </w:r>
    </w:p>
    <w:p w14:paraId="37B80A00" w14:textId="748CCF3F" w:rsidR="00E77382" w:rsidRPr="00B42AEB" w:rsidRDefault="0099175B" w:rsidP="006B02A7">
      <w:pPr>
        <w:pStyle w:val="Heading2"/>
        <w:spacing w:before="240" w:after="240"/>
        <w:rPr>
          <w:noProof/>
        </w:rPr>
      </w:pPr>
      <w:bookmarkStart w:id="75" w:name="_Toc148718599"/>
      <w:bookmarkStart w:id="76" w:name="_Toc158135256"/>
      <w:r>
        <w:rPr>
          <w:noProof/>
        </w:rPr>
        <w:t>7.6. A választási vitarendezéshez való hozzáférés</w:t>
      </w:r>
      <w:bookmarkEnd w:id="75"/>
      <w:bookmarkEnd w:id="76"/>
    </w:p>
    <w:p w14:paraId="5D48DAF1" w14:textId="13457737" w:rsidR="00F25CDA" w:rsidRPr="00B42AEB" w:rsidRDefault="009F7081" w:rsidP="00B42AEB">
      <w:pPr>
        <w:rPr>
          <w:noProof/>
        </w:rPr>
      </w:pPr>
      <w:r>
        <w:rPr>
          <w:noProof/>
        </w:rPr>
        <w:t>Több tagállam külön intézkedéseket hozott a fogyatékossággal élő személyek számára az igazságszolgáltatási rendszerhez való hozzáférésük elősegítéséhez, mint például az akadálymentesített formában történő tájékoztatás vagy különleges formátumú, többek között digitális módszerekkel történő panaszbenyújtási lehetőség </w:t>
      </w:r>
      <w:r>
        <w:rPr>
          <w:rStyle w:val="FootnoteReference"/>
          <w:noProof/>
        </w:rPr>
        <w:t>(</w:t>
      </w:r>
      <w:r>
        <w:rPr>
          <w:rStyle w:val="FootnoteReference"/>
          <w:noProof/>
        </w:rPr>
        <w:footnoteReference w:id="91"/>
      </w:r>
      <w:r>
        <w:rPr>
          <w:rStyle w:val="FootnoteReference"/>
          <w:noProof/>
        </w:rPr>
        <w:t>))</w:t>
      </w:r>
      <w:r>
        <w:rPr>
          <w:noProof/>
        </w:rPr>
        <w:t>. A választási vitarendezés akadálymentessége annak biztosítását is magában foglalja, hogy a panaszbenyújtási mechanizmusok akadálymentesek legyenek, és hogy a meghallgatások vagy a vitarendezés helyszíne akadálymentes legyen.</w:t>
      </w:r>
    </w:p>
    <w:p w14:paraId="5CE2F746" w14:textId="4AE13147" w:rsidR="001559C0" w:rsidRPr="00B42AEB" w:rsidRDefault="00D54ADA" w:rsidP="00B42AEB">
      <w:pPr>
        <w:rPr>
          <w:noProof/>
        </w:rPr>
      </w:pPr>
      <w:r>
        <w:rPr>
          <w:noProof/>
        </w:rPr>
        <w:t>Románia a fogyatékossággal élő személyek jogaira vonatkozó nemzeti stratégiájának részeként kötelezettséget vállalt arra, hogy akadálymentes formátumú formanyomtatványokat tesz közzé a választójoggal kapcsolatos kérelmekhez és panaszokhoz. Litvánia akadálymentes információs rendszert vezetett be a választási viták kezelésére, amelyen keresztül a választók a panaszaikat nyújthatják be. Spanyolországban a szavazók panaszt nyújthatnak be olyan szavazóhelyiségekkel kapcsolatban, amelyek nem felelnek meg a jogszabályban előírt akadálymentességi követelményeknek. Írországban a választási megbízottak foglalkoznak a helyszín akadálymentességével kapcsolatban felmerülő problémákkal, és minden választókerületben ők felelősek a választási események lebonyolításáért.</w:t>
      </w:r>
    </w:p>
    <w:p w14:paraId="76C6667F" w14:textId="3B5D0876" w:rsidR="00172C0C" w:rsidRPr="00B42AEB" w:rsidRDefault="0099175B" w:rsidP="006B02A7">
      <w:pPr>
        <w:pStyle w:val="Heading2"/>
        <w:spacing w:before="240" w:after="240"/>
        <w:rPr>
          <w:noProof/>
        </w:rPr>
      </w:pPr>
      <w:bookmarkStart w:id="77" w:name="_Toc148718600"/>
      <w:bookmarkStart w:id="78" w:name="_Toc158135257"/>
      <w:r>
        <w:rPr>
          <w:noProof/>
        </w:rPr>
        <w:t>7.7. Adatgyűjtés a fogyatékossággal élő személyek választásokon való részvételéről</w:t>
      </w:r>
      <w:bookmarkEnd w:id="77"/>
      <w:bookmarkEnd w:id="78"/>
    </w:p>
    <w:p w14:paraId="34570675" w14:textId="7DE48870" w:rsidR="00172C0C" w:rsidRPr="00B42AEB" w:rsidRDefault="00B56C06" w:rsidP="00B42AEB">
      <w:pPr>
        <w:rPr>
          <w:noProof/>
        </w:rPr>
      </w:pPr>
      <w:r>
        <w:rPr>
          <w:noProof/>
        </w:rPr>
        <w:t>Fontos statisztikai adatokat gyűjteni a fogyatékossággal élő polgárok választásokon való részvételéről annak ellenőrzése érdekében, hogy mennyire hatékonyan tudják gyakorolni választójogukat. Ez segíthet a fogyatékossággal élő személyek érdekében bevezetett intézkedések értékelésében, és hatékonyabb megoldásokat eredményezhet. Hasonlóképpen, a fogyatékosság típusa szerint lebontott adatokat a választásokkal kapcsolatos uniós és nemzeti figyelemfelkeltő kampányokhoz lehet felhasználni, így növelve azok hatókörét és hatékonyságát.</w:t>
      </w:r>
    </w:p>
    <w:p w14:paraId="099F74C6" w14:textId="0B002927" w:rsidR="00172C0C" w:rsidRPr="00B42AEB" w:rsidRDefault="008A5EA0" w:rsidP="00B42AEB">
      <w:pPr>
        <w:rPr>
          <w:noProof/>
        </w:rPr>
      </w:pPr>
      <w:r>
        <w:rPr>
          <w:noProof/>
        </w:rPr>
        <w:t>A választásokon alkalmazott regisztrációs eljárások – beleértve a választók nyilvántartásba vételét, a jelöltek nyilvántartásba vételét, a különleges szavazási eljárásokhoz való hozzáférés biztosítását vagy a szavazóhelyiségben való szavazói jelenlét rögzítését – lehetőséget biztosíthatnak a hatóságok számára ahhoz, hogy információkat gyűjtsenek arról, hogy mely választókerületekben élnek fogyatékossággal élő szavazók, a fogyatékossággal élő választópolgárok számáról a különböző választókerületekben, illetve arról, hogy milyen megoldásokra van szükségük ahhoz, hogy más választópolgárokkal azonos alapon vehessenek részt a szavazásban.</w:t>
      </w:r>
    </w:p>
    <w:p w14:paraId="454F813C" w14:textId="1B32B5AE" w:rsidR="00172C0C" w:rsidRPr="00B42AEB" w:rsidRDefault="00172C0C" w:rsidP="00B42AEB">
      <w:pPr>
        <w:rPr>
          <w:rStyle w:val="normaltextrun"/>
          <w:noProof/>
        </w:rPr>
      </w:pPr>
      <w:r>
        <w:rPr>
          <w:noProof/>
        </w:rPr>
        <w:t xml:space="preserve">A fogyatékosság típusa </w:t>
      </w:r>
      <w:r>
        <w:rPr>
          <w:rStyle w:val="normaltextrun"/>
          <w:noProof/>
        </w:rPr>
        <w:t>szerint lebontott statisztikai adatok gyűjtése vagy a fogyatékossággal élő</w:t>
      </w:r>
      <w:r>
        <w:rPr>
          <w:noProof/>
        </w:rPr>
        <w:t xml:space="preserve"> személyekkel és a választások akadálymentességével kapcsolatos számos tényezőre vonatkozó felmérések elvégzése</w:t>
      </w:r>
      <w:r>
        <w:rPr>
          <w:rStyle w:val="normaltextrun"/>
          <w:noProof/>
        </w:rPr>
        <w:t xml:space="preserve"> segítheti a választási hatóságokat erőforrásaik hatékonyabb elosztásában. Az összes érintett hatóság erőforrásainak és adatainak egyesítése – többek között a statisztikai információknak a fogyatékosságra és a befogadásra vonatkozó közigazgatási adatokkal való kombinálása révén – pontosabb képet ad arról, hogy a fogyatékossággal élő személyeknek milyen támogatásra van szükségük választójoguk hatékony gyakorlásához.</w:t>
      </w:r>
    </w:p>
    <w:p w14:paraId="141DB299" w14:textId="3C2C569F" w:rsidR="001D31EC" w:rsidRPr="00B42AEB" w:rsidRDefault="006C4C6A" w:rsidP="00B42AEB">
      <w:pPr>
        <w:rPr>
          <w:rStyle w:val="normaltextrun"/>
          <w:noProof/>
        </w:rPr>
      </w:pPr>
      <w:r>
        <w:rPr>
          <w:rStyle w:val="normaltextrun"/>
          <w:noProof/>
        </w:rPr>
        <w:t>A személyes adatok kezelését az általános adatvédelmi rendelettel (GDPR) teljes összhangban kell végezni. Az egészségügyi adatok, például a személyek fogyatékosságára vonatkozó személyes adatok a személyes adatok azon különleges kategóriáját képezik, amely az említett rendelet értelmében különleges védelmet élvez.</w:t>
      </w:r>
    </w:p>
    <w:p w14:paraId="1737BA7A" w14:textId="33ECCE9C" w:rsidR="005F5DD5" w:rsidRPr="00B42AEB" w:rsidRDefault="00172C0C" w:rsidP="00B42AEB">
      <w:pPr>
        <w:rPr>
          <w:noProof/>
        </w:rPr>
      </w:pPr>
      <w:r>
        <w:rPr>
          <w:rStyle w:val="normaltextrun"/>
          <w:noProof/>
        </w:rPr>
        <w:t>Románia például oly módon összesíti a fogyatékossággal élő személyek választásokon való részvételére vonatkozó adatokat, hogy összeveti a fogyatékossági igazolvánnyal rendelkező személyek számát és a szavazók számát. Ez az Állandó Választási Hatóság és a Fogyatékossággal Élő Személyek Jogainak Nemzeti Hatósága közötti hivatalos megállapodáson alapul, és biztosítja az adatvédelmi követelményeknek való megfelelést.</w:t>
      </w:r>
    </w:p>
    <w:p w14:paraId="161DA235" w14:textId="0B4CEFB1" w:rsidR="00172C0C" w:rsidRPr="00B42AEB" w:rsidRDefault="00172C0C" w:rsidP="00B42AEB">
      <w:pPr>
        <w:rPr>
          <w:noProof/>
        </w:rPr>
      </w:pPr>
      <w:r>
        <w:rPr>
          <w:noProof/>
        </w:rPr>
        <w:t>Svédország statisztikai adatokat gyűjt a fogyatékossággal élő személyek választásokon való részvételéről (lásd az alábbi ábrát).</w:t>
      </w:r>
    </w:p>
    <w:p w14:paraId="09E482B4" w14:textId="110A878B" w:rsidR="00172C0C" w:rsidRDefault="00172C0C" w:rsidP="00B7011F">
      <w:pPr>
        <w:jc w:val="center"/>
        <w:rPr>
          <w:noProof/>
        </w:rPr>
      </w:pPr>
    </w:p>
    <w:p w14:paraId="2E777E5A" w14:textId="51C2411D" w:rsidR="00F00AF9" w:rsidRPr="00B42AEB" w:rsidRDefault="00F00AF9" w:rsidP="00B7011F">
      <w:pPr>
        <w:jc w:val="center"/>
        <w:rPr>
          <w:noProof/>
        </w:rPr>
      </w:pPr>
      <w:r w:rsidRPr="00F00AF9">
        <w:rPr>
          <w:noProof/>
          <w:lang w:val="en-GB" w:eastAsia="en-GB"/>
        </w:rPr>
        <w:drawing>
          <wp:inline distT="0" distB="0" distL="0" distR="0" wp14:anchorId="524AC556" wp14:editId="2612ED01">
            <wp:extent cx="5324822" cy="543519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28400" cy="5438845"/>
                    </a:xfrm>
                    <a:prstGeom prst="rect">
                      <a:avLst/>
                    </a:prstGeom>
                    <a:noFill/>
                    <a:ln>
                      <a:noFill/>
                    </a:ln>
                  </pic:spPr>
                </pic:pic>
              </a:graphicData>
            </a:graphic>
          </wp:inline>
        </w:drawing>
      </w:r>
    </w:p>
    <w:p w14:paraId="719367FF" w14:textId="7CF95311" w:rsidR="00172C0C" w:rsidRPr="00B42AEB" w:rsidRDefault="00172C0C" w:rsidP="00B42AEB">
      <w:pPr>
        <w:rPr>
          <w:noProof/>
        </w:rPr>
      </w:pPr>
      <w:r>
        <w:rPr>
          <w:noProof/>
        </w:rPr>
        <w:t>Több tagállam, például Magyarország és Spanyolország is gyűjt adatokat azokról a szavazókról, akik különleges szavazási eljárást kérvényeznek. 2016 óta. Litvánia elektronikus nyilvántartást működtet az otthoni szavazásra jogosult személyekről, beleértve a fogyatékossággal élő és a 70 évesnél idősebb szavazókat is. Luxemburgban az ilyen adatok gyűjtése különösen fontos, mivel 75 éves korig minden regisztrált választó számára kötelező a választásokon való részvétel. Luxemburg felméréseket is végez, hogy adatokat gyűjtsön a fogyatékossággal élő személyekkel és a választások akadálymentességével kapcsolatos tényezőkről.</w:t>
      </w:r>
    </w:p>
    <w:p w14:paraId="06035948" w14:textId="32CCA47C" w:rsidR="00DC6D28" w:rsidRPr="00B42AEB" w:rsidRDefault="0099175B" w:rsidP="006B02A7">
      <w:pPr>
        <w:pStyle w:val="Heading2"/>
        <w:spacing w:before="240" w:after="240"/>
        <w:rPr>
          <w:noProof/>
        </w:rPr>
      </w:pPr>
      <w:bookmarkStart w:id="79" w:name="_Toc148718601"/>
      <w:bookmarkStart w:id="80" w:name="_Toc158135258"/>
      <w:r>
        <w:rPr>
          <w:noProof/>
        </w:rPr>
        <w:t>7.8. A választások akadálymentességének nyomon követése és értékelése</w:t>
      </w:r>
      <w:bookmarkEnd w:id="79"/>
      <w:bookmarkEnd w:id="80"/>
    </w:p>
    <w:p w14:paraId="7481BD36" w14:textId="085B858E" w:rsidR="005F78F7" w:rsidRPr="00B42AEB" w:rsidRDefault="005F5DD5" w:rsidP="00B42AEB">
      <w:pPr>
        <w:rPr>
          <w:noProof/>
        </w:rPr>
      </w:pPr>
      <w:r>
        <w:rPr>
          <w:noProof/>
        </w:rPr>
        <w:t>A választásokat követő időszakot általában a zökkenőmentes és hiteles választások lebonyolítása terén elért teljesítmény vizsgálatára, valamint a szabályok végrehajtásának és a források felhasználásának az értékelésére fordítják. Több tagállam (Litvánia, Románia és Svédország) a választási hatóságok számára különösen a választási folyamat lebonyolításának értékelését írja elő. Írország új választási bizottsága jogszabályban előírt hatáskörrel rendelkezik a választások utáni események felülvizsgálatára. Ezek a felülvizsgálatok arra irányulnak, hogy a választási megbízottak és a választási bizottsági elnök (aki a választás során a szavazóhelyiséget felügyeli) hogyan támogatta a vak, cselekvőképtelen és írástudatlan szavazók szavazását. Spanyolország minden egyes választási folyamat után kérdőíveket készít annak értékelésére, hogy a választások megfelelnek-e az akadálymentességi követelményeknek és az akadálymentességi jelentéseknek. Akadálymentességért felelős vezetőket jelöl ki a választásokra az egyes kormánydelegációk (19) és aldelegációk (52) szintjén, akik az akadálymentesítésért felelnek minden választási eljárásban, a Belügyminisztérium partnereiként járnak el, és elvégzik a választások akadálymentességével kapcsolatos események mielőbbi nyomon követését. Hollandia hasonló értékeléseket és választások utáni felméréseket végez. Hollandiában a szavazók a „Korlátlan szavazás” (</w:t>
      </w:r>
      <w:r>
        <w:rPr>
          <w:i/>
          <w:noProof/>
        </w:rPr>
        <w:t>Meldpunt Onbeperkt Stemmen</w:t>
      </w:r>
      <w:r>
        <w:rPr>
          <w:noProof/>
        </w:rPr>
        <w:t>) nevű telefonvonalat használhatják arra, hogy beszámoljanak pozitív vagy negatív tapasztalataikról, és javaslatokat tegyenek a választások akadálymentességének javítására.</w:t>
      </w:r>
    </w:p>
    <w:p w14:paraId="1A63EBAC" w14:textId="1418B714" w:rsidR="005F78F7" w:rsidRPr="00B42AEB" w:rsidRDefault="005F78F7" w:rsidP="00B42AEB">
      <w:pPr>
        <w:rPr>
          <w:noProof/>
        </w:rPr>
      </w:pPr>
      <w:r>
        <w:rPr>
          <w:noProof/>
        </w:rPr>
        <w:t>Franciaországban a választások akadálymentességét a választás során figyelemmel kísérik, a választásokat követően pedig értékelik. A választás során a nyomon követést egy független szerv, a Fogyatékossággal Élő Személyek Nemzeti Konzultatív Tanácsa és a civil társadalmi szervezetek végzik. Értékeléseiket az interneten teszik közzé </w:t>
      </w:r>
      <w:r>
        <w:rPr>
          <w:rStyle w:val="FootnoteReference"/>
          <w:noProof/>
        </w:rPr>
        <w:t>(</w:t>
      </w:r>
      <w:r>
        <w:rPr>
          <w:rStyle w:val="FootnoteReference"/>
          <w:noProof/>
        </w:rPr>
        <w:footnoteReference w:id="92"/>
      </w:r>
      <w:r>
        <w:rPr>
          <w:rStyle w:val="FootnoteReference"/>
          <w:noProof/>
        </w:rPr>
        <w:t>))</w:t>
      </w:r>
      <w:r>
        <w:rPr>
          <w:noProof/>
        </w:rPr>
        <w:t>. A választásokat követően a választások megszervezéséért felelős Belügyminisztérium és a Fogyatékossággal Élő Személyek Nemzeti Bizottsága a civil társadalmi szervezetekkel és a politikai pártokkal közösen értékeli, hogy mi működött jól a választások megszervezése során, és hogy a következő választások előtt min lehetne javítani.</w:t>
      </w:r>
    </w:p>
    <w:p w14:paraId="2C472F62" w14:textId="47116067" w:rsidR="005F5DD5" w:rsidRPr="00B42AEB" w:rsidRDefault="00E7413F" w:rsidP="00B42AEB">
      <w:pPr>
        <w:rPr>
          <w:noProof/>
        </w:rPr>
      </w:pPr>
      <w:r>
        <w:rPr>
          <w:noProof/>
        </w:rPr>
        <w:t>A Bizottság minden európai parlamenti választás után jelentést tesz közzé, amely a fogyatékossággal élő személyek problémáira is kitér.</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135259"/>
      <w:r>
        <w:rPr>
          <w:noProof/>
        </w:rPr>
        <w:t>8. Záró megállapítások</w:t>
      </w:r>
      <w:bookmarkEnd w:id="81"/>
      <w:bookmarkEnd w:id="82"/>
    </w:p>
    <w:p w14:paraId="0F9EDE65" w14:textId="01F896D2" w:rsidR="005B346B" w:rsidRPr="00B42AEB" w:rsidRDefault="00304616" w:rsidP="006B02A7">
      <w:pPr>
        <w:rPr>
          <w:noProof/>
        </w:rPr>
      </w:pPr>
      <w:r>
        <w:rPr>
          <w:noProof/>
        </w:rPr>
        <w:t>Az egyenlőség és a megkülönböztetésmentesség, valamint a fogyatékossággal élő személyek beilleszkedése az EU alapvető értékei, és az Európai Unió Alapjogi Chartája által biztosított alapvető jogok. 2021 márciusában az egyenlőségközpontú Unió előmozdítása érdekében a Bizottság új, ambiciózus stratégiát terjesztett elő a fogyatékossággal élő személyek jogairól (2021–2030). A stratégia célja a fogyatékossággal élő személyek életminőségének javítása, többek között annak biztosítása, hogy egyenlő feltételek mellett vehessenek részt a választásokon.</w:t>
      </w:r>
    </w:p>
    <w:p w14:paraId="0ABD5CCB" w14:textId="55F941D3" w:rsidR="00972F59" w:rsidRPr="00B42AEB" w:rsidRDefault="00972F59" w:rsidP="00B42AEB">
      <w:pPr>
        <w:rPr>
          <w:noProof/>
        </w:rPr>
      </w:pPr>
      <w:r>
        <w:rPr>
          <w:noProof/>
        </w:rPr>
        <w:t>Bár a tagállamok egyre inkább felismerik annak fontosságát, hogy a fogyatékossággal élő polgárok számára egyenlő hozzáférést biztosítsanak a választásokhoz, és tesznek is ezért, az EU több olyan akadálymentesítési jogszabályt és szabványt is elfogadott, amelyek referenciaként szolgálhatnak az akadálymentességi elemeknek a választási folyamatok különböző szakaszába történő beépítése során.</w:t>
      </w:r>
    </w:p>
    <w:p w14:paraId="77EC65B2" w14:textId="565F2839" w:rsidR="004D28B3" w:rsidRPr="00B42AEB" w:rsidRDefault="0044004C" w:rsidP="00B42AEB">
      <w:pPr>
        <w:rPr>
          <w:noProof/>
        </w:rPr>
      </w:pPr>
      <w:r>
        <w:rPr>
          <w:noProof/>
        </w:rPr>
        <w:t>A helyes választási gyakorlatokról szóló útmutató célja, hogy támogassa a bevált gyakorlatok és szakértelem tagállamok közötti cseréjét, általánosságban pedig az, hogy támogassa a tagállamok annak biztosítására irányuló törekvéseit, hogy a fogyatékossággal élő polgárok hatékonyan gyakorolhassák választójogukat.</w:t>
      </w:r>
    </w:p>
    <w:p w14:paraId="63B0EE08" w14:textId="67DECDAC" w:rsidR="00430C8E" w:rsidRPr="00B42AEB" w:rsidRDefault="00CE304F" w:rsidP="00B42AEB">
      <w:pPr>
        <w:rPr>
          <w:noProof/>
        </w:rPr>
      </w:pPr>
      <w:r>
        <w:rPr>
          <w:noProof/>
        </w:rPr>
        <w:t>A tagállamok által hozott legfontosabb intézkedések a következők </w:t>
      </w:r>
      <w:r>
        <w:rPr>
          <w:rStyle w:val="FootnoteReference"/>
          <w:noProof/>
        </w:rPr>
        <w:t>(</w:t>
      </w:r>
      <w:r>
        <w:rPr>
          <w:rStyle w:val="FootnoteReference"/>
          <w:noProof/>
        </w:rPr>
        <w:footnoteReference w:id="93"/>
      </w:r>
      <w:r>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az előszavazásra és az alternatív szavazási eljárásokra irányuló módszerek, beleértve a személyes előszavazást, a levélszavazást, az online szavazást, a mozgóurnás szavazást, a szavazóhelyiségen kívül történő szavazást, a szavazóhelyiségek megváltoztatását vagy kiválasztását, a választópolgár által szabadon választott személy segítségével történő szavazást;</w:t>
      </w:r>
    </w:p>
    <w:p w14:paraId="7E059B89" w14:textId="05C8EB8A" w:rsidR="00430C8E" w:rsidRPr="00B42AEB" w:rsidRDefault="00CC0FB4" w:rsidP="002D36F0">
      <w:pPr>
        <w:pStyle w:val="ListParagraph"/>
        <w:numPr>
          <w:ilvl w:val="0"/>
          <w:numId w:val="9"/>
        </w:numPr>
        <w:rPr>
          <w:noProof/>
        </w:rPr>
      </w:pPr>
      <w:r>
        <w:rPr>
          <w:noProof/>
        </w:rPr>
        <w:t>különleges szavazási intézkedések meghozatala annak biztosítása érdekében, hogy a bentlakásos vagy tartós ápolási-gondozási intézményekben, kórházakban élő vagy az otthonukat elhagyni nem képes személyek ne veszítsék el szavazati jogukat, különös tekintettel a zárt bentlakásos intézményekre;</w:t>
      </w:r>
    </w:p>
    <w:p w14:paraId="382CDAB8" w14:textId="1104F32D" w:rsidR="00430C8E" w:rsidRPr="00B42AEB" w:rsidRDefault="00CC0FB4" w:rsidP="002D36F0">
      <w:pPr>
        <w:pStyle w:val="ListParagraph"/>
        <w:numPr>
          <w:ilvl w:val="0"/>
          <w:numId w:val="9"/>
        </w:numPr>
        <w:rPr>
          <w:noProof/>
        </w:rPr>
      </w:pPr>
      <w:r>
        <w:rPr>
          <w:noProof/>
        </w:rPr>
        <w:t>segítő eszközök széles körének rendelkezésre bocsátása, például Braille-írás, QR-kódok, nagy méretű nyomtatott anyagok, könnyen érthető vagy hangoskönyv-alapú útmutatók, Braille-írású borítékok, tapintható stencilek, nagyítólencsék, extra világítás, íróeszközök és bélyegzők;</w:t>
      </w:r>
    </w:p>
    <w:p w14:paraId="51486EF5" w14:textId="77777777" w:rsidR="00C347D9" w:rsidRPr="00B42AEB" w:rsidRDefault="00F97CAE" w:rsidP="002D36F0">
      <w:pPr>
        <w:pStyle w:val="ListParagraph"/>
        <w:numPr>
          <w:ilvl w:val="0"/>
          <w:numId w:val="9"/>
        </w:numPr>
        <w:rPr>
          <w:noProof/>
        </w:rPr>
      </w:pPr>
      <w:r>
        <w:rPr>
          <w:noProof/>
        </w:rPr>
        <w:t>a telefonos vagy jeltolmácsolás révén nyújtott emberi támogatásra, valamint a szavazóhelyiséghez történő akadálymentes szállításra vonatkozó előírások;</w:t>
      </w:r>
    </w:p>
    <w:p w14:paraId="3659EEF3" w14:textId="0BEF2417" w:rsidR="007320FD" w:rsidRPr="00B42AEB" w:rsidRDefault="00430C8E" w:rsidP="002D36F0">
      <w:pPr>
        <w:pStyle w:val="ListParagraph"/>
        <w:numPr>
          <w:ilvl w:val="0"/>
          <w:numId w:val="9"/>
        </w:numPr>
        <w:rPr>
          <w:noProof/>
        </w:rPr>
      </w:pPr>
      <w:r>
        <w:rPr>
          <w:noProof/>
        </w:rPr>
        <w:t>egyszerűsített eljárások az alkalmazkodási megoldások igénylésére.</w:t>
      </w:r>
    </w:p>
    <w:p w14:paraId="6C1F5A83" w14:textId="53ADCCFE" w:rsidR="00CD0249" w:rsidRPr="00B42AEB" w:rsidRDefault="00A01F39" w:rsidP="00B42AEB">
      <w:pPr>
        <w:rPr>
          <w:noProof/>
        </w:rPr>
      </w:pPr>
      <w:r>
        <w:rPr>
          <w:noProof/>
        </w:rPr>
        <w:t xml:space="preserve">Több támogatást lehetne nyújtani a fogyatékossággal élő személyek önálló és titkos szavazásának biztosítására irányuló gyakorlatokhoz, például olyan Braille-írásos sablon használatához, amely a szavazáshoz a szavazólapra helyezhető. Ez </w:t>
      </w:r>
      <w:bookmarkStart w:id="84" w:name="_Hlk151657166"/>
      <w:r>
        <w:rPr>
          <w:noProof/>
        </w:rPr>
        <w:t>kiegészítheti</w:t>
      </w:r>
      <w:bookmarkEnd w:id="84"/>
      <w:r>
        <w:rPr>
          <w:noProof/>
        </w:rPr>
        <w:t xml:space="preserve"> azokat a gyakorlatokat, amelyek lehetővé teszik a szavazók számára, hogy más személyektől kapjanak segítséget a szavazat leadásához.</w:t>
      </w:r>
    </w:p>
    <w:p w14:paraId="115862F8" w14:textId="1B96F41E" w:rsidR="006837E1" w:rsidRPr="00B42AEB" w:rsidRDefault="007F753B" w:rsidP="00B42AEB">
      <w:pPr>
        <w:rPr>
          <w:noProof/>
        </w:rPr>
      </w:pPr>
      <w:r>
        <w:rPr>
          <w:noProof/>
        </w:rPr>
        <w:t>A nemzeti hatóságok mérlegelhetik továbbá az olyan mentális egészségügyi problémákkal élő polgárok sajátos szükségleteinek további figyelembevételét, amelyek befolyásolhatják szavazási tapasztalataikat, beleértve az akár tartós, akár átmeneti depressziót és szorongást </w:t>
      </w:r>
      <w:r>
        <w:rPr>
          <w:rStyle w:val="FootnoteReference"/>
          <w:noProof/>
        </w:rPr>
        <w:t>(</w:t>
      </w:r>
      <w:r>
        <w:rPr>
          <w:rStyle w:val="FootnoteReference"/>
          <w:noProof/>
        </w:rPr>
        <w:footnoteReference w:id="94"/>
      </w:r>
      <w:r>
        <w:rPr>
          <w:rStyle w:val="FootnoteReference"/>
          <w:noProof/>
        </w:rPr>
        <w:t>))</w:t>
      </w:r>
      <w:r>
        <w:rPr>
          <w:noProof/>
        </w:rPr>
        <w:t>.</w:t>
      </w:r>
      <w:bookmarkStart w:id="85" w:name="_Hlk128656389"/>
    </w:p>
    <w:bookmarkEnd w:id="85"/>
    <w:p w14:paraId="356F2B44" w14:textId="6C15BAE7" w:rsidR="00F95C1A" w:rsidRPr="00B42AEB" w:rsidRDefault="006837E1" w:rsidP="00B42AEB">
      <w:pPr>
        <w:rPr>
          <w:noProof/>
        </w:rPr>
      </w:pPr>
      <w:r>
        <w:rPr>
          <w:noProof/>
        </w:rPr>
        <w:t>Az akadálymentesítés túlmutat a gyakorlati intézkedéseken. Magában foglalja azt a társadalmi környezetet, amelyben a személyek a választási folyamatban részt vesznek. E jelenség kapcsán további kutatásokra van szükség. További munkát és szakpolitikai intézkedéseket igényel az is, hogy a szavazóhelyiségek személyzete hogyan támogathatja a fogyatékossággal élő polgárokat (a kérés esetén nyújtott segítségen túl), és hogyan teremthet befogadó környezetet. Ide tartozik például a fogyatékossággal élő polgárokkal mint szavazókkal vagy jelöltekkel folytatott kommunikáció során használandó nyelvezettel kapcsolatos iránymutatás (ahogy azt a médiára vonatkozó francia iránymutatás is kiemeli), a politikai részvételt támogató társadalmi környezet megteremtésére irányuló intézkedések, különösen a politikai jelöltek esetében </w:t>
      </w:r>
      <w:r>
        <w:rPr>
          <w:rStyle w:val="FootnoteReference"/>
          <w:noProof/>
        </w:rPr>
        <w:t>(</w:t>
      </w:r>
      <w:r>
        <w:rPr>
          <w:rStyle w:val="FootnoteReference"/>
          <w:noProof/>
        </w:rPr>
        <w:footnoteReference w:id="95"/>
      </w:r>
      <w:r>
        <w:rPr>
          <w:rStyle w:val="FootnoteReference"/>
          <w:noProof/>
        </w:rPr>
        <w:t>))</w:t>
      </w:r>
      <w:r>
        <w:rPr>
          <w:noProof/>
        </w:rPr>
        <w:t>, valamint olyan hálózatok, mentorprogramok és helyszínek létrehozása, amelyek tájékoztatják a fogyatékossággal élő polgárokat ezekről a lehetőségekről, és támogatják választási részvételüket.</w:t>
      </w:r>
    </w:p>
    <w:p w14:paraId="634264B2" w14:textId="7633CC60" w:rsidR="0087128C" w:rsidRPr="00B42AEB" w:rsidRDefault="00F95C1A" w:rsidP="00B42AEB">
      <w:pPr>
        <w:rPr>
          <w:noProof/>
        </w:rPr>
      </w:pPr>
      <w:r>
        <w:rPr>
          <w:noProof/>
        </w:rPr>
        <w:t>A félretájékoztatás és a dezinformáció elleni küzdelemben a világos nyelvezet és az akadálymentes kommunikációs anyagok is fontosak, mivel a fogyatékossággal élő személyek különösen veszélyeztetettek lehetnek. A Covid19-világjárvány változásokat eredményezett a szavazási eljárásokban, például fokozódott a levélszavazás vagy a távszavazási lehetőségek igénybevétele, ami olyan gyakorlatok kialakulásához vezethetett, amelyek támogatják a fogyatékossággal élők esetében a választások akadálymentesítését.</w:t>
      </w:r>
    </w:p>
    <w:p w14:paraId="43AA3D6D" w14:textId="091FDB79" w:rsidR="004B1282" w:rsidRPr="00B42AEB" w:rsidRDefault="00781643" w:rsidP="00B42AEB">
      <w:pPr>
        <w:rPr>
          <w:noProof/>
        </w:rPr>
      </w:pPr>
      <w:r>
        <w:rPr>
          <w:noProof/>
        </w:rPr>
        <w:t>A fogyatékossággal élő személyek választójogával kapcsolatos figyelemfelkeltő kampányokat és más érzékenyítő intézkedéseket tovább lehetne fejleszteni a választási tisztviselők, a választási megfigyelők, a politikai pártok és általában a lakosság általános tájékozottságának támogatása érdekében. A hivatalos dokumentumok bizonyos mértékű tájékozottságot mutatnak, mivel több példa is jelzi, hogy léteznek iránymutatások bizonyos, előnyben részesítendő nyelvezet és kategóriák használatára vonatkozóan, beleértve a választásszervezőknek szóló iránymutatást is. Ez magában foglalja az arra vonatkozó tájékoztatást, hogy milyen típusú fogyatékosság tartozik a „fogyatékossággal élő polgárok” kategóriájába, valamint e tájékoztatásnak a fogyatékossággal élő személyeket képviselő szervezetekkel együttműködésben történő kidolgozását (amint azt Belgium, Finnország és Lettország tette).</w:t>
      </w:r>
    </w:p>
    <w:p w14:paraId="76A5EB90" w14:textId="57A87F3D" w:rsidR="006837E1" w:rsidRPr="00B42AEB" w:rsidRDefault="00AA3E79" w:rsidP="00B42AEB">
      <w:pPr>
        <w:rPr>
          <w:noProof/>
        </w:rPr>
      </w:pPr>
      <w:r>
        <w:rPr>
          <w:noProof/>
        </w:rPr>
        <w:t>A hatékony képzések olyan szempontokra terjednek ki, mint a fogyatékossággal élő személyek választójogának áttekintése, akadálymentes szavazási gyakorlatok és helyszínek, a fogyatékossággal élő személyek számára elérhető észszerű alkalmazkodás, a fogyatékossággal élő választók támogatása és a vészhelyzeti tervek arra az esetre, ha problémák merülnek fel. Ezen túlmenően a képzés kiterjedhet egy önértékelési diagnózisra, tesztre és tanúsításra a hiányosságok vagy az információk meg nem értésének azonosítása érdekében. Erre jó példa Dánia, ahol a választási tisztviselők (és mások is) tesztelhetik magukat, hogy ellenőrizzék az információk ismeretét.</w:t>
      </w:r>
    </w:p>
    <w:p w14:paraId="58D5BCDF" w14:textId="64EA9478" w:rsidR="00594214" w:rsidRPr="00B42AEB" w:rsidRDefault="00594214" w:rsidP="00B42AEB">
      <w:pPr>
        <w:rPr>
          <w:noProof/>
        </w:rPr>
      </w:pPr>
      <w:r>
        <w:rPr>
          <w:noProof/>
        </w:rPr>
        <w:t>Amennyiben lehetséges, a végrehajtott intézkedések biztosíthatják, hogy a fogyatékossággal élő polgárok a többi polgáréhoz a lehetséges mértékben hasonló választási tapasztalattal rendelkezzenek. Ez túlmutathat pusztán az akadálymentesség valamilyen formájának biztosításán. Ide tartozik például az automatikus választói névjegyzék (a legtöbb tagállamban így van) annak érdekében, hogy a szavazáshoz ne legyen szükség a „bejelentkezésre” vagy az egyszerűsített regisztrációs eljárások, például Írországban; több akadálymentesítési intézkedés biztosítása a szavazóhelyiségekben, a szavazás alternatív formái (például a levélszavazás) helyett, amelyek nem ugyanolyan mértékben keltik a közéletben való részvétel érzését. Ez magában foglalhatja a szavazóhelyiségek légkörének más környezetben történő megteremtését, például annak lehetővé tételét, hogy azok a fogyatékossággal élő polgárok, akik lakóotthonban élnek, meghatározott napon szavazzanak saját környezetükben (például Lengyelországban „zárt szavazóhelyiségekben”).</w:t>
      </w:r>
    </w:p>
    <w:p w14:paraId="57B3EB97" w14:textId="640A1ED5" w:rsidR="0093702C" w:rsidRPr="00B42AEB" w:rsidRDefault="0093702C" w:rsidP="00B42AEB">
      <w:pPr>
        <w:rPr>
          <w:noProof/>
        </w:rPr>
      </w:pPr>
      <w:r>
        <w:rPr>
          <w:noProof/>
        </w:rPr>
        <w:t>A jelenlegi adatkészletek nem terjednek ki kifejezetten azokra a problémákra, amelyekkel a fogyatékossággal élő polgárok választójoguk gyakorlása során szembesülhetnek. Több statisztikai információ gyűjtése a fogyatékossággal élő polgárokról (mint Svédországban és Romániában) lehetővé tenné a hatóságok számára annak jobb megértését, hogy a választói tapasztalatok hogyan változhatnak a fogyatékosság típusának függvényében, és hogyan lehetne ezeket az információkat olyan kutatási projektek közös tervezésére felhasználni, amelyek az adatgyűjtést e céloknak megfelelően alakítják ki. A jó példák közé tartozik új szavazási eszközök/technológiák tesztelése a különböző akadálymentességi igényekkel rendelkező polgárok körében, a lehetséges nem kívánt következmények vagy kielégítetlen igények feltárása érdekében; kvantitatív eszközök kidolgozása, amelyek lehetővé teszik a megállapítások összesítését és elemzését a fogyatékosságok különböző típusai alapján, olyan kvalitatív kutatási eredmények felhasználása, amelyek mélyreható betekintést nyújtanak az emberek megélt tapasztalataiba, annak feltárása érdekében, hogyan kívánnak részt venni a közéletben és a politikai életben. A személyes adatok statisztikai célú kezelésének az általános adatvédelmi rendelettel teljes összhangban kell történnie.</w:t>
      </w:r>
    </w:p>
    <w:p w14:paraId="1ABB8BC2" w14:textId="1D8FFAF9" w:rsidR="00594214" w:rsidRPr="00B42AEB" w:rsidRDefault="00594214" w:rsidP="00B42AEB">
      <w:pPr>
        <w:rPr>
          <w:noProof/>
        </w:rPr>
      </w:pPr>
      <w:r>
        <w:rPr>
          <w:noProof/>
        </w:rPr>
        <w:t>A fogyatékossággal élő polgárok választásokkal összefüggő szükségleteinek hatékony kielégítése érdekében standard intézkedéseket lehetne alkalmazni mind a szavazáshoz való hozzáférés terén fennálló egyenlőtlenségek mértékének, mind pedig az ezen egyenlőtlenségek csökkentésére hozott megoldások hatékonyságának értékelésére.</w:t>
      </w:r>
    </w:p>
    <w:p w14:paraId="379BF075" w14:textId="263369C1" w:rsidR="00A7320F" w:rsidRPr="00B42AEB" w:rsidRDefault="000006E3" w:rsidP="00B42AEB">
      <w:pPr>
        <w:rPr>
          <w:noProof/>
        </w:rPr>
      </w:pPr>
      <w:r>
        <w:rPr>
          <w:noProof/>
        </w:rPr>
        <w:t>A fogyatékossággal élő személyek képviseleti szervezeteivel lehetne konzultálni a fogyatékossággal élő személyek választáson való részvételének támogatását célzó intézkedések előkészítése során.</w:t>
      </w:r>
    </w:p>
    <w:p w14:paraId="7EF9687E" w14:textId="1D6CDED1" w:rsidR="004638ED" w:rsidRPr="00B42AEB" w:rsidRDefault="003B4818" w:rsidP="00B42AEB">
      <w:pPr>
        <w:rPr>
          <w:noProof/>
        </w:rPr>
      </w:pPr>
      <w:r>
        <w:rPr>
          <w:noProof/>
        </w:rPr>
        <w:t>A Bizottság 2024 decemberében ajánlásokat fog kiadni az inkluzív és reziliens uniós választási folyamatokról, többek között a választások fogyatékossággal élő személyek számára való akadálymentesítésének előmozdítását célzó intézkedésekről</w:t>
      </w:r>
      <w:r>
        <w:rPr>
          <w:rStyle w:val="Heading1Char"/>
          <w:noProof/>
          <w:shd w:val="clear" w:color="auto" w:fill="FFFFFF"/>
        </w:rPr>
        <w:t>.</w:t>
      </w:r>
    </w:p>
    <w:p w14:paraId="31BD6C46" w14:textId="74ACB943" w:rsidR="00BC3993" w:rsidRPr="00B42AEB" w:rsidRDefault="007013F9" w:rsidP="00B42AEB">
      <w:pPr>
        <w:rPr>
          <w:noProof/>
        </w:rPr>
      </w:pPr>
      <w:r>
        <w:rPr>
          <w:noProof/>
        </w:rPr>
        <w:t>Az európai választási együttműködési hálózat keretében további megbeszélésekre kerül sor a fogyatékossággal élőket is befogadó választások témájában.</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135260"/>
      <w:r>
        <w:rPr>
          <w:noProof/>
        </w:rPr>
        <w:t>1. melléklet – A fogyatékossággal élő személyek választásokhoz való hozzáférését lehetővé tevő keretrendszer</w:t>
      </w:r>
      <w:bookmarkEnd w:id="86"/>
      <w:bookmarkEnd w:id="87"/>
      <w:r>
        <w:rPr>
          <w:noProof/>
        </w:rPr>
        <w:t xml:space="preserve"> </w:t>
      </w:r>
    </w:p>
    <w:tbl>
      <w:tblPr>
        <w:tblStyle w:val="TableGrid"/>
        <w:tblW w:w="5000" w:type="pct"/>
        <w:tblLook w:val="04A0" w:firstRow="1" w:lastRow="0" w:firstColumn="1" w:lastColumn="0" w:noHBand="0" w:noVBand="1"/>
      </w:tblPr>
      <w:tblGrid>
        <w:gridCol w:w="1470"/>
        <w:gridCol w:w="7590"/>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Mikor?</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Mit?</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A választások előtt</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Fogyatékosságügyi cselekvési tervek kidolgozása, beleértve az akadálymentes választásokra vonatkozó ellenőrzőlistákat, továbbá a fogyatékossággal élő személyeket képviselő szervezetek bevonása az ilyen tervek kidolgozásába.</w:t>
            </w:r>
          </w:p>
          <w:p w14:paraId="7EA00262" w14:textId="627C2C48" w:rsidR="00963BCC" w:rsidRPr="00B42AEB" w:rsidRDefault="00963BCC" w:rsidP="002D36F0">
            <w:pPr>
              <w:pStyle w:val="ListParagraph"/>
              <w:numPr>
                <w:ilvl w:val="0"/>
                <w:numId w:val="3"/>
              </w:numPr>
              <w:ind w:left="343" w:hanging="283"/>
              <w:rPr>
                <w:noProof/>
              </w:rPr>
            </w:pPr>
            <w:r>
              <w:rPr>
                <w:noProof/>
              </w:rPr>
              <w:t>Annak biztosítása, hogy a fogyatékossággal élő személyek többféle és akadálymentes módon és formátumban férhessenek hozzá a választási információkhoz.</w:t>
            </w:r>
          </w:p>
          <w:p w14:paraId="5B8869F4" w14:textId="77777777" w:rsidR="00963BCC" w:rsidRPr="00B42AEB" w:rsidRDefault="00963BCC" w:rsidP="002D36F0">
            <w:pPr>
              <w:pStyle w:val="ListParagraph"/>
              <w:numPr>
                <w:ilvl w:val="0"/>
                <w:numId w:val="3"/>
              </w:numPr>
              <w:ind w:left="343" w:hanging="283"/>
              <w:rPr>
                <w:noProof/>
              </w:rPr>
            </w:pPr>
            <w:r>
              <w:rPr>
                <w:noProof/>
              </w:rPr>
              <w:t>Annak biztosítása, hogy a választási hatóságok honlapjai akadálymentesek legyenek.</w:t>
            </w:r>
          </w:p>
          <w:p w14:paraId="75E5F808" w14:textId="50BBAE45" w:rsidR="000006E3" w:rsidRPr="00B42AEB" w:rsidRDefault="00963BCC" w:rsidP="002D36F0">
            <w:pPr>
              <w:pStyle w:val="ListParagraph"/>
              <w:numPr>
                <w:ilvl w:val="0"/>
                <w:numId w:val="3"/>
              </w:numPr>
              <w:ind w:left="343" w:hanging="283"/>
              <w:rPr>
                <w:noProof/>
              </w:rPr>
            </w:pPr>
            <w:r>
              <w:rPr>
                <w:noProof/>
              </w:rPr>
              <w:t>Figyelemfelkeltő tevékenységek, képzési és oktatási tevékenységek végzése, többek között a fogyatékossággal élő személyek képviseleti szervezeteivel együttműködésben.</w:t>
            </w:r>
          </w:p>
          <w:p w14:paraId="3D4E6945" w14:textId="27E9CB54" w:rsidR="00963BCC" w:rsidRPr="00B42AEB" w:rsidRDefault="00963BCC" w:rsidP="002D36F0">
            <w:pPr>
              <w:pStyle w:val="ListParagraph"/>
              <w:numPr>
                <w:ilvl w:val="0"/>
                <w:numId w:val="3"/>
              </w:numPr>
              <w:ind w:left="343" w:hanging="283"/>
              <w:rPr>
                <w:noProof/>
              </w:rPr>
            </w:pPr>
            <w:r>
              <w:rPr>
                <w:noProof/>
              </w:rPr>
              <w:t>A szavazóhelyiségek akadálymentes helyiségeinek kiválasztása, többek között a fogyatékossággal élő személyeket képviselő szervezetekkel közösen kidolgozott ellenőrző listák használatával.</w:t>
            </w:r>
          </w:p>
          <w:p w14:paraId="042946EC" w14:textId="77777777" w:rsidR="00963BCC" w:rsidRPr="00B42AEB" w:rsidRDefault="00963BCC" w:rsidP="002D36F0">
            <w:pPr>
              <w:pStyle w:val="ListParagraph"/>
              <w:numPr>
                <w:ilvl w:val="0"/>
                <w:numId w:val="3"/>
              </w:numPr>
              <w:ind w:left="343" w:hanging="283"/>
              <w:rPr>
                <w:noProof/>
              </w:rPr>
            </w:pPr>
            <w:r>
              <w:rPr>
                <w:noProof/>
              </w:rPr>
              <w:t>Könnyen olvasható szavazólapok kidolgozása és segítő eszközök használata.</w:t>
            </w:r>
          </w:p>
          <w:p w14:paraId="3E9290D2" w14:textId="4F2A0D43" w:rsidR="00963BCC" w:rsidRPr="00B42AEB" w:rsidRDefault="00963BCC" w:rsidP="002D36F0">
            <w:pPr>
              <w:pStyle w:val="ListParagraph"/>
              <w:numPr>
                <w:ilvl w:val="0"/>
                <w:numId w:val="3"/>
              </w:numPr>
              <w:ind w:left="343" w:hanging="283"/>
              <w:rPr>
                <w:noProof/>
              </w:rPr>
            </w:pPr>
            <w:r>
              <w:rPr>
                <w:noProof/>
              </w:rPr>
              <w:t>Akadálymentes szavazóhelyiségek kialakítása, ami túlmutat a fizikai akadálymentesítésen.</w:t>
            </w:r>
          </w:p>
          <w:p w14:paraId="17CA8DE6" w14:textId="77777777" w:rsidR="00963BCC" w:rsidRPr="00B42AEB" w:rsidRDefault="00963BCC" w:rsidP="002D36F0">
            <w:pPr>
              <w:pStyle w:val="ListParagraph"/>
              <w:numPr>
                <w:ilvl w:val="0"/>
                <w:numId w:val="3"/>
              </w:numPr>
              <w:ind w:left="343" w:hanging="283"/>
              <w:rPr>
                <w:noProof/>
              </w:rPr>
            </w:pPr>
            <w:r>
              <w:rPr>
                <w:noProof/>
              </w:rPr>
              <w:t>Annak biztosítása, hogy a szavazógépek olyan szoftverrel legyenek felszerelve, amelybe az akadálymentesítési funkciók könnyen beilleszthetők.</w:t>
            </w:r>
          </w:p>
          <w:p w14:paraId="50B28094" w14:textId="77777777" w:rsidR="00963BCC" w:rsidRPr="00B42AEB" w:rsidRDefault="00963BCC" w:rsidP="002D36F0">
            <w:pPr>
              <w:pStyle w:val="ListParagraph"/>
              <w:numPr>
                <w:ilvl w:val="0"/>
                <w:numId w:val="3"/>
              </w:numPr>
              <w:ind w:left="343" w:hanging="283"/>
              <w:rPr>
                <w:noProof/>
              </w:rPr>
            </w:pPr>
            <w:r>
              <w:rPr>
                <w:noProof/>
              </w:rPr>
              <w:t>A szavazók széles köre számára akadálymentes szavazófülkék és szavazóurnák kialakítása.</w:t>
            </w:r>
          </w:p>
          <w:p w14:paraId="6AFB874D" w14:textId="558654F9" w:rsidR="00963BCC" w:rsidRPr="00B42AEB" w:rsidRDefault="00963BCC" w:rsidP="002D36F0">
            <w:pPr>
              <w:pStyle w:val="ListParagraph"/>
              <w:numPr>
                <w:ilvl w:val="0"/>
                <w:numId w:val="3"/>
              </w:numPr>
              <w:ind w:left="343" w:hanging="283"/>
              <w:rPr>
                <w:noProof/>
              </w:rPr>
            </w:pPr>
            <w:r>
              <w:rPr>
                <w:noProof/>
              </w:rPr>
              <w:t>Az akadálymentességet javító eszközök beszerzése, mint például nagyítólencsék, lámpák, tapintható és/vagy Braille-írásos sablonok papíralapú szavazólapokhoz, tapintható matricák a szavazóurnákhoz, széles fogású tollak, nagy méretű nyomatok, audiofájlok (pl. DAISY </w:t>
            </w:r>
            <w:r>
              <w:rPr>
                <w:noProof/>
                <w:vertAlign w:val="superscript"/>
              </w:rPr>
              <w:t>(</w:t>
            </w:r>
            <w:r>
              <w:rPr>
                <w:noProof/>
                <w:vertAlign w:val="superscript"/>
              </w:rPr>
              <w:footnoteReference w:id="96"/>
            </w:r>
            <w:r>
              <w:rPr>
                <w:noProof/>
                <w:vertAlign w:val="superscript"/>
              </w:rPr>
              <w:t>)</w:t>
            </w:r>
            <w:r>
              <w:rPr>
                <w:noProof/>
              </w:rPr>
              <w:t>), teljes leirattal ellátott videófájlok, feliratozás, jeltolmácsolás.</w:t>
            </w:r>
          </w:p>
          <w:p w14:paraId="4E82977F" w14:textId="77777777" w:rsidR="00963BCC" w:rsidRPr="00B42AEB" w:rsidRDefault="00963BCC" w:rsidP="002D36F0">
            <w:pPr>
              <w:pStyle w:val="ListParagraph"/>
              <w:numPr>
                <w:ilvl w:val="0"/>
                <w:numId w:val="3"/>
              </w:numPr>
              <w:ind w:left="343" w:hanging="283"/>
              <w:rPr>
                <w:noProof/>
              </w:rPr>
            </w:pPr>
            <w:r>
              <w:rPr>
                <w:noProof/>
              </w:rPr>
              <w:t>Kiegészítő szavazási módszerek és egyéb különleges intézkedések alkalmazása, beleértve a levélszavazást és az online szavazást, az előszavazást, a mozgóurnás szavazást, a szavazóhelyiségen kívül történő szavazást, a meghatalmazott útján történő szavazást és a másik szavazóhelyiség választásának lehetőségét.</w:t>
            </w:r>
          </w:p>
          <w:p w14:paraId="02FACD2A" w14:textId="77777777" w:rsidR="00963BCC" w:rsidRPr="00B42AEB" w:rsidRDefault="00963BCC" w:rsidP="002D36F0">
            <w:pPr>
              <w:pStyle w:val="ListParagraph"/>
              <w:numPr>
                <w:ilvl w:val="0"/>
                <w:numId w:val="3"/>
              </w:numPr>
              <w:ind w:left="343" w:hanging="283"/>
              <w:rPr>
                <w:noProof/>
              </w:rPr>
            </w:pPr>
            <w:r>
              <w:rPr>
                <w:noProof/>
              </w:rPr>
              <w:t>A fogyatékossággal kapcsolatos megfontolások általános érvényesítése a választási tisztviselőknek szóló kézikönyvekben.</w:t>
            </w:r>
          </w:p>
          <w:p w14:paraId="3626D78D" w14:textId="1B4BA294" w:rsidR="00963BCC" w:rsidRPr="00B42AEB" w:rsidRDefault="00A27E30" w:rsidP="002D36F0">
            <w:pPr>
              <w:pStyle w:val="ListParagraph"/>
              <w:numPr>
                <w:ilvl w:val="0"/>
                <w:numId w:val="3"/>
              </w:numPr>
              <w:ind w:left="343" w:hanging="283"/>
              <w:rPr>
                <w:noProof/>
              </w:rPr>
            </w:pPr>
            <w:r>
              <w:rPr>
                <w:noProof/>
              </w:rPr>
              <w:t>A választási szabályok kidolgozása során konzultáció a fogyatékossággal élő személyeket képviselő szervezetekkel, és e szervezetek bevonása magatartási kódexek kidolgozásába, beleértve a jelöltlisták összeállítására vonatkozó inkluzív gyakorlatokat is.</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A választások során</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Képzés a választási tisztviselők számára arról, hogy miként segíthetik a fogyatékossággal élő személyeket a szavazási eljárás során.</w:t>
            </w:r>
          </w:p>
          <w:p w14:paraId="63C2EC45" w14:textId="64D02444" w:rsidR="00963BCC" w:rsidRPr="00B42AEB" w:rsidRDefault="00963BCC" w:rsidP="002D36F0">
            <w:pPr>
              <w:pStyle w:val="ListParagraph"/>
              <w:numPr>
                <w:ilvl w:val="0"/>
                <w:numId w:val="3"/>
              </w:numPr>
              <w:ind w:left="343" w:hanging="283"/>
              <w:rPr>
                <w:noProof/>
              </w:rPr>
            </w:pPr>
            <w:r>
              <w:rPr>
                <w:noProof/>
              </w:rPr>
              <w:t>A választási és más érintett hatóságok figyelmének felhívása.</w:t>
            </w:r>
          </w:p>
          <w:p w14:paraId="47EF0196" w14:textId="77777777" w:rsidR="00963BCC" w:rsidRPr="00B42AEB" w:rsidRDefault="00963BCC" w:rsidP="002D36F0">
            <w:pPr>
              <w:pStyle w:val="ListParagraph"/>
              <w:numPr>
                <w:ilvl w:val="0"/>
                <w:numId w:val="3"/>
              </w:numPr>
              <w:ind w:left="343" w:hanging="283"/>
              <w:rPr>
                <w:noProof/>
              </w:rPr>
            </w:pPr>
            <w:r>
              <w:rPr>
                <w:noProof/>
              </w:rPr>
              <w:t>A választási információk terjesztése többféle és akadálymentes módon és formátumban.</w:t>
            </w:r>
          </w:p>
          <w:p w14:paraId="371CC543" w14:textId="77777777" w:rsidR="00963BCC" w:rsidRPr="00B42AEB" w:rsidRDefault="00963BCC" w:rsidP="002D36F0">
            <w:pPr>
              <w:pStyle w:val="ListParagraph"/>
              <w:numPr>
                <w:ilvl w:val="0"/>
                <w:numId w:val="3"/>
              </w:numPr>
              <w:ind w:left="343" w:hanging="283"/>
              <w:rPr>
                <w:noProof/>
              </w:rPr>
            </w:pPr>
            <w:r>
              <w:rPr>
                <w:noProof/>
              </w:rPr>
              <w:t>A választási viták és rendezvények akadálymentessé tétele.</w:t>
            </w:r>
          </w:p>
          <w:p w14:paraId="65C87926" w14:textId="465DB41E" w:rsidR="00963BCC" w:rsidRPr="00B42AEB" w:rsidRDefault="00963BCC" w:rsidP="002D36F0">
            <w:pPr>
              <w:pStyle w:val="ListParagraph"/>
              <w:numPr>
                <w:ilvl w:val="0"/>
                <w:numId w:val="3"/>
              </w:numPr>
              <w:ind w:left="343" w:hanging="283"/>
              <w:rPr>
                <w:noProof/>
              </w:rPr>
            </w:pPr>
            <w:r>
              <w:rPr>
                <w:noProof/>
              </w:rPr>
              <w:t>A politikai reklámok akadálymentességének támogatása, többek között a fogyatékossággal élő személyeket képviselő szervezetekkel együttműködésben, valamint a médiaszolgáltatók képzése.</w:t>
            </w:r>
          </w:p>
          <w:p w14:paraId="56DC9087" w14:textId="77777777" w:rsidR="00963BCC" w:rsidRPr="00B42AEB" w:rsidRDefault="00963BCC" w:rsidP="002D36F0">
            <w:pPr>
              <w:pStyle w:val="ListParagraph"/>
              <w:numPr>
                <w:ilvl w:val="0"/>
                <w:numId w:val="3"/>
              </w:numPr>
              <w:ind w:left="343" w:hanging="283"/>
              <w:rPr>
                <w:noProof/>
              </w:rPr>
            </w:pPr>
            <w:r>
              <w:rPr>
                <w:noProof/>
              </w:rPr>
              <w:t>A fogyatékossággal élő jelöltek támogatása, többek között jelnyelvi tolmácsok biztosításával, és a viták akadálymentes formátumban történő lefolytatása.</w:t>
            </w:r>
          </w:p>
          <w:p w14:paraId="66A17032" w14:textId="13D3CC1A" w:rsidR="00963BCC" w:rsidRPr="00B42AEB" w:rsidRDefault="00963BCC" w:rsidP="002D36F0">
            <w:pPr>
              <w:pStyle w:val="ListParagraph"/>
              <w:numPr>
                <w:ilvl w:val="0"/>
                <w:numId w:val="3"/>
              </w:numPr>
              <w:ind w:left="343" w:hanging="283"/>
              <w:rPr>
                <w:noProof/>
              </w:rPr>
            </w:pPr>
            <w:r>
              <w:rPr>
                <w:noProof/>
              </w:rPr>
              <w:t>Segítség a fogyatékossággal élő személyek számára, hogy választási tisztviselőként vehessenek részt, többek között jelnyelvi tolmácsolás biztosítása révén.</w:t>
            </w:r>
          </w:p>
          <w:p w14:paraId="65D7B626" w14:textId="3F49B5D2" w:rsidR="006A6D6D" w:rsidRPr="00B42AEB" w:rsidRDefault="006A6D6D" w:rsidP="002D36F0">
            <w:pPr>
              <w:pStyle w:val="ListParagraph"/>
              <w:numPr>
                <w:ilvl w:val="0"/>
                <w:numId w:val="3"/>
              </w:numPr>
              <w:ind w:left="343" w:hanging="283"/>
              <w:rPr>
                <w:noProof/>
              </w:rPr>
            </w:pPr>
            <w:r>
              <w:rPr>
                <w:noProof/>
              </w:rPr>
              <w:t>A választók részvételének támogatása, többek között annak lehetővé tételével, hogy az általuk választott személy segítse őket a szavazásban, és a soron kívüli szavazással.</w:t>
            </w:r>
          </w:p>
          <w:p w14:paraId="5A5A103E" w14:textId="77777777" w:rsidR="00963BCC" w:rsidRPr="00B42AEB" w:rsidRDefault="00963BCC" w:rsidP="002D36F0">
            <w:pPr>
              <w:pStyle w:val="ListParagraph"/>
              <w:numPr>
                <w:ilvl w:val="0"/>
                <w:numId w:val="3"/>
              </w:numPr>
              <w:ind w:left="343" w:hanging="283"/>
              <w:rPr>
                <w:noProof/>
              </w:rPr>
            </w:pPr>
            <w:r>
              <w:rPr>
                <w:noProof/>
              </w:rPr>
              <w:t>A választási eredmények akadálymentes formátumban történő kihirdetése.</w:t>
            </w:r>
          </w:p>
          <w:p w14:paraId="4C2E11CF" w14:textId="09D111DC" w:rsidR="00963BCC" w:rsidRPr="00B42AEB" w:rsidRDefault="00963BCC" w:rsidP="002D36F0">
            <w:pPr>
              <w:pStyle w:val="ListParagraph"/>
              <w:numPr>
                <w:ilvl w:val="0"/>
                <w:numId w:val="3"/>
              </w:numPr>
              <w:ind w:left="343" w:hanging="283"/>
              <w:rPr>
                <w:noProof/>
              </w:rPr>
            </w:pPr>
            <w:r>
              <w:rPr>
                <w:noProof/>
              </w:rPr>
              <w:t>Annak biztosítása, hogy a választási vitarendezési eljárások a fogyatékossággal élő személyek számára akadálymentesen hozzáférhetők legyenek.</w:t>
            </w:r>
          </w:p>
          <w:p w14:paraId="1E6E12A2" w14:textId="34A6CCDC" w:rsidR="00963BCC" w:rsidRPr="00B42AEB" w:rsidRDefault="00963BCC" w:rsidP="002D36F0">
            <w:pPr>
              <w:pStyle w:val="ListParagraph"/>
              <w:numPr>
                <w:ilvl w:val="0"/>
                <w:numId w:val="3"/>
              </w:numPr>
              <w:ind w:left="343" w:hanging="283"/>
              <w:rPr>
                <w:noProof/>
              </w:rPr>
            </w:pPr>
            <w:r>
              <w:rPr>
                <w:noProof/>
              </w:rPr>
              <w:t>A választások fogyatékossággal élő személyek általi megfigyelésének támogatása és a választások akadálymentességének megfigyelése.</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A választások után</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Adatgyűjtés a fogyatékossággal élő személyek választásokon való részvételéről.</w:t>
            </w:r>
          </w:p>
          <w:p w14:paraId="7C911133" w14:textId="76560FCB" w:rsidR="00963BCC" w:rsidRPr="00B42AEB" w:rsidRDefault="00963BCC" w:rsidP="002D36F0">
            <w:pPr>
              <w:pStyle w:val="ListParagraph"/>
              <w:numPr>
                <w:ilvl w:val="0"/>
                <w:numId w:val="3"/>
              </w:numPr>
              <w:ind w:left="343" w:hanging="283"/>
              <w:rPr>
                <w:noProof/>
              </w:rPr>
            </w:pPr>
            <w:r>
              <w:rPr>
                <w:noProof/>
              </w:rPr>
              <w:t>A választások akadálymentességének értékelése, és a fogyatékossággal élő személyeket képviselő szervezetek bevonása ebbe az értékelésbe.</w:t>
            </w:r>
          </w:p>
          <w:p w14:paraId="19FAB318" w14:textId="77777777" w:rsidR="00963BCC" w:rsidRPr="00B42AEB" w:rsidRDefault="00963BCC" w:rsidP="002D36F0">
            <w:pPr>
              <w:pStyle w:val="ListParagraph"/>
              <w:numPr>
                <w:ilvl w:val="0"/>
                <w:numId w:val="3"/>
              </w:numPr>
              <w:ind w:left="343" w:hanging="283"/>
              <w:rPr>
                <w:noProof/>
              </w:rPr>
            </w:pPr>
            <w:r>
              <w:rPr>
                <w:noProof/>
              </w:rPr>
              <w:t>A jogi, intézményi és adminisztratív akadályok felülvizsgálata.</w:t>
            </w:r>
          </w:p>
          <w:p w14:paraId="41B568B3" w14:textId="5EA8E671" w:rsidR="00963BCC" w:rsidRPr="00B42AEB" w:rsidRDefault="00963BCC" w:rsidP="002D36F0">
            <w:pPr>
              <w:pStyle w:val="ListParagraph"/>
              <w:numPr>
                <w:ilvl w:val="0"/>
                <w:numId w:val="3"/>
              </w:numPr>
              <w:ind w:left="343" w:hanging="283"/>
              <w:rPr>
                <w:noProof/>
              </w:rPr>
            </w:pPr>
            <w:r>
              <w:rPr>
                <w:noProof/>
              </w:rPr>
              <w:t>A választási honlapok akadálymentességének felülvizsgálata, többek között a fogyatékossággal élő személyeket képviselő szervezetekkel együttműködésben.</w:t>
            </w:r>
          </w:p>
          <w:p w14:paraId="677E71B8" w14:textId="77777777" w:rsidR="00963BCC" w:rsidRPr="00B42AEB" w:rsidRDefault="00963BCC" w:rsidP="002D36F0">
            <w:pPr>
              <w:pStyle w:val="ListParagraph"/>
              <w:numPr>
                <w:ilvl w:val="0"/>
                <w:numId w:val="3"/>
              </w:numPr>
              <w:ind w:left="343" w:hanging="283"/>
              <w:rPr>
                <w:noProof/>
              </w:rPr>
            </w:pPr>
            <w:r>
              <w:rPr>
                <w:noProof/>
              </w:rPr>
              <w:t>Az értékelés eredményeinek akadálymentes formátumban való közzététele.</w:t>
            </w:r>
          </w:p>
          <w:p w14:paraId="7D079524" w14:textId="109D5518" w:rsidR="00963BCC" w:rsidRPr="00B42AEB" w:rsidRDefault="00963BCC" w:rsidP="002D36F0">
            <w:pPr>
              <w:pStyle w:val="ListParagraph"/>
              <w:numPr>
                <w:ilvl w:val="0"/>
                <w:numId w:val="3"/>
              </w:numPr>
              <w:ind w:left="343" w:hanging="283"/>
              <w:rPr>
                <w:noProof/>
              </w:rPr>
            </w:pPr>
            <w:r>
              <w:rPr>
                <w:noProof/>
              </w:rPr>
              <w:t>A különböző előzetes regisztrációs folyamatok egyszerűsítése, automatizálása és e folyamatokhoz hozzáférés biztosítása, beleértve a választói névjegyzékbe való felvételt, az alkalmazkodási megoldások igénylésének módját, valamint a fogyatékossággal élő személyek számára az általuk igényelt dokumentumokhoz való hozzáférést.</w:t>
            </w:r>
          </w:p>
          <w:p w14:paraId="78DD7FC0" w14:textId="7C062C83" w:rsidR="00963BCC" w:rsidRPr="00B42AEB" w:rsidRDefault="007239C5" w:rsidP="002D36F0">
            <w:pPr>
              <w:pStyle w:val="ListParagraph"/>
              <w:numPr>
                <w:ilvl w:val="0"/>
                <w:numId w:val="3"/>
              </w:numPr>
              <w:ind w:left="343" w:hanging="283"/>
              <w:rPr>
                <w:noProof/>
              </w:rPr>
            </w:pPr>
            <w:r>
              <w:rPr>
                <w:noProof/>
              </w:rPr>
              <w:t>A választási hatóságok, a fogyatékossággal élő személyeket képviselő szervezetek és más érdekelt felek közötti partnerségek megerősítése a választási környezet általános akadálymentességével kapcsolatban azonosított hiányosságok kezelése érdekében.</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135261"/>
      <w:r>
        <w:rPr>
          <w:noProof/>
        </w:rPr>
        <w:t>2. melléklet – Példák a szavazóhelyiségek akadálymentességének értékelésére szolgáló ellenőrzőlistákra</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Észtország</w:t>
      </w:r>
    </w:p>
    <w:tbl>
      <w:tblPr>
        <w:tblStyle w:val="TableGrid"/>
        <w:tblW w:w="5000" w:type="pct"/>
        <w:tblLook w:val="04A0" w:firstRow="1" w:lastRow="0" w:firstColumn="1" w:lastColumn="0" w:noHBand="0" w:noVBand="1"/>
      </w:tblPr>
      <w:tblGrid>
        <w:gridCol w:w="7613"/>
        <w:gridCol w:w="710"/>
        <w:gridCol w:w="737"/>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A vizsgált kritériumok</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Igen</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Nem</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Tömegközlekedés és parkolás</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Az épület, ahol a szavazóhelyiség található, tömegközlekedéssel megközelíthető</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Az épület parkolóhelyekkel rendelkezik a fogyatékossággal élő személyek járművei számára</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Akadálymentes hozzáférés a parkolóból az épület főbejáratához</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Hozzáférési útvonal és az épületbe való belépés</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Az épülethez és a főbejárathoz vezető útvonalakat jelzőtáblákkal látják el</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Az épület bejárata rámpán keresztül közelíthető meg</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A rámpa kapaszkodóval és vízszintes csúszásgátló felülettel rendelkezik</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A rámpa kellően széles (legalább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A kerekesszéket használók önállóan át tudnak haladni a bejárati ajtó küszöbén</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Az épület külső ajtaja automatikusan kinyílik vagy könnyen nyitható</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A külső ajtó nyitva van, tehát az ajtó nincs kulcsra zárva, illetve nincs szükség kaputelefonos nyitásra</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A szavazóhelyiséghez vezető útvonal az épületen belül</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A szavazóhelyiség ugyanazon az emeleten található, mint az épület főbejárata</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A szavazóhelyiség (ha nem ugyanazon az emeleten található, mint a főbejárat) felvonóval vagy rámpán keresztül megközelíthető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A főbejárat és a szavazóhelyiség közötti útvonal megfelelő szélességű (legalább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A szavazóhelyiség elérési útvonala mentes az akadályoktól, beleértve az ajtóküszöböket is, amelyek gátolják a kerekesszékkel való átjutást</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Az épület belső ajtajai automatikusan nyílnak vagy könnyen nyithatók</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A szavazóhelyiséghez vezető út jelzéssel van ellátva</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Az épület belső helyiségei megfelelő világítással rendelkeznek</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01ADB199" w:rsidR="00BC55E4" w:rsidRPr="00B87F34" w:rsidRDefault="00BC55E4" w:rsidP="00B42AEB">
            <w:pPr>
              <w:rPr>
                <w:noProof/>
              </w:rPr>
            </w:pPr>
            <w:r>
              <w:rPr>
                <w:noProof/>
              </w:rPr>
              <w:t>Mozgás a szavazóhelyiségen belül</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214C282B" w:rsidR="00BC55E4" w:rsidRPr="00B87F34" w:rsidRDefault="00BC55E4" w:rsidP="00B42AEB">
            <w:pPr>
              <w:rPr>
                <w:noProof/>
              </w:rPr>
            </w:pPr>
            <w:r>
              <w:rPr>
                <w:noProof/>
              </w:rPr>
              <w:t>Elegendő hely áll rendelkezésre a kerekesszékek és egyéb mobilitási segédeszközök mozgásához a szavazóhelyiségben</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A szavazóhelyiségben ülőhelyek állnak a pihenni kívánó szavazók rendelkezésére</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A szavazóhelyiség megfelelő világítással rendelkezik</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Pr>
          <w:noProof/>
        </w:rPr>
        <w:t>Finnország </w:t>
      </w:r>
      <w:r>
        <w:rPr>
          <w:rStyle w:val="FootnoteReference"/>
          <w:noProof/>
        </w:rPr>
        <w:t>(</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613"/>
        <w:gridCol w:w="710"/>
        <w:gridCol w:w="737"/>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Érkezés a szavazóhelyiségbe</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Igen</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Nem</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Könnyen megközelíthető a szavazóhelyiség, és van tömegközlekedési megálló a szavazóhelyiség közelében?</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A személyszállító járművek (pl. a fogyatékossággal élő személyeket szállító taxik) meg tudnak állni a bejárat közelében?</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Vannak akadálymentes parkolóhelyek a szavazóhelyiség közelében (szélesség 3 600 mm és hosszúság 5 000 mm)?</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Ki van táblázva a bejárathoz vezető út?</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A bejárathoz vezető út könnyen látható, sima, kemény felületű és nem csúszik?</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Az átjáró lejtése nem haladja meg az 5 %-ot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Bejárat</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Egyértelmű jelzések mutatják a szavazóhelyiség akadálymentes útvonalait?</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Van-e a bejárati lépcsők mellett legfeljebb 8 %-os lejtésű és legalább 900 mm szélességű rámpa?</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A lépcsők és rámpák mindkét oldalán van korlát?</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713543" w14:paraId="0F1F4192" w14:textId="77777777" w:rsidTr="006F0581">
        <w:tc>
          <w:tcPr>
            <w:tcW w:w="4327" w:type="pct"/>
            <w:hideMark/>
          </w:tcPr>
          <w:p w14:paraId="1F0B5EC0" w14:textId="6DC40A92" w:rsidR="00F44153" w:rsidRPr="00713543" w:rsidRDefault="00BF0133" w:rsidP="00B42AEB">
            <w:pPr>
              <w:rPr>
                <w:noProof/>
                <w:lang w:val="de-DE"/>
              </w:rPr>
            </w:pPr>
            <w:r w:rsidRPr="00713543">
              <w:rPr>
                <w:noProof/>
                <w:lang w:val="de-DE"/>
              </w:rPr>
              <w:t>Van főbejárat előtt legalább 1 500 mm × 1 500 mm-es platform?</w:t>
            </w:r>
          </w:p>
        </w:tc>
        <w:tc>
          <w:tcPr>
            <w:tcW w:w="374" w:type="pct"/>
          </w:tcPr>
          <w:p w14:paraId="123EBD46" w14:textId="77777777" w:rsidR="00F44153" w:rsidRPr="00713543" w:rsidRDefault="00F44153" w:rsidP="00B42AEB">
            <w:pPr>
              <w:rPr>
                <w:noProof/>
                <w:lang w:val="de-DE"/>
              </w:rPr>
            </w:pPr>
          </w:p>
        </w:tc>
        <w:tc>
          <w:tcPr>
            <w:tcW w:w="299" w:type="pct"/>
          </w:tcPr>
          <w:p w14:paraId="0BEFF1E3" w14:textId="77777777" w:rsidR="00F44153" w:rsidRPr="00713543" w:rsidRDefault="00F44153" w:rsidP="00B42AEB">
            <w:pPr>
              <w:rPr>
                <w:noProof/>
                <w:lang w:val="de-DE"/>
              </w:rPr>
            </w:pPr>
          </w:p>
        </w:tc>
      </w:tr>
      <w:tr w:rsidR="00F44153" w:rsidRPr="00713543" w14:paraId="11F2B2DA" w14:textId="77777777" w:rsidTr="006F0581">
        <w:tc>
          <w:tcPr>
            <w:tcW w:w="4327" w:type="pct"/>
            <w:hideMark/>
          </w:tcPr>
          <w:p w14:paraId="3D23490B" w14:textId="32792D1A" w:rsidR="00F44153" w:rsidRPr="00713543" w:rsidRDefault="00BF0133" w:rsidP="00B42AEB">
            <w:pPr>
              <w:rPr>
                <w:noProof/>
                <w:lang w:val="de-DE"/>
              </w:rPr>
            </w:pPr>
            <w:r w:rsidRPr="00713543">
              <w:rPr>
                <w:noProof/>
                <w:lang w:val="de-DE"/>
              </w:rPr>
              <w:t>Van legalább 400 mm szabad terület a főbejárat nyitási oldalán, amelyre a kerekesszéket használónak szüksége van az ajtó kinyitásakor?</w:t>
            </w:r>
          </w:p>
        </w:tc>
        <w:tc>
          <w:tcPr>
            <w:tcW w:w="374" w:type="pct"/>
          </w:tcPr>
          <w:p w14:paraId="0DB5FE05" w14:textId="77777777" w:rsidR="00F44153" w:rsidRPr="00713543" w:rsidRDefault="00F44153" w:rsidP="00B42AEB">
            <w:pPr>
              <w:rPr>
                <w:noProof/>
                <w:lang w:val="de-DE"/>
              </w:rPr>
            </w:pPr>
          </w:p>
        </w:tc>
        <w:tc>
          <w:tcPr>
            <w:tcW w:w="299" w:type="pct"/>
          </w:tcPr>
          <w:p w14:paraId="19DEC32F" w14:textId="77777777" w:rsidR="00F44153" w:rsidRPr="00713543" w:rsidRDefault="00F44153" w:rsidP="00B42AEB">
            <w:pPr>
              <w:rPr>
                <w:noProof/>
                <w:lang w:val="de-DE"/>
              </w:rPr>
            </w:pPr>
          </w:p>
        </w:tc>
      </w:tr>
      <w:tr w:rsidR="00F44153" w:rsidRPr="00713543" w14:paraId="31551317" w14:textId="77777777" w:rsidTr="006F0581">
        <w:tc>
          <w:tcPr>
            <w:tcW w:w="4327" w:type="pct"/>
            <w:hideMark/>
          </w:tcPr>
          <w:p w14:paraId="26C40154" w14:textId="2B4FE10B" w:rsidR="00F44153" w:rsidRPr="00713543" w:rsidRDefault="00BF0133" w:rsidP="00B42AEB">
            <w:pPr>
              <w:rPr>
                <w:noProof/>
                <w:lang w:val="de-DE"/>
              </w:rPr>
            </w:pPr>
            <w:r w:rsidRPr="00713543">
              <w:rPr>
                <w:noProof/>
                <w:lang w:val="de-DE"/>
              </w:rPr>
              <w:t>A bejárati ajtó szélessége legalább 850 mm, a küszöb magassága pedig nem haladja meg a 20 mm-t?</w:t>
            </w:r>
          </w:p>
        </w:tc>
        <w:tc>
          <w:tcPr>
            <w:tcW w:w="374" w:type="pct"/>
          </w:tcPr>
          <w:p w14:paraId="4873CCD4" w14:textId="77777777" w:rsidR="00F44153" w:rsidRPr="00713543" w:rsidRDefault="00F44153" w:rsidP="00B42AEB">
            <w:pPr>
              <w:rPr>
                <w:noProof/>
                <w:lang w:val="de-DE"/>
              </w:rPr>
            </w:pPr>
          </w:p>
        </w:tc>
        <w:tc>
          <w:tcPr>
            <w:tcW w:w="299" w:type="pct"/>
          </w:tcPr>
          <w:p w14:paraId="1D85CEA3" w14:textId="77777777" w:rsidR="00F44153" w:rsidRPr="00713543" w:rsidRDefault="00F44153" w:rsidP="00B42AEB">
            <w:pPr>
              <w:rPr>
                <w:noProof/>
                <w:lang w:val="de-DE"/>
              </w:rPr>
            </w:pPr>
          </w:p>
        </w:tc>
      </w:tr>
      <w:tr w:rsidR="00F44153" w:rsidRPr="00713543" w14:paraId="2CB1C50D" w14:textId="77777777" w:rsidTr="006F0581">
        <w:tc>
          <w:tcPr>
            <w:tcW w:w="4327" w:type="pct"/>
            <w:hideMark/>
          </w:tcPr>
          <w:p w14:paraId="27CA24F6" w14:textId="3E85BA7B" w:rsidR="00F44153" w:rsidRPr="00713543" w:rsidRDefault="00E833D1" w:rsidP="00B42AEB">
            <w:pPr>
              <w:rPr>
                <w:noProof/>
                <w:lang w:val="de-DE"/>
              </w:rPr>
            </w:pPr>
            <w:r w:rsidRPr="00713543">
              <w:rPr>
                <w:noProof/>
                <w:lang w:val="de-DE"/>
              </w:rPr>
              <w:t>Az ajtó automatikusan nyílik vagy egyébként könnyen nyitható (maximális nyitási erő: 10 N, azaz 1 kg)?</w:t>
            </w:r>
          </w:p>
        </w:tc>
        <w:tc>
          <w:tcPr>
            <w:tcW w:w="374" w:type="pct"/>
          </w:tcPr>
          <w:p w14:paraId="10F8AF69" w14:textId="77777777" w:rsidR="00F44153" w:rsidRPr="00713543" w:rsidRDefault="00F44153" w:rsidP="00B42AEB">
            <w:pPr>
              <w:rPr>
                <w:noProof/>
                <w:lang w:val="de-DE"/>
              </w:rPr>
            </w:pPr>
          </w:p>
        </w:tc>
        <w:tc>
          <w:tcPr>
            <w:tcW w:w="299" w:type="pct"/>
          </w:tcPr>
          <w:p w14:paraId="2F6E11E8" w14:textId="77777777" w:rsidR="00F44153" w:rsidRPr="00713543" w:rsidRDefault="00F44153" w:rsidP="00B42AEB">
            <w:pPr>
              <w:rPr>
                <w:noProof/>
                <w:lang w:val="de-DE"/>
              </w:rPr>
            </w:pPr>
          </w:p>
        </w:tc>
      </w:tr>
      <w:tr w:rsidR="00F44153" w:rsidRPr="00713543" w14:paraId="408D1CDE" w14:textId="77777777" w:rsidTr="006F0581">
        <w:tc>
          <w:tcPr>
            <w:tcW w:w="4327" w:type="pct"/>
            <w:hideMark/>
          </w:tcPr>
          <w:p w14:paraId="54D9793A" w14:textId="54DD07EC" w:rsidR="00F44153" w:rsidRPr="00713543" w:rsidRDefault="00E833D1" w:rsidP="00B42AEB">
            <w:pPr>
              <w:rPr>
                <w:noProof/>
                <w:lang w:val="de-DE"/>
              </w:rPr>
            </w:pPr>
            <w:r w:rsidRPr="00713543">
              <w:rPr>
                <w:noProof/>
                <w:lang w:val="de-DE"/>
              </w:rPr>
              <w:t>A bejáratnál a szennyfogó szőnyegben vagy a rácsban legfeljebb 10 mm × 30 mm-es hézagok vannak, és a szőnyeg vagy rács okozta szintkülönbség nem haladja meg a 20 mm-t?</w:t>
            </w:r>
          </w:p>
        </w:tc>
        <w:tc>
          <w:tcPr>
            <w:tcW w:w="374" w:type="pct"/>
          </w:tcPr>
          <w:p w14:paraId="360C8B86" w14:textId="77777777" w:rsidR="00F44153" w:rsidRPr="00713543" w:rsidRDefault="00F44153" w:rsidP="00B42AEB">
            <w:pPr>
              <w:rPr>
                <w:noProof/>
                <w:lang w:val="de-DE"/>
              </w:rPr>
            </w:pPr>
          </w:p>
        </w:tc>
        <w:tc>
          <w:tcPr>
            <w:tcW w:w="299" w:type="pct"/>
          </w:tcPr>
          <w:p w14:paraId="1A516B46" w14:textId="77777777" w:rsidR="00F44153" w:rsidRPr="00713543" w:rsidRDefault="00F44153" w:rsidP="00B42AEB">
            <w:pPr>
              <w:rPr>
                <w:noProof/>
                <w:lang w:val="de-DE"/>
              </w:rPr>
            </w:pPr>
          </w:p>
        </w:tc>
      </w:tr>
      <w:tr w:rsidR="00F44153" w:rsidRPr="00713543" w14:paraId="40963971" w14:textId="77777777" w:rsidTr="006F0581">
        <w:tc>
          <w:tcPr>
            <w:tcW w:w="4327" w:type="pct"/>
            <w:hideMark/>
          </w:tcPr>
          <w:p w14:paraId="00995295" w14:textId="7EA32C07" w:rsidR="00F44153" w:rsidRPr="00713543" w:rsidRDefault="00E833D1" w:rsidP="00B42AEB">
            <w:pPr>
              <w:rPr>
                <w:noProof/>
                <w:lang w:val="de-DE"/>
              </w:rPr>
            </w:pPr>
            <w:r w:rsidRPr="00713543">
              <w:rPr>
                <w:noProof/>
                <w:lang w:val="de-DE"/>
              </w:rPr>
              <w:t>A beálló mélysége és szélessége legalább 1 500 mm, ha mindkét ajtó a szélfogóhoz képest kifelé nyílik?</w:t>
            </w:r>
          </w:p>
        </w:tc>
        <w:tc>
          <w:tcPr>
            <w:tcW w:w="374" w:type="pct"/>
          </w:tcPr>
          <w:p w14:paraId="1501E11E" w14:textId="77777777" w:rsidR="00F44153" w:rsidRPr="00713543" w:rsidRDefault="00F44153" w:rsidP="00B42AEB">
            <w:pPr>
              <w:rPr>
                <w:noProof/>
                <w:lang w:val="de-DE"/>
              </w:rPr>
            </w:pPr>
          </w:p>
        </w:tc>
        <w:tc>
          <w:tcPr>
            <w:tcW w:w="299" w:type="pct"/>
          </w:tcPr>
          <w:p w14:paraId="0425FE37" w14:textId="77777777" w:rsidR="00F44153" w:rsidRPr="00713543" w:rsidRDefault="00F44153" w:rsidP="00B42AEB">
            <w:pPr>
              <w:rPr>
                <w:noProof/>
                <w:lang w:val="de-DE"/>
              </w:rPr>
            </w:pPr>
          </w:p>
        </w:tc>
      </w:tr>
      <w:tr w:rsidR="00F44153" w:rsidRPr="00713543" w14:paraId="53312871" w14:textId="77777777" w:rsidTr="006F0581">
        <w:tc>
          <w:tcPr>
            <w:tcW w:w="4327" w:type="pct"/>
            <w:hideMark/>
          </w:tcPr>
          <w:p w14:paraId="5E2681BF" w14:textId="29F03161" w:rsidR="00F44153" w:rsidRPr="00713543" w:rsidRDefault="00E833D1" w:rsidP="00B42AEB">
            <w:pPr>
              <w:rPr>
                <w:noProof/>
                <w:lang w:val="de-DE"/>
              </w:rPr>
            </w:pPr>
            <w:r w:rsidRPr="00713543">
              <w:rPr>
                <w:noProof/>
                <w:lang w:val="de-DE"/>
              </w:rPr>
              <w:t>A beálló szélessége legalább 1 500 mm, mélysége pedig legalább 2 300 mm, ha az egyik ajtó a beálló belsejében nyílik?</w:t>
            </w:r>
          </w:p>
        </w:tc>
        <w:tc>
          <w:tcPr>
            <w:tcW w:w="374" w:type="pct"/>
          </w:tcPr>
          <w:p w14:paraId="064C6EE2" w14:textId="77777777" w:rsidR="00F44153" w:rsidRPr="00713543" w:rsidRDefault="00F44153" w:rsidP="00B42AEB">
            <w:pPr>
              <w:rPr>
                <w:noProof/>
                <w:lang w:val="de-DE"/>
              </w:rPr>
            </w:pPr>
          </w:p>
        </w:tc>
        <w:tc>
          <w:tcPr>
            <w:tcW w:w="299" w:type="pct"/>
          </w:tcPr>
          <w:p w14:paraId="3D467632" w14:textId="77777777" w:rsidR="00F44153" w:rsidRPr="00713543" w:rsidRDefault="00F44153" w:rsidP="00B42AEB">
            <w:pPr>
              <w:rPr>
                <w:noProof/>
                <w:lang w:val="de-DE"/>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Szavazóhelyiség</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Rendelkezik-e a szavazóhelyiség legalább egy olyan szavazófülkével, ahol a szavazólapot asztalnál ülve lehet kitölteni?</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Van-e lábtér a szavazófülkében található asztal alatt (magasság: 750–800 mm), amelynek minimális méretei: 800 mm széles, 600 mm mély és 670 mm magas?</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Vagy vannak állítható magasságú asztalok a szavazóhelyiségben?</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A szavazófülkék tükröződésmentes és megfelelő (500–750 lux az írás magasságában) világítással rendelkeznek?</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Vannak-e ülőhelyek a szavazóhelyiségben, ahol a szavazók szükség esetén megpihenhetnek?</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Van-e jelen választási asszisztens az előszavazás helyiségében és a tényleges szavazóhelyiségben?</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Ha a választási tisztviselők között vannak olyanok, akik támogató-segítő eszközöket használnak, a szavazóhelyiséget akadálymentes mosdóval kell felszerelni.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F82E1FE" w:rsidR="007013F9" w:rsidRDefault="0081364D" w:rsidP="006F0581">
      <w:pPr>
        <w:pStyle w:val="Heading1"/>
        <w:spacing w:before="360" w:after="240" w:line="288" w:lineRule="auto"/>
        <w:rPr>
          <w:noProof/>
        </w:rPr>
      </w:pPr>
      <w:bookmarkStart w:id="90" w:name="_Toc158135262"/>
      <w:bookmarkStart w:id="91" w:name="_Toc148718605"/>
      <w:r>
        <w:rPr>
          <w:noProof/>
        </w:rPr>
        <w:t>3. melléklet – Példa a szavazóhelyiségek tisztviselőire vonatkozó általános ajánlásokra</w:t>
      </w:r>
      <w:bookmarkEnd w:id="90"/>
    </w:p>
    <w:p w14:paraId="76D7F94A" w14:textId="77385E07"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Spanyolország</w:t>
      </w:r>
      <w:r>
        <w:rPr>
          <w:noProof/>
        </w:rPr>
        <w:cr/>
      </w:r>
      <w:r>
        <w:rPr>
          <w:noProof/>
        </w:rPr>
        <w:br/>
        <w:t>A szavazóhelyiség tagjaként tartsa szem előtt, hogy a fogyatékossággal élő személyek önállóak és függetlenek, és ekként kell őket kezelni.</w:t>
      </w:r>
      <w:r>
        <w:rPr>
          <w:noProof/>
        </w:rPr>
        <w:cr/>
      </w:r>
      <w:r>
        <w:rPr>
          <w:noProof/>
        </w:rPr>
        <w:br/>
        <w:t>Viselkedjen természetesen és tisztelettudóan. Ne feltételezze azt, hogy fogyatékossággal élő személynek mindenképpen segítségre van szüksége. Ha a környezet akadálymentes, a fogyatékossággal élő személyek általában gond nélkül boldogulnak.</w:t>
      </w:r>
      <w:r>
        <w:rPr>
          <w:noProof/>
        </w:rPr>
        <w:cr/>
      </w:r>
      <w:r>
        <w:rPr>
          <w:noProof/>
        </w:rPr>
        <w:br/>
        <w:t>Érdemes a józan észre, valamint az egyenlőség és a megkülönböztetésmentesség elvére hagyatkozni.</w:t>
      </w:r>
      <w:r>
        <w:rPr>
          <w:noProof/>
        </w:rPr>
        <w:cr/>
      </w:r>
      <w:r>
        <w:rPr>
          <w:noProof/>
        </w:rPr>
        <w:br/>
        <w:t>Csak akkor kérdezze meg a fogyatékossággal élő választót, hogy igényel-e segítséget, ha úgy tűnik, hogy szüksége van rá. Ha az adott személy elfogadja a segítségét, kérdezze meg, hogyan tud neki segíteni, mielőtt cselekedne.</w:t>
      </w:r>
      <w:r>
        <w:rPr>
          <w:noProof/>
        </w:rPr>
        <w:cr/>
      </w:r>
      <w:r>
        <w:rPr>
          <w:noProof/>
        </w:rPr>
        <w:br/>
        <w:t>A fogyatékossággal élő szavazók kérésére – és csak a kérésükre – a szavazóhelyiség bejáratánál az adminisztráció vagy a biztonsági személyzet képviselője fogadhatja és elkísérheti őket a megfelelő szavazóhelyiségbe.</w:t>
      </w:r>
      <w:r>
        <w:rPr>
          <w:noProof/>
        </w:rPr>
        <w:cr/>
      </w:r>
      <w:r>
        <w:rPr>
          <w:noProof/>
        </w:rPr>
        <w:br/>
        <w:t>Hallási nehézségekkel küzdő személyekkel való kommunikáció során álljon az adott személlyel szemben, amikor beszél, és ne mozdítsa el a fejét. Ne beszéljen a háta mögött, előrehajolva vagy írás közben. Ne kiabáljon, beszéljen a szokásos beszédtempójában, ne legyen semmi a szájában és ne takarja el az arcát. Szükség esetén íráshoz is folyamodhat, használjon természetes gesztusokat, a figyelemfelkeltéshez pedig gyengéden érintse meg az adott személy karját.</w:t>
      </w:r>
      <w:r>
        <w:rPr>
          <w:noProof/>
        </w:rPr>
        <w:cr/>
      </w:r>
      <w:r>
        <w:rPr>
          <w:noProof/>
        </w:rPr>
        <w:br/>
        <w:t>A látássérült szavazó részére felajánlhatja, hogy támaszkodjon a karjára. Ha ezt elfogadja, igazítsa lépéseit az övéhez, és figyeljen oda a környezetre, hogy a látássérült szavazó nyugodtan mozoghasson.</w:t>
      </w:r>
      <w:r>
        <w:rPr>
          <w:noProof/>
        </w:rPr>
        <w:cr/>
      </w:r>
      <w:r>
        <w:rPr>
          <w:noProof/>
        </w:rPr>
        <w:br/>
        <w:t xml:space="preserve">A fogyatékossággal élő személyek vezető kutyáit és segítő kutyáit mindig be kell engedni, a kutyának a gazdája mellett kell maradnia, és nem szabad zavarni vagy elterelni a figyelmét. </w:t>
      </w:r>
      <w:r>
        <w:rPr>
          <w:noProof/>
        </w:rPr>
        <w:cr/>
      </w:r>
      <w:r>
        <w:rPr>
          <w:noProof/>
        </w:rPr>
        <w:br/>
        <w:t>Mindig bizonyosodjon meg róla, hogy a fogyatékossággal élő személy megértette-e a hallottakat.</w:t>
      </w:r>
    </w:p>
    <w:p w14:paraId="29E14063" w14:textId="6C166660" w:rsidR="00BE3B24" w:rsidRPr="00B42AEB" w:rsidRDefault="00C52063" w:rsidP="006F0581">
      <w:pPr>
        <w:pStyle w:val="Heading1"/>
        <w:spacing w:before="360" w:after="240" w:line="288" w:lineRule="auto"/>
        <w:rPr>
          <w:b w:val="0"/>
          <w:noProof/>
        </w:rPr>
      </w:pPr>
      <w:bookmarkStart w:id="92" w:name="_Toc148718606"/>
      <w:bookmarkStart w:id="93" w:name="_Toc158135263"/>
      <w:bookmarkEnd w:id="91"/>
      <w:r>
        <w:rPr>
          <w:rStyle w:val="Heading1Char"/>
          <w:b/>
          <w:noProof/>
        </w:rPr>
        <w:t>4. melléklet – Példa a szavazóhelyiség akadálymentes megközelítésének biztosítására</w:t>
      </w:r>
      <w:bookmarkEnd w:id="92"/>
      <w:r>
        <w:rPr>
          <w:noProof/>
        </w:rPr>
        <w:t> </w:t>
      </w:r>
      <w:r>
        <w:rPr>
          <w:rStyle w:val="FootnoteReference"/>
          <w:b w:val="0"/>
          <w:noProof/>
        </w:rPr>
        <w:t>(</w:t>
      </w:r>
      <w:r>
        <w:rPr>
          <w:rStyle w:val="FootnoteReference"/>
          <w:b w:val="0"/>
          <w:noProof/>
        </w:rPr>
        <w:footnoteReference w:id="98"/>
      </w:r>
      <w:r>
        <w:rPr>
          <w:rStyle w:val="FootnoteReference"/>
          <w:b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A szavazóhelyiség körüli terület rajza, akadálymentes parkolóhelyekkel és rámpáv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12E6709" w:rsidR="00197ADE" w:rsidRPr="00B42AEB" w:rsidRDefault="003C179C" w:rsidP="006F0581">
      <w:pPr>
        <w:pStyle w:val="Heading1"/>
        <w:spacing w:before="360" w:after="240" w:line="288" w:lineRule="auto"/>
        <w:rPr>
          <w:rStyle w:val="Heading1Char"/>
          <w:b/>
          <w:noProof/>
        </w:rPr>
      </w:pPr>
      <w:bookmarkStart w:id="95" w:name="_Toc158135264"/>
      <w:r>
        <w:rPr>
          <w:rStyle w:val="Heading1Char"/>
          <w:b/>
          <w:noProof/>
        </w:rPr>
        <w:t>5. melléklet – Példa az akadálymentes szavazóhelyiség kialakítására</w:t>
      </w:r>
      <w:bookmarkEnd w:id="94"/>
      <w:r>
        <w:rPr>
          <w:noProof/>
        </w:rPr>
        <w:t> </w:t>
      </w:r>
      <w:r>
        <w:rPr>
          <w:rStyle w:val="FootnoteReference"/>
          <w:b w:val="0"/>
          <w:noProof/>
        </w:rPr>
        <w:t>(</w:t>
      </w:r>
      <w:r>
        <w:rPr>
          <w:rStyle w:val="FootnoteReference"/>
          <w:b w:val="0"/>
          <w:noProof/>
        </w:rPr>
        <w:footnoteReference w:id="99"/>
      </w:r>
      <w:r>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Akadálymentes szavazókör rajza, ahol elég hely van ahhoz, hogy a kerekesszék körbe tudjon fordulni, az asztalok pedig könnyen elérhető magasságú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6" w:name="_Toc148718608"/>
      <w:bookmarkStart w:id="97" w:name="_Toc158135265"/>
      <w:r>
        <w:rPr>
          <w:noProof/>
        </w:rPr>
        <w:t>6. melléklet – Példák kiigazított szavazófülkékre </w:t>
      </w:r>
      <w:r>
        <w:rPr>
          <w:rStyle w:val="FootnoteReference"/>
          <w:noProof/>
        </w:rPr>
        <w:t>(</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Akadálymentes szavazófülke rajza, 150 centiméteres forgástérrel. A polc felső felülete 80 és 85 cm közötti magasságon rögzített. A polc alsó felülete 75 centiméteres magasságban helyezkedik el. A polc mélység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Kerekesszékkel megközelíthető szavazófülke rajza. A forgástér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Kerekesszékkel megközelíthető szavazófülke rajza. A polc alsó felülete 60 centiméteres magasságban helyezkedik 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135266"/>
      <w:r>
        <w:rPr>
          <w:noProof/>
        </w:rPr>
        <w:t>7. melléklet – A fogyatékosságnak a tagállamok által a választásokkal összefüggésben használt fogalma</w:t>
      </w:r>
      <w:bookmarkEnd w:id="98"/>
      <w:bookmarkEnd w:id="99"/>
      <w:r>
        <w:rPr>
          <w:noProof/>
        </w:rPr>
        <w:t xml:space="preserve"> </w:t>
      </w:r>
    </w:p>
    <w:p w14:paraId="10F1BBD2" w14:textId="77777777" w:rsidR="001C0943" w:rsidRPr="00B42AEB" w:rsidRDefault="001C0943" w:rsidP="00B42AEB">
      <w:pPr>
        <w:rPr>
          <w:noProof/>
        </w:rPr>
      </w:pPr>
      <w:r>
        <w:rPr>
          <w:noProof/>
        </w:rPr>
        <w:t>A tagállamok a választásokkal összefüggésben eltérően közelítik meg a fogyatékosság fogalmát. Ez időnként azzal függ össze, hogy hogyan határozzák meg, ki jogosult szavazni és jelöltként indulni a választásokon, vagy azzal, hogy hogyan határozzák meg, ki jogosult a különleges szavazási eljárás igénybevételére. A tagállamok más összefüggésben is hivatkozhatnak a fogyatékosságra, például a szociális és alapvető jogok összefüggésében, ami a választások szempontjából is releváns lehet.</w:t>
      </w:r>
    </w:p>
    <w:p w14:paraId="24BF2807" w14:textId="6D34AF97" w:rsidR="001C0943" w:rsidRPr="00B42AEB" w:rsidRDefault="001C0943" w:rsidP="00B42AEB">
      <w:pPr>
        <w:rPr>
          <w:noProof/>
        </w:rPr>
      </w:pPr>
      <w:r>
        <w:rPr>
          <w:noProof/>
        </w:rPr>
        <w:t>Több tagállam olyan operatív fogalommeghatározásokat alkalmaz, amelyek a választók azon képességén alapulnak, hogy önállóan gyakorolják szavazati jogukat. Ausztria meghatározása szerint azok a fogyatékossággal élő szavazók, akiknek valószínűleg segítségre lehet szükségük a hivatalos szavazólap kitöltéséhez, akár más személy segítségével, akár bizonyos segítő eszközök, például sablonok segítségével. Csehország a fogyatékosságot a választóknak nyújtott segítség vagy egyéb különleges támogatás egyik kritériumaként említi. Dánia a fogyatékossággal élő személyeket a szavazóhelyiségben vagy a részükre kijelölt szavazóhelyiségben szavazni nem tudó szavazók rendelkezésére álló különböző szavazási lehetőségekkel összefüggésben említi. Hasonlóképpen Észtország úgy rendelkezik, hogy a fogyatékossággal élő választópolgárok azok, akik testi fogyatékosságuk miatt nem tudnak szavazólapon vagy szavazóhelyiségben kifejezni szavazati jogukat. Spanyolország árnyaltabb megközelítést alkalmaz, amely a fogyatékosságok különböző típusairól rendelkezik, legyen szó akár testi (például hallás- és látásbeli) vagy értelmi fogyatékosságról </w:t>
      </w:r>
      <w:r>
        <w:rPr>
          <w:rStyle w:val="FootnoteReference"/>
          <w:noProof/>
        </w:rPr>
        <w:t>(</w:t>
      </w:r>
      <w:r>
        <w:rPr>
          <w:rStyle w:val="FootnoteReference"/>
          <w:noProof/>
        </w:rPr>
        <w:footnoteReference w:id="101"/>
      </w:r>
      <w:r>
        <w:rPr>
          <w:rStyle w:val="FootnoteReference"/>
          <w:noProof/>
        </w:rPr>
        <w:t>))</w:t>
      </w:r>
      <w:r>
        <w:rPr>
          <w:noProof/>
        </w:rPr>
        <w:t>.</w:t>
      </w:r>
    </w:p>
    <w:p w14:paraId="546F6BFC" w14:textId="77777777" w:rsidR="001C0943" w:rsidRPr="00B42AEB" w:rsidRDefault="001C0943" w:rsidP="00B42AEB">
      <w:pPr>
        <w:rPr>
          <w:noProof/>
        </w:rPr>
      </w:pPr>
      <w:r>
        <w:rPr>
          <w:noProof/>
        </w:rPr>
        <w:t>Horvátország esetében csak akkor kell elbírálni a fogyatékosságot (testi fogyatékosság, például vakság, gyengénlátás, a felső végtagok károsodása vagy más olyan fogyatékosság, amely megakadályozza a választópolgárt abban, hogy önállóan szavazzon), ha kérdéses, hogy az adott személy képes-e önállóan szavazni.</w:t>
      </w:r>
    </w:p>
    <w:p w14:paraId="518E7B69" w14:textId="77777777" w:rsidR="001C0943" w:rsidRPr="00B42AEB" w:rsidRDefault="001C0943" w:rsidP="00B42AEB">
      <w:pPr>
        <w:rPr>
          <w:noProof/>
        </w:rPr>
      </w:pPr>
      <w:r>
        <w:rPr>
          <w:noProof/>
        </w:rPr>
        <w:t>Magyarország úgy határozza meg a fogyatékossággal élő választókat, hogy ők azok a szavazók, akik jelentősen korlátozottan vagy egyáltalán nem rendelkeznek érzékszervi képességekkel – különös tekintettel a látásra és a hallásra –, vagy nagymértékben korlátozott a mozgásképességük, illetve a szellemi képességeik, vagy akik nagymértékben korlátozott kommunikációs képességekkel rendelkeznek, ami tartósan hátrányos helyzetbe hozza őket a társadalmi életben való aktív részvételük tekintetében.</w:t>
      </w:r>
    </w:p>
    <w:p w14:paraId="44FBED99" w14:textId="4416DEE6" w:rsidR="006B44F9" w:rsidRPr="00B42AEB" w:rsidRDefault="001C0943" w:rsidP="00B42AEB">
      <w:pPr>
        <w:rPr>
          <w:noProof/>
        </w:rPr>
      </w:pPr>
      <w:r>
        <w:rPr>
          <w:noProof/>
        </w:rPr>
        <w:t>Lettország megemlíti azokat a testi fogyatékossággal élő szavazókat, akik nem tudnak eljutni a szavazóhelyiségbe. Hollandia abban a követelményben említi meg a testi fogyatékossággal élő szavazókat, amely szerint a szavazóhelyiségeket oly módon kell felszerelni, hogy az tegye lehetővé a testi fogyatékossággal élő választópolgárok számára, hogy a lehető legnagyobb önállóság mellett adhassák le szavazatukat, vagy segítséget kapjanak a szavazóhelyiség valamely tagjától.</w:t>
      </w:r>
    </w:p>
    <w:p w14:paraId="1F791EE6" w14:textId="3A1F556E" w:rsidR="00982700" w:rsidRDefault="001C0943" w:rsidP="00B42AEB">
      <w:pPr>
        <w:rPr>
          <w:noProof/>
        </w:rPr>
      </w:pPr>
      <w:r>
        <w:rPr>
          <w:noProof/>
        </w:rPr>
        <w:t>Portugáliában a fogyatékossággal élő személyeknek nyújtott elsőbbségi szolgáltatásra vonatkozó kötelezettség alkalmazásában, a fogyatékossággal élő személyek részére személyes szolgáltatást nyújtó valamennyi köz- és magánszervezet tekintetében a fogyatékossággal élő vagy cselekvőképtelen személy jogi meghatározása olyan személy, aki a testi funkciók, azon belül a pszichológiai funkciók veleszületett vagy szerzett elvesztése vagy megromlása miatt olyan sajátos nehézségekkel küzd, amelyek a környezeti tényezőkkel együttesen korlátozzák vagy akadályozzák az aktivitását és a más személyekkel azonos feltételek mellett történő részvételét, és aki többcélú tanúsítványban </w:t>
      </w:r>
      <w:r>
        <w:rPr>
          <w:rStyle w:val="FootnoteReference"/>
          <w:noProof/>
        </w:rPr>
        <w:t>(</w:t>
      </w:r>
      <w:r>
        <w:rPr>
          <w:rStyle w:val="FootnoteReference"/>
          <w:noProof/>
        </w:rPr>
        <w:footnoteReference w:id="102"/>
      </w:r>
      <w:r>
        <w:rPr>
          <w:rStyle w:val="FootnoteReference"/>
          <w:noProof/>
        </w:rPr>
        <w:t>))</w:t>
      </w:r>
      <w:r>
        <w:rPr>
          <w:noProof/>
        </w:rPr>
        <w:t xml:space="preserve"> elismert, legalább 60 %-os cselekvőképtelenséggel rendelkezik. Portugália a fogyatékossággal élő szavazóknak elsőbbséget vagy segítséget nyújt a szavazóhelyiségben. A nyilvánvaló betegségben vagy testi fogyatékosságban szenvedő szavazó, akiről a szavazóhelyiség személyzete úgy véli, hogy nem tudja elvégezni a szavazáshoz szükséges lépéseket, egy általa választott másik szavazó kíséretében szavaz, aki garantálja, hogy a szavazás megfelel a szavazó akaratának, és akit teljes titoktartás terhel. Ha a szavazóhelyiség személyzete úgy ítéli meg, hogy a betegség vagy a testi fogyatékosság nem nyilvánvaló, előírja, hogy a szavazáskor mutassák be a szavazás akadályozottságát igazoló tanúsítványt, amelyet a település területén egészségügyi hatósági jogkört gyakorló orvos állít ki, és amelyet az adott szolgálat pecsétjével hitelesítenek. E célból az egészségügyi intézményeknek a választás napján a szavazóhelyiségek működésének ideje alatt nyitva kell tartaniuk. A szavazóhelyiségnek a szavazás elfogadhatóságára vonatkozó következtetéseinek sérelme nélkül a szavazóhelyiség bármely tagja vagy a politikai pártok vagy koalíciók küldöttei írásbeli tiltakozással élhetnek. A látássérült szavazók, ha kívánják, kérhetik a szavazóhelyiségtől, hogy bocsásson rendelkezésükre egy Braille-írásos szavazólapot, amely lehetővé teszi számukra, hogy önállóan elvégezzék a jogszabályban előírt szavazási eljárásokat. A választási jogszabályok csak azokat a súlyos pszichoszociális fogyatékossággal élő személyeket sorolják be szavazásra nem képes személynek, akik pszichiátriai létesítményben tartózkodnak, vagy orvosi bizottság ezt állapította meg róluk. Azok a személyek, akik nyilvánvalóan súlyos szellemi károsodást mutatnak, még akkor is, ha nincsenek ilyen személyként nyilvántartva, amikor pszichiátriai intézménybe felveszik vagy orvosi testület ilyen személlyé nyilvánítja őket, továbbá a jogaiktól jogerős bírósági határozat által politikai jogaiktól megfosztott személyek nem rendelkeznek aktív szavazóképességgel. </w:t>
      </w:r>
    </w:p>
    <w:p w14:paraId="62215551" w14:textId="0E9FB1EA" w:rsidR="001C0943" w:rsidRPr="00B42AEB" w:rsidRDefault="001C0943" w:rsidP="00B42AEB">
      <w:pPr>
        <w:rPr>
          <w:noProof/>
        </w:rPr>
      </w:pPr>
      <w:r>
        <w:rPr>
          <w:noProof/>
        </w:rPr>
        <w:t>Szlovénia választási jogszabályaiban számos fogyatékosságot említ, és meghatározza a választók rendelkezésére álló szavazási lehetőségeket.</w:t>
      </w:r>
    </w:p>
    <w:p w14:paraId="33D2ED07" w14:textId="5992C420" w:rsidR="001C0943" w:rsidRPr="00B42AEB" w:rsidRDefault="001C0943" w:rsidP="00B42AEB">
      <w:pPr>
        <w:rPr>
          <w:noProof/>
        </w:rPr>
      </w:pPr>
      <w:r>
        <w:rPr>
          <w:noProof/>
        </w:rPr>
        <w:t>Más tagállamok különböző okokból nem kapcsolják a fogalmat kifejezetten a választási részvételhez, és általános vagy más jogi célokra létrehozott fogalommeghatározásokat használnak. Görögország esetében ez a szociális biztonsághoz, valamint a fogyatékossággal élő személyekre vonatkozó, hamarosan elfogadásra kerülő nemzeti cselekvési tervéhez, a fogyatékossági nyilvántartáshoz és a digitális fogyatékossági kártyához kapcsolódik. Franciaország tágan határozza meg a fogyatékosság fogalmát, amely meghatározás szerint a fogyatékosság valamely személy aktivitásának korlátozása vagy a társadalomban való részvételének korlátozása egy vagy több testi, érzékszervi, szellemi, kognitív vagy pszichikai funkció jelentős, tartós vagy állandó károsodása, többszörös fogyatékosság vagy fogyatékosságot okozó egészségi állapot. Írország a választásokkal összefüggésben olyan fogalommeghatározást használ, amely nagyrészt a fogyatékossággal élő személyek jogairól szóló ENSZ-egyezmény fogalommeghatározásából származik, amely szerint a fogyatékosság azt jelenti, hogy az érintett személy tartós fizikai, érzékszervi, mentális egészségi állapota vagy értelmi károsodása jelentősen korlátozza valamely szakma, vállalkozás vagy foglalkozás gyakorlását az államban, vagy az állam társadalmi vagy kulturális életében való részvételét.</w:t>
      </w:r>
    </w:p>
    <w:p w14:paraId="3DDBEEE6" w14:textId="6D8153C5" w:rsidR="001C0943" w:rsidRPr="00B42AEB" w:rsidRDefault="00C82E82" w:rsidP="00B42AEB">
      <w:pPr>
        <w:rPr>
          <w:noProof/>
        </w:rPr>
      </w:pPr>
      <w:r>
        <w:rPr>
          <w:noProof/>
        </w:rPr>
        <w:t>Litvánia meghatározása szerint a fogyatékosság az egészség, a társadalmi életben való részvétel tartós megromlása és az aktivitás csökkenése a személy testfelépítésének és funkcióinak zavara, valamint a káros környezeti tényezők kölcsönhatása miatt. 2024-től kezdődően ez a fogalommeghatározás megváltozik, és a fogyatékosságot hosszú távú (született és/vagy szerzett) funkcionális károsodásként kell értelmezni, amely környezeti tényezők miatt megakadályozza, hogy egy adott személy más személyekkel azonos alapon, teljes mértékben és ténylegesen részt vegyen a társadalom életében. Luxemburg a fogyatékossággal élő személyek jogairól szóló ENSZ-egyezmény fogalommeghatározását használja.</w:t>
      </w:r>
    </w:p>
    <w:p w14:paraId="3968C0BA" w14:textId="7DEFF79B" w:rsidR="001C0943" w:rsidRPr="00B42AEB" w:rsidRDefault="001C0943" w:rsidP="00B42AEB">
      <w:pPr>
        <w:rPr>
          <w:noProof/>
        </w:rPr>
      </w:pPr>
      <w:r>
        <w:rPr>
          <w:noProof/>
        </w:rPr>
        <w:t>Romániában a fogyatékosság fogalma nem a választási jogszabályokban, hanem a fogyatékossággal élő személyek jogairól szóló külön jogszabályban szerepel. A fogyatékossággal élő személyek jogairól szóló ENSZ-egyezményen alapul, amely a fogyatékossággal élő személyeket olyan személyekként határozza meg, akiknek társadalmi környezete nem igazodik testi, érzékszervi, pszichés, mentális és/vagy kapcsolódó károsodásaikhoz, és teljes mértékben megakadályozza vagy korlátozza a társadalom életéhez való, egyenlő esélyekkel melletti hozzáférésüket, ami a társadalmi integrációjuk és befogadásuk támogatása érdekében védőintézkedéseket tesz szükségessé. Az elnökválasztásról szóló törvény a mozgáskorlátozott személyekre is hivatkozik, amely magában foglalja a testi fogyatékossággal élő személyeket is, mégpedig a bármely akadálymentes szavazóhelyiségben való szavazás feltételeként.</w:t>
      </w:r>
    </w:p>
    <w:p w14:paraId="02B66AE1" w14:textId="79FAE0D4" w:rsidR="001C0943" w:rsidRPr="00B42AEB" w:rsidRDefault="001C0943" w:rsidP="00B42AEB">
      <w:pPr>
        <w:rPr>
          <w:noProof/>
        </w:rPr>
      </w:pPr>
      <w:r>
        <w:rPr>
          <w:noProof/>
        </w:rPr>
        <w:t>Belgium nem határozza meg a fogyatékosság fogalmát, és nem tesz különbséget szellemi vagy testi fogyatékosság között. Németország olyan jogi kerettel rendelkezik, amely referenciaként szolgál valamennyi fogyatékosságügyi szakpolitikához. Svédországban nincsenek olyan konkrét kritériumok, amelyek meghatároznák, hogy mi minősül fogyatékosságnak, mivel a különböző típusú fogyatékosságok eltérő helyzetű személyeket érintenek.</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135267"/>
      <w:r>
        <w:rPr>
          <w:noProof/>
        </w:rPr>
        <w:t>8. melléklet – Uniós jog és uniós szabványok a választások fogyatékossággal élő személyek számára történő akadálymentesítésével összefüggésben</w:t>
      </w:r>
      <w:bookmarkEnd w:id="100"/>
      <w:bookmarkEnd w:id="101"/>
    </w:p>
    <w:p w14:paraId="704DF251" w14:textId="270B8263" w:rsidR="001C0943" w:rsidRPr="00B42AEB" w:rsidRDefault="001C0943" w:rsidP="00B42AEB">
      <w:pPr>
        <w:rPr>
          <w:noProof/>
        </w:rPr>
      </w:pPr>
      <w:r>
        <w:rPr>
          <w:noProof/>
        </w:rPr>
        <w:t xml:space="preserve">A </w:t>
      </w:r>
      <w:r>
        <w:rPr>
          <w:b/>
          <w:noProof/>
        </w:rPr>
        <w:t>termékekre és a szolgáltatásokra vonatkozó akadálymentességi követelményekről</w:t>
      </w:r>
      <w:r>
        <w:rPr>
          <w:noProof/>
        </w:rPr>
        <w:t xml:space="preserve"> szóló (EU) 2019/882 irányelv </w:t>
      </w:r>
      <w:r>
        <w:rPr>
          <w:rStyle w:val="FootnoteReference"/>
          <w:noProof/>
        </w:rPr>
        <w:t>(</w:t>
      </w:r>
      <w:r>
        <w:rPr>
          <w:rStyle w:val="FootnoteReference"/>
          <w:noProof/>
        </w:rPr>
        <w:footnoteReference w:id="103"/>
      </w:r>
      <w:r>
        <w:rPr>
          <w:rStyle w:val="FootnoteReference"/>
          <w:noProof/>
        </w:rPr>
        <w:t>))</w:t>
      </w:r>
      <w:r>
        <w:rPr>
          <w:noProof/>
        </w:rPr>
        <w:t xml:space="preserve"> (európai akadálymentesítési irányelv) előmozdítja, hogy a fogyatékossággal élő személyek teljeskörűen és ténylegesen egyenlő módon részt vehessenek a társadalom életében az olyan széles körben használt termékekhez és szolgáltatásokhoz való hozzáférés javítása révén, amelyek kialakításuknak vagy módosításuknak köszönhetően megfelelnek a fogyatékossággal élő személyek sajátos igényeinek. Ezen irányelv I. melléklete határozza meg a termékekre és szolgáltatásokra vonatkozó egyedi akadálymentességi követelményeket. A II. melléklet példákat mutat be olyan gyakorlati megoldásokra, amelyek segítik az országokat ezen akadálymentességi követelmények teljesítésében. Ezek a megoldások a következőkre terjednek ki: a tájékoztatás nyújtása, a felhasználói felület és a funkciók kialakítása, a termékek csomagolása és használati utasítása, valamint a szolgáltatások és meghatározott szolgáltatások nyújtása, amelyek az e-szavazási megoldások akadálymentessé tételében is hasznosak lehetnek </w:t>
      </w:r>
      <w:r>
        <w:rPr>
          <w:rStyle w:val="FootnoteReference"/>
          <w:noProof/>
        </w:rPr>
        <w:t>(</w:t>
      </w:r>
      <w:r>
        <w:rPr>
          <w:rStyle w:val="FootnoteReference"/>
          <w:noProof/>
        </w:rPr>
        <w:footnoteReference w:id="104"/>
      </w:r>
      <w:r>
        <w:rPr>
          <w:rStyle w:val="FootnoteReference"/>
          <w:noProof/>
        </w:rPr>
        <w:t>))</w:t>
      </w:r>
      <w:r>
        <w:rPr>
          <w:noProof/>
        </w:rPr>
        <w:t>.</w:t>
      </w:r>
    </w:p>
    <w:p w14:paraId="7955EF21" w14:textId="77777777" w:rsidR="001C0943" w:rsidRPr="00B42AEB" w:rsidRDefault="001C0943" w:rsidP="00B42AEB">
      <w:pPr>
        <w:rPr>
          <w:noProof/>
        </w:rPr>
      </w:pPr>
      <w:r>
        <w:rPr>
          <w:noProof/>
        </w:rPr>
        <w:t>Az európai akadálymentesítési irányelv hatálya alá nem tartozó termékek és szolgáltatások esetében ezen akadálymentességi követelmények betartása mégis segítheti az akadálymentesség javítását az egész EU-ban.</w:t>
      </w:r>
    </w:p>
    <w:p w14:paraId="70C3BFCB" w14:textId="1285D600" w:rsidR="001C0943" w:rsidRPr="00B42AEB" w:rsidRDefault="001C0943" w:rsidP="00B42AEB">
      <w:pPr>
        <w:rPr>
          <w:noProof/>
        </w:rPr>
      </w:pPr>
      <w:r>
        <w:rPr>
          <w:noProof/>
        </w:rPr>
        <w:t xml:space="preserve">A közbeszerzésről szóló </w:t>
      </w:r>
      <w:r>
        <w:rPr>
          <w:b/>
          <w:noProof/>
        </w:rPr>
        <w:t>2014/24/EU</w:t>
      </w:r>
      <w:r>
        <w:rPr>
          <w:noProof/>
        </w:rPr>
        <w:t> </w:t>
      </w:r>
      <w:r>
        <w:rPr>
          <w:rStyle w:val="FootnoteReference"/>
          <w:noProof/>
        </w:rPr>
        <w:t>(</w:t>
      </w:r>
      <w:r>
        <w:rPr>
          <w:rStyle w:val="FootnoteReference"/>
          <w:noProof/>
        </w:rPr>
        <w:footnoteReference w:id="105"/>
      </w:r>
      <w:r>
        <w:rPr>
          <w:rStyle w:val="FootnoteReference"/>
          <w:noProof/>
        </w:rPr>
        <w:t>))</w:t>
      </w:r>
      <w:r>
        <w:rPr>
          <w:noProof/>
        </w:rPr>
        <w:t xml:space="preserve"> és </w:t>
      </w:r>
      <w:r>
        <w:rPr>
          <w:b/>
          <w:noProof/>
        </w:rPr>
        <w:t>2014/25/EU </w:t>
      </w:r>
      <w:r>
        <w:rPr>
          <w:rStyle w:val="FootnoteReference"/>
          <w:b/>
          <w:noProof/>
        </w:rPr>
        <w:t>(</w:t>
      </w:r>
      <w:hyperlink r:id="rId25" w:anchor="ntr23-L_2019151EN.01007001-E0023" w:history="1">
        <w:r>
          <w:rPr>
            <w:rStyle w:val="super"/>
            <w:noProof/>
            <w:vertAlign w:val="superscript"/>
          </w:rPr>
          <w:t>23</w:t>
        </w:r>
      </w:hyperlink>
      <w:r>
        <w:rPr>
          <w:rStyle w:val="Hyperlink"/>
          <w:b/>
          <w:noProof/>
          <w:u w:val="none"/>
          <w:vertAlign w:val="superscript"/>
        </w:rPr>
        <w:t xml:space="preserve">, </w:t>
      </w:r>
      <w:r>
        <w:rPr>
          <w:rStyle w:val="FootnoteReference"/>
          <w:noProof/>
        </w:rPr>
        <w:footnoteReference w:id="106"/>
      </w:r>
      <w:r>
        <w:rPr>
          <w:rStyle w:val="FootnoteReference"/>
          <w:noProof/>
        </w:rPr>
        <w:t>)</w:t>
      </w:r>
      <w:r>
        <w:rPr>
          <w:rStyle w:val="FootnoteReference"/>
          <w:b/>
          <w:noProof/>
        </w:rPr>
        <w:t>)</w:t>
      </w:r>
      <w:r>
        <w:rPr>
          <w:noProof/>
        </w:rPr>
        <w:t xml:space="preserve"> európai parlamenti és tanácsi irányelvek, amelyek meghatározzák a közbeszerzési szerződésekre és tervpályázatokra vonatkozó eljárásokat bizonyos áruk (termékek), szolgáltatások és építési beruházások tekintetében, arról rendelkeznek, hogy minden olyan beszerzés esetében, amelyet lakosság – akár a nagyközönség, akár az ajánlatkérő szerv vagy a közszolgáltató ajánlatkérő alkalmazottai – általi felhasználásra szánnak, a megfelelően indokolt esetektől eltekintve a műszaki leírásnak figyelembe kell vennie a fogyatékossággal élő személyek számára való akadálymentesség és a valamennyi felhasználó számára alkalmas kialakítás szempontjait. Ezek az irányelvek előírják továbbá, hogy amennyiben uniós jogi aktusban kötelező akadálymentességi követelményeket fogadnak el, a műszaki leírásnak a fogyatékossággal élő személyek számára való akadálymentesség vagy a valamennyi felhasználó számára alkalmas kialakítás tekintetében követnie kell e követelményeket.</w:t>
      </w:r>
    </w:p>
    <w:p w14:paraId="20A1C3DC" w14:textId="487C1838" w:rsidR="001C0943" w:rsidRPr="00B42AEB" w:rsidRDefault="001C0943" w:rsidP="00B42AEB">
      <w:pPr>
        <w:rPr>
          <w:noProof/>
          <w:shd w:val="clear" w:color="auto" w:fill="FFFFFF"/>
        </w:rPr>
      </w:pPr>
      <w:r>
        <w:rPr>
          <w:b/>
          <w:noProof/>
        </w:rPr>
        <w:t>Az (EU) 2016/2102 irányelv</w:t>
      </w:r>
      <w:r>
        <w:rPr>
          <w:noProof/>
        </w:rPr>
        <w:t> </w:t>
      </w:r>
      <w:r>
        <w:rPr>
          <w:rStyle w:val="FootnoteReference"/>
          <w:noProof/>
        </w:rPr>
        <w:t>(</w:t>
      </w:r>
      <w:r>
        <w:rPr>
          <w:rStyle w:val="FootnoteReference"/>
          <w:noProof/>
        </w:rPr>
        <w:footnoteReference w:id="107"/>
      </w:r>
      <w:r>
        <w:rPr>
          <w:rStyle w:val="FootnoteReference"/>
          <w:noProof/>
        </w:rPr>
        <w:t>))</w:t>
      </w:r>
      <w:r>
        <w:rPr>
          <w:b/>
          <w:noProof/>
        </w:rPr>
        <w:t xml:space="preserve"> (a honlapok akadálymentesítéséről szóló irányelv)</w:t>
      </w:r>
      <w:r>
        <w:rPr>
          <w:noProof/>
        </w:rPr>
        <w:t xml:space="preserve"> akadálymentességi elveket határoz meg </w:t>
      </w:r>
      <w:r>
        <w:rPr>
          <w:noProof/>
          <w:shd w:val="clear" w:color="auto" w:fill="FFFFFF"/>
        </w:rPr>
        <w:t>a közszférabeli szervezetek honlapjai és mobilalkalmazásai számára. Ezek az elvek a következők:</w:t>
      </w:r>
    </w:p>
    <w:p w14:paraId="78E3A529" w14:textId="5BBA08EA" w:rsidR="001C0943" w:rsidRPr="00B42AEB" w:rsidRDefault="001C0943" w:rsidP="002D36F0">
      <w:pPr>
        <w:pStyle w:val="ListParagraph"/>
        <w:numPr>
          <w:ilvl w:val="0"/>
          <w:numId w:val="11"/>
        </w:numPr>
        <w:rPr>
          <w:noProof/>
        </w:rPr>
      </w:pPr>
      <w:r>
        <w:rPr>
          <w:noProof/>
        </w:rPr>
        <w:t>az információkat és a felhasználói felület elemeit a felhasználók számára érzékelhető módokon kell megjeleníteni;</w:t>
      </w:r>
    </w:p>
    <w:p w14:paraId="504418B8" w14:textId="77777777" w:rsidR="001C0943" w:rsidRPr="00B42AEB" w:rsidRDefault="001C0943" w:rsidP="002D36F0">
      <w:pPr>
        <w:pStyle w:val="ListParagraph"/>
        <w:numPr>
          <w:ilvl w:val="0"/>
          <w:numId w:val="11"/>
        </w:numPr>
        <w:rPr>
          <w:noProof/>
        </w:rPr>
      </w:pPr>
      <w:r>
        <w:rPr>
          <w:noProof/>
        </w:rPr>
        <w:t>kezelhetőség – a felhasználói felület elemeinek és a navigálási funkcióknak jól kezelhetőnek kell lenniük;</w:t>
      </w:r>
    </w:p>
    <w:p w14:paraId="5F752A60" w14:textId="6E6BF370" w:rsidR="001C0943" w:rsidRPr="00B42AEB" w:rsidRDefault="001C0943" w:rsidP="002D36F0">
      <w:pPr>
        <w:pStyle w:val="ListParagraph"/>
        <w:numPr>
          <w:ilvl w:val="0"/>
          <w:numId w:val="11"/>
        </w:numPr>
        <w:rPr>
          <w:noProof/>
        </w:rPr>
      </w:pPr>
      <w:r>
        <w:rPr>
          <w:noProof/>
        </w:rPr>
        <w:t>érthetőség – a megjelenített információknak és a felhasználói felület működésének érthetőnek kell lenniük; valamint</w:t>
      </w:r>
    </w:p>
    <w:p w14:paraId="28296E95" w14:textId="0AF4DA6B" w:rsidR="009D22C5" w:rsidRPr="00B42AEB" w:rsidRDefault="001C0943" w:rsidP="002D36F0">
      <w:pPr>
        <w:pStyle w:val="ListParagraph"/>
        <w:numPr>
          <w:ilvl w:val="0"/>
          <w:numId w:val="11"/>
        </w:numPr>
        <w:rPr>
          <w:noProof/>
        </w:rPr>
      </w:pPr>
      <w:r>
        <w:rPr>
          <w:noProof/>
        </w:rPr>
        <w:t>stabilitás – a tartalmaknak kellően stabilnak kell lenniük ahhoz, hogy számos különböző közvetítő eszközzel – többek között támogató-segítő eszközökkel és technológiákkal – megbízhatóan értelmezhetők legyenek </w:t>
      </w:r>
      <w:r>
        <w:rPr>
          <w:rStyle w:val="FootnoteReference"/>
          <w:noProof/>
        </w:rPr>
        <w:t>(</w:t>
      </w:r>
      <w:r>
        <w:rPr>
          <w:rStyle w:val="FootnoteReference"/>
          <w:noProof/>
        </w:rPr>
        <w:footnoteReference w:id="108"/>
      </w:r>
      <w:r>
        <w:rPr>
          <w:rStyle w:val="FootnoteReference"/>
          <w:noProof/>
        </w:rPr>
        <w:t>))</w:t>
      </w:r>
      <w:r>
        <w:rPr>
          <w:noProof/>
        </w:rPr>
        <w:t>.</w:t>
      </w:r>
    </w:p>
    <w:p w14:paraId="3E17BBF7" w14:textId="13A58679" w:rsidR="006B4EB8" w:rsidRPr="00B42AEB" w:rsidRDefault="006B4EB8" w:rsidP="00BD1AD5">
      <w:pPr>
        <w:rPr>
          <w:noProof/>
        </w:rPr>
      </w:pPr>
      <w:r>
        <w:rPr>
          <w:noProof/>
        </w:rPr>
        <w:t>Az irányelv azt is előírja, hogy minden weboldalnak és mobilalkalmazásnak részletes, érthető és világos akadálymentesítési nyilatkozatot kell tennie arról, hogy e weboldalak és mobilalkalmazások hogyan felelnek meg ennek az irányelvnek </w:t>
      </w:r>
      <w:r>
        <w:rPr>
          <w:noProof/>
          <w:vertAlign w:val="superscript"/>
        </w:rPr>
        <w:t>(</w:t>
      </w:r>
      <w:r>
        <w:rPr>
          <w:noProof/>
          <w:vertAlign w:val="superscript"/>
        </w:rPr>
        <w:footnoteReference w:id="109"/>
      </w:r>
      <w:r>
        <w:rPr>
          <w:noProof/>
          <w:vertAlign w:val="superscript"/>
        </w:rPr>
        <w:t>)</w:t>
      </w:r>
      <w:r>
        <w:rPr>
          <w:noProof/>
        </w:rPr>
        <w:t>.</w:t>
      </w:r>
    </w:p>
    <w:p w14:paraId="4B5BFCF7" w14:textId="77777777" w:rsidR="001C0943" w:rsidRPr="00B42AEB" w:rsidRDefault="001C0943" w:rsidP="00B42AEB">
      <w:pPr>
        <w:rPr>
          <w:noProof/>
        </w:rPr>
      </w:pPr>
      <w:r>
        <w:rPr>
          <w:noProof/>
        </w:rPr>
        <w:t>Az irányelv elfogadása számos tagállam esetében azt jelentette, hogy a honlap-akadálymentesítésre vonatkozóan új nemzeti jogszabályokat kellett bevezetniük. Az irányelv nélkül a nemzeti szintű fellépés önmagában nem érte volna el a honlap-akadálymentesítéssel kapcsolatos tevékenységek szintjét, ideértve a közszférán belüli tájékoztatást is, amint azt a tagállami akadálymentesítési monitoringjelentések is mutatják.</w:t>
      </w:r>
      <w:r>
        <w:rPr>
          <w:noProof/>
          <w:shd w:val="clear" w:color="auto" w:fill="FFFFFF"/>
        </w:rPr>
        <w:t xml:space="preserve"> </w:t>
      </w:r>
      <w:r>
        <w:rPr>
          <w:noProof/>
        </w:rPr>
        <w:t>A technológiai fejlődés vizsgálata azt mutatta, hogy a mesterséges intelligenciát és a gépi tanulást alkalmazó automatizált vagy hatékony és könnyen végrehajtható eszközöket egyre gyakrabban alkalmazzák a digitális hozzáférést biztosító eszközökben, ami javítja az irányelv hatálya alá jelenleg nem tartozó egyes tartalomtípusok akadálymentességét.</w:t>
      </w:r>
    </w:p>
    <w:p w14:paraId="23047A6E" w14:textId="16365D86" w:rsidR="001C0943" w:rsidRPr="00B42AEB" w:rsidRDefault="001C0943" w:rsidP="00B42AEB">
      <w:pPr>
        <w:rPr>
          <w:noProof/>
          <w:shd w:val="clear" w:color="auto" w:fill="FFFFFF"/>
        </w:rPr>
      </w:pPr>
      <w:r>
        <w:rPr>
          <w:noProof/>
          <w:shd w:val="clear" w:color="auto" w:fill="FFFFFF"/>
        </w:rPr>
        <w:t xml:space="preserve">A </w:t>
      </w:r>
      <w:r>
        <w:rPr>
          <w:b/>
          <w:noProof/>
          <w:shd w:val="clear" w:color="auto" w:fill="FFFFFF"/>
        </w:rPr>
        <w:t>2010/13/EU irányelv</w:t>
      </w:r>
      <w:r>
        <w:rPr>
          <w:noProof/>
          <w:shd w:val="clear" w:color="auto" w:fill="FFFFFF"/>
        </w:rPr>
        <w:t> </w:t>
      </w:r>
      <w:r>
        <w:rPr>
          <w:rStyle w:val="FootnoteReference"/>
          <w:noProof/>
          <w:shd w:val="clear" w:color="auto" w:fill="FFFFFF"/>
        </w:rPr>
        <w:t>(</w:t>
      </w:r>
      <w:r>
        <w:rPr>
          <w:rStyle w:val="FootnoteReference"/>
          <w:noProof/>
          <w:shd w:val="clear" w:color="auto" w:fill="FFFFFF"/>
        </w:rPr>
        <w:footnoteReference w:id="110"/>
      </w:r>
      <w:r>
        <w:rPr>
          <w:rStyle w:val="FootnoteReference"/>
          <w:noProof/>
          <w:shd w:val="clear" w:color="auto" w:fill="FFFFFF"/>
        </w:rPr>
        <w:t>))</w:t>
      </w:r>
      <w:r>
        <w:rPr>
          <w:b/>
          <w:noProof/>
          <w:shd w:val="clear" w:color="auto" w:fill="FFFFFF"/>
        </w:rPr>
        <w:t xml:space="preserve"> </w:t>
      </w:r>
      <w:r>
        <w:rPr>
          <w:noProof/>
          <w:shd w:val="clear" w:color="auto" w:fill="FFFFFF"/>
        </w:rPr>
        <w:t>elismeri, hogy a fogyatékkal élőknek és az időseknek az Unió társadalmi és kulturális életében való részvételhez és az abba történő integrációhoz való joga összekapcsolódik az akadálymentes audiovizuális médiaszolgáltatások nyújtásával. A tagállamoknak ezért indokolatlan késedelem nélkül biztosítaniuk kell azt, hogy a joghatóságuk alá tartozó médiaszolgáltatók aktívan tegyék akadálymentesen hozzáférhetővé a tartalmakat a fogyatékossággal élő személyek, így különösen a látás- vagy hallássérültek számára. A médiaszolgáltatóknak az akadálymentességi követelményeket fokozatosan és folyamatosan kell teljesíteniük, azoknak a gyakorlati és nem kiküszöbölhető korlátoknak a figyelembevétele mellett, amelyek miatt adott esetben nem biztosítható teljes akadálymentesség, például a valós időben közvetített műsorszámok vagy események esetében.</w:t>
      </w:r>
    </w:p>
    <w:p w14:paraId="7DD99A9C" w14:textId="33174B4A" w:rsidR="001C0943" w:rsidRPr="00B42AEB" w:rsidRDefault="001C0943" w:rsidP="00B42AEB">
      <w:pPr>
        <w:rPr>
          <w:noProof/>
          <w:shd w:val="clear" w:color="auto" w:fill="FFFFFF"/>
        </w:rPr>
      </w:pPr>
      <w:r>
        <w:rPr>
          <w:noProof/>
          <w:shd w:val="clear" w:color="auto" w:fill="FFFFFF"/>
        </w:rPr>
        <w:t>Annak a mérése érdekében, hogy a médiaszolgáltatók milyen előrelépést tettek abban a tekintetben, hogy szolgáltatásaikat fokozatosan akadálymentesítsék a látás-, illetve hallássérültek számára, a tagállamoknak arra kell kötelezniük a területükön letelepedett médiaszolgáltatókat, hogy rendszeres tegyenek jelentést a nemzeti szabályozó hatóságoknak.</w:t>
      </w:r>
      <w:r>
        <w:rPr>
          <w:noProof/>
        </w:rPr>
        <w:t xml:space="preserve"> </w:t>
      </w:r>
      <w:r>
        <w:rPr>
          <w:noProof/>
          <w:shd w:val="clear" w:color="auto" w:fill="FFFFFF"/>
        </w:rPr>
        <w:t>A tagállamoknak arra is kell ösztönözniük a médiaszolgáltatókat, hogy dolgozzanak ki akadálymentesítési cselekvési terveket arra vonatkozóan, hogy szolgáltatásaik folyamatosan és fokozatosan egyre akadálymentesebbé váljanak a fogyatékossággal élő személyek számára. Ezekről a cselekvési tervekről tájékoztatni kell a nemzeti szabályozó hatóságokat vagy szerveket. A tagállamoknak az említett akadálymentesítési kérdésekre vonatkozó tájékoztatás és panaszkezelés biztosítása céljából ki kell jelölniük egy egyablakos, a fogyatékossággal élő személyek számára is könnyen elérhető és nyilvánosan hozzáférhető online kapcsolattartási pontot.</w:t>
      </w:r>
    </w:p>
    <w:p w14:paraId="200D4BE8" w14:textId="21227D72" w:rsidR="001C0943" w:rsidRPr="00B42AEB" w:rsidRDefault="001C0943" w:rsidP="00B42AEB">
      <w:pPr>
        <w:rPr>
          <w:noProof/>
        </w:rPr>
      </w:pPr>
      <w:r>
        <w:rPr>
          <w:noProof/>
        </w:rPr>
        <w:t xml:space="preserve">Az </w:t>
      </w:r>
      <w:r>
        <w:rPr>
          <w:b/>
          <w:noProof/>
        </w:rPr>
        <w:t>EN 301 549 európai szabvány</w:t>
      </w:r>
      <w:r>
        <w:rPr>
          <w:noProof/>
        </w:rPr>
        <w:t> </w:t>
      </w:r>
      <w:r>
        <w:rPr>
          <w:rStyle w:val="FootnoteReference"/>
          <w:noProof/>
        </w:rPr>
        <w:t>(</w:t>
      </w:r>
      <w:r>
        <w:rPr>
          <w:rStyle w:val="FootnoteReference"/>
          <w:noProof/>
        </w:rPr>
        <w:footnoteReference w:id="111"/>
      </w:r>
      <w:r>
        <w:rPr>
          <w:rStyle w:val="FootnoteReference"/>
          <w:noProof/>
        </w:rPr>
        <w:t>))</w:t>
      </w:r>
      <w:r>
        <w:rPr>
          <w:noProof/>
        </w:rPr>
        <w:t xml:space="preserve"> meghatározza az IKT-termékekre és -szolgáltatásokra alkalmazandó funkcionális akadálymentességi követelményeket, valamint az egyes akadálymentességi követelményekre vonatkozó vizsgálati eljárások és értékelési módszerek leírását, az európai közbeszerzésekben való használatra alkalmas formában. Ez a dokumentum webalapú technológiákra, nem webes technológiákra és mindkettőt használó hibrid technológiákra vonatkozik. A szoftverekre, a hardverekre és a szolgáltatásokra egyaránt kiterjed. Mind a szolgáltatók, mind a beszerzők általi használatra tervezték, de várhatóan mások számára is hasznos lesz.</w:t>
      </w:r>
    </w:p>
    <w:p w14:paraId="3925D93A" w14:textId="72655D4A" w:rsidR="001C0943" w:rsidRPr="00B42AEB" w:rsidRDefault="001C0943" w:rsidP="00B42AEB">
      <w:pPr>
        <w:rPr>
          <w:noProof/>
        </w:rPr>
      </w:pPr>
      <w:r>
        <w:rPr>
          <w:noProof/>
        </w:rPr>
        <w:t xml:space="preserve">Nagymértékben támaszkodik a W3C által közzétett és WCAG 2.1. néven ismert </w:t>
      </w:r>
      <w:hyperlink r:id="rId26" w:history="1">
        <w:r>
          <w:rPr>
            <w:rStyle w:val="Hyperlink"/>
            <w:noProof/>
          </w:rPr>
          <w:t>Web Akadálymentesítési Útmutató v2.1</w:t>
        </w:r>
      </w:hyperlink>
      <w:r>
        <w:rPr>
          <w:noProof/>
        </w:rPr>
        <w:t xml:space="preserve">-re. Ez az útmutató a webes tartalmak előállításának nemzetközileg elismert követelményeit tartalmazza. Az útmutató bevált gyakorlatnak minősül, és nagyon széles körben alkalmazzák. Az </w:t>
      </w:r>
      <w:r>
        <w:rPr>
          <w:rStyle w:val="Strong"/>
          <w:noProof/>
        </w:rPr>
        <w:t>EN 3015 49 v2.1.2 és v3.2.1 szabvány azonban olyan követelményeket tartalmaz, amelyek nem részei a WCAG 2.1-nek</w:t>
      </w:r>
      <w:r>
        <w:rPr>
          <w:noProof/>
        </w:rPr>
        <w:t>. Az EN 301 549 szabvány olyan követelményeket is tartalmaz, amelyek a honlapok akadálymentesítéséről szóló irányelv szempontjából nem relevánsak, például a számítógépes hardverrendszerekre vonatkozó akadálymentességi követelményeket </w:t>
      </w:r>
      <w:r>
        <w:rPr>
          <w:rStyle w:val="FootnoteReference"/>
          <w:noProof/>
        </w:rPr>
        <w:t>(</w:t>
      </w:r>
      <w:r>
        <w:rPr>
          <w:rStyle w:val="FootnoteReference"/>
          <w:noProof/>
        </w:rPr>
        <w:footnoteReference w:id="112"/>
      </w:r>
      <w:r>
        <w:rPr>
          <w:rStyle w:val="FootnoteReference"/>
          <w:noProof/>
        </w:rPr>
        <w:t>))</w:t>
      </w:r>
      <w:r>
        <w:rPr>
          <w:noProof/>
        </w:rPr>
        <w:t>.</w:t>
      </w:r>
    </w:p>
    <w:p w14:paraId="7C0B46A8" w14:textId="2BBCB1C6" w:rsidR="001C0943" w:rsidRPr="00B42AEB" w:rsidRDefault="001C0943" w:rsidP="00B42AEB">
      <w:pPr>
        <w:rPr>
          <w:b/>
          <w:noProof/>
        </w:rPr>
      </w:pPr>
      <w:r>
        <w:rPr>
          <w:noProof/>
        </w:rPr>
        <w:t xml:space="preserve">Az épített környezet akadálymentességére és használhatóságára vonatkozó </w:t>
      </w:r>
      <w:r>
        <w:rPr>
          <w:b/>
          <w:noProof/>
        </w:rPr>
        <w:t>EN 17210 európai szabvány</w:t>
      </w:r>
      <w:r>
        <w:rPr>
          <w:noProof/>
        </w:rPr>
        <w:t> </w:t>
      </w:r>
      <w:r>
        <w:rPr>
          <w:rStyle w:val="FootnoteReference"/>
          <w:noProof/>
        </w:rPr>
        <w:t>(</w:t>
      </w:r>
      <w:r>
        <w:rPr>
          <w:rStyle w:val="FootnoteReference"/>
          <w:noProof/>
        </w:rPr>
        <w:footnoteReference w:id="113"/>
      </w:r>
      <w:r>
        <w:rPr>
          <w:rStyle w:val="FootnoteReference"/>
          <w:noProof/>
        </w:rPr>
        <w:t>))</w:t>
      </w:r>
      <w:r>
        <w:rPr>
          <w:noProof/>
        </w:rPr>
        <w:t xml:space="preserve"> az akadálymentes és használható épített környezetre</w:t>
      </w:r>
      <w:r>
        <w:rPr>
          <w:noProof/>
          <w:shd w:val="clear" w:color="auto" w:fill="FFFFFF"/>
        </w:rPr>
        <w:t xml:space="preserve"> </w:t>
      </w:r>
      <w:r>
        <w:rPr>
          <w:noProof/>
        </w:rPr>
        <w:t>vonatkozó alapvető funkcionális minimumkövetelményeket és ajánlásokat ismerteti. A „mindenki számára történő tervezés”/„egyetemes tervezés” elveknek felel meg, amelyek a felhasználók széles köre, köztük a fogyatékossággal élő személyek számára lehetővé teszik a méltányos és biztonságos használatot. Ezek a funkcionális akadálymentességi és használhatósági követelmények és ajánlások az épített környezet – többek között a gyalogosok által használt kültéri és a városi területek – tervezése, építése, felújítása vagy átalakítása és karbantartása szempontjából relevánsak.</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A további referenciadokumentumok közé tartoznak a következők:</w:t>
      </w:r>
    </w:p>
    <w:p w14:paraId="11B77ABD" w14:textId="6B16B35E" w:rsidR="001C0943" w:rsidRPr="00B42AEB" w:rsidRDefault="00250FB9" w:rsidP="002D36F0">
      <w:pPr>
        <w:pStyle w:val="FRABodyText"/>
        <w:numPr>
          <w:ilvl w:val="0"/>
          <w:numId w:val="4"/>
        </w:numPr>
        <w:spacing w:after="120" w:line="288" w:lineRule="auto"/>
        <w:jc w:val="left"/>
        <w:rPr>
          <w:rFonts w:ascii="Arial" w:hAnsi="Arial" w:cs="Arial"/>
          <w:noProof/>
          <w:sz w:val="24"/>
        </w:rPr>
      </w:pPr>
      <w:hyperlink r:id="rId27" w:history="1">
        <w:r w:rsidR="00C32507">
          <w:rPr>
            <w:rStyle w:val="Hyperlink"/>
            <w:noProof/>
          </w:rPr>
          <w:t>Bizottsági szolgálati munkadokumentum értékelése</w:t>
        </w:r>
      </w:hyperlink>
      <w:r w:rsidR="00C32507">
        <w:rPr>
          <w:rFonts w:ascii="Arial" w:hAnsi="Arial"/>
          <w:noProof/>
          <w:sz w:val="24"/>
        </w:rPr>
        <w:t>, a közszférabeli szervezetek honlapjainak és mobilalkalmazásainak akadálymentesítéséről szóló, 2016. október 26-i (EU) 2016/2102 európai parlamenti és tanácsi irányelv (a honlapok akadálymentesítéséről szóló irányelv) alkalmazásának felülvizsgálata;</w:t>
      </w:r>
    </w:p>
    <w:p w14:paraId="46EC6EB0" w14:textId="5A5C1266" w:rsidR="001C0943" w:rsidRPr="00B42AEB" w:rsidRDefault="00250FB9"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A honlapok akadálymentesítéséről szóló irányelv alkalmazásának felülvizsgálatát alátámasztó tanulmány</w:t>
        </w:r>
      </w:hyperlink>
      <w:r w:rsidR="00C32507">
        <w:rPr>
          <w:rFonts w:ascii="Arial" w:hAnsi="Arial"/>
          <w:noProof/>
          <w:sz w:val="24"/>
        </w:rPr>
        <w:t>;</w:t>
      </w:r>
    </w:p>
    <w:p w14:paraId="775F4175" w14:textId="720500F5" w:rsidR="001C0943" w:rsidRPr="00B42AEB" w:rsidRDefault="00250FB9" w:rsidP="002D36F0">
      <w:pPr>
        <w:pStyle w:val="FRABodyText"/>
        <w:numPr>
          <w:ilvl w:val="0"/>
          <w:numId w:val="4"/>
        </w:numPr>
        <w:spacing w:after="120" w:line="288" w:lineRule="auto"/>
        <w:jc w:val="left"/>
        <w:rPr>
          <w:rFonts w:ascii="Arial" w:hAnsi="Arial" w:cs="Arial"/>
          <w:noProof/>
          <w:sz w:val="24"/>
        </w:rPr>
      </w:pPr>
      <w:hyperlink r:id="rId29" w:history="1">
        <w:r w:rsidR="00346220">
          <w:rPr>
            <w:rStyle w:val="Hyperlink"/>
            <w:noProof/>
          </w:rPr>
          <w:t>Európai Gazdasági és Szociális Bizottság</w:t>
        </w:r>
      </w:hyperlink>
      <w:r w:rsidR="00346220">
        <w:rPr>
          <w:noProof/>
        </w:rPr>
        <w:t xml:space="preserve">, </w:t>
      </w:r>
      <w:r w:rsidR="00346220">
        <w:rPr>
          <w:rFonts w:ascii="Arial" w:hAnsi="Arial"/>
          <w:i/>
          <w:noProof/>
          <w:sz w:val="24"/>
        </w:rPr>
        <w:t>A fogyatékossággal élők tényleges jogai arra, hogy szavazzanak az európai parlamenti választásokon</w:t>
      </w:r>
      <w:r w:rsidR="00346220">
        <w:rPr>
          <w:rFonts w:ascii="Arial" w:hAnsi="Arial"/>
          <w:noProof/>
          <w:sz w:val="24"/>
        </w:rPr>
        <w:t>;</w:t>
      </w:r>
    </w:p>
    <w:p w14:paraId="1C5F1872" w14:textId="39142893" w:rsidR="001C0943" w:rsidRPr="00A226EA" w:rsidRDefault="00250FB9" w:rsidP="002D36F0">
      <w:pPr>
        <w:pStyle w:val="FRABodyText"/>
        <w:numPr>
          <w:ilvl w:val="0"/>
          <w:numId w:val="4"/>
        </w:numPr>
        <w:spacing w:after="120" w:line="288" w:lineRule="auto"/>
        <w:jc w:val="left"/>
        <w:rPr>
          <w:rFonts w:ascii="Arial" w:hAnsi="Arial" w:cs="Arial"/>
          <w:noProof/>
          <w:sz w:val="24"/>
        </w:rPr>
      </w:pPr>
      <w:hyperlink r:id="rId30" w:history="1">
        <w:r w:rsidR="00C32507">
          <w:rPr>
            <w:rStyle w:val="Hyperlink"/>
            <w:noProof/>
          </w:rPr>
          <w:t>Az Európai Fogyatékosügyi Fórum emberi jogi jelentése a fogyatékossággal élő személyek politikai részvételéről</w:t>
        </w:r>
      </w:hyperlink>
      <w:r w:rsidR="00C32507">
        <w:rPr>
          <w:rFonts w:ascii="Arial" w:hAnsi="Arial"/>
          <w:noProof/>
          <w:sz w:val="24"/>
        </w:rPr>
        <w:t>;</w:t>
      </w:r>
    </w:p>
    <w:p w14:paraId="67DF9416" w14:textId="43C97C4E" w:rsidR="00CA27D9" w:rsidRPr="00B42AEB" w:rsidRDefault="00250FB9"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AVA – Akadálymentes szavazási tudatosság-növelő jelentés</w:t>
        </w:r>
      </w:hyperlink>
      <w:r w:rsidR="00C32507">
        <w:rPr>
          <w:rFonts w:ascii="Arial" w:hAnsi="Arial"/>
          <w:noProof/>
          <w:color w:val="333333"/>
          <w:sz w:val="24"/>
          <w:shd w:val="clear" w:color="auto" w:fill="FFFFFF"/>
        </w:rPr>
        <w:t xml:space="preserve"> a vak és gyengénlátó szavazók akadálymentes szavazásáról, készítette az </w:t>
      </w:r>
      <w:r w:rsidR="00C32507">
        <w:rPr>
          <w:rFonts w:ascii="Arial" w:hAnsi="Arial"/>
          <w:noProof/>
          <w:sz w:val="24"/>
        </w:rPr>
        <w:t>Európai Vakok Szövetsége</w:t>
      </w:r>
      <w:r w:rsidR="00C32507">
        <w:rPr>
          <w:rFonts w:ascii="Arial" w:hAnsi="Arial"/>
          <w:noProof/>
          <w:color w:val="333333"/>
          <w:sz w:val="24"/>
          <w:shd w:val="clear" w:color="auto" w:fill="FFFFFF"/>
        </w:rPr>
        <w:t>.</w:t>
      </w:r>
    </w:p>
    <w:p w14:paraId="47C15215" w14:textId="1795F06F" w:rsidR="001C0943" w:rsidRPr="00B42AEB" w:rsidRDefault="001C0943" w:rsidP="00B42AEB">
      <w:pPr>
        <w:pStyle w:val="Heading1"/>
        <w:rPr>
          <w:noProof/>
        </w:rPr>
      </w:pPr>
      <w:bookmarkStart w:id="102" w:name="_Toc148718611"/>
      <w:bookmarkStart w:id="103" w:name="_Toc158135268"/>
      <w:r>
        <w:rPr>
          <w:noProof/>
        </w:rPr>
        <w:t>9. melléklet – A Bizottság által 2023. szeptember 7-én szervezett, a választások fogyatékossággal élő személyek szempontjából érvényes akadálymentességével foglalkozó fókuszcsoport eredményei</w:t>
      </w:r>
      <w:bookmarkEnd w:id="102"/>
      <w:bookmarkEnd w:id="103"/>
    </w:p>
    <w:p w14:paraId="5E76C007" w14:textId="3EAE9700" w:rsidR="001C0943" w:rsidRPr="00B42AEB" w:rsidRDefault="001C0943" w:rsidP="00B42AEB">
      <w:pPr>
        <w:rPr>
          <w:noProof/>
        </w:rPr>
      </w:pPr>
      <w:r>
        <w:rPr>
          <w:noProof/>
        </w:rPr>
        <w:t>2023. szeptember 7-én a Bizottság fókuszcsoportot szervezett a fogyatékossággal élő személyek jogaival foglalkozó érdekelt felekkel.</w:t>
      </w:r>
    </w:p>
    <w:p w14:paraId="0CB1A290" w14:textId="4AE3B31E" w:rsidR="001C0943" w:rsidRPr="00B42AEB" w:rsidRDefault="001C0943" w:rsidP="00B42AEB">
      <w:pPr>
        <w:rPr>
          <w:noProof/>
        </w:rPr>
      </w:pPr>
      <w:r>
        <w:rPr>
          <w:noProof/>
        </w:rPr>
        <w:t>Aggályok merültek fel az értelmi fogyatékossággal élő személyek választási folyamathoz való hozzáférésével és az ezzel összefüggésben végzett tesztekkel kapcsolatban. Az egyéb említett akadályok közé tartozott a könnyen érthető információk hiánya, a fogyatékossággal élő jelöltek és választott tisztviselők támogatásának hiánya vagy elégtelensége, többek között a jelnyelvi tolmácsolás tekintetében, a választási tisztviselők elégtelen képzése arról, hogy miként segíthetik a fogyatékossággal élő személyeket a szavazásban, a szavazóhelyiségekbe való szállítás hiánya, valamint a szavazóhelyiségben történő szavazás alternatíváinak elégtelensége.</w:t>
      </w:r>
    </w:p>
    <w:p w14:paraId="15B635DF" w14:textId="1C5B50C1" w:rsidR="001C0943" w:rsidRPr="00B42AEB" w:rsidRDefault="001C0943" w:rsidP="00B42AEB">
      <w:pPr>
        <w:rPr>
          <w:noProof/>
        </w:rPr>
      </w:pPr>
      <w:r>
        <w:rPr>
          <w:noProof/>
        </w:rPr>
        <w:t>Néhány résztvevő kiemelte, hogy a fogyatékossággal élők jogaival és a választási eljárás akadálymentesítésével kapcsolatos ismeretek hiánya mind hozzáállásbeli, mind környezeti akadályokat eredményezhet, ami hatással lehet a részvételi arány javítását célzó szakpolitikai változásokra vagy kezdeményezésekre. Elhangzott, hogy az alacsony tudatosság számos problémából fakad, többek között a fogyatékosságra vonatkozó részletes szavazási adatok hiányából, a választási tisztviselők képzésének hiányából, valamint a fogyatékossággal élő szervezetek választási gyakorlatok reformjába való bevonásának alacsony mértékéből.</w:t>
      </w:r>
    </w:p>
    <w:p w14:paraId="0A3D7166" w14:textId="3D2B7931" w:rsidR="001C0943" w:rsidRPr="00B42AEB" w:rsidRDefault="001C0943" w:rsidP="00B42AEB">
      <w:pPr>
        <w:rPr>
          <w:noProof/>
        </w:rPr>
      </w:pPr>
      <w:r>
        <w:rPr>
          <w:noProof/>
        </w:rPr>
        <w:t>Hivatkoztak a környezeti akadályokra, amelyek közé tartozik a választásokkal és a politikai pártokkal kapcsolatos információkhoz és kommunikációhoz való hozzáférés hiánya, a (fizikai és egyéb szempontból) nem akadálymentes szavazóhelyiségek és a szavazási anyagok hiánya, az alternatív és továbbfejlesztett szavazási módszerek elégtelensége, a segítő technológiák korlátozott elérhetősége, valamint a fogyatékossággal élő személyeknek mint szavazóknak és jelölteknek nyújtott gyakorlati és pénzügyi támogatás hiánya. Egyetlen tagállam sem nyújt külön támogatást a fogyatékossággal élő jelölteknek, illetve nem nyújt állami forrásokat kampányköltségeik fedezésére. Így az akadálymentességgel kapcsolatos pénzügyi és logisztikai terhek kizárólag a leendő jelölteket sújtják.</w:t>
      </w:r>
    </w:p>
    <w:p w14:paraId="486F628D" w14:textId="4E01E9C5" w:rsidR="00044B98" w:rsidRPr="00B42AEB" w:rsidRDefault="001C0943" w:rsidP="00B42AEB">
      <w:pPr>
        <w:rPr>
          <w:noProof/>
        </w:rPr>
      </w:pPr>
      <w:r>
        <w:rPr>
          <w:noProof/>
        </w:rPr>
        <w:t>Az érdekelt felek megemlítették a hallássérült személyek nyelvi szükségleteivel kapcsolatos, a választott hivatal betöltése során felmerülő kihívásokat is. A politikai pártok, a nemzeti parlamentek és az Európai Parlament észszerű alkalmazkodási megoldásokat biztosíthatnak, beleértve a jelnyelvi tolmácsolási szolgáltatásokat is.</w:t>
      </w:r>
    </w:p>
    <w:p w14:paraId="76F4C8A7" w14:textId="2D2C020B" w:rsidR="00B83655" w:rsidRPr="00B42AEB" w:rsidRDefault="00B83655" w:rsidP="006F0581">
      <w:pPr>
        <w:pStyle w:val="Heading1"/>
        <w:spacing w:before="360" w:after="240" w:line="288" w:lineRule="auto"/>
        <w:rPr>
          <w:noProof/>
        </w:rPr>
      </w:pPr>
      <w:bookmarkStart w:id="104" w:name="_Toc158135269"/>
      <w:bookmarkStart w:id="105" w:name="_Toc148718612"/>
      <w:r>
        <w:rPr>
          <w:noProof/>
        </w:rPr>
        <w:t>10. melléklet – Segítő eszközök, akadálymentes szavazófülkék és szavazóurnák rendelkezésre állása </w:t>
      </w:r>
      <w:r>
        <w:rPr>
          <w:rStyle w:val="FootnoteReference"/>
          <w:noProof/>
        </w:rPr>
        <w:t>(</w:t>
      </w:r>
      <w:r>
        <w:rPr>
          <w:rStyle w:val="FootnoteReference"/>
          <w:noProof/>
        </w:rPr>
        <w:footnoteReference w:id="114"/>
      </w:r>
      <w:r>
        <w:rPr>
          <w:rStyle w:val="FootnoteReference"/>
          <w:noProof/>
        </w:rPr>
        <w:t>))</w:t>
      </w:r>
      <w:bookmarkEnd w:id="104"/>
      <w:r>
        <w:rPr>
          <w:noProof/>
        </w:rPr>
        <w:t xml:space="preserve"> </w:t>
      </w:r>
      <w:bookmarkEnd w:id="105"/>
    </w:p>
    <w:tbl>
      <w:tblPr>
        <w:tblStyle w:val="TableGrid"/>
        <w:tblW w:w="5000" w:type="pct"/>
        <w:tblCellMar>
          <w:top w:w="113" w:type="dxa"/>
          <w:bottom w:w="113" w:type="dxa"/>
        </w:tblCellMar>
        <w:tblLook w:val="04A0" w:firstRow="1" w:lastRow="0" w:firstColumn="1" w:lastColumn="0" w:noHBand="0" w:noVBand="1"/>
      </w:tblPr>
      <w:tblGrid>
        <w:gridCol w:w="1786"/>
        <w:gridCol w:w="717"/>
        <w:gridCol w:w="1163"/>
        <w:gridCol w:w="718"/>
        <w:gridCol w:w="718"/>
        <w:gridCol w:w="718"/>
        <w:gridCol w:w="718"/>
        <w:gridCol w:w="1164"/>
        <w:gridCol w:w="679"/>
        <w:gridCol w:w="679"/>
      </w:tblGrid>
      <w:tr w:rsidR="00346220" w:rsidRPr="00D56964" w14:paraId="6F21094C" w14:textId="77777777" w:rsidTr="00F00AF9">
        <w:trPr>
          <w:trHeight w:val="2286"/>
          <w:tblHeader/>
        </w:trPr>
        <w:tc>
          <w:tcPr>
            <w:tcW w:w="98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Tagállam</w:t>
            </w:r>
          </w:p>
        </w:tc>
        <w:tc>
          <w:tcPr>
            <w:tcW w:w="396"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rPr>
            </w:pPr>
            <w:r>
              <w:rPr>
                <w:rFonts w:ascii="Arial" w:hAnsi="Arial"/>
                <w:b/>
                <w:noProof/>
                <w:sz w:val="24"/>
              </w:rPr>
              <w:t>Sablonok</w:t>
            </w:r>
            <w:r>
              <w:rPr>
                <w:b/>
                <w:noProof/>
              </w:rPr>
              <w:t> </w:t>
            </w:r>
            <w:r>
              <w:rPr>
                <w:rStyle w:val="FootnoteReference"/>
                <w:b/>
                <w:noProof/>
              </w:rPr>
              <w:t>(</w:t>
            </w:r>
            <w:r>
              <w:rPr>
                <w:rStyle w:val="FootnoteReference"/>
                <w:b/>
                <w:noProof/>
              </w:rPr>
              <w:footnoteReference w:id="115"/>
            </w:r>
            <w:r>
              <w:rPr>
                <w:rStyle w:val="FootnoteReference"/>
                <w:b/>
                <w:noProof/>
              </w:rPr>
              <w:t>))</w:t>
            </w:r>
          </w:p>
        </w:tc>
        <w:tc>
          <w:tcPr>
            <w:tcW w:w="642"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rPr>
            </w:pPr>
            <w:r>
              <w:rPr>
                <w:rFonts w:ascii="Arial" w:hAnsi="Arial"/>
                <w:b/>
                <w:noProof/>
                <w:sz w:val="24"/>
              </w:rPr>
              <w:t>Nagyító</w:t>
            </w:r>
            <w:r>
              <w:rPr>
                <w:b/>
                <w:noProof/>
              </w:rPr>
              <w:t> </w:t>
            </w:r>
            <w:r>
              <w:rPr>
                <w:rStyle w:val="FootnoteReference"/>
                <w:b/>
                <w:noProof/>
              </w:rPr>
              <w:t>(</w:t>
            </w:r>
            <w:r>
              <w:rPr>
                <w:rStyle w:val="FootnoteReference"/>
                <w:b/>
                <w:noProof/>
              </w:rPr>
              <w:footnoteReference w:id="116"/>
            </w:r>
            <w:r>
              <w:rPr>
                <w:rStyle w:val="FootnoteReference"/>
                <w:b/>
                <w:noProof/>
              </w:rPr>
              <w:t>))</w:t>
            </w:r>
          </w:p>
        </w:tc>
        <w:tc>
          <w:tcPr>
            <w:tcW w:w="39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rPr>
            </w:pPr>
            <w:r>
              <w:rPr>
                <w:rFonts w:ascii="Arial" w:hAnsi="Arial"/>
                <w:b/>
                <w:noProof/>
                <w:sz w:val="24"/>
              </w:rPr>
              <w:t>Megfelelő világítás</w:t>
            </w:r>
            <w:r>
              <w:rPr>
                <w:b/>
                <w:noProof/>
              </w:rPr>
              <w:t> </w:t>
            </w:r>
            <w:r>
              <w:rPr>
                <w:rStyle w:val="FootnoteReference"/>
                <w:b/>
                <w:noProof/>
              </w:rPr>
              <w:t>(</w:t>
            </w:r>
            <w:r>
              <w:rPr>
                <w:rStyle w:val="FootnoteReference"/>
                <w:b/>
                <w:noProof/>
              </w:rPr>
              <w:footnoteReference w:id="117"/>
            </w:r>
            <w:r>
              <w:rPr>
                <w:rStyle w:val="FootnoteReference"/>
                <w:b/>
                <w:noProof/>
              </w:rPr>
              <w:t>))</w:t>
            </w:r>
          </w:p>
        </w:tc>
        <w:tc>
          <w:tcPr>
            <w:tcW w:w="396"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rPr>
            </w:pPr>
            <w:r>
              <w:rPr>
                <w:rFonts w:ascii="Arial" w:hAnsi="Arial"/>
                <w:b/>
                <w:noProof/>
                <w:sz w:val="24"/>
              </w:rPr>
              <w:t>Hangzó leírás</w:t>
            </w:r>
            <w:r>
              <w:rPr>
                <w:b/>
                <w:noProof/>
              </w:rPr>
              <w:t> </w:t>
            </w:r>
            <w:r>
              <w:rPr>
                <w:rStyle w:val="FootnoteReference"/>
                <w:b/>
                <w:noProof/>
              </w:rPr>
              <w:t>(</w:t>
            </w:r>
            <w:r>
              <w:rPr>
                <w:rStyle w:val="FootnoteReference"/>
                <w:b/>
                <w:noProof/>
              </w:rPr>
              <w:footnoteReference w:id="118"/>
            </w:r>
            <w:r>
              <w:rPr>
                <w:rStyle w:val="FootnoteReference"/>
                <w:b/>
                <w:noProof/>
              </w:rPr>
              <w:t>))</w:t>
            </w:r>
          </w:p>
        </w:tc>
        <w:tc>
          <w:tcPr>
            <w:tcW w:w="396"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A szavazóhelyiségben rendelkezésre álló jelnyelvi tolmácsolás</w:t>
            </w:r>
          </w:p>
        </w:tc>
        <w:tc>
          <w:tcPr>
            <w:tcW w:w="396"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rPr>
            </w:pPr>
            <w:r>
              <w:rPr>
                <w:rFonts w:ascii="Arial" w:hAnsi="Arial"/>
                <w:b/>
                <w:noProof/>
                <w:sz w:val="24"/>
              </w:rPr>
              <w:t>Nagybetűs nyomtatott anyagok</w:t>
            </w:r>
            <w:r>
              <w:rPr>
                <w:b/>
                <w:noProof/>
              </w:rPr>
              <w:t> </w:t>
            </w:r>
            <w:r>
              <w:rPr>
                <w:rStyle w:val="FootnoteReference"/>
                <w:b/>
                <w:noProof/>
              </w:rPr>
              <w:t>(</w:t>
            </w:r>
            <w:r>
              <w:rPr>
                <w:rStyle w:val="FootnoteReference"/>
                <w:b/>
                <w:noProof/>
              </w:rPr>
              <w:footnoteReference w:id="119"/>
            </w:r>
            <w:r>
              <w:rPr>
                <w:rStyle w:val="FootnoteReference"/>
                <w:b/>
                <w:noProof/>
              </w:rPr>
              <w:t>))</w:t>
            </w:r>
          </w:p>
        </w:tc>
        <w:tc>
          <w:tcPr>
            <w:tcW w:w="535" w:type="pct"/>
            <w:shd w:val="clear" w:color="auto" w:fill="D9D9D9" w:themeFill="background1" w:themeFillShade="D9"/>
            <w:textDirection w:val="btLr"/>
            <w:vAlign w:val="center"/>
          </w:tcPr>
          <w:p w14:paraId="156FD648" w14:textId="6B2AC5E4" w:rsidR="00B83655" w:rsidRPr="00D56964" w:rsidRDefault="00B83655" w:rsidP="006F0581">
            <w:pPr>
              <w:pStyle w:val="Table"/>
              <w:jc w:val="left"/>
              <w:rPr>
                <w:rFonts w:ascii="Arial" w:hAnsi="Arial"/>
                <w:b/>
                <w:noProof/>
                <w:sz w:val="24"/>
              </w:rPr>
            </w:pPr>
            <w:r>
              <w:rPr>
                <w:rFonts w:ascii="Arial" w:hAnsi="Arial"/>
                <w:b/>
                <w:noProof/>
                <w:sz w:val="24"/>
              </w:rPr>
              <w:t>Braille-írásos szavazólapok</w:t>
            </w:r>
            <w:r>
              <w:rPr>
                <w:b/>
                <w:noProof/>
              </w:rPr>
              <w:t> </w:t>
            </w:r>
            <w:r>
              <w:rPr>
                <w:rStyle w:val="FootnoteReference"/>
                <w:b/>
                <w:noProof/>
              </w:rPr>
              <w:t>(</w:t>
            </w:r>
            <w:r>
              <w:rPr>
                <w:rStyle w:val="FootnoteReference"/>
                <w:b/>
                <w:noProof/>
              </w:rPr>
              <w:footnoteReference w:id="120"/>
            </w:r>
            <w:r>
              <w:rPr>
                <w:rStyle w:val="FootnoteReference"/>
                <w:b/>
                <w:noProof/>
              </w:rPr>
              <w:t>))</w:t>
            </w:r>
          </w:p>
        </w:tc>
        <w:tc>
          <w:tcPr>
            <w:tcW w:w="482"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rPr>
            </w:pPr>
            <w:r>
              <w:rPr>
                <w:rFonts w:ascii="Arial" w:hAnsi="Arial"/>
                <w:b/>
                <w:noProof/>
                <w:sz w:val="24"/>
              </w:rPr>
              <w:t>Akadálymentes szavazófülkék</w:t>
            </w:r>
            <w:r>
              <w:rPr>
                <w:b/>
                <w:noProof/>
              </w:rPr>
              <w:t> </w:t>
            </w:r>
            <w:r>
              <w:rPr>
                <w:rStyle w:val="FootnoteReference"/>
                <w:b/>
                <w:noProof/>
              </w:rPr>
              <w:t>(</w:t>
            </w:r>
            <w:r>
              <w:rPr>
                <w:rStyle w:val="FootnoteReference"/>
                <w:b/>
                <w:noProof/>
              </w:rPr>
              <w:footnoteReference w:id="121"/>
            </w:r>
            <w:r>
              <w:rPr>
                <w:rStyle w:val="FootnoteReference"/>
                <w:b/>
                <w:noProof/>
              </w:rPr>
              <w:t>))</w:t>
            </w:r>
          </w:p>
        </w:tc>
        <w:tc>
          <w:tcPr>
            <w:tcW w:w="375"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rPr>
            </w:pPr>
            <w:r>
              <w:rPr>
                <w:rFonts w:ascii="Arial" w:hAnsi="Arial"/>
                <w:b/>
                <w:noProof/>
                <w:sz w:val="24"/>
              </w:rPr>
              <w:t>Akadálymentes szavazóurnák</w:t>
            </w:r>
            <w:r>
              <w:rPr>
                <w:b/>
                <w:noProof/>
              </w:rPr>
              <w:t> </w:t>
            </w:r>
            <w:r>
              <w:rPr>
                <w:rStyle w:val="FootnoteReference"/>
                <w:b/>
                <w:noProof/>
              </w:rPr>
              <w:t>(</w:t>
            </w:r>
            <w:r>
              <w:rPr>
                <w:rStyle w:val="FootnoteReference"/>
                <w:b/>
                <w:noProof/>
              </w:rPr>
              <w:footnoteReference w:id="122"/>
            </w:r>
            <w:r>
              <w:rPr>
                <w:rStyle w:val="FootnoteReference"/>
                <w:b/>
                <w:noProof/>
              </w:rPr>
              <w:t>))</w:t>
            </w:r>
          </w:p>
        </w:tc>
      </w:tr>
      <w:tr w:rsidR="00346220" w:rsidRPr="00D56964" w14:paraId="75C49AFD" w14:textId="77777777" w:rsidTr="00F00AF9">
        <w:trPr>
          <w:trHeight w:val="242"/>
        </w:trPr>
        <w:tc>
          <w:tcPr>
            <w:tcW w:w="98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Ausztria</w:t>
            </w:r>
          </w:p>
        </w:tc>
        <w:tc>
          <w:tcPr>
            <w:tcW w:w="396"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4620C669" w14:textId="77777777" w:rsidTr="00F00AF9">
        <w:trPr>
          <w:trHeight w:val="242"/>
        </w:trPr>
        <w:tc>
          <w:tcPr>
            <w:tcW w:w="98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Belgium</w:t>
            </w:r>
          </w:p>
        </w:tc>
        <w:tc>
          <w:tcPr>
            <w:tcW w:w="396"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Igen</w:t>
            </w:r>
          </w:p>
        </w:tc>
        <w:tc>
          <w:tcPr>
            <w:tcW w:w="642"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Igen </w:t>
            </w:r>
          </w:p>
        </w:tc>
        <w:tc>
          <w:tcPr>
            <w:tcW w:w="396"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Igen</w:t>
            </w:r>
          </w:p>
        </w:tc>
        <w:tc>
          <w:tcPr>
            <w:tcW w:w="535"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380FF5E9" w14:textId="77777777" w:rsidTr="00F00AF9">
        <w:trPr>
          <w:trHeight w:val="242"/>
        </w:trPr>
        <w:tc>
          <w:tcPr>
            <w:tcW w:w="98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Bulgária</w:t>
            </w:r>
          </w:p>
        </w:tc>
        <w:tc>
          <w:tcPr>
            <w:tcW w:w="396"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44AAD7BA" w14:textId="77777777" w:rsidTr="00F00AF9">
        <w:trPr>
          <w:trHeight w:val="70"/>
        </w:trPr>
        <w:tc>
          <w:tcPr>
            <w:tcW w:w="98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Ciprus</w:t>
            </w:r>
          </w:p>
        </w:tc>
        <w:tc>
          <w:tcPr>
            <w:tcW w:w="396"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Igen</w:t>
            </w:r>
          </w:p>
        </w:tc>
        <w:tc>
          <w:tcPr>
            <w:tcW w:w="535"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0050C1FA" w14:textId="77777777" w:rsidTr="00F00AF9">
        <w:trPr>
          <w:trHeight w:val="70"/>
        </w:trPr>
        <w:tc>
          <w:tcPr>
            <w:tcW w:w="98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Csehország</w:t>
            </w:r>
          </w:p>
        </w:tc>
        <w:tc>
          <w:tcPr>
            <w:tcW w:w="396"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304B5F33" w14:textId="77777777" w:rsidTr="00F00AF9">
        <w:trPr>
          <w:trHeight w:val="305"/>
        </w:trPr>
        <w:tc>
          <w:tcPr>
            <w:tcW w:w="98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Németország</w:t>
            </w:r>
          </w:p>
        </w:tc>
        <w:tc>
          <w:tcPr>
            <w:tcW w:w="396"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508E220C" w14:textId="77777777" w:rsidTr="00F00AF9">
        <w:trPr>
          <w:trHeight w:val="70"/>
        </w:trPr>
        <w:tc>
          <w:tcPr>
            <w:tcW w:w="98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Dánia</w:t>
            </w:r>
          </w:p>
        </w:tc>
        <w:tc>
          <w:tcPr>
            <w:tcW w:w="396"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77B97E2A" w14:textId="77777777" w:rsidTr="00F00AF9">
        <w:trPr>
          <w:trHeight w:val="154"/>
        </w:trPr>
        <w:tc>
          <w:tcPr>
            <w:tcW w:w="98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Észtország</w:t>
            </w:r>
          </w:p>
        </w:tc>
        <w:tc>
          <w:tcPr>
            <w:tcW w:w="396"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6113D5DE" w14:textId="77777777" w:rsidTr="00F00AF9">
        <w:trPr>
          <w:trHeight w:val="154"/>
        </w:trPr>
        <w:tc>
          <w:tcPr>
            <w:tcW w:w="98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Görögország</w:t>
            </w:r>
          </w:p>
        </w:tc>
        <w:tc>
          <w:tcPr>
            <w:tcW w:w="396"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Igen</w:t>
            </w:r>
          </w:p>
        </w:tc>
      </w:tr>
      <w:tr w:rsidR="00346220" w:rsidRPr="00D56964" w14:paraId="45DA51FF" w14:textId="77777777" w:rsidTr="00F00AF9">
        <w:trPr>
          <w:trHeight w:val="154"/>
        </w:trPr>
        <w:tc>
          <w:tcPr>
            <w:tcW w:w="98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Spanyolország</w:t>
            </w:r>
          </w:p>
        </w:tc>
        <w:tc>
          <w:tcPr>
            <w:tcW w:w="396"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Igen</w:t>
            </w:r>
          </w:p>
        </w:tc>
        <w:tc>
          <w:tcPr>
            <w:tcW w:w="642"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Nem</w:t>
            </w:r>
          </w:p>
        </w:tc>
        <w:tc>
          <w:tcPr>
            <w:tcW w:w="535"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Igen</w:t>
            </w:r>
          </w:p>
        </w:tc>
      </w:tr>
      <w:bookmarkEnd w:id="106"/>
      <w:tr w:rsidR="00346220" w:rsidRPr="00D56964" w14:paraId="76153A3B" w14:textId="77777777" w:rsidTr="00F00AF9">
        <w:trPr>
          <w:trHeight w:val="154"/>
        </w:trPr>
        <w:tc>
          <w:tcPr>
            <w:tcW w:w="98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Finnország</w:t>
            </w:r>
          </w:p>
        </w:tc>
        <w:tc>
          <w:tcPr>
            <w:tcW w:w="396"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Igen</w:t>
            </w:r>
          </w:p>
        </w:tc>
        <w:tc>
          <w:tcPr>
            <w:tcW w:w="642"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0F2F6156" w14:textId="77777777" w:rsidTr="00F00AF9">
        <w:trPr>
          <w:trHeight w:val="154"/>
        </w:trPr>
        <w:tc>
          <w:tcPr>
            <w:tcW w:w="98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Franciaország</w:t>
            </w:r>
          </w:p>
        </w:tc>
        <w:tc>
          <w:tcPr>
            <w:tcW w:w="396"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Igen</w:t>
            </w:r>
          </w:p>
        </w:tc>
        <w:tc>
          <w:tcPr>
            <w:tcW w:w="535"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4F388F78" w14:textId="77777777" w:rsidTr="00F00AF9">
        <w:trPr>
          <w:trHeight w:val="154"/>
        </w:trPr>
        <w:tc>
          <w:tcPr>
            <w:tcW w:w="98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Horvátország</w:t>
            </w:r>
          </w:p>
        </w:tc>
        <w:tc>
          <w:tcPr>
            <w:tcW w:w="396"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0CBA1BB1" w14:textId="77777777" w:rsidTr="00F00AF9">
        <w:trPr>
          <w:trHeight w:val="154"/>
        </w:trPr>
        <w:tc>
          <w:tcPr>
            <w:tcW w:w="98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Magyarország</w:t>
            </w:r>
          </w:p>
        </w:tc>
        <w:tc>
          <w:tcPr>
            <w:tcW w:w="396"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Igen</w:t>
            </w:r>
          </w:p>
        </w:tc>
        <w:tc>
          <w:tcPr>
            <w:tcW w:w="535"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12A0A442" w14:textId="77777777" w:rsidTr="00F00AF9">
        <w:trPr>
          <w:trHeight w:val="154"/>
        </w:trPr>
        <w:tc>
          <w:tcPr>
            <w:tcW w:w="98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Írország</w:t>
            </w:r>
          </w:p>
        </w:tc>
        <w:tc>
          <w:tcPr>
            <w:tcW w:w="396"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Igen</w:t>
            </w:r>
          </w:p>
        </w:tc>
        <w:tc>
          <w:tcPr>
            <w:tcW w:w="535"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52DF6AC7" w14:textId="77777777" w:rsidTr="00F00AF9">
        <w:trPr>
          <w:trHeight w:val="154"/>
        </w:trPr>
        <w:tc>
          <w:tcPr>
            <w:tcW w:w="98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Olaszország</w:t>
            </w:r>
          </w:p>
        </w:tc>
        <w:tc>
          <w:tcPr>
            <w:tcW w:w="396"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Igen</w:t>
            </w:r>
          </w:p>
        </w:tc>
      </w:tr>
      <w:tr w:rsidR="00346220" w:rsidRPr="00D56964" w14:paraId="413D88A9" w14:textId="77777777" w:rsidTr="00F00AF9">
        <w:trPr>
          <w:trHeight w:val="154"/>
        </w:trPr>
        <w:tc>
          <w:tcPr>
            <w:tcW w:w="98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Litvánia</w:t>
            </w:r>
          </w:p>
        </w:tc>
        <w:tc>
          <w:tcPr>
            <w:tcW w:w="396"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07F8AE1A" w14:textId="77777777" w:rsidTr="00F00AF9">
        <w:trPr>
          <w:trHeight w:val="154"/>
        </w:trPr>
        <w:tc>
          <w:tcPr>
            <w:tcW w:w="98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Luxemburg</w:t>
            </w:r>
          </w:p>
        </w:tc>
        <w:tc>
          <w:tcPr>
            <w:tcW w:w="396"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7281270B" w14:textId="77777777" w:rsidTr="00F00AF9">
        <w:trPr>
          <w:trHeight w:val="154"/>
        </w:trPr>
        <w:tc>
          <w:tcPr>
            <w:tcW w:w="98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Lettország</w:t>
            </w:r>
          </w:p>
        </w:tc>
        <w:tc>
          <w:tcPr>
            <w:tcW w:w="396"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1819B6C7" w14:textId="77777777" w:rsidTr="00F00AF9">
        <w:trPr>
          <w:trHeight w:val="154"/>
        </w:trPr>
        <w:tc>
          <w:tcPr>
            <w:tcW w:w="98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Málta</w:t>
            </w:r>
          </w:p>
        </w:tc>
        <w:tc>
          <w:tcPr>
            <w:tcW w:w="396"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3E06C38B" w14:textId="77777777" w:rsidTr="00F00AF9">
        <w:trPr>
          <w:trHeight w:val="154"/>
        </w:trPr>
        <w:tc>
          <w:tcPr>
            <w:tcW w:w="98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Hollandia</w:t>
            </w:r>
          </w:p>
        </w:tc>
        <w:tc>
          <w:tcPr>
            <w:tcW w:w="396"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Igen</w:t>
            </w:r>
          </w:p>
        </w:tc>
        <w:tc>
          <w:tcPr>
            <w:tcW w:w="535"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7E35379F" w14:textId="77777777" w:rsidTr="00F00AF9">
        <w:trPr>
          <w:trHeight w:val="154"/>
        </w:trPr>
        <w:tc>
          <w:tcPr>
            <w:tcW w:w="98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Lengyelország</w:t>
            </w:r>
          </w:p>
        </w:tc>
        <w:tc>
          <w:tcPr>
            <w:tcW w:w="396"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6B4F1DA0" w14:textId="77777777" w:rsidTr="00F00AF9">
        <w:trPr>
          <w:trHeight w:val="154"/>
        </w:trPr>
        <w:tc>
          <w:tcPr>
            <w:tcW w:w="98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Portugália</w:t>
            </w:r>
          </w:p>
        </w:tc>
        <w:tc>
          <w:tcPr>
            <w:tcW w:w="396"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Igen</w:t>
            </w:r>
          </w:p>
        </w:tc>
        <w:tc>
          <w:tcPr>
            <w:tcW w:w="482"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61E5BC20" w14:textId="77777777" w:rsidTr="00F00AF9">
        <w:trPr>
          <w:trHeight w:val="154"/>
        </w:trPr>
        <w:tc>
          <w:tcPr>
            <w:tcW w:w="98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Románia</w:t>
            </w:r>
          </w:p>
        </w:tc>
        <w:tc>
          <w:tcPr>
            <w:tcW w:w="396"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5FF8B4D2" w14:textId="77777777" w:rsidTr="00F00AF9">
        <w:trPr>
          <w:trHeight w:val="154"/>
        </w:trPr>
        <w:tc>
          <w:tcPr>
            <w:tcW w:w="98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Svédország</w:t>
            </w:r>
          </w:p>
        </w:tc>
        <w:tc>
          <w:tcPr>
            <w:tcW w:w="396"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Nem</w:t>
            </w:r>
          </w:p>
        </w:tc>
        <w:tc>
          <w:tcPr>
            <w:tcW w:w="642" w:type="pct"/>
            <w:shd w:val="clear" w:color="auto" w:fill="E2EFD9" w:themeFill="accent6" w:themeFillTint="33"/>
          </w:tcPr>
          <w:p w14:paraId="0ED13AB4" w14:textId="04285275" w:rsidR="00C93552" w:rsidRPr="00D56964" w:rsidRDefault="00C93552" w:rsidP="00C93552">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23"/>
            </w:r>
            <w:r>
              <w:rPr>
                <w:rStyle w:val="FootnoteReference"/>
                <w:noProof/>
              </w:rPr>
              <w:t>))</w:t>
            </w:r>
          </w:p>
        </w:tc>
        <w:tc>
          <w:tcPr>
            <w:tcW w:w="39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E2EFD9" w:themeFill="accent6" w:themeFillTint="33"/>
          </w:tcPr>
          <w:p w14:paraId="77F488F2" w14:textId="53EDD9F5" w:rsidR="00C93552" w:rsidRPr="00D56964" w:rsidRDefault="00C93552" w:rsidP="00C93552">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24"/>
            </w:r>
            <w:r>
              <w:rPr>
                <w:rStyle w:val="FootnoteReference"/>
                <w:noProof/>
              </w:rPr>
              <w:t>))</w:t>
            </w:r>
          </w:p>
        </w:tc>
        <w:tc>
          <w:tcPr>
            <w:tcW w:w="482"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26339347" w14:textId="77777777" w:rsidTr="00F00AF9">
        <w:trPr>
          <w:trHeight w:val="154"/>
        </w:trPr>
        <w:tc>
          <w:tcPr>
            <w:tcW w:w="98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Szlovénia</w:t>
            </w:r>
          </w:p>
        </w:tc>
        <w:tc>
          <w:tcPr>
            <w:tcW w:w="396"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Igen</w:t>
            </w:r>
          </w:p>
        </w:tc>
        <w:tc>
          <w:tcPr>
            <w:tcW w:w="642"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Igen</w:t>
            </w:r>
          </w:p>
        </w:tc>
        <w:tc>
          <w:tcPr>
            <w:tcW w:w="396"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Igen</w:t>
            </w:r>
          </w:p>
        </w:tc>
        <w:tc>
          <w:tcPr>
            <w:tcW w:w="535"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Nem</w:t>
            </w:r>
          </w:p>
        </w:tc>
        <w:tc>
          <w:tcPr>
            <w:tcW w:w="482"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Igen</w:t>
            </w:r>
          </w:p>
        </w:tc>
      </w:tr>
      <w:tr w:rsidR="00346220" w:rsidRPr="00D56964" w14:paraId="0D57B21B" w14:textId="77777777" w:rsidTr="00F00AF9">
        <w:trPr>
          <w:trHeight w:val="154"/>
        </w:trPr>
        <w:tc>
          <w:tcPr>
            <w:tcW w:w="98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Szlovákia</w:t>
            </w:r>
          </w:p>
        </w:tc>
        <w:tc>
          <w:tcPr>
            <w:tcW w:w="396"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Nem</w:t>
            </w:r>
          </w:p>
        </w:tc>
        <w:tc>
          <w:tcPr>
            <w:tcW w:w="642"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Nem</w:t>
            </w:r>
          </w:p>
        </w:tc>
        <w:tc>
          <w:tcPr>
            <w:tcW w:w="396"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Nem</w:t>
            </w:r>
          </w:p>
        </w:tc>
        <w:tc>
          <w:tcPr>
            <w:tcW w:w="535"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Nem </w:t>
            </w:r>
          </w:p>
        </w:tc>
        <w:tc>
          <w:tcPr>
            <w:tcW w:w="482"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Igen</w:t>
            </w:r>
          </w:p>
        </w:tc>
        <w:tc>
          <w:tcPr>
            <w:tcW w:w="375"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Igen</w:t>
            </w:r>
          </w:p>
        </w:tc>
      </w:tr>
    </w:tbl>
    <w:p w14:paraId="733EE204" w14:textId="5702A9E9" w:rsidR="00B83655" w:rsidRPr="00B42AEB" w:rsidRDefault="00B83655" w:rsidP="00ED533D">
      <w:pPr>
        <w:pStyle w:val="Heading1"/>
        <w:spacing w:before="360" w:after="240" w:line="288" w:lineRule="auto"/>
        <w:rPr>
          <w:noProof/>
        </w:rPr>
      </w:pPr>
      <w:bookmarkStart w:id="107" w:name="_Toc148718613"/>
      <w:bookmarkStart w:id="108" w:name="_Toc158135270"/>
      <w:r>
        <w:rPr>
          <w:noProof/>
        </w:rPr>
        <w:t>11. melléklet – Kiegészítő szavazási lehetőségek a fogyatékossággal élő személyek számára az uniós tagállamokban </w:t>
      </w:r>
      <w:r>
        <w:rPr>
          <w:rStyle w:val="FootnoteReference"/>
          <w:noProof/>
        </w:rPr>
        <w:t>(</w:t>
      </w:r>
      <w:r>
        <w:rPr>
          <w:rStyle w:val="FootnoteReference"/>
          <w:noProof/>
        </w:rPr>
        <w:footnoteReference w:id="125"/>
      </w:r>
      <w:r>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804"/>
        <w:gridCol w:w="842"/>
        <w:gridCol w:w="723"/>
        <w:gridCol w:w="723"/>
        <w:gridCol w:w="723"/>
        <w:gridCol w:w="1174"/>
        <w:gridCol w:w="1174"/>
        <w:gridCol w:w="723"/>
        <w:gridCol w:w="1174"/>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Ország</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noProof/>
                <w:sz w:val="24"/>
              </w:rPr>
            </w:pPr>
            <w:r>
              <w:rPr>
                <w:rFonts w:ascii="Arial" w:hAnsi="Arial"/>
                <w:b/>
                <w:noProof/>
                <w:sz w:val="24"/>
              </w:rPr>
              <w:t>Mozgóurnás szavazás</w:t>
            </w:r>
            <w:r>
              <w:rPr>
                <w:b/>
                <w:noProof/>
              </w:rPr>
              <w:t> </w:t>
            </w:r>
            <w:r>
              <w:rPr>
                <w:rStyle w:val="FootnoteReference"/>
                <w:b/>
                <w:noProof/>
              </w:rPr>
              <w:t>(</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noProof/>
                <w:sz w:val="24"/>
              </w:rPr>
            </w:pPr>
            <w:r>
              <w:rPr>
                <w:rFonts w:ascii="Arial" w:hAnsi="Arial"/>
                <w:b/>
                <w:noProof/>
                <w:sz w:val="24"/>
              </w:rPr>
              <w:t>A szavazóhelyiségen kívül történő szavazás</w:t>
            </w:r>
            <w:r>
              <w:rPr>
                <w:b/>
                <w:noProof/>
              </w:rPr>
              <w:t> </w:t>
            </w:r>
            <w:r>
              <w:rPr>
                <w:rStyle w:val="FootnoteReference"/>
                <w:b/>
                <w:noProof/>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52D6D4D1" w:rsidR="00B83655" w:rsidRPr="00ED533D" w:rsidRDefault="00B83655" w:rsidP="00ED533D">
            <w:pPr>
              <w:pStyle w:val="Table"/>
              <w:jc w:val="left"/>
              <w:rPr>
                <w:rFonts w:ascii="Arial" w:hAnsi="Arial"/>
                <w:b/>
                <w:noProof/>
                <w:sz w:val="24"/>
              </w:rPr>
            </w:pPr>
            <w:r>
              <w:rPr>
                <w:rFonts w:ascii="Arial" w:hAnsi="Arial"/>
                <w:b/>
                <w:noProof/>
                <w:sz w:val="24"/>
              </w:rPr>
              <w:t>Szavazóhelyiség kiválasztása</w:t>
            </w:r>
            <w:r>
              <w:rPr>
                <w:b/>
                <w:noProof/>
              </w:rPr>
              <w:t> </w:t>
            </w:r>
            <w:r>
              <w:rPr>
                <w:rStyle w:val="FootnoteReference"/>
                <w:b/>
                <w:noProof/>
              </w:rPr>
              <w:t>(</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noProof/>
                <w:sz w:val="24"/>
              </w:rPr>
            </w:pPr>
            <w:r>
              <w:rPr>
                <w:rFonts w:ascii="Arial" w:hAnsi="Arial"/>
                <w:b/>
                <w:noProof/>
                <w:sz w:val="24"/>
              </w:rPr>
              <w:t>Előszavazás</w:t>
            </w:r>
            <w:r>
              <w:rPr>
                <w:b/>
                <w:noProof/>
              </w:rPr>
              <w:t> </w:t>
            </w:r>
            <w:r>
              <w:rPr>
                <w:rStyle w:val="FootnoteReference"/>
                <w:b/>
                <w:noProof/>
              </w:rPr>
              <w:t>(</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noProof/>
                <w:sz w:val="24"/>
              </w:rPr>
            </w:pPr>
            <w:r>
              <w:rPr>
                <w:rFonts w:ascii="Arial" w:hAnsi="Arial"/>
                <w:b/>
                <w:noProof/>
                <w:sz w:val="24"/>
              </w:rPr>
              <w:t>Levélszavazás</w:t>
            </w:r>
            <w:r>
              <w:rPr>
                <w:b/>
                <w:noProof/>
              </w:rPr>
              <w:t> </w:t>
            </w:r>
            <w:r>
              <w:rPr>
                <w:rStyle w:val="FootnoteReference"/>
                <w:b/>
                <w:noProof/>
              </w:rPr>
              <w:t>(</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noProof/>
                <w:sz w:val="24"/>
              </w:rPr>
            </w:pPr>
            <w:r>
              <w:rPr>
                <w:rFonts w:ascii="Arial" w:hAnsi="Arial"/>
                <w:b/>
                <w:noProof/>
                <w:sz w:val="24"/>
              </w:rPr>
              <w:t>Segítővel történő szavazás</w:t>
            </w:r>
            <w:r>
              <w:rPr>
                <w:b/>
                <w:noProof/>
              </w:rPr>
              <w:t> </w:t>
            </w:r>
            <w:r>
              <w:rPr>
                <w:rStyle w:val="FootnoteReference"/>
                <w:b/>
                <w:noProof/>
              </w:rPr>
              <w:t>(</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noProof/>
                <w:sz w:val="24"/>
              </w:rPr>
            </w:pPr>
            <w:r>
              <w:rPr>
                <w:rFonts w:ascii="Arial" w:hAnsi="Arial"/>
                <w:b/>
                <w:noProof/>
                <w:sz w:val="24"/>
              </w:rPr>
              <w:t>Meghatalmazás útján történő szavazás</w:t>
            </w:r>
            <w:r>
              <w:rPr>
                <w:b/>
                <w:noProof/>
              </w:rPr>
              <w:t> </w:t>
            </w:r>
            <w:r>
              <w:rPr>
                <w:rStyle w:val="FootnoteReference"/>
                <w:b/>
                <w:noProof/>
              </w:rPr>
              <w:t>(</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noProof/>
                <w:sz w:val="24"/>
              </w:rPr>
            </w:pPr>
            <w:r>
              <w:rPr>
                <w:rFonts w:ascii="Arial" w:hAnsi="Arial"/>
                <w:b/>
                <w:noProof/>
                <w:sz w:val="24"/>
              </w:rPr>
              <w:t>Internetes szavazás</w:t>
            </w:r>
            <w:r>
              <w:rPr>
                <w:b/>
                <w:noProof/>
              </w:rPr>
              <w:t> </w:t>
            </w:r>
            <w:r>
              <w:rPr>
                <w:rStyle w:val="FootnoteReference"/>
                <w:b/>
                <w:noProof/>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Ausztria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Belgium</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Bulgária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Ciprus</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Csehország</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Németország</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Dánia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Észtország</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Igen</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Görögország</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Nem</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Spanyolország</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Nem</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Finnország</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Nem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Nem</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Franciaország</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Igen</w:t>
            </w:r>
            <w:r>
              <w:rPr>
                <w:rFonts w:ascii="Arial" w:hAnsi="Arial"/>
                <w:noProof/>
                <w:sz w:val="24"/>
                <w:vertAlign w:val="superscript"/>
              </w:rPr>
              <w:t> (</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Horvátország</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Magyarország</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Írország</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Olaszország</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Litvánia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Lettország</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Málta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Hollandia</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Lengyelország</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Portugália</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Nem</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Románia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Nem</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Svédország</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rPr>
            </w:pPr>
            <w:r>
              <w:rPr>
                <w:rFonts w:ascii="Arial" w:hAnsi="Arial"/>
                <w:noProof/>
                <w:sz w:val="24"/>
              </w:rPr>
              <w:t>Igen</w:t>
            </w:r>
            <w:r>
              <w:rPr>
                <w:noProof/>
              </w:rPr>
              <w:t> </w:t>
            </w:r>
            <w:r>
              <w:rPr>
                <w:rStyle w:val="FootnoteReference"/>
                <w:noProof/>
              </w:rPr>
              <w:t>(</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Nem</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Szlovénia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Igen</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Nem</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Szlovákia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Nem</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Igen</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Nem</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Nem</w:t>
            </w:r>
          </w:p>
        </w:tc>
      </w:tr>
    </w:tbl>
    <w:p w14:paraId="56CE4BE4" w14:textId="6DCB6C32" w:rsidR="00552F78" w:rsidRPr="00B42AEB" w:rsidRDefault="00552F78" w:rsidP="00ED533D">
      <w:pPr>
        <w:rPr>
          <w:noProof/>
        </w:rPr>
      </w:pPr>
    </w:p>
    <w:sectPr w:rsidR="00552F78" w:rsidRPr="00B42AEB" w:rsidSect="00DF0764">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5CAA00" w14:textId="77777777" w:rsidR="007D69D3" w:rsidRPr="00365B62" w:rsidRDefault="007D69D3" w:rsidP="00B42AEB">
      <w:r>
        <w:separator/>
      </w:r>
    </w:p>
  </w:endnote>
  <w:endnote w:type="continuationSeparator" w:id="0">
    <w:p w14:paraId="0C139F91" w14:textId="77777777" w:rsidR="007D69D3" w:rsidRPr="00365B62" w:rsidRDefault="007D69D3" w:rsidP="00B42AEB">
      <w:r>
        <w:continuationSeparator/>
      </w:r>
    </w:p>
  </w:endnote>
  <w:endnote w:type="continuationNotice" w:id="1">
    <w:p w14:paraId="2C688EB2" w14:textId="77777777" w:rsidR="007D69D3" w:rsidRPr="00365B62" w:rsidRDefault="007D69D3"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80A0CB" w14:textId="55D9D543" w:rsidR="00250FB9" w:rsidRPr="00250FB9" w:rsidRDefault="00250FB9" w:rsidP="00250FB9">
    <w:pPr>
      <w:pStyle w:val="FooterCoverPage"/>
      <w:rPr>
        <w:rFonts w:ascii="Arial" w:hAnsi="Arial" w:cs="Arial"/>
        <w:b/>
        <w:sz w:val="48"/>
      </w:rPr>
    </w:pPr>
    <w:r w:rsidRPr="00250FB9">
      <w:rPr>
        <w:rFonts w:ascii="Arial" w:hAnsi="Arial" w:cs="Arial"/>
        <w:b/>
        <w:sz w:val="48"/>
      </w:rPr>
      <w:t>HU</w:t>
    </w:r>
    <w:r w:rsidRPr="00250FB9">
      <w:rPr>
        <w:rFonts w:ascii="Arial" w:hAnsi="Arial" w:cs="Arial"/>
        <w:b/>
        <w:sz w:val="48"/>
      </w:rPr>
      <w:tab/>
    </w:r>
    <w:r w:rsidRPr="00250FB9">
      <w:rPr>
        <w:rFonts w:ascii="Arial" w:hAnsi="Arial" w:cs="Arial"/>
        <w:b/>
        <w:sz w:val="48"/>
      </w:rPr>
      <w:tab/>
    </w:r>
    <w:r w:rsidRPr="00250FB9">
      <w:tab/>
    </w:r>
    <w:r w:rsidRPr="00250FB9">
      <w:rPr>
        <w:rFonts w:ascii="Arial" w:hAnsi="Arial" w:cs="Arial"/>
        <w:b/>
        <w:sz w:val="48"/>
      </w:rPr>
      <w:t>HU</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AC0FD" w14:textId="084A4EF2" w:rsidR="00250FB9" w:rsidRPr="00250FB9" w:rsidRDefault="00250FB9" w:rsidP="00250FB9">
    <w:pPr>
      <w:pStyle w:val="FooterCoverPage"/>
      <w:rPr>
        <w:rFonts w:ascii="Arial" w:hAnsi="Arial" w:cs="Arial"/>
        <w:b/>
        <w:sz w:val="48"/>
      </w:rPr>
    </w:pPr>
    <w:r w:rsidRPr="00250FB9">
      <w:rPr>
        <w:rFonts w:ascii="Arial" w:hAnsi="Arial" w:cs="Arial"/>
        <w:b/>
        <w:sz w:val="48"/>
      </w:rPr>
      <w:t>HU</w:t>
    </w:r>
    <w:r w:rsidRPr="00250FB9">
      <w:rPr>
        <w:rFonts w:ascii="Arial" w:hAnsi="Arial" w:cs="Arial"/>
        <w:b/>
        <w:sz w:val="48"/>
      </w:rPr>
      <w:tab/>
    </w:r>
    <w:r w:rsidRPr="00250FB9">
      <w:rPr>
        <w:rFonts w:ascii="Arial" w:hAnsi="Arial" w:cs="Arial"/>
        <w:b/>
        <w:sz w:val="48"/>
      </w:rPr>
      <w:tab/>
    </w:r>
    <w:r w:rsidRPr="00250FB9">
      <w:tab/>
    </w:r>
    <w:r w:rsidRPr="00250FB9">
      <w:rPr>
        <w:rFonts w:ascii="Arial" w:hAnsi="Arial" w:cs="Arial"/>
        <w:b/>
        <w:sz w:val="48"/>
      </w:rPr>
      <w:t>HU</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62C3CA" w14:textId="77777777" w:rsidR="00250FB9" w:rsidRPr="00250FB9" w:rsidRDefault="00250FB9" w:rsidP="00250FB9">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158E2306"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250FB9">
          <w:rPr>
            <w:noProof/>
            <w:sz w:val="20"/>
          </w:rPr>
          <w:t>3</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5D1883" w14:textId="77777777" w:rsidR="007D69D3" w:rsidRPr="00365B62" w:rsidRDefault="007D69D3" w:rsidP="00B42AEB">
      <w:r>
        <w:separator/>
      </w:r>
    </w:p>
  </w:footnote>
  <w:footnote w:type="continuationSeparator" w:id="0">
    <w:p w14:paraId="1A1F83A7" w14:textId="77777777" w:rsidR="007D69D3" w:rsidRPr="00365B62" w:rsidRDefault="007D69D3" w:rsidP="00B42AEB">
      <w:r>
        <w:continuationSeparator/>
      </w:r>
    </w:p>
  </w:footnote>
  <w:footnote w:type="continuationNotice" w:id="1">
    <w:p w14:paraId="186CC0DC" w14:textId="77777777" w:rsidR="007D69D3" w:rsidRPr="00365B62" w:rsidRDefault="007D69D3"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Politikai iránymutatás a hivatalba lépő következő Európai Bizottság számára (2019–2024)</w:t>
        </w:r>
      </w:hyperlink>
      <w:r>
        <w:rPr>
          <w:rFonts w:ascii="Arial" w:hAnsi="Arial"/>
        </w:rPr>
        <w:t xml:space="preserve">. </w:t>
      </w:r>
    </w:p>
  </w:footnote>
  <w:footnote w:id="3">
    <w:p w14:paraId="5C3E2BAB" w14:textId="064171A2"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rFonts w:eastAsiaTheme="majorEastAsia"/>
          <w:sz w:val="20"/>
        </w:rPr>
        <w:footnoteRef/>
      </w:r>
      <w:r w:rsidRPr="00713543">
        <w:rPr>
          <w:rFonts w:ascii="Arial" w:hAnsi="Arial"/>
          <w:lang w:val="fr-BE"/>
        </w:rPr>
        <w:t xml:space="preserve"> </w:t>
      </w:r>
      <w:hyperlink r:id="rId2" w:history="1">
        <w:r w:rsidRPr="00713543">
          <w:rPr>
            <w:rStyle w:val="Hyperlink"/>
            <w:sz w:val="20"/>
            <w:lang w:val="fr-BE"/>
          </w:rPr>
          <w:t>Statisztika |</w:t>
        </w:r>
      </w:hyperlink>
      <w:hyperlink r:id="rId3" w:history="1">
        <w:r w:rsidRPr="00713543">
          <w:rPr>
            <w:rStyle w:val="Hyperlink"/>
            <w:sz w:val="20"/>
            <w:lang w:val="fr-BE"/>
          </w:rPr>
          <w:t xml:space="preserve"> Eurostat (europa.eu)</w:t>
        </w:r>
      </w:hyperlink>
      <w:r w:rsidRPr="00713543">
        <w:rPr>
          <w:rFonts w:ascii="Arial" w:hAnsi="Arial"/>
          <w:lang w:val="fr-BE"/>
        </w:rPr>
        <w:t>.</w:t>
      </w:r>
    </w:p>
  </w:footnote>
  <w:footnote w:id="4">
    <w:p w14:paraId="5E0E730A" w14:textId="541A0532"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rFonts w:ascii="Arial" w:hAnsi="Arial"/>
          <w:lang w:val="fr-BE"/>
        </w:rPr>
        <w:t xml:space="preserve"> </w:t>
      </w:r>
      <w:hyperlink r:id="rId4" w:history="1">
        <w:r w:rsidRPr="00713543">
          <w:rPr>
            <w:rStyle w:val="Hyperlink"/>
            <w:sz w:val="20"/>
            <w:lang w:val="fr-BE"/>
          </w:rPr>
          <w:t>Jelentés a 2019. évi európai parlamenti választásokról</w:t>
        </w:r>
      </w:hyperlink>
      <w:r w:rsidRPr="00713543">
        <w:rPr>
          <w:rFonts w:ascii="Arial" w:hAnsi="Arial"/>
          <w:lang w:val="fr-BE"/>
        </w:rPr>
        <w:t>.</w:t>
      </w:r>
    </w:p>
  </w:footnote>
  <w:footnote w:id="5">
    <w:p w14:paraId="111C1331" w14:textId="77777777"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lang w:val="fr-BE"/>
        </w:rPr>
        <w:t xml:space="preserve"> </w:t>
      </w:r>
      <w:r w:rsidRPr="00713543">
        <w:rPr>
          <w:rFonts w:ascii="Arial" w:hAnsi="Arial"/>
          <w:lang w:val="fr-BE"/>
        </w:rPr>
        <w:t>A Bizottság jelentése hivatkozik továbbá az Európai Gazdasági és Szociális Bizottság jelentésére, amely szerint 16 tagállamból mintegy 800 000 uniós polgárt foszthattak meg attól a jogától, hogy részt vegyen a 2019. évi európai parlamenti választásokon.</w:t>
      </w:r>
    </w:p>
  </w:footnote>
  <w:footnote w:id="6">
    <w:p w14:paraId="355B1A66" w14:textId="3F8F17D8"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rFonts w:ascii="Arial" w:hAnsi="Arial"/>
          <w:lang w:val="fr-BE"/>
        </w:rPr>
        <w:t xml:space="preserve"> További információk az </w:t>
      </w:r>
      <w:hyperlink r:id="rId5" w:history="1">
        <w:r w:rsidRPr="00713543">
          <w:rPr>
            <w:rStyle w:val="Hyperlink"/>
            <w:sz w:val="20"/>
            <w:lang w:val="fr-BE"/>
          </w:rPr>
          <w:t>európai választási együttműködési hálózatról</w:t>
        </w:r>
      </w:hyperlink>
      <w:r w:rsidRPr="00713543">
        <w:rPr>
          <w:rFonts w:ascii="Arial" w:hAnsi="Arial"/>
          <w:lang w:val="fr-BE"/>
        </w:rPr>
        <w:t xml:space="preserve"> (ECNE).</w:t>
      </w:r>
    </w:p>
  </w:footnote>
  <w:footnote w:id="7">
    <w:p w14:paraId="1E8931A9" w14:textId="2682723A"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rFonts w:ascii="Arial" w:hAnsi="Arial"/>
          <w:lang w:val="fr-BE"/>
        </w:rPr>
        <w:t xml:space="preserve"> </w:t>
      </w:r>
      <w:hyperlink r:id="rId6" w:history="1">
        <w:r w:rsidRPr="00713543">
          <w:rPr>
            <w:rStyle w:val="Hyperlink"/>
            <w:sz w:val="20"/>
            <w:lang w:val="fr-BE"/>
          </w:rPr>
          <w:t>Az Európai Parlament 2022. május 3-i jogalkotási állásfoglalása az Európai Parlament tagjainak közvetlen és általános választójog alapján történő választásáról, a 76/787/ESZAK, EGK, Euratom tanácsi határozat és az e határozathoz csatolt, az Európai Parlament tagjainak közvetlen és általános választójog alapján történő választásáról szóló okmány hatályon kívül helyezéséről szóló tanácsi rendeletre irányuló javaslatról</w:t>
        </w:r>
      </w:hyperlink>
      <w:r w:rsidRPr="00713543">
        <w:rPr>
          <w:rFonts w:ascii="Arial" w:hAnsi="Arial"/>
          <w:lang w:val="fr-BE"/>
        </w:rPr>
        <w:t xml:space="preserve"> (2020/2220(INL) – 2022/0902(APP)).</w:t>
      </w:r>
    </w:p>
  </w:footnote>
  <w:footnote w:id="8">
    <w:p w14:paraId="7705D86C" w14:textId="77777777"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rFonts w:ascii="Arial" w:hAnsi="Arial"/>
          <w:lang w:val="fr-BE"/>
        </w:rPr>
        <w:t xml:space="preserve"> A Parlament felszólította továbbá „a tagállamokat, hogy vezessenek be intézkedéseket a választások fogyatékossággal élő polgárok általi hozzáférhetőségének lehető legteljesebbé tétele érdekében, többek között és adott esetben a szavazással kapcsolatos tájékoztatásra és regisztrációra, a szavazóhelyiségekre, a szavazófülkékre és -eszközökre, valamint a szavazólapokra is kiterjedően; azt ajánlotta, hogy vezessenek be a nemzeti választási eljárásokhoz igazodó megfelelő intézkedéseket a fogyatékossággal élő polgárok szavazásának megkönnyítése érdekében, ideértve például a szavazóhelyiség megválasztásának lehetőségét, zárt szavazóhelyiségeket a kulcsfontosságú helyeken, valamint olyan segítő technológiák, formátumok és technikák használatát, mint a Braille-írás, a nagybetűs írás, a hangalapú tájékoztatás, a tapintható stencilek, a könnyen olvasható információk és a jelnyelvi kommunikáció; felhívta a tagállamokat, hogy biztosítsák a fogyatékossággal élő személyek számára, hogy szükség esetén és kérésükre egy általuk választott személytől segítséget kaphassanak a szavazáshoz”.</w:t>
      </w:r>
    </w:p>
  </w:footnote>
  <w:footnote w:id="9">
    <w:p w14:paraId="3D35A96A" w14:textId="43028870" w:rsidR="00EE2BB3" w:rsidRPr="00713543" w:rsidRDefault="00EE2BB3" w:rsidP="0034629E">
      <w:pPr>
        <w:pStyle w:val="FootnoteText"/>
        <w:spacing w:after="60" w:line="264" w:lineRule="auto"/>
        <w:ind w:left="154" w:hanging="154"/>
        <w:jc w:val="left"/>
        <w:rPr>
          <w:rFonts w:ascii="Arial" w:hAnsi="Arial" w:cs="Arial"/>
          <w:lang w:val="fr-BE"/>
        </w:rPr>
      </w:pPr>
      <w:r>
        <w:rPr>
          <w:rStyle w:val="FootnoteReference"/>
          <w:sz w:val="20"/>
        </w:rPr>
        <w:footnoteRef/>
      </w:r>
      <w:r w:rsidRPr="00713543">
        <w:rPr>
          <w:rFonts w:ascii="Arial" w:hAnsi="Arial"/>
          <w:lang w:val="fr-BE"/>
        </w:rPr>
        <w:t xml:space="preserve"> </w:t>
      </w:r>
      <w:hyperlink r:id="rId7" w:history="1">
        <w:r w:rsidRPr="00713543">
          <w:rPr>
            <w:rStyle w:val="Hyperlink"/>
            <w:sz w:val="20"/>
            <w:lang w:val="fr-BE"/>
          </w:rPr>
          <w:t>Az Európai Parlament 2022. december 13-i állásfoglalása: a fogyatékossággal élő személyek egyenlő jogai felé</w:t>
        </w:r>
      </w:hyperlink>
      <w:r w:rsidRPr="00713543">
        <w:rPr>
          <w:rFonts w:ascii="Arial" w:hAnsi="Arial"/>
          <w:lang w:val="fr-BE"/>
        </w:rPr>
        <w:t xml:space="preserve"> (2022/2026(INI)).</w:t>
      </w:r>
    </w:p>
  </w:footnote>
  <w:footnote w:id="10">
    <w:p w14:paraId="6375D8AA" w14:textId="77777777" w:rsidR="00EE2BB3" w:rsidRPr="0071354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713543">
        <w:rPr>
          <w:lang w:val="fr-BE"/>
        </w:rPr>
        <w:t xml:space="preserve"> </w:t>
      </w:r>
      <w:r w:rsidRPr="00713543">
        <w:rPr>
          <w:rFonts w:ascii="Arial" w:hAnsi="Arial"/>
          <w:lang w:val="fr-BE"/>
        </w:rPr>
        <w:t>Az állásfoglalás hangsúlyozta továbbá, hogy biztosítani kell a független és titkos szavazáshoz való jogot, valamint azt, hogy a fogyatékossággal élő személyek egyenlő esélyekkel rendelkezzenek a választásokon való kampányolásra, illetve hogy a szavazóhelyiségek akadálymentesek legyenek a fogyatékossággal élő személyek számára. Az európai, nemzeti, regionális és helyi politikai pártoknak biztosítaniuk kell a fogyatékossággal élő személyek jobb képviseletét a választói névjegyzékekben. Az állásfoglalás felkérte a tagállamok kijelölt választási hatóságait, hogy gyűjtsenek adatokat a szavazóhelyiségek akadálymentességéről, beleértve annak jelzését is, hogy a szavazóhelyiségek igazodnak-e a fogyatékossággal élő személyek szükségleteihez, és erről legkésőbb egy évvel az európai parlamenti választások után tegyenek jelentést a Bizottságnak, a Tanácsnak és az Európai Parlamentnek.</w:t>
      </w:r>
    </w:p>
  </w:footnote>
  <w:footnote w:id="11">
    <w:p w14:paraId="16568EE6" w14:textId="4A60DF9E" w:rsidR="00EE2BB3" w:rsidRPr="00713543" w:rsidRDefault="00EE2BB3" w:rsidP="0034629E">
      <w:pPr>
        <w:spacing w:after="60" w:line="264" w:lineRule="auto"/>
        <w:ind w:left="196" w:hanging="196"/>
        <w:rPr>
          <w:sz w:val="20"/>
          <w:lang w:val="fr-BE"/>
        </w:rPr>
      </w:pPr>
      <w:r>
        <w:rPr>
          <w:rStyle w:val="FootnoteReference"/>
          <w:sz w:val="20"/>
        </w:rPr>
        <w:footnoteRef/>
      </w:r>
      <w:r w:rsidRPr="00713543">
        <w:rPr>
          <w:sz w:val="20"/>
          <w:lang w:val="fr-BE"/>
        </w:rPr>
        <w:t xml:space="preserve"> </w:t>
      </w:r>
      <w:hyperlink r:id="rId8" w:history="1">
        <w:r w:rsidRPr="00713543">
          <w:rPr>
            <w:rStyle w:val="Hyperlink"/>
            <w:sz w:val="20"/>
            <w:shd w:val="clear" w:color="auto" w:fill="FFFFFF"/>
            <w:lang w:val="fr-BE"/>
          </w:rPr>
          <w:t>Az Európai Parlament 2023. február 14-i jogalkotási állásfoglalása az állampolgárságuktól eltérő tagállamban lakóhellyel rendelkező uniós polgárok aktív és passzív választójogának a helyhatósági választásokon történő gyakorlására vonatkozó részletes szabályok megállapításáról szóló tanácsi irányelvre irányuló javaslatról (átdolgozás)</w:t>
        </w:r>
      </w:hyperlink>
      <w:r w:rsidRPr="00713543">
        <w:rPr>
          <w:sz w:val="20"/>
          <w:shd w:val="clear" w:color="auto" w:fill="FFFFFF"/>
          <w:lang w:val="fr-BE"/>
        </w:rPr>
        <w:t xml:space="preserve"> (COM(2021) 733 – C9-0022/2022–2021/0373(CNS)) </w:t>
      </w:r>
      <w:r w:rsidRPr="00713543">
        <w:rPr>
          <w:sz w:val="20"/>
          <w:lang w:val="fr-BE"/>
        </w:rPr>
        <w:t xml:space="preserve">és </w:t>
      </w:r>
      <w:hyperlink r:id="rId9" w:history="1">
        <w:r w:rsidRPr="00713543">
          <w:rPr>
            <w:rStyle w:val="Hyperlink"/>
            <w:sz w:val="20"/>
            <w:lang w:val="fr-BE"/>
          </w:rPr>
          <w:t>Az Európai Parlament 2023. február 14-i jogalkotási állásfoglalása az állampolgárságuktól eltérő tagállamban lakóhellyel rendelkező uniós polgárok aktív és passzív választójogának az európai parlamenti választásokon történő gyakorlására vonatkozó részletes szabályok megállapításáról szóló tanácsi irányelvre irányuló javaslatról (átdolgozás)</w:t>
        </w:r>
      </w:hyperlink>
      <w:r w:rsidRPr="00713543">
        <w:rPr>
          <w:sz w:val="20"/>
          <w:lang w:val="fr-BE"/>
        </w:rPr>
        <w:t xml:space="preserve"> (COM(2021) 732 – C9-0021/2022–2021/0372(CNS)).</w:t>
      </w:r>
    </w:p>
  </w:footnote>
  <w:footnote w:id="12">
    <w:p w14:paraId="2CBD2C11" w14:textId="0546226A"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10" w:history="1">
        <w:r w:rsidRPr="00713543">
          <w:rPr>
            <w:rStyle w:val="Hyperlink"/>
            <w:sz w:val="20"/>
            <w:lang w:val="fr-BE"/>
          </w:rPr>
          <w:t>Az Európai Gazdasági és Szociális Bizottság tájékoztató jelentése – A fogyatékossággal élők tényleges jogai arra, hogy szavazzanak az európai parlamenti választásokon</w:t>
        </w:r>
      </w:hyperlink>
      <w:r w:rsidRPr="00713543">
        <w:rPr>
          <w:rFonts w:ascii="Arial" w:hAnsi="Arial"/>
          <w:lang w:val="fr-BE"/>
        </w:rPr>
        <w:t>.</w:t>
      </w:r>
    </w:p>
  </w:footnote>
  <w:footnote w:id="13">
    <w:p w14:paraId="4B10AA50"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A jelentésben említett bevált gyakorlatok közé tartoznak például a fogyatékkal élőknek szánt mozgóurnák (Bulgária):</w:t>
      </w:r>
    </w:p>
    <w:p w14:paraId="596296A7" w14:textId="6EA2E86A" w:rsidR="00EE2BB3" w:rsidRPr="00713543" w:rsidRDefault="00EE2BB3" w:rsidP="002D36F0">
      <w:pPr>
        <w:pStyle w:val="FootnoteText"/>
        <w:numPr>
          <w:ilvl w:val="0"/>
          <w:numId w:val="7"/>
        </w:numPr>
        <w:spacing w:after="60" w:line="264" w:lineRule="auto"/>
        <w:jc w:val="left"/>
        <w:rPr>
          <w:rFonts w:ascii="Arial" w:hAnsi="Arial" w:cs="Arial"/>
          <w:lang w:val="fr-BE"/>
        </w:rPr>
      </w:pPr>
      <w:r w:rsidRPr="00713543">
        <w:rPr>
          <w:rFonts w:ascii="Arial" w:hAnsi="Arial"/>
          <w:lang w:val="fr-BE"/>
        </w:rPr>
        <w:t>közérthető nyelven és Braille-írással készült célzott tájékoztató anyagok (videók, brosúrák) bizonyos csoportok különböző nyelveken történő támogatása céljából (Belgium), kísérleti projekt a látássérültek önálló elektronikus szavazásáról (Belgium), akadálymentes szavazóhelyiségek és szavazóurnák kórházakban, ápolóotthonokban vagy hasonló intézményekben (Írország),</w:t>
      </w:r>
    </w:p>
    <w:p w14:paraId="363A6B78" w14:textId="7ABB1547" w:rsidR="00EE2BB3" w:rsidRPr="00713543" w:rsidRDefault="00D45A6D" w:rsidP="002D36F0">
      <w:pPr>
        <w:pStyle w:val="FootnoteText"/>
        <w:numPr>
          <w:ilvl w:val="0"/>
          <w:numId w:val="7"/>
        </w:numPr>
        <w:spacing w:after="60" w:line="264" w:lineRule="auto"/>
        <w:jc w:val="left"/>
        <w:rPr>
          <w:rFonts w:ascii="Arial" w:hAnsi="Arial" w:cs="Arial"/>
          <w:lang w:val="fr-BE"/>
        </w:rPr>
      </w:pPr>
      <w:r w:rsidRPr="00713543">
        <w:rPr>
          <w:rFonts w:ascii="Arial" w:hAnsi="Arial"/>
          <w:lang w:val="fr-BE"/>
        </w:rPr>
        <w:t>Braille-írással történő papíralapú szavazás (Szlovákia), kutatás a fogyatékossággal élő politikusokat érintő akadályokról, valamint arról, hogy milyen intézkedésekre van szükség ahhoz, hogy részt vehessenek és ellássák feladataikat (Hollandia).</w:t>
      </w:r>
    </w:p>
  </w:footnote>
  <w:footnote w:id="14">
    <w:p w14:paraId="29BD9682" w14:textId="1A7406FE" w:rsidR="00EE2BB3" w:rsidRPr="00713543"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713543">
        <w:rPr>
          <w:rFonts w:ascii="Arial" w:hAnsi="Arial"/>
          <w:lang w:val="fr-BE"/>
        </w:rPr>
        <w:t xml:space="preserve"> </w:t>
      </w:r>
      <w:hyperlink r:id="rId11" w:history="1">
        <w:r w:rsidRPr="00713543">
          <w:rPr>
            <w:rStyle w:val="Hyperlink"/>
            <w:sz w:val="20"/>
            <w:lang w:val="fr-BE"/>
          </w:rPr>
          <w:t>Az Európai Unió bevezető jelentésével kapcsolatos záró észrevételek</w:t>
        </w:r>
      </w:hyperlink>
      <w:r w:rsidRPr="00713543">
        <w:rPr>
          <w:rFonts w:ascii="Arial" w:hAnsi="Arial"/>
          <w:lang w:val="fr-BE"/>
        </w:rPr>
        <w:t xml:space="preserve">, amelyet 2015-ben Genfben tartott 14. ülésszakon fogadtak el. Lásd még </w:t>
      </w:r>
      <w:hyperlink r:id="rId12" w:history="1">
        <w:r w:rsidRPr="00713543">
          <w:rPr>
            <w:rStyle w:val="Hyperlink"/>
            <w:sz w:val="20"/>
            <w:lang w:val="fr-BE"/>
          </w:rPr>
          <w:t>a fogyatékossággal élő személyek jogaival foglalkozó ENSZ-előadó által 2023-ban kiadott jelentést</w:t>
        </w:r>
      </w:hyperlink>
      <w:r w:rsidRPr="00713543">
        <w:rPr>
          <w:rFonts w:ascii="Arial" w:hAnsi="Arial"/>
          <w:lang w:val="fr-BE"/>
        </w:rPr>
        <w:t>.</w:t>
      </w:r>
    </w:p>
  </w:footnote>
  <w:footnote w:id="15">
    <w:p w14:paraId="774A36C8" w14:textId="6CF665B6" w:rsidR="00EE2BB3" w:rsidRPr="00713543"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713543">
        <w:rPr>
          <w:rFonts w:ascii="Arial" w:hAnsi="Arial"/>
          <w:lang w:val="fr-BE"/>
        </w:rPr>
        <w:t xml:space="preserve"> </w:t>
      </w:r>
      <w:hyperlink r:id="rId13" w:history="1">
        <w:r w:rsidRPr="00713543">
          <w:rPr>
            <w:rStyle w:val="Hyperlink"/>
            <w:sz w:val="20"/>
            <w:lang w:val="fr-BE"/>
          </w:rPr>
          <w:t>Egyenlőségközpontú Unió:</w:t>
        </w:r>
      </w:hyperlink>
      <w:hyperlink r:id="rId14" w:history="1">
        <w:r w:rsidRPr="00713543">
          <w:rPr>
            <w:rStyle w:val="Hyperlink"/>
            <w:sz w:val="20"/>
            <w:lang w:val="fr-BE"/>
          </w:rPr>
          <w:t xml:space="preserve"> Stratégia a fogyatékossággal élő személyek jogainak érvényre juttatásáért (2021–2030)</w:t>
        </w:r>
      </w:hyperlink>
      <w:r w:rsidRPr="00713543">
        <w:rPr>
          <w:rFonts w:ascii="Arial" w:hAnsi="Arial"/>
          <w:lang w:val="fr-BE"/>
        </w:rPr>
        <w:t>.</w:t>
      </w:r>
    </w:p>
  </w:footnote>
  <w:footnote w:id="16">
    <w:p w14:paraId="7D6E94BC" w14:textId="77777777" w:rsidR="00EE2BB3" w:rsidRPr="00713543" w:rsidRDefault="00EE2BB3" w:rsidP="0034629E">
      <w:pPr>
        <w:pStyle w:val="FootnoteText"/>
        <w:spacing w:after="60" w:line="264" w:lineRule="auto"/>
        <w:ind w:left="238" w:hanging="238"/>
        <w:jc w:val="left"/>
        <w:rPr>
          <w:rFonts w:ascii="Arial" w:hAnsi="Arial" w:cs="Arial"/>
          <w:lang w:val="fr-BE"/>
        </w:rPr>
      </w:pPr>
      <w:r>
        <w:rPr>
          <w:rStyle w:val="FootnoteReference"/>
          <w:sz w:val="20"/>
        </w:rPr>
        <w:footnoteRef/>
      </w:r>
      <w:r w:rsidRPr="00713543">
        <w:rPr>
          <w:rFonts w:ascii="Arial" w:hAnsi="Arial"/>
          <w:lang w:val="fr-BE"/>
        </w:rPr>
        <w:t xml:space="preserve"> A Bizottság 2021. november 25-én intézkedéscsomagot terjesztett elő a demokrácia és a választások tisztességességének megerősítése érdekében. Az intézkedéscsomag tartalmazott egy közleményt, amelyben a Bizottság bejelentette, hogy folytatni fogja az európai választási együttműködési hálózat munkáját, és arra törekszik, hogy megkönnyítse és javítsa valamennyi uniós polgár szavazati jogai gyakorlására irányuló képességét, többek között a szabad és tisztességes választások biztosítása céljából történő kölcsönös segítségnyújtás és a bevált módszerek cseréjének támogatása, valamint a választási ciklus egyes szakaszaira vonatkozó bevált gyakorlatokkal kapcsolatos közös referenciák meghatározása révén. A Bizottság kötelezettséget vállalt arra, hogy 2023 második felében magas szintű rendezvényt szervez a választásokról, és az intézkedéscsomagban említett kihívások kezelése érdekében összefogja a választásokhoz kapcsolódó különböző hatóságokat.</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Példák a projektekre:</w:t>
      </w:r>
    </w:p>
    <w:p w14:paraId="5C5EEDA7" w14:textId="2CCB4115" w:rsidR="00EE2BB3" w:rsidRPr="006B02A7" w:rsidRDefault="00250FB9"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(Miénk a jövő: A fogyatékossággal élő személyek újjáépítik a demokráciát).</w:t>
      </w:r>
    </w:p>
    <w:p w14:paraId="40D01A40" w14:textId="4143486F" w:rsidR="00EE2BB3" w:rsidRPr="006B02A7" w:rsidRDefault="00250FB9" w:rsidP="002D36F0">
      <w:pPr>
        <w:pStyle w:val="FootnoteText"/>
        <w:numPr>
          <w:ilvl w:val="0"/>
          <w:numId w:val="8"/>
        </w:numPr>
        <w:spacing w:after="60" w:line="264" w:lineRule="auto"/>
        <w:jc w:val="left"/>
        <w:rPr>
          <w:rFonts w:ascii="Arial" w:hAnsi="Arial" w:cs="Arial"/>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 xml:space="preserve"> (Ambíciók. Jogok. Hovatartozás. Az értelmi fogyatékossággal élők integrációjának fő szempontjai).</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2010-ben az Alapjogi Ügynökség közzétette a „The right to political participation of persons with mental health problems and persons with intellectual disabilities” (A mentális egészségügyi problémákkal küzdő és az értelmi fogyatékossággal élő személyek politikai részvételhez való joga) című jelentését. 2014-ben az Ügynökség emberi jogi mutatókat dolgozott és töltött ki a fogyatékossággal élő személyek politikai részvételhez való jogára vonatkozóan. Emellett az Alapjogi Ügynökség öt infografikát is közzétett, hogy segítsen felhívni a kiemelt szereplők figyelmét a fogyatékossággal élő személyek szavazati jogaira. Egy 2019-ben közzétett dokumentum elemezte a tagállamok által 2014 óta végrehajtott jogi reformokat.</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A tagállamok 2022. január 24-én megvitatták a szavazóhelyiségek fizikai akadálymentesítésének fokozására, a helyszíni támogatásra, a választást segítő eszközökre és az alternatív szavazási módszerekre irányuló intézkedéseket. 2022. szeptember 21-én az Európai Fogyatékosügyi Fórum képviselője ismertette az Európai Fogyatékosügyi Fórumnak a fogyatékossággal élő személyek politikai részvételéről szóló 2022. évi jelentését. 2023. június 12-én az Európai Fogyatékosügyi Fórum ismertetett egy uniós finanszírozású projektet, amelynek célja a 2024-es európai választásokon részt vevő fogyatékossággal élő személyek arányának növelése.</w:t>
      </w:r>
    </w:p>
  </w:footnote>
  <w:footnote w:id="20">
    <w:p w14:paraId="00EAF4BC" w14:textId="0C8C9A86"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Tanulmány a fogyatékossággal élő polgárok választásokon való részvételéről</w:t>
        </w:r>
      </w:hyperlink>
      <w:r>
        <w:rPr>
          <w:rStyle w:val="Hyperlink"/>
          <w:sz w:val="20"/>
        </w:rPr>
        <w:t>.</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Tanulmány a fogyatékossággal élő személyek politikai részvételéről</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Tanulmány a fogyatékossággal élő személyek politikai részvételéről.</w:t>
        </w:r>
      </w:hyperlink>
      <w:hyperlink r:id="rId24" w:history="1">
        <w:r>
          <w:rPr>
            <w:rStyle w:val="Hyperlink"/>
            <w:sz w:val="20"/>
          </w:rPr>
          <w:t xml:space="preserve"> 2018. évi jelentés aktualizálása</w:t>
        </w:r>
      </w:hyperlink>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2022. május 16-án és június 10-én, valamint 2023. április 18-án és május 2-án a fogyatékossággal élő személyek politikai részvételével foglalkozó találkozókra került sor az Európai Fogyatékosügyi Fórummal (EDF). Az EDF részt vett az európai választási együttműködési hálózat 2022. szeptember 21-i ülésén. 2022. november 10-én (Dalli biztos), 2022. november 25-én (DG JUST) és 2023. február 7-én (DG JUST) találkozókra került sor az Organización Nacional de Ciegos Españoles képviselőivel. 2023. november 17-én a fogyatékosságügyi platform ad hoc ülésére került sor.</w:t>
      </w:r>
    </w:p>
  </w:footnote>
  <w:footnote w:id="24">
    <w:p w14:paraId="35737F8A" w14:textId="0910BCA2"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Az európai demokráciára vonatkozó cselekvési terv</w:t>
        </w:r>
      </w:hyperlink>
      <w:r>
        <w:rPr>
          <w:rFonts w:ascii="Arial" w:hAnsi="Arial"/>
        </w:rPr>
        <w:t>.</w:t>
      </w:r>
    </w:p>
  </w:footnote>
  <w:footnote w:id="25">
    <w:p w14:paraId="038F8F69" w14:textId="62213DEF"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Az e-szavazási és egyéb IKT-gyakorlatok kézikönyve</w:t>
        </w:r>
      </w:hyperlink>
      <w:r>
        <w:rPr>
          <w:rStyle w:val="Hyperlink"/>
          <w:sz w:val="20"/>
        </w:rPr>
        <w:t>.</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Tanulmány a fogyatékossággal élő személyek politikai részvételéről.</w:t>
        </w:r>
      </w:hyperlink>
      <w:r>
        <w:rPr>
          <w:rFonts w:ascii="Arial" w:hAnsi="Arial"/>
        </w:rPr>
        <w:t xml:space="preserve"> </w:t>
      </w:r>
    </w:p>
  </w:footnote>
  <w:footnote w:id="27">
    <w:p w14:paraId="308DDD5D" w14:textId="50BE751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Tanulmány a fogyatékossággal élő polgárok választásokon való részvételéről</w:t>
        </w:r>
      </w:hyperlink>
      <w:r>
        <w:rPr>
          <w:rFonts w:ascii="Arial" w:hAnsi="Arial"/>
        </w:rPr>
        <w:t>.</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Az egyezmény létrehozta a CRPD-bizottságot, amely az említett szerződés alkalmazását felügyelő független szerv</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Glatzel, C-356/12</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Az Európai Parlament képviselőinek közvetlen és általános választójog alapján történő választásáról szóló okmány.</w:t>
        </w:r>
      </w:hyperlink>
      <w:hyperlink r:id="rId32" w:history="1">
        <w:r>
          <w:rPr>
            <w:rStyle w:val="Hyperlink"/>
            <w:sz w:val="20"/>
          </w:rPr>
          <w:t xml:space="preserve"> Egységes szerkezetbe foglalt szöveg</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Javaslat – A TANÁCS RENDELETE az Európai Parlament tagjainak közvetlen és általános választójog alapján történő választásáról, valamint a 76/787/ESZAK, EGK, Euratom tanácsi határozat és az e határozathoz csatolt, az Európai Parlament tagjainak közvetlen és általános választójog alapján történő választásáról szóló okmány hatályon kívül helyezéséről</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„Minden 16. életévét betöltött uniós polgárnak, </w:t>
      </w:r>
      <w:r>
        <w:rPr>
          <w:rFonts w:ascii="Arial" w:hAnsi="Arial"/>
          <w:b/>
        </w:rPr>
        <w:t>beleértve jogképességüktől függetlenül a fogyatékossággal élő személyeket is</w:t>
      </w:r>
      <w:r>
        <w:rPr>
          <w:rFonts w:ascii="Arial" w:hAnsi="Arial"/>
        </w:rPr>
        <w:t>, joga van szavazni az európai parlamenti választásokon, a 18 vagy 17 éves minimális választójogi korhatárt megállapító hatályos alkotmányos rendelkezések sérelme nélkül”.</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Következésképpen e jogok gyakorlása csak az Európai Unió Alapjogi Chartája 52. cikkével összhangban, és főként a törvény által, továbbá e jogok és szabadságok lényeges tartalmának tiszteletben tartásával korlátozható. Ezenkívül korlátozásra csak akkor és annyiban kerülhet sor, ha és amennyiben az elengedhetetlen és ténylegesen az EU által elismert általános érdekű célkitűzéseket vagy mások jogainak és szabadságainak védelmét szolgálja.</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A Tanács 93/109/EK irányelve (1993. december 6.) az állampolgárságuktól eltérő tagállamban lakóhellyel rendelkező uniós polgárok aktív és passzív választójogának az európai parlamenti választásokon történő gyakorlására vonatkozó részletes szabályok megállapításáról.</w:t>
        </w:r>
      </w:hyperlink>
      <w:hyperlink r:id="rId35" w:history="1">
        <w:r>
          <w:rPr>
            <w:rStyle w:val="Hyperlink"/>
            <w:sz w:val="20"/>
          </w:rPr>
          <w:t xml:space="preserve"> Egységes szerkezetbe foglalt szöveg</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A Tanács 94/80/EK irányelve (1994. december 19.) az állampolgárságuktól eltérő tagállamban lakóhellyel rendelkező uniós polgárok aktív és passzív választójogának a helyhatósági választásokon történő gyakorlására vonatkozó részletes szabályok megállapításáról.</w:t>
        </w:r>
      </w:hyperlink>
      <w:hyperlink r:id="rId37" w:history="1">
        <w:r>
          <w:rPr>
            <w:rStyle w:val="Hyperlink"/>
            <w:sz w:val="20"/>
          </w:rPr>
          <w:t xml:space="preserve"> Egységes szerkezetbe foglalt szöveg</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Demokrácia és választójog (europa.eu)</w:t>
        </w:r>
      </w:hyperlink>
      <w:r>
        <w:rPr>
          <w:rStyle w:val="Hyperlink"/>
          <w:sz w:val="20"/>
        </w:rPr>
        <w:t>.</w:t>
      </w:r>
    </w:p>
  </w:footnote>
  <w:footnote w:id="37">
    <w:p w14:paraId="52EE9B9A" w14:textId="58ACD4CF"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Javaslat – Az Európai Parlament és a Tanács rendelete a politikai reklám átláthatóságáról és targetálásáról</w:t>
        </w:r>
      </w:hyperlink>
      <w:r>
        <w:rPr>
          <w:sz w:val="20"/>
        </w:rPr>
        <w:t>.</w:t>
      </w:r>
    </w:p>
  </w:footnote>
  <w:footnote w:id="38">
    <w:p w14:paraId="15FD588E" w14:textId="796CEB47"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Az Európai Parlament és a Tanács (EU) 2019/882 irányelve (2019. április 17.) a termékekre és a szolgáltatásokra vonatkozó akadálymentességi követelményekről</w:t>
        </w:r>
      </w:hyperlink>
      <w:r>
        <w:rPr>
          <w:rFonts w:ascii="Arial" w:hAnsi="Arial"/>
        </w:rPr>
        <w:t>.</w:t>
      </w:r>
    </w:p>
  </w:footnote>
  <w:footnote w:id="39">
    <w:p w14:paraId="1458CD8C" w14:textId="628AFA14"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Az Európai Parlament és a Tanács 2014/24/EU irányelve (2014. február 26.) a közbeszerzésről és a 2004/18/EK irányelv hatályon kívül helyezéséről</w:t>
        </w:r>
      </w:hyperlink>
      <w:r>
        <w:rPr>
          <w:rStyle w:val="Hyperlink"/>
          <w:sz w:val="20"/>
        </w:rPr>
        <w:t>.</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Az Európai Parlament és a Tanács 2014/25/EU irányelve (2014. február 26.) a vízügyi, energiaipari, közlekedési és postai szolgáltatási ágazatban működő ajánlatkérők beszerzéseiről és a 2004/17/EK irányelv hatályon kívül helyezéséről</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Az Európai Parlament és a Tanács (EU) 2016/2102 irányelve (2016. október 26.) a közszférabeli szervezetek honlapjainak és mobilalkalmazásainak akadálymentesítéséről</w:t>
        </w:r>
      </w:hyperlink>
      <w:r>
        <w:rPr>
          <w:rFonts w:ascii="Arial" w:hAnsi="Arial"/>
        </w:rPr>
        <w:t>.</w:t>
      </w:r>
    </w:p>
  </w:footnote>
  <w:footnote w:id="42">
    <w:p w14:paraId="2114E3F0" w14:textId="08A8B1B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Az Európai Parlament és a Tanács 2010/13/EU irányelve (2010. március 10.) a tagállamok audiovizuális médiaszolgáltatások nyújtására vonatkozó egyes törvényi, rendeleti vagy közigazgatási rendelkezéseinek összehangolásáról (Audiovizuális médiaszolgáltatásokról szóló irányelv)</w:t>
        </w:r>
      </w:hyperlink>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Javaslat – Az Európai Parlament és a Tanács irányelve az európai fogyatékossági kártya és a fogyatékossággal élő személyek európai parkolási kártyája létrehozásáról</w:t>
        </w:r>
      </w:hyperlink>
      <w:r>
        <w:rPr>
          <w:rFonts w:ascii="Arial" w:hAnsi="Arial"/>
        </w:rPr>
        <w:t>. Az EUB több ügyben foglalkozott a fogyatékosság fogalmával/fogalommeghatározásával, mint például: Chacón Navas kontra Eurest Colectividades SA, C-13/05, ECLI:EU:C:2006:456; Coleman kontra Attridge Law, C-303/06, ECLI:EU:C:2008:415; A Jette Ring nevében eljáró HK Danmark kontra Dansk almennyttigt Boligselskab és a Lone Skouboe Werge nevében eljáró HK Danmark kontra a csődeljárás alatt álló Pro Display nevében eljáró Dansk Arbejdsgiverforening (Ring and Skouboe Werge), C-335/11 és C-337/11 egyesített ügyek, ECLI:EU:C:2013:222; Z kontra A Government department, The Board of management of a community school, C-363/12, ECLI:EU:C:2014:159; a Karsten Kaltoft nevében eljáró FOA, C-354/13, ECLI:EU:C:2014:2463; Daouidi kontra Bootes Plus SL és mások, C-395/15, ECLI:EU:C:2016:917; Ruiz Conejero, C-270/16, ECLI:EU:C:2018:17; Milkova, C-406/15,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Az emberi jogok európai egyezménye (coe.int)</w:t>
        </w:r>
      </w:hyperlink>
      <w:r>
        <w:rPr>
          <w:rFonts w:ascii="Arial" w:hAnsi="Arial"/>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sz w:val="20"/>
          </w:rPr>
          <w:t>The political rights of persons with disabilities:</w:t>
        </w:r>
      </w:hyperlink>
      <w:hyperlink r:id="rId48" w:history="1">
        <w:r>
          <w:rPr>
            <w:rStyle w:val="Hyperlink"/>
            <w:sz w:val="20"/>
          </w:rPr>
          <w:t xml:space="preserve"> a democratic issue</w:t>
        </w:r>
      </w:hyperlink>
      <w:r>
        <w:rPr>
          <w:rFonts w:ascii="Arial" w:hAnsi="Arial"/>
        </w:rPr>
        <w:t xml:space="preserve"> (A fogyatékossággal élő személyek politikai jogai: demokratikus ügy).</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Kiss Alajos kontra Magyarország ügy</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Anatoliy Marino kontra Bulgária ügy</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Strøbye és Rosenlind kontra Dánia ügy</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Caamaño Valle kontra Spanyolország ügy</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Mółka kontra Lengyelország ügy,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A fogyatékossággal élő személyek választásokon való részvételéről szóló felülvizsgált értelmező nyilatkozat a választási magatartási kódexhez</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További információkért lásd az Európai Biztonsági és Együttműködési Szervezet (EBESZ) </w:t>
      </w:r>
      <w:hyperlink r:id="rId55" w:history="1">
        <w:r>
          <w:rPr>
            <w:rStyle w:val="Hyperlink"/>
            <w:sz w:val="20"/>
          </w:rPr>
          <w:t>Választások című cikkét</w:t>
        </w:r>
      </w:hyperlink>
      <w:r>
        <w:rPr>
          <w:rFonts w:ascii="Arial" w:hAnsi="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Lásd például:</w:t>
      </w:r>
      <w:r>
        <w:rPr>
          <w:rFonts w:ascii="Arial" w:hAnsi="Arial"/>
        </w:rPr>
        <w:t xml:space="preserve"> </w:t>
      </w:r>
      <w:hyperlink r:id="rId57" w:history="1">
        <w:r>
          <w:rPr>
            <w:rStyle w:val="Hyperlink"/>
            <w:sz w:val="20"/>
          </w:rPr>
          <w:t>Az Yle könnyen érthető finn nyelven közvetíti a helyhatósági választási vitát</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A fogyatékossággal élők jogai az európai parlamenti választásokon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Sikeres kampányok indítása az akadálymentesebb választásokért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Az akadálymentes európai választásokra vonatkozó ajánlások</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Az akadálymentes választások bevált gyakorlatai Európában</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Az ONCE honlapja</w:t>
        </w:r>
      </w:hyperlink>
      <w:r>
        <w:rPr>
          <w:rFonts w:ascii="Arial" w:hAnsi="Arial"/>
        </w:rPr>
        <w:t>.</w:t>
      </w:r>
    </w:p>
  </w:footnote>
  <w:footnote w:id="61">
    <w:p w14:paraId="168F3D8E" w14:textId="40EF3A7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Akadálymentesség</w:t>
        </w:r>
      </w:hyperlink>
      <w:r>
        <w:rPr>
          <w:rFonts w:ascii="Arial" w:hAnsi="Arial"/>
        </w:rPr>
        <w:t>. Elecciones Generales Julio 2023.</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2023. május 28.</w:t>
      </w:r>
    </w:p>
  </w:footnote>
  <w:footnote w:id="63">
    <w:p w14:paraId="46DD268D" w14:textId="34A23CF9"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sz w:val="20"/>
          </w:rPr>
          <w:t>Guía para señalizar los colegios electorales</w:t>
        </w:r>
      </w:hyperlink>
      <w:r>
        <w:rPr>
          <w:rFonts w:ascii="Arial" w:hAnsi="Arial"/>
        </w:rPr>
        <w:t>.</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t xml:space="preserve"> </w:t>
      </w:r>
      <w:r>
        <w:rPr>
          <w:rFonts w:ascii="Arial" w:hAnsi="Arial"/>
        </w:rPr>
        <w:t>Például Belgiumban, Észtországban, Horvátországban, Cipruson, Dániában, Írországban, Litvániában, Portugáliában, Romániában, Spanyolországban és Svédországban.</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Akadálymentes és inkluzív választások Hollandiában</w:t>
        </w:r>
      </w:hyperlink>
      <w:r>
        <w:rPr>
          <w:rFonts w:ascii="Arial" w:hAnsi="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Ezeket a szolgáltatásokat a kinevezésükről szóló értesítéstől számított hét napon belül kérhetik írásban a Területi Választási Bizottságtól.</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A Web-akadálymentesítési Kezdeményezés (WAI) áttekintése – W3C</w:t>
        </w:r>
      </w:hyperlink>
      <w:r>
        <w:rPr>
          <w:rFonts w:ascii="Arial" w:hAnsi="Arial"/>
        </w:rPr>
        <w:t>.</w:t>
      </w:r>
    </w:p>
  </w:footnote>
  <w:footnote w:id="68">
    <w:p w14:paraId="7378D3BC" w14:textId="655CBE4E"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68" w:history="1">
        <w:r w:rsidRPr="00713543">
          <w:rPr>
            <w:rStyle w:val="Hyperlink"/>
            <w:sz w:val="20"/>
            <w:lang w:val="fr-BE"/>
          </w:rPr>
          <w:t>Guide de mise en image de la Langue des signes française</w:t>
        </w:r>
      </w:hyperlink>
      <w:r w:rsidRPr="00713543">
        <w:rPr>
          <w:rFonts w:ascii="Arial" w:hAnsi="Arial"/>
          <w:lang w:val="fr-BE"/>
        </w:rPr>
        <w:t>.</w:t>
      </w:r>
    </w:p>
  </w:footnote>
  <w:footnote w:id="69">
    <w:p w14:paraId="12CA5256" w14:textId="30EB57D1"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69" w:history="1">
        <w:r w:rsidRPr="00713543">
          <w:rPr>
            <w:rStyle w:val="Hyperlink"/>
            <w:sz w:val="20"/>
            <w:lang w:val="fr-BE"/>
          </w:rPr>
          <w:t>Présidentielle 2022:</w:t>
        </w:r>
      </w:hyperlink>
      <w:hyperlink r:id="rId70" w:history="1">
        <w:r w:rsidRPr="00713543">
          <w:rPr>
            <w:rStyle w:val="Hyperlink"/>
            <w:sz w:val="20"/>
            <w:lang w:val="fr-BE"/>
          </w:rPr>
          <w:t xml:space="preserve"> comment l'Arcom renforce l'accessibilité de la campagne électorale</w:t>
        </w:r>
      </w:hyperlink>
      <w:r w:rsidRPr="00713543">
        <w:rPr>
          <w:rFonts w:ascii="Arial" w:hAnsi="Arial"/>
          <w:lang w:val="fr-BE"/>
        </w:rPr>
        <w:t>.</w:t>
      </w:r>
    </w:p>
  </w:footnote>
  <w:footnote w:id="70">
    <w:p w14:paraId="05BD2DDA" w14:textId="31D5B1ED"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71" w:history="1">
        <w:r w:rsidRPr="00713543">
          <w:rPr>
            <w:rStyle w:val="Hyperlink"/>
            <w:sz w:val="20"/>
            <w:lang w:val="fr-BE"/>
          </w:rPr>
          <w:t>Autorité de régulation de la communication audiovisuelle et numérique</w:t>
        </w:r>
      </w:hyperlink>
      <w:r w:rsidRPr="00713543">
        <w:rPr>
          <w:rFonts w:ascii="Arial" w:hAnsi="Arial"/>
          <w:lang w:val="fr-BE"/>
        </w:rPr>
        <w:t>.</w:t>
      </w:r>
    </w:p>
  </w:footnote>
  <w:footnote w:id="71">
    <w:p w14:paraId="0804A282" w14:textId="4B699F4C"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72" w:history="1">
        <w:r w:rsidRPr="00713543">
          <w:rPr>
            <w:rStyle w:val="Hyperlink"/>
            <w:sz w:val="20"/>
            <w:lang w:val="fr-BE"/>
          </w:rPr>
          <w:t>Le vote des personnes en situation de handicap:</w:t>
        </w:r>
      </w:hyperlink>
      <w:hyperlink r:id="rId73" w:history="1">
        <w:r w:rsidRPr="00713543">
          <w:rPr>
            <w:rStyle w:val="Hyperlink"/>
            <w:sz w:val="20"/>
            <w:lang w:val="fr-BE"/>
          </w:rPr>
          <w:t xml:space="preserve"> l’accessibilité des opérations de vote.</w:t>
        </w:r>
      </w:hyperlink>
      <w:hyperlink r:id="rId74" w:history="1">
        <w:r w:rsidRPr="00713543">
          <w:rPr>
            <w:rStyle w:val="Hyperlink"/>
            <w:sz w:val="20"/>
            <w:lang w:val="fr-BE"/>
          </w:rPr>
          <w:t xml:space="preserve"> Les élections en France</w:t>
        </w:r>
      </w:hyperlink>
      <w:r w:rsidRPr="00713543">
        <w:rPr>
          <w:rFonts w:ascii="Arial" w:hAnsi="Arial"/>
          <w:lang w:val="fr-BE"/>
        </w:rPr>
        <w:t>.</w:t>
      </w:r>
    </w:p>
  </w:footnote>
  <w:footnote w:id="72">
    <w:p w14:paraId="4B1A0D6F" w14:textId="5A6E669E"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Az </w:t>
      </w:r>
      <w:hyperlink r:id="rId75" w:history="1">
        <w:r w:rsidRPr="00713543">
          <w:rPr>
            <w:rStyle w:val="Hyperlink"/>
            <w:sz w:val="20"/>
            <w:lang w:val="fr-BE"/>
          </w:rPr>
          <w:t>Alle stembureaus in Nederland</w:t>
        </w:r>
      </w:hyperlink>
      <w:r w:rsidRPr="00713543">
        <w:rPr>
          <w:rFonts w:ascii="Arial" w:hAnsi="Arial"/>
          <w:lang w:val="fr-BE"/>
        </w:rPr>
        <w:t xml:space="preserve"> honlap információt tartalmaz a szavazóhelyiségek elhelyezkedéséről, valamint az akadálymentességük mértékéről.</w:t>
      </w:r>
    </w:p>
  </w:footnote>
  <w:footnote w:id="73">
    <w:p w14:paraId="64BFD0A7"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RGAA: référentiel général d’amélioration de l’accessibilité, décret No 2009-546 du 14 mai 2009 modifié en septembre 2019.</w:t>
      </w:r>
    </w:p>
  </w:footnote>
  <w:footnote w:id="74">
    <w:p w14:paraId="6156A8F8" w14:textId="26BD242D"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76" w:history="1">
        <w:r w:rsidRPr="00713543">
          <w:rPr>
            <w:rStyle w:val="Hyperlink"/>
            <w:sz w:val="20"/>
            <w:lang w:val="fr-BE"/>
          </w:rPr>
          <w:t>Le vote des personnes en situation de handicap:</w:t>
        </w:r>
      </w:hyperlink>
      <w:hyperlink r:id="rId77" w:history="1">
        <w:r w:rsidRPr="00713543">
          <w:rPr>
            <w:rStyle w:val="Hyperlink"/>
            <w:sz w:val="20"/>
            <w:lang w:val="fr-BE"/>
          </w:rPr>
          <w:t xml:space="preserve"> l’accessibilité des opérations de vote.</w:t>
        </w:r>
      </w:hyperlink>
      <w:hyperlink r:id="rId78" w:history="1">
        <w:r w:rsidRPr="00713543">
          <w:rPr>
            <w:rStyle w:val="Hyperlink"/>
            <w:sz w:val="20"/>
            <w:lang w:val="fr-BE"/>
          </w:rPr>
          <w:t xml:space="preserve"> Les élections en France</w:t>
        </w:r>
      </w:hyperlink>
      <w:r w:rsidRPr="00713543">
        <w:rPr>
          <w:rStyle w:val="Hyperlink"/>
          <w:sz w:val="20"/>
          <w:lang w:val="fr-BE"/>
        </w:rPr>
        <w:t>.</w:t>
      </w:r>
    </w:p>
  </w:footnote>
  <w:footnote w:id="75">
    <w:p w14:paraId="6BE980DB" w14:textId="1645B129"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79" w:history="1">
        <w:r w:rsidRPr="00713543">
          <w:rPr>
            <w:rStyle w:val="Hyperlink"/>
            <w:sz w:val="20"/>
            <w:lang w:val="fr-BE"/>
          </w:rPr>
          <w:t xml:space="preserve">Tanúsítvány odaítélés – Vakok és Látássérültek Német Szövetsége. </w:t>
        </w:r>
      </w:hyperlink>
    </w:p>
  </w:footnote>
  <w:footnote w:id="76">
    <w:p w14:paraId="563003C7"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A parlamenti választások esetében.</w:t>
      </w:r>
    </w:p>
  </w:footnote>
  <w:footnote w:id="77">
    <w:p w14:paraId="210C9A61" w14:textId="77777777" w:rsidR="00EE2BB3" w:rsidRPr="007135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713543">
        <w:rPr>
          <w:rFonts w:ascii="Arial" w:hAnsi="Arial"/>
          <w:lang w:val="fr-BE"/>
        </w:rPr>
        <w:t xml:space="preserve"> Ausztria, Belgium, Bulgária, Németország, Dánia, Észtország, Franciaország, Finnország, Görögország, Magyarország, Írország, Olaszország, Lettország, Litvánia, Luxemburg, Hollandia, Lengyelország, Portugália, Románia, Spanyolország, Svédország és Szlovénia.</w:t>
      </w:r>
    </w:p>
  </w:footnote>
  <w:footnote w:id="78">
    <w:p w14:paraId="0C481AF5" w14:textId="77777777" w:rsidR="00EE2BB3" w:rsidRPr="007135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713543">
        <w:rPr>
          <w:rFonts w:ascii="Arial" w:hAnsi="Arial"/>
          <w:lang w:val="fr-BE"/>
        </w:rPr>
        <w:t xml:space="preserve"> A 2023. évi, a szavazati jogok módosításáról szóló törvény (</w:t>
      </w:r>
      <w:r w:rsidRPr="00713543">
        <w:rPr>
          <w:rFonts w:ascii="Arial" w:hAnsi="Arial"/>
          <w:i/>
          <w:lang w:val="fr-BE"/>
        </w:rPr>
        <w:t>Wahlrechtsänderungsgesetz</w:t>
      </w:r>
      <w:r w:rsidRPr="00713543">
        <w:rPr>
          <w:rFonts w:ascii="Arial" w:hAnsi="Arial"/>
          <w:lang w:val="fr-BE"/>
        </w:rPr>
        <w:t xml:space="preserve"> 2023) értelmében 2024-től minden szavazóhelyiségnek meg kell felelnie a „</w:t>
      </w:r>
      <w:r w:rsidRPr="00713543">
        <w:rPr>
          <w:rFonts w:ascii="Arial" w:hAnsi="Arial"/>
          <w:i/>
          <w:lang w:val="fr-BE"/>
        </w:rPr>
        <w:t>Bundes-Behindertengleichstellungsgesetz</w:t>
      </w:r>
      <w:r w:rsidRPr="00713543">
        <w:rPr>
          <w:rFonts w:ascii="Arial" w:hAnsi="Arial"/>
          <w:lang w:val="fr-BE"/>
        </w:rPr>
        <w:t>” (A fogyatékossággal élő személyek esélyegyenlőségéről szóló szövetségi törvény) 6. cikkében foglalt keretfeltételeknek. E rendelkezés értelmében minden szavazóhelyiségnek akadálymentesen hozzáférhetőnek kell lennie a fogyatékossággal élő személyek számára, a műszaki megvalósíthatóságtól függően. Mindenesetre minden olyan épületnek, amelyben szavazóhelyiséget hoznak létre, legalább egy olyan szavazóhelyiséget kell kialakítania, amelyben a szavazófülkék a fogyatékossággal élő személyek számára akadálymentesen hozzáférhetők. 2028-tól kivétel nélkül minden ausztriai szavazóhelyiségnek (beleértve a szavazófülkéket is) akadálymentesnek kell lennie.</w:t>
      </w:r>
    </w:p>
  </w:footnote>
  <w:footnote w:id="79">
    <w:p w14:paraId="36EE937C" w14:textId="4F09E536" w:rsidR="0085267A" w:rsidRPr="00713543" w:rsidRDefault="0085267A">
      <w:pPr>
        <w:pStyle w:val="FootnoteText"/>
        <w:rPr>
          <w:lang w:val="fr-BE"/>
        </w:rPr>
      </w:pPr>
      <w:r>
        <w:rPr>
          <w:rStyle w:val="FootnoteReference"/>
          <w:sz w:val="20"/>
        </w:rPr>
        <w:footnoteRef/>
      </w:r>
      <w:r w:rsidRPr="00713543">
        <w:rPr>
          <w:lang w:val="fr-BE"/>
        </w:rPr>
        <w:t xml:space="preserve"> </w:t>
      </w:r>
      <w:r w:rsidRPr="00713543">
        <w:rPr>
          <w:rFonts w:ascii="Arial" w:hAnsi="Arial"/>
          <w:lang w:val="fr-BE"/>
        </w:rPr>
        <w:t>A</w:t>
      </w:r>
      <w:r w:rsidRPr="00713543">
        <w:rPr>
          <w:lang w:val="fr-BE"/>
        </w:rPr>
        <w:t xml:space="preserve"> </w:t>
      </w:r>
      <w:hyperlink r:id="rId80" w:history="1">
        <w:r w:rsidRPr="00713543">
          <w:rPr>
            <w:rStyle w:val="Hyperlink"/>
            <w:sz w:val="20"/>
            <w:lang w:val="fr-BE"/>
          </w:rPr>
          <w:t>2022. június 3-i INT/511/2022 rendelet</w:t>
        </w:r>
      </w:hyperlink>
      <w:r w:rsidRPr="00713543">
        <w:rPr>
          <w:rFonts w:ascii="Arial" w:hAnsi="Arial"/>
          <w:lang w:val="fr-BE"/>
        </w:rPr>
        <w:t xml:space="preserve"> értelmében, amely </w:t>
      </w:r>
      <w:hyperlink r:id="rId81" w:history="1">
        <w:r w:rsidRPr="00713543">
          <w:rPr>
            <w:rStyle w:val="Hyperlink"/>
            <w:sz w:val="20"/>
            <w:lang w:val="fr-BE"/>
          </w:rPr>
          <w:t>a választási eljárások kiegészítő szabályozásáról szóló 1999. április 16-i 605/1999. sz. királyi rendelet</w:t>
        </w:r>
      </w:hyperlink>
      <w:r w:rsidRPr="00713543">
        <w:rPr>
          <w:rFonts w:ascii="Arial" w:hAnsi="Arial"/>
          <w:lang w:val="fr-BE"/>
        </w:rPr>
        <w:t xml:space="preserve"> rendelkezéseit módosítja, a szavazófülkéknek teljes mértékben akadálymentesnek kell lenniük.</w:t>
      </w:r>
    </w:p>
  </w:footnote>
  <w:footnote w:id="80">
    <w:p w14:paraId="5B09A1D4" w14:textId="0DFD236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2" w:history="1">
        <w:r w:rsidRPr="00713543">
          <w:rPr>
            <w:rStyle w:val="Hyperlink"/>
            <w:sz w:val="20"/>
            <w:lang w:val="fr-BE"/>
          </w:rPr>
          <w:t>Az Állandó Választási Hatóság 44/2016. sz. határozata a szavazóhelyiségek helyszínei által teljesítendő minimális feltételeiről és azok minimális felszereltségéről.</w:t>
        </w:r>
      </w:hyperlink>
      <w:r w:rsidRPr="00713543">
        <w:rPr>
          <w:rFonts w:ascii="Arial" w:hAnsi="Arial"/>
          <w:lang w:val="fr-BE"/>
        </w:rPr>
        <w:t xml:space="preserve"> </w:t>
      </w:r>
    </w:p>
  </w:footnote>
  <w:footnote w:id="81">
    <w:p w14:paraId="0D156D0C"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Csak a népszavazásokon, ahol csak Igen/Nem válaszra van lehetőség.</w:t>
      </w:r>
    </w:p>
  </w:footnote>
  <w:footnote w:id="82">
    <w:p w14:paraId="09A762EA" w14:textId="77777777" w:rsidR="00EE2BB3" w:rsidRPr="007135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713543">
        <w:rPr>
          <w:rFonts w:ascii="Arial" w:hAnsi="Arial"/>
          <w:lang w:val="fr-BE"/>
        </w:rPr>
        <w:t xml:space="preserve"> A Centre pour le développement des compétences relatives à la vue-vel (CDV) együttműködésben a kormány tapintható szavazósablont biztosít a látássérült szavazók számára a szavazás napján. Ez a tapintható szavazósablon minden szavazóhelyiségben elérhető lesz, és azt a szavazó közvetlenül a CDV-től is megrendelheti, hogy a levélszavazás során már a rendelkezésére álljon.</w:t>
      </w:r>
    </w:p>
  </w:footnote>
  <w:footnote w:id="83">
    <w:p w14:paraId="227D9A08" w14:textId="4220FE62" w:rsidR="007F0EBB" w:rsidRPr="00713543" w:rsidRDefault="007F0EBB" w:rsidP="007F0EBB">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3" w:history="1">
        <w:r w:rsidRPr="00713543">
          <w:rPr>
            <w:rStyle w:val="Hyperlink"/>
            <w:sz w:val="20"/>
            <w:lang w:val="fr-BE"/>
          </w:rPr>
          <w:t>Hogyan működik a szavazás?</w:t>
        </w:r>
      </w:hyperlink>
      <w:r w:rsidRPr="00713543">
        <w:rPr>
          <w:lang w:val="fr-BE"/>
        </w:rPr>
        <w:t>.</w:t>
      </w:r>
      <w:r w:rsidRPr="00713543">
        <w:rPr>
          <w:rFonts w:ascii="Arial" w:hAnsi="Arial"/>
          <w:lang w:val="fr-BE"/>
        </w:rPr>
        <w:t xml:space="preserve"> </w:t>
      </w:r>
    </w:p>
  </w:footnote>
  <w:footnote w:id="84">
    <w:p w14:paraId="1AF73524" w14:textId="52873FE2" w:rsidR="00EE2BB3" w:rsidRPr="007135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713543">
        <w:rPr>
          <w:rFonts w:ascii="Arial" w:hAnsi="Arial"/>
          <w:lang w:val="fr-BE"/>
        </w:rPr>
        <w:t xml:space="preserve"> </w:t>
      </w:r>
      <w:hyperlink r:id="rId84" w:history="1">
        <w:r w:rsidRPr="00713543">
          <w:rPr>
            <w:rStyle w:val="Hyperlink"/>
            <w:sz w:val="20"/>
            <w:lang w:val="fr-BE"/>
          </w:rPr>
          <w:t>Összehasonlító tanulmány a más államok által a választási folyamatok fogyatékossággal élő személyek számára történő akadálymentesítésének biztosítása érdekében alkalmazott módszerekről, eljárásokról és technikai eszközökről</w:t>
        </w:r>
      </w:hyperlink>
      <w:r w:rsidRPr="00713543">
        <w:rPr>
          <w:rFonts w:ascii="Arial" w:hAnsi="Arial"/>
          <w:lang w:val="fr-BE"/>
        </w:rPr>
        <w:t xml:space="preserve">, készítette az Állandó Választási Hatóság. </w:t>
      </w:r>
    </w:p>
  </w:footnote>
  <w:footnote w:id="85">
    <w:p w14:paraId="553F63DE" w14:textId="602F11A3" w:rsidR="00EE2BB3" w:rsidRPr="00713543" w:rsidRDefault="00EE2BB3" w:rsidP="007F0EBB">
      <w:pPr>
        <w:pStyle w:val="FootnoteText"/>
        <w:spacing w:after="60" w:line="264" w:lineRule="auto"/>
        <w:ind w:left="210" w:hanging="210"/>
        <w:jc w:val="left"/>
        <w:rPr>
          <w:rFonts w:ascii="Arial" w:hAnsi="Arial" w:cs="Arial"/>
          <w:lang w:val="fr-BE"/>
        </w:rPr>
      </w:pPr>
      <w:r>
        <w:rPr>
          <w:rStyle w:val="FootnoteReference"/>
          <w:sz w:val="20"/>
        </w:rPr>
        <w:footnoteRef/>
      </w:r>
      <w:r w:rsidRPr="00713543">
        <w:rPr>
          <w:rFonts w:ascii="Arial" w:hAnsi="Arial"/>
          <w:lang w:val="fr-BE"/>
        </w:rPr>
        <w:t xml:space="preserve"> A jogalkotó figyelembe vette az egyes választások során a szavazóautomaták kihasználtságát, a szavazóautomaták használatának költségvetési vonzatait, valamint más uniós tagállamok szabályozását. </w:t>
      </w:r>
    </w:p>
  </w:footnote>
  <w:footnote w:id="86">
    <w:p w14:paraId="605F41D3"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Levélszavazás az osztrák jogszabályokban előírtak szerint.</w:t>
      </w:r>
    </w:p>
  </w:footnote>
  <w:footnote w:id="87">
    <w:p w14:paraId="39FE11EC"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Elnökválasztás.</w:t>
      </w:r>
    </w:p>
  </w:footnote>
  <w:footnote w:id="88">
    <w:p w14:paraId="1ED19B21" w14:textId="77777777" w:rsidR="00EE2BB3" w:rsidRPr="00713543" w:rsidRDefault="00EE2BB3" w:rsidP="00566D60">
      <w:pPr>
        <w:pStyle w:val="FootnoteText"/>
        <w:spacing w:after="60" w:line="264" w:lineRule="auto"/>
        <w:ind w:left="196" w:hanging="196"/>
        <w:jc w:val="left"/>
        <w:rPr>
          <w:rFonts w:ascii="Arial" w:hAnsi="Arial" w:cs="Arial"/>
          <w:lang w:val="fr-BE"/>
        </w:rPr>
      </w:pPr>
      <w:r>
        <w:rPr>
          <w:rStyle w:val="FootnoteReference"/>
          <w:sz w:val="20"/>
        </w:rPr>
        <w:footnoteRef/>
      </w:r>
      <w:r w:rsidRPr="00713543">
        <w:rPr>
          <w:rFonts w:ascii="Arial" w:hAnsi="Arial"/>
          <w:lang w:val="fr-BE"/>
        </w:rPr>
        <w:t xml:space="preserve"> Az Adapto különleges közlekedési szolgáltatás azon felhasználói, akik Adapto kártyával rendelkeznek, az Adapto szolgáltatás igénybevételével utazhatnak a szavazóhelyiségbe. A szavazóhelyiségbe és a szavazóhelyiségből történő utazásokat nem vonják le az Adapto-utazások igénybe vehető éves kvótájából. Ilyen szolgáltatás igényléséhez a felhasználók a 2465-2465 telefonszámon hívhatják a mobiliteit.lu szolgáltatást, vagy az adapto.lu mobilalkalmazás használatával foglalhatják le a szolgáltatást, a „Választások/Wahlen” opció kiválasztásával.</w:t>
      </w:r>
    </w:p>
  </w:footnote>
  <w:footnote w:id="89">
    <w:p w14:paraId="46F9B30C" w14:textId="1901D463"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5" w:history="1">
        <w:r w:rsidRPr="00713543">
          <w:rPr>
            <w:rStyle w:val="Hyperlink"/>
            <w:sz w:val="20"/>
            <w:lang w:val="fr-BE"/>
          </w:rPr>
          <w:t>Présentation du vote par internet.</w:t>
        </w:r>
      </w:hyperlink>
      <w:hyperlink r:id="rId86" w:history="1">
        <w:r w:rsidRPr="00713543">
          <w:rPr>
            <w:rStyle w:val="Hyperlink"/>
            <w:sz w:val="20"/>
            <w:lang w:val="fr-BE"/>
          </w:rPr>
          <w:t xml:space="preserve"> Ministère de l’Europe et des Affaires étrangères</w:t>
        </w:r>
      </w:hyperlink>
      <w:r w:rsidRPr="00713543">
        <w:rPr>
          <w:rFonts w:ascii="Arial" w:hAnsi="Arial"/>
          <w:lang w:val="fr-BE"/>
        </w:rPr>
        <w:t>.</w:t>
      </w:r>
    </w:p>
  </w:footnote>
  <w:footnote w:id="90">
    <w:p w14:paraId="6B2ADE21" w14:textId="293447C8"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7" w:history="1">
        <w:r w:rsidRPr="00713543">
          <w:rPr>
            <w:rStyle w:val="Hyperlink"/>
            <w:sz w:val="20"/>
            <w:lang w:val="fr-BE"/>
          </w:rPr>
          <w:t>Online szavazás támogatja a szociálpolitikai választásokat Németországban</w:t>
        </w:r>
      </w:hyperlink>
      <w:r w:rsidRPr="00713543">
        <w:rPr>
          <w:rFonts w:ascii="Arial" w:hAnsi="Arial"/>
          <w:lang w:val="fr-BE"/>
        </w:rPr>
        <w:t>.</w:t>
      </w:r>
    </w:p>
  </w:footnote>
  <w:footnote w:id="91">
    <w:p w14:paraId="6AFB43C2" w14:textId="7C6A77D6"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8" w:history="1">
        <w:r w:rsidRPr="00713543">
          <w:rPr>
            <w:rStyle w:val="Hyperlink"/>
            <w:sz w:val="20"/>
            <w:lang w:val="fr-BE"/>
          </w:rPr>
          <w:t>A 2022. évi uniós igazságügyi eredménytábla</w:t>
        </w:r>
      </w:hyperlink>
      <w:r w:rsidRPr="00713543">
        <w:rPr>
          <w:rFonts w:ascii="Arial" w:hAnsi="Arial"/>
          <w:lang w:val="fr-BE"/>
        </w:rPr>
        <w:t>.</w:t>
      </w:r>
    </w:p>
  </w:footnote>
  <w:footnote w:id="92">
    <w:p w14:paraId="13344400" w14:textId="33752B2C"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89" w:history="1">
        <w:r w:rsidRPr="00713543">
          <w:rPr>
            <w:rStyle w:val="Hyperlink"/>
            <w:sz w:val="20"/>
            <w:lang w:val="fr-BE"/>
          </w:rPr>
          <w:t>Observatoire de l’accessibilité des campagnes électorales et des scrutins de 2022</w:t>
        </w:r>
      </w:hyperlink>
      <w:r w:rsidRPr="00713543">
        <w:rPr>
          <w:rFonts w:ascii="Arial" w:hAnsi="Arial"/>
          <w:lang w:val="fr-BE"/>
        </w:rPr>
        <w:t>.</w:t>
      </w:r>
    </w:p>
  </w:footnote>
  <w:footnote w:id="93">
    <w:p w14:paraId="69852E27" w14:textId="7777777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bookmarkStart w:id="83" w:name="_Hlk151393575"/>
      <w:r w:rsidRPr="00713543">
        <w:rPr>
          <w:rFonts w:ascii="Arial" w:hAnsi="Arial"/>
          <w:lang w:val="fr-BE"/>
        </w:rPr>
        <w:t>Az intézkedések többsége a választások akadálymentességének szempontjából valamennyi csoport, köztük az idősek számára is előnyös.</w:t>
      </w:r>
      <w:bookmarkEnd w:id="83"/>
    </w:p>
  </w:footnote>
  <w:footnote w:id="94">
    <w:p w14:paraId="0C31A6D7" w14:textId="49AB30C4"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Lásd például Írország közelmúltbeli választási reformtörvényét (2022).</w:t>
      </w:r>
    </w:p>
  </w:footnote>
  <w:footnote w:id="95">
    <w:p w14:paraId="18B023FC" w14:textId="5F974B1D"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lang w:val="fr-BE"/>
        </w:rPr>
        <w:t xml:space="preserve"> </w:t>
      </w:r>
      <w:r w:rsidRPr="00713543">
        <w:rPr>
          <w:rFonts w:ascii="Arial" w:hAnsi="Arial"/>
          <w:lang w:val="fr-BE"/>
        </w:rPr>
        <w:t>Lásd Románia pénzügyi támogatás biztosítására irányuló jogszabály-módosítási javaslatát.</w:t>
      </w:r>
    </w:p>
  </w:footnote>
  <w:footnote w:id="96">
    <w:p w14:paraId="1D76B737" w14:textId="235F6A5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90" w:history="1">
        <w:r w:rsidRPr="00713543">
          <w:rPr>
            <w:rStyle w:val="Hyperlink"/>
            <w:sz w:val="20"/>
            <w:lang w:val="fr-BE"/>
          </w:rPr>
          <w:t>European Inclusive Publishing Forum</w:t>
        </w:r>
      </w:hyperlink>
      <w:r w:rsidRPr="00713543">
        <w:rPr>
          <w:rFonts w:ascii="Arial" w:hAnsi="Arial"/>
          <w:lang w:val="fr-BE"/>
        </w:rPr>
        <w:t>.</w:t>
      </w:r>
    </w:p>
  </w:footnote>
  <w:footnote w:id="97">
    <w:p w14:paraId="1ABF4F7E" w14:textId="7172DB99"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91" w:history="1">
        <w:r w:rsidRPr="00713543">
          <w:rPr>
            <w:rStyle w:val="Hyperlink"/>
            <w:sz w:val="20"/>
            <w:lang w:val="fr-BE"/>
          </w:rPr>
          <w:t>Invalidiliitto, ’Äänestyspaikkojen esteettömyyden tarkistuslista’</w:t>
        </w:r>
      </w:hyperlink>
      <w:r w:rsidRPr="00713543">
        <w:rPr>
          <w:rFonts w:ascii="Arial" w:hAnsi="Arial"/>
          <w:lang w:val="fr-BE"/>
        </w:rPr>
        <w:t>.</w:t>
      </w:r>
    </w:p>
  </w:footnote>
  <w:footnote w:id="98">
    <w:p w14:paraId="32626F0E" w14:textId="1F1D17F7"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92" w:history="1">
        <w:r w:rsidRPr="00713543">
          <w:rPr>
            <w:rStyle w:val="Hyperlink"/>
            <w:sz w:val="20"/>
            <w:lang w:val="fr-BE"/>
          </w:rPr>
          <w:t>Accessibilite_des_bureaux_de_vote.</w:t>
        </w:r>
      </w:hyperlink>
      <w:r w:rsidRPr="00713543">
        <w:rPr>
          <w:rFonts w:ascii="Arial" w:hAnsi="Arial"/>
          <w:lang w:val="fr-BE"/>
        </w:rPr>
        <w:t xml:space="preserve"> </w:t>
      </w:r>
    </w:p>
  </w:footnote>
  <w:footnote w:id="99">
    <w:p w14:paraId="30416320" w14:textId="79A62565"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93" w:history="1">
        <w:r w:rsidRPr="00713543">
          <w:rPr>
            <w:rStyle w:val="Hyperlink"/>
            <w:sz w:val="20"/>
            <w:lang w:val="fr-BE"/>
          </w:rPr>
          <w:t>Accessibilite_des_bureaux_de_vote.</w:t>
        </w:r>
      </w:hyperlink>
      <w:r w:rsidRPr="00713543">
        <w:rPr>
          <w:rFonts w:ascii="Arial" w:hAnsi="Arial"/>
          <w:lang w:val="fr-BE"/>
        </w:rPr>
        <w:t xml:space="preserve"> </w:t>
      </w:r>
    </w:p>
  </w:footnote>
  <w:footnote w:id="100">
    <w:p w14:paraId="7AD79085" w14:textId="2F22D854" w:rsidR="00EE2BB3" w:rsidRPr="00713543" w:rsidRDefault="00EE2BB3" w:rsidP="0034629E">
      <w:pPr>
        <w:pStyle w:val="FootnoteText"/>
        <w:spacing w:after="60" w:line="264" w:lineRule="auto"/>
        <w:jc w:val="left"/>
        <w:rPr>
          <w:rFonts w:ascii="Arial" w:hAnsi="Arial" w:cs="Arial"/>
          <w:lang w:val="fr-BE"/>
        </w:rPr>
      </w:pPr>
      <w:r>
        <w:rPr>
          <w:rStyle w:val="FootnoteReference"/>
          <w:sz w:val="20"/>
        </w:rPr>
        <w:footnoteRef/>
      </w:r>
      <w:r w:rsidRPr="00713543">
        <w:rPr>
          <w:rFonts w:ascii="Arial" w:hAnsi="Arial"/>
          <w:lang w:val="fr-BE"/>
        </w:rPr>
        <w:t xml:space="preserve"> </w:t>
      </w:r>
      <w:hyperlink r:id="rId94" w:history="1">
        <w:r w:rsidRPr="00713543">
          <w:rPr>
            <w:rStyle w:val="Hyperlink"/>
            <w:sz w:val="20"/>
            <w:lang w:val="fr-BE"/>
          </w:rPr>
          <w:t>Accessibilite_des_bureaux_de_vote.</w:t>
        </w:r>
      </w:hyperlink>
      <w:r w:rsidRPr="00713543">
        <w:rPr>
          <w:rFonts w:ascii="Arial" w:hAnsi="Arial"/>
          <w:lang w:val="fr-BE"/>
        </w:rPr>
        <w:t xml:space="preserve"> </w:t>
      </w:r>
    </w:p>
  </w:footnote>
  <w:footnote w:id="101">
    <w:p w14:paraId="194121B4" w14:textId="77777777" w:rsidR="00EE2BB3" w:rsidRPr="00713543" w:rsidRDefault="00EE2BB3" w:rsidP="0034629E">
      <w:pPr>
        <w:spacing w:after="60" w:line="264" w:lineRule="auto"/>
        <w:rPr>
          <w:sz w:val="20"/>
          <w:lang w:val="fr-BE"/>
        </w:rPr>
      </w:pPr>
      <w:r>
        <w:rPr>
          <w:rStyle w:val="FootnoteReference"/>
          <w:sz w:val="20"/>
        </w:rPr>
        <w:footnoteRef/>
      </w:r>
      <w:r w:rsidRPr="00713543">
        <w:rPr>
          <w:sz w:val="20"/>
          <w:lang w:val="fr-BE"/>
        </w:rPr>
        <w:t xml:space="preserve"> 2018-ban Spanyolországban módosították a választási törvény 3. cikkét.</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58/2016. sz. (augusztus 29-i) törvényerejű rendelet</w:t>
      </w:r>
      <w:r>
        <w:t>.</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Az Európai Parlament és a Tanács (EU) 2019/882 irányelve (2019. április 17.) a termékekre és a szolgáltatásokra vonatkozó akadálymentességi követelményekről</w:t>
        </w:r>
      </w:hyperlink>
      <w:r>
        <w:rPr>
          <w:rFonts w:ascii="Arial" w:hAnsi="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t xml:space="preserve"> </w:t>
      </w:r>
      <w:r>
        <w:rPr>
          <w:rFonts w:ascii="Arial" w:hAnsi="Arial"/>
        </w:rPr>
        <w:t>Az irányelv 2. melléklete olyan példákat tartalmaz, amelyek relevánsak lehetnek a szavazási eljárások szempontjából.</w:t>
      </w:r>
    </w:p>
  </w:footnote>
  <w:footnote w:id="105">
    <w:p w14:paraId="636CB85F" w14:textId="477ABB7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Az Európai Parlament és a Tanács 2014/24/EU irányelve (2014. február 26.) a közbeszerzésről és a 2004/18/EK irányelv hatályon kívül helyezéséről</w:t>
        </w:r>
      </w:hyperlink>
      <w:r>
        <w:rPr>
          <w:rFonts w:ascii="Arial" w:hAnsi="Arial"/>
        </w:rPr>
        <w:t>. Egységes szerkezetbe foglalt szöveg.</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Az Európai Parlament és a Tanács 2014/25/EU irányelve (2014. február 26.) a vízügyi, energiaipari, közlekedési és postai szolgáltatási ágazatban működő ajánlatkérők beszerzéseiről és a 2004/17/EK irányelv hatályon kívül helyezéséről</w:t>
        </w:r>
      </w:hyperlink>
      <w:r>
        <w:rPr>
          <w:rFonts w:ascii="Arial" w:hAnsi="Arial"/>
        </w:rPr>
        <w:t>. Egységes szerkezetbe foglalt szöveg.</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Az Európai Parlament és a Tanács (EU) 2019/882 irányelve (2019. április 17.) a termékekre és a szolgáltatásokra vonatkozó akadálymentességi követelményekről</w:t>
        </w:r>
      </w:hyperlink>
      <w:r>
        <w:rPr>
          <w:rFonts w:ascii="Arial" w:hAnsi="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t xml:space="preserve"> </w:t>
      </w:r>
      <w:r>
        <w:rPr>
          <w:rFonts w:ascii="Arial" w:hAnsi="Arial"/>
        </w:rPr>
        <w:t>Az akadálymentesség ezen elveit olyan ellenőrizhető sikerkritériumokká alakítják át, mint például azok, amelyek az EN 301 549 V3.2.1 (2021-03) „Az IKT-termékek és -szolgáltatások európai közbeszerzésére alkalmas akadálymentességi követelmények” európai szabvány alapjául szolgálnak. Ez közös módszertant biztosít annak vizsgálatára, hogy a weboldalakon és mobilalkalmazásokon található tartalmak megfelelnek-e ezeknek az elveknek. Az említett európai szabványt a Bizottság által az európai szabványügyi szervezetek számára kiadott M/554. számú megbízás alapján fogadták el.</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A Bizottság (EU) 2018/1523 végrehajtási határozata (2018. október 11.) a közszférabeli szervezetek honlapjainak és mobilalkalmazásainak akadálymentesítéséről szóló (EU) 2016/2102 európai parlamenti és tanácsi irányelv szerinti akadálymentesítési mintanyilatkozat létrehozásáról (HL L 256., 2018.10.12., 103. o.).</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Az Európai Parlament és a Tanács 2010/13/EU irányelve (2010. március 10.) a tagállamok audiovizuális médiaszolgáltatások nyújtására vonatkozó egyes törvényi, rendeleti vagy közigazgatási rendelkezéseinek összehangolásáról (Audiovizuális médiaszolgáltatásokról szóló irányelv)</w:t>
        </w:r>
      </w:hyperlink>
      <w:r>
        <w:rPr>
          <w:rFonts w:ascii="Arial" w:hAnsi="Arial"/>
        </w:rPr>
        <w:t xml:space="preserve"> (egységes szerkezetbe foglalt változat). Egységes szerkezetbe foglalt szöveg.</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A honlapok akadálymentesítéséről szóló irányelv:</w:t>
        </w:r>
      </w:hyperlink>
      <w:hyperlink r:id="rId101" w:history="1">
        <w:r>
          <w:rPr>
            <w:rStyle w:val="Hyperlink"/>
            <w:sz w:val="20"/>
          </w:rPr>
          <w:t xml:space="preserve"> szabványok és harmonizáció.</w:t>
        </w:r>
      </w:hyperlink>
      <w:r>
        <w:rPr>
          <w:rStyle w:val="FootnoteReference"/>
          <w:sz w:val="20"/>
        </w:rPr>
        <w:t xml:space="preserve"> </w:t>
      </w:r>
      <w:r>
        <w:rPr>
          <w:rStyle w:val="cf01"/>
          <w:rFonts w:ascii="Arial" w:hAnsi="Arial"/>
          <w:sz w:val="20"/>
        </w:rPr>
        <w:t>Ez a szabvány jelenleg felülvizsgálat alatt áll, miután a Bizottság elfogadta az M/587 szabványosítási megbízást (</w:t>
      </w:r>
      <w:r>
        <w:rPr>
          <w:rStyle w:val="cf11"/>
          <w:rFonts w:ascii="Arial" w:hAnsi="Arial"/>
          <w:sz w:val="20"/>
        </w:rPr>
        <w:t xml:space="preserve">A BIZOTTSÁG VÉGREHAJTÁSI HATÁROZATA [2022. szeptember 14.] a termékek és szolgáltatások akadálymentességi követelményeinek tekintetében az (EU) 2019/882 európai parlamenti és tanácsi irányelvet támogató, az európai szabványügyi szervezetekhez intézett szabványosítási kérelemről; lásd: </w:t>
      </w:r>
      <w:hyperlink r:id="rId102" w:history="1">
        <w:r>
          <w:rPr>
            <w:rStyle w:val="cf11"/>
            <w:rFonts w:ascii="Arial" w:hAnsi="Arial"/>
            <w:color w:val="0000FF"/>
            <w:sz w:val="20"/>
            <w:u w:val="single"/>
          </w:rPr>
          <w:t>eNorm Platform [europa.eu]</w:t>
        </w:r>
      </w:hyperlink>
      <w:r>
        <w:rPr>
          <w:rStyle w:val="cf01"/>
          <w:rFonts w:ascii="Arial" w:hAnsi="Arial"/>
          <w:sz w:val="20"/>
        </w:rPr>
        <w:t>), célja az európai akadálymentesítési irányelv végrehajtásának támogatása. A felülvizsgált szabványok végrehajtásának határideje 2025. szeptember 15.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A honlapok akadálymentesítéséről szóló irányelv:</w:t>
        </w:r>
      </w:hyperlink>
      <w:hyperlink r:id="rId104" w:history="1">
        <w:r>
          <w:rPr>
            <w:rStyle w:val="Hyperlink"/>
            <w:sz w:val="20"/>
          </w:rPr>
          <w:t xml:space="preserve"> szabványok és harmonizáció</w:t>
        </w:r>
      </w:hyperlink>
      <w:r>
        <w:rPr>
          <w:rFonts w:ascii="Arial" w:hAnsi="Arial"/>
        </w:rPr>
        <w:t xml:space="preserve">. </w:t>
      </w:r>
      <w:r>
        <w:rPr>
          <w:rStyle w:val="cf01"/>
          <w:rFonts w:ascii="Arial" w:hAnsi="Arial"/>
          <w:sz w:val="20"/>
        </w:rPr>
        <w:t>Ez a szabvány jelenleg felülvizsgálat alatt áll, miután a Bizottság elfogadta az M/587 szabványosítási megbízást (</w:t>
      </w:r>
      <w:r>
        <w:rPr>
          <w:rStyle w:val="cf11"/>
          <w:rFonts w:ascii="Arial" w:hAnsi="Arial"/>
          <w:sz w:val="20"/>
        </w:rPr>
        <w:t xml:space="preserve">A BIZOTTSÁG VÉGREHAJTÁSI HATÁROZATA [2022. szeptember 14.] </w:t>
      </w:r>
      <w:hyperlink r:id="rId105" w:history="1">
        <w:r>
          <w:rPr>
            <w:rStyle w:val="Hyperlink"/>
            <w:sz w:val="20"/>
          </w:rPr>
          <w:t>a termékek és szolgáltatások akadálymentességi követelményeinek tekintetében az (EU) 2019/882 európai parlamenti és tanácsi irányelvet támogató, az európai szabványügyi szervezetekhez intézett szabványosítási kérelemről</w:t>
        </w:r>
      </w:hyperlink>
      <w:r>
        <w:rPr>
          <w:rStyle w:val="cf01"/>
          <w:rFonts w:ascii="Arial" w:hAnsi="Arial"/>
          <w:sz w:val="20"/>
        </w:rPr>
        <w:t>), amelynek célja az európai akadálymentesítési irányelv végrehajtásának támogatása. A felülvizsgált szabványok végrehajtásának határideje 2025. szeptember 15.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sz w:val="20"/>
          </w:rPr>
          <w:t>Az EN 17210:2021 szabvány hozzájárul az akadálymentes és használható épített környezethez</w:t>
        </w:r>
      </w:hyperlink>
      <w:r>
        <w:rPr>
          <w:rStyle w:val="cf01"/>
          <w:rFonts w:ascii="Arial" w:hAnsi="Arial"/>
          <w:sz w:val="20"/>
        </w:rPr>
        <w:t>.</w:t>
      </w:r>
    </w:p>
  </w:footnote>
  <w:footnote w:id="114">
    <w:p w14:paraId="0C571F2B" w14:textId="4CF694D8"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 táblázat a tagállamokkal közösen készült, és a közzététel időpontjában rendelkezésre álló legpontosabb információkat tükrözi.</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 tapintható stencil néven is ismert sablonok rendelkezésre bocsátására vonatkozó követelmény.</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Kötelező nagyítót bocsátani a szavazók rendelkezésére.</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 szavazófülkében megfelelő világítás biztosítására vonatkozó követelmény.</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Annak biztosítására vonatkozó követelmény, hogy a szavazóhelyiségben a jelöltekkel kapcsolatos hangzó információkhoz saját eszköz vagy a választási tisztviselők által biztosított támogató-segítő eszköz segítségével lehessen hozzáférni.</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 szavazóhelyiségben a szavazólap vagy a jelöltlista nagybetűs nyomtatott változatának rendelkezésre bocsátására vonatkozó követelmény.</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Annak biztosítására vonatkozó követelmény, hogy a szavazólapok Braille-írásos információkat is tartalmazzanak.</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Annak biztosítására vonatkozó követelmény, hogy a szavazófülkék megfeleljenek az akadálymentességi előírásoknak.</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rPr>
          <w:rFonts w:ascii="Arial" w:hAnsi="Arial"/>
        </w:rPr>
        <w:t xml:space="preserve"> A szavazóurnák akadálymentességének biztosítására vonatkozó követelmény.</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 helyi önkormányzatok által létrehozott számos szavazóhelyiségben nagyítókat bocsátanak rendelkezésre.</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 nagyobb politikai pártok esetében a szavazók előre igényelhetnek Braille-írásos szavazólapokat.</w:t>
      </w:r>
    </w:p>
  </w:footnote>
  <w:footnote w:id="125">
    <w:p w14:paraId="1C3D3C71" w14:textId="1589165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 táblázat a tagállamokkal közösen készült, és a közzététel időpontjában rendelkezésre álló legpontosabb információkat tükrözi.</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Szavazás otthonról, kórházból vagy bentlakásos intézményből.</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 szavazóhelyiség közvetlen közelében történő szavazás.</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Akadálymentes szavazóhelyiségben történő szavazás lehetősége, ha a kijelölt szavazóhelyiség nem akadálymentes.</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Korai szavazás azon személyek esetében, akik a választás napján nem tudnak elmenni a szavazóhelyiségbe.</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Csak az országon belüli levélszavazásra vonatkozik.</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 szavazáshoz másik személy segítségének az igénybevétele.</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 szavazati jog más személyre történő átruházásának lehetősége.</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 szavazat interneten keresztül történő leadásának lehetősége.</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 segítő személye nem szabadon választható.</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 w:id="137">
    <w:p w14:paraId="5D66F74B" w14:textId="635B9669" w:rsidR="00402EFD" w:rsidRPr="00C32507" w:rsidRDefault="00402EFD" w:rsidP="00D43BE1">
      <w:pPr>
        <w:pStyle w:val="FootnoteText"/>
      </w:pPr>
      <w:r>
        <w:rPr>
          <w:rStyle w:val="FootnoteReference"/>
          <w:sz w:val="20"/>
        </w:rPr>
        <w:footnoteRef/>
      </w:r>
      <w:r>
        <w:rPr>
          <w:rFonts w:ascii="Arial" w:hAnsi="Arial"/>
        </w:rPr>
        <w:t xml:space="preserve"> Külföldön tartózkodó állampolgárok, börtönbüntetésüket töltők és idegenrendészeti fogdában tartózkodók esetében.</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 segítő személye nem szabadon választható.</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Külföldön tartózkodó állampolgárok esetében.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3D07A8" w14:textId="77777777" w:rsidR="00250FB9" w:rsidRPr="00250FB9" w:rsidRDefault="00250FB9" w:rsidP="00250FB9">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4B2CA" w14:textId="77777777" w:rsidR="00250FB9" w:rsidRPr="00250FB9" w:rsidRDefault="00250FB9" w:rsidP="00250FB9">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49F5E" w14:textId="77777777" w:rsidR="00250FB9" w:rsidRPr="00250FB9" w:rsidRDefault="00250FB9" w:rsidP="00250FB9">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Bejutás a szavazóhelyiségbe</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Bejutás a szavazóhelyiségbe</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366ED21A-D972-4433-B584-0997962ECE58"/>
    <w:docVar w:name="LW_COVERPAGE_TYPE" w:val="1"/>
    <w:docVar w:name="LW_CROSSREFERENCE" w:val="&lt;UNUSED&gt;"/>
    <w:docVar w:name="LW_DocType" w:val="NORMAL"/>
    <w:docVar w:name="LW_EMISSION" w:val="2023.12.6."/>
    <w:docVar w:name="LW_EMISSION_ISODATE" w:val="2023-12-06"/>
    <w:docVar w:name="LW_EMISSION_LOCATION" w:val="BRX"/>
    <w:docVar w:name="LW_EMISSION_PREFIX" w:val="Brüsszel, "/>
    <w:docVar w:name="LW_EMISSION_SUFFIX" w:val=" "/>
    <w:docVar w:name="LW_ID_DOCTYPE_NONLW" w:val="CP-024"/>
    <w:docVar w:name="LW_LANGUE" w:val="HU"/>
    <w:docVar w:name="LW_LEVEL_OF_SENSITIVITY" w:val="Standard treatment"/>
    <w:docVar w:name="LW_NOM.INST" w:val="EURÓPAI BIZOTTSÁG"/>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Útmutató a fogyatékossággal él\u337? polgárok választási folyamatban való részvételére vonatkozó helyes tagállami választási gyakorlatokról"/>
    <w:docVar w:name="LW_TYPE.DOC.CP" w:val="BIZOTTSÁGI SZOLGÁLATI MUNKADOKUMENTUM"/>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3FB6"/>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0FB9"/>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51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C0F"/>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1870"/>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250"/>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4BF"/>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543"/>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9D3"/>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0014"/>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269C"/>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AF9"/>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6804BF"/>
    <w:pPr>
      <w:tabs>
        <w:tab w:val="left" w:pos="440"/>
        <w:tab w:val="right" w:leader="dot" w:pos="9060"/>
      </w:tabs>
      <w:spacing w:after="100"/>
      <w:ind w:left="1288" w:hanging="1288"/>
    </w:pPr>
    <w:rPr>
      <w:noProof/>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www.w3.org/TR/WCAG21/"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hyperlink" Target="https://eur-lex.europa.eu/eli/dir/2019/882/oj?locale=hu" TargetMode="External"/><Relationship Id="rId33" Type="http://schemas.openxmlformats.org/officeDocument/2006/relationships/header" Target="header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www.ees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eader" Target="header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op.europa.eu/en/publication-detail/-/publication/0efb11fa-75ec-11ed-9887-01aa75ed71a1"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www.euroblind.org/sites/default/files/documents/ava_report_en_2018111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eur-lex.europa.eu/legal-content/EN/TXT/?uri=SWD:2022:410:FIN" TargetMode="External"/><Relationship Id="rId30" Type="http://schemas.openxmlformats.org/officeDocument/2006/relationships/hyperlink" Target="https://www.edf-feph.org/publications/human-rights-report-2022-political-participation-of-persons-with-disabilities/" TargetMode="External"/><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HU/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HU/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N/TXT/?uri=CELEX%3A01976X1008%2801%29-20020923" TargetMode="External"/><Relationship Id="rId37" Type="http://schemas.openxmlformats.org/officeDocument/2006/relationships/hyperlink" Target="https://eur-lex.europa.eu/legal-content/HU/TXT/?uri=CELEX%3A01994L0080-20130701" TargetMode="External"/><Relationship Id="rId40" Type="http://schemas.openxmlformats.org/officeDocument/2006/relationships/hyperlink" Target="https://eur-lex.europa.eu/legal-content/HU/TXT/?uri=celex%3A32019L0882" TargetMode="External"/><Relationship Id="rId45" Type="http://schemas.openxmlformats.org/officeDocument/2006/relationships/hyperlink" Target="https://eur-lex.europa.eu/legal-content/HU/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HU/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HU/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HU/TXT/?uri=CELEX:62012CJ0356" TargetMode="External"/><Relationship Id="rId35" Type="http://schemas.openxmlformats.org/officeDocument/2006/relationships/hyperlink" Target="https://eur-lex.europa.eu/legal-content/HU/TXT/?uri=CELEX%3A01993L0109-20130127" TargetMode="External"/><Relationship Id="rId43" Type="http://schemas.openxmlformats.org/officeDocument/2006/relationships/hyperlink" Target="https://eur-lex.europa.eu/legal-content/HU/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HU/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HU/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HU/TXT/?uri=COM%3A2020%3A790%3AFIN&amp;qid=1607079662423" TargetMode="External"/><Relationship Id="rId33" Type="http://schemas.openxmlformats.org/officeDocument/2006/relationships/hyperlink" Target="https://eur-lex.europa.eu/legal-content/HU/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HUN"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HU/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HU/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HU/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HU/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hu-n.pdf" TargetMode="External"/><Relationship Id="rId31" Type="http://schemas.openxmlformats.org/officeDocument/2006/relationships/hyperlink" Target="https://eur-lex.europa.eu/legal-content/EN/TXT/?uri=CELEX%3A01976X1008%2801%29-20020923" TargetMode="External"/><Relationship Id="rId44" Type="http://schemas.openxmlformats.org/officeDocument/2006/relationships/hyperlink" Target="https://eur-lex.europa.eu/legal-content/HU/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HU/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HU/TXT/?uri=CELEX:52020DC0252" TargetMode="External"/><Relationship Id="rId9" Type="http://schemas.openxmlformats.org/officeDocument/2006/relationships/hyperlink" Target="https://eur-lex.europa.eu/legal-content/HU/TXT/?uri=CELEX%3A52023AP0037&amp;qid=1695896629476" TargetMode="External"/><Relationship Id="rId13" Type="http://schemas.openxmlformats.org/officeDocument/2006/relationships/hyperlink" Target="https://eur-lex.europa.eu/legal-content/HU/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HU/TXT/?uri=CELEX%3A52021PC0731" TargetMode="External"/><Relationship Id="rId34" Type="http://schemas.openxmlformats.org/officeDocument/2006/relationships/hyperlink" Target="https://eur-lex.europa.eu/legal-content/HU/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HU/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07D751-00F6-4AE8-9C08-0D9AFD8D6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18997</Words>
  <Characters>108286</Characters>
  <Application>Microsoft Office Word</Application>
  <DocSecurity>0</DocSecurity>
  <Lines>902</Lines>
  <Paragraphs>254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127029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