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2ED77538" w:rsidR="00BB79A4" w:rsidRPr="00B42AEB" w:rsidRDefault="00723583" w:rsidP="00723583">
      <w:pPr>
        <w:pStyle w:val="Pagedecouverture"/>
        <w:rPr>
          <w:noProof/>
        </w:rPr>
      </w:pPr>
      <w:bookmarkStart w:id="0" w:name="LW_BM_COVERPAGE"/>
      <w:r>
        <w:rPr>
          <w:noProof/>
        </w:rPr>
        <w:pict w14:anchorId="55C6969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0FB0A321-0860-43E8-B63C-FB073E4A6E7D" style="width:455.15pt;height:310.45pt">
            <v:imagedata r:id="rId8" o:title=""/>
          </v:shape>
        </w:pict>
      </w:r>
    </w:p>
    <w:bookmarkEnd w:id="0"/>
    <w:p w14:paraId="7528B035" w14:textId="77777777" w:rsidR="004329BF" w:rsidRPr="00B42AEB" w:rsidRDefault="004329BF" w:rsidP="00B42AEB">
      <w:pPr>
        <w:rPr>
          <w:noProof/>
        </w:rPr>
        <w:sectPr w:rsidR="004329BF" w:rsidRPr="00B42AEB" w:rsidSect="00723583">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5A54EB95" w:rsidR="001D7F27" w:rsidRPr="00B42AEB" w:rsidRDefault="001D7F27" w:rsidP="00860D52">
      <w:pPr>
        <w:pStyle w:val="Heading1"/>
        <w:spacing w:before="0" w:after="240" w:line="288" w:lineRule="auto"/>
        <w:jc w:val="center"/>
        <w:rPr>
          <w:noProof/>
        </w:rPr>
      </w:pPr>
      <w:bookmarkStart w:id="1" w:name="_Hlk141981557"/>
      <w:bookmarkStart w:id="2" w:name="_Hlk142502404"/>
      <w:bookmarkStart w:id="3" w:name="_Toc158707780"/>
      <w:bookmarkStart w:id="4" w:name="_GoBack"/>
      <w:bookmarkEnd w:id="1"/>
      <w:bookmarkEnd w:id="2"/>
      <w:bookmarkEnd w:id="4"/>
      <w:r>
        <w:rPr>
          <w:noProof/>
        </w:rPr>
        <w:lastRenderedPageBreak/>
        <w:t>Indhold</w:t>
      </w:r>
      <w:bookmarkEnd w:id="3"/>
      <w:r w:rsidR="00B83B51">
        <w:rPr>
          <w:noProof/>
        </w:rPr>
        <w:t>sfortegnelse</w:t>
      </w:r>
    </w:p>
    <w:sdt>
      <w:sdtPr>
        <w:rPr>
          <w:b w:val="0"/>
          <w:bCs w:val="0"/>
        </w:rPr>
        <w:id w:val="-2143641472"/>
        <w:docPartObj>
          <w:docPartGallery w:val="Table of Contents"/>
          <w:docPartUnique/>
        </w:docPartObj>
      </w:sdtPr>
      <w:sdtEndPr/>
      <w:sdtContent>
        <w:p w14:paraId="1A92D136" w14:textId="06508003" w:rsidR="00B83B51" w:rsidRPr="00B83B51" w:rsidRDefault="00A11876" w:rsidP="00B83B51">
          <w:pPr>
            <w:pStyle w:val="TOC1"/>
            <w:rPr>
              <w:rFonts w:asciiTheme="minorHAnsi" w:eastAsiaTheme="minorEastAsia" w:hAnsiTheme="minorHAnsi" w:cstheme="minorBidi"/>
              <w:sz w:val="22"/>
              <w:szCs w:val="22"/>
            </w:rPr>
          </w:pPr>
          <w:r>
            <w:fldChar w:fldCharType="begin"/>
          </w:r>
          <w:r>
            <w:instrText xml:space="preserve"> TOC \o "1-3" \h \z \u </w:instrText>
          </w:r>
          <w:r>
            <w:fldChar w:fldCharType="separate"/>
          </w:r>
          <w:hyperlink w:anchor="_Toc158707781" w:history="1">
            <w:r w:rsidR="00B83B51" w:rsidRPr="00B83B51">
              <w:rPr>
                <w:rStyle w:val="Hyperlink"/>
              </w:rPr>
              <w:t>1.</w:t>
            </w:r>
            <w:r w:rsidR="00B83B51" w:rsidRPr="00B83B51">
              <w:rPr>
                <w:rFonts w:asciiTheme="minorHAnsi" w:eastAsiaTheme="minorEastAsia" w:hAnsiTheme="minorHAnsi" w:cstheme="minorBidi"/>
                <w:sz w:val="22"/>
                <w:szCs w:val="22"/>
              </w:rPr>
              <w:tab/>
            </w:r>
            <w:r w:rsidR="00B83B51" w:rsidRPr="00B83B51">
              <w:rPr>
                <w:rStyle w:val="Hyperlink"/>
              </w:rPr>
              <w:t>Indledning</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_Toc158707781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3</w:t>
            </w:r>
            <w:r w:rsidR="00B83B51" w:rsidRPr="00B83B51">
              <w:rPr>
                <w:b w:val="0"/>
                <w:bCs w:val="0"/>
                <w:webHidden/>
              </w:rPr>
              <w:fldChar w:fldCharType="end"/>
            </w:r>
          </w:hyperlink>
        </w:p>
        <w:p w14:paraId="0D70B1F4" w14:textId="7FB2A2F2" w:rsidR="00B83B51" w:rsidRPr="00B83B51" w:rsidRDefault="00723583" w:rsidP="00B83B51">
          <w:pPr>
            <w:pStyle w:val="TOC1"/>
            <w:rPr>
              <w:rFonts w:asciiTheme="minorHAnsi" w:eastAsiaTheme="minorEastAsia" w:hAnsiTheme="minorHAnsi" w:cstheme="minorBidi"/>
              <w:sz w:val="22"/>
              <w:szCs w:val="22"/>
            </w:rPr>
          </w:pPr>
          <w:hyperlink w:anchor="_Toc158707782" w:history="1">
            <w:r w:rsidR="00B83B51" w:rsidRPr="00B83B51">
              <w:rPr>
                <w:rStyle w:val="Hyperlink"/>
              </w:rPr>
              <w:t>2.</w:t>
            </w:r>
            <w:r w:rsidR="00B83B51" w:rsidRPr="00B83B51">
              <w:rPr>
                <w:rFonts w:asciiTheme="minorHAnsi" w:eastAsiaTheme="minorEastAsia" w:hAnsiTheme="minorHAnsi" w:cstheme="minorBidi"/>
                <w:sz w:val="22"/>
                <w:szCs w:val="22"/>
              </w:rPr>
              <w:tab/>
            </w:r>
            <w:r w:rsidR="00B83B51" w:rsidRPr="00B83B51">
              <w:rPr>
                <w:rStyle w:val="Hyperlink"/>
              </w:rPr>
              <w:t>Centrale spørgsmål, som borgere med handicap står over for</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_Toc158707782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8</w:t>
            </w:r>
            <w:r w:rsidR="00B83B51" w:rsidRPr="00B83B51">
              <w:rPr>
                <w:b w:val="0"/>
                <w:bCs w:val="0"/>
                <w:webHidden/>
              </w:rPr>
              <w:fldChar w:fldCharType="end"/>
            </w:r>
          </w:hyperlink>
        </w:p>
        <w:p w14:paraId="37678CFF" w14:textId="59C93792" w:rsidR="00B83B51" w:rsidRDefault="00723583" w:rsidP="00B83B51">
          <w:pPr>
            <w:pStyle w:val="TOC1"/>
            <w:rPr>
              <w:rFonts w:asciiTheme="minorHAnsi" w:eastAsiaTheme="minorEastAsia" w:hAnsiTheme="minorHAnsi" w:cstheme="minorBidi"/>
              <w:sz w:val="22"/>
              <w:szCs w:val="22"/>
            </w:rPr>
          </w:pPr>
          <w:hyperlink w:anchor="_Toc158707783" w:history="1">
            <w:r w:rsidR="00B83B51" w:rsidRPr="001E2308">
              <w:rPr>
                <w:rStyle w:val="Hyperlink"/>
              </w:rPr>
              <w:t>3.</w:t>
            </w:r>
            <w:r w:rsidR="00B83B51">
              <w:rPr>
                <w:rFonts w:asciiTheme="minorHAnsi" w:eastAsiaTheme="minorEastAsia" w:hAnsiTheme="minorHAnsi" w:cstheme="minorBidi"/>
                <w:sz w:val="22"/>
                <w:szCs w:val="22"/>
              </w:rPr>
              <w:tab/>
            </w:r>
            <w:r w:rsidR="00B83B51" w:rsidRPr="001E2308">
              <w:rPr>
                <w:rStyle w:val="Hyperlink"/>
              </w:rPr>
              <w:t>EU-ramme</w:t>
            </w:r>
            <w:r w:rsidR="00B83B51">
              <w:rPr>
                <w:webHidden/>
              </w:rPr>
              <w:tab/>
            </w:r>
            <w:r w:rsidR="00B83B51" w:rsidRPr="00B83B51">
              <w:rPr>
                <w:b w:val="0"/>
                <w:bCs w:val="0"/>
                <w:webHidden/>
              </w:rPr>
              <w:fldChar w:fldCharType="begin"/>
            </w:r>
            <w:r w:rsidR="00B83B51" w:rsidRPr="00B83B51">
              <w:rPr>
                <w:b w:val="0"/>
                <w:bCs w:val="0"/>
                <w:webHidden/>
              </w:rPr>
              <w:instrText xml:space="preserve"> PAGEREF _Toc158707783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9</w:t>
            </w:r>
            <w:r w:rsidR="00B83B51" w:rsidRPr="00B83B51">
              <w:rPr>
                <w:b w:val="0"/>
                <w:bCs w:val="0"/>
                <w:webHidden/>
              </w:rPr>
              <w:fldChar w:fldCharType="end"/>
            </w:r>
          </w:hyperlink>
        </w:p>
        <w:p w14:paraId="1A98E4B0" w14:textId="420BF52A" w:rsidR="00B83B51" w:rsidRDefault="00723583">
          <w:pPr>
            <w:pStyle w:val="TOC2"/>
            <w:rPr>
              <w:rFonts w:asciiTheme="minorHAnsi" w:eastAsiaTheme="minorEastAsia" w:hAnsiTheme="minorHAnsi" w:cstheme="minorBidi"/>
              <w:noProof/>
              <w:sz w:val="22"/>
              <w:szCs w:val="22"/>
            </w:rPr>
          </w:pPr>
          <w:hyperlink w:anchor="_Toc158707784" w:history="1">
            <w:r w:rsidR="00B83B51" w:rsidRPr="001E2308">
              <w:rPr>
                <w:rStyle w:val="Hyperlink"/>
                <w:noProof/>
              </w:rPr>
              <w:t>3.1.</w:t>
            </w:r>
            <w:r w:rsidR="00B83B51">
              <w:rPr>
                <w:rFonts w:asciiTheme="minorHAnsi" w:eastAsiaTheme="minorEastAsia" w:hAnsiTheme="minorHAnsi" w:cstheme="minorBidi"/>
                <w:noProof/>
                <w:sz w:val="22"/>
                <w:szCs w:val="22"/>
              </w:rPr>
              <w:tab/>
            </w:r>
            <w:r w:rsidR="00B83B51" w:rsidRPr="001E2308">
              <w:rPr>
                <w:rStyle w:val="Hyperlink"/>
                <w:noProof/>
              </w:rPr>
              <w:t>Traktater</w:t>
            </w:r>
            <w:r w:rsidR="00B83B51">
              <w:rPr>
                <w:noProof/>
                <w:webHidden/>
              </w:rPr>
              <w:tab/>
            </w:r>
            <w:r w:rsidR="00B83B51">
              <w:rPr>
                <w:noProof/>
                <w:webHidden/>
              </w:rPr>
              <w:fldChar w:fldCharType="begin"/>
            </w:r>
            <w:r w:rsidR="00B83B51">
              <w:rPr>
                <w:noProof/>
                <w:webHidden/>
              </w:rPr>
              <w:instrText xml:space="preserve"> PAGEREF _Toc158707784 \h </w:instrText>
            </w:r>
            <w:r w:rsidR="00B83B51">
              <w:rPr>
                <w:noProof/>
                <w:webHidden/>
              </w:rPr>
            </w:r>
            <w:r w:rsidR="00B83B51">
              <w:rPr>
                <w:noProof/>
                <w:webHidden/>
              </w:rPr>
              <w:fldChar w:fldCharType="separate"/>
            </w:r>
            <w:r w:rsidR="00B83B51">
              <w:rPr>
                <w:noProof/>
                <w:webHidden/>
              </w:rPr>
              <w:t>9</w:t>
            </w:r>
            <w:r w:rsidR="00B83B51">
              <w:rPr>
                <w:noProof/>
                <w:webHidden/>
              </w:rPr>
              <w:fldChar w:fldCharType="end"/>
            </w:r>
          </w:hyperlink>
        </w:p>
        <w:p w14:paraId="7689E370" w14:textId="7B207A96" w:rsidR="00B83B51" w:rsidRDefault="00723583">
          <w:pPr>
            <w:pStyle w:val="TOC2"/>
            <w:rPr>
              <w:rFonts w:asciiTheme="minorHAnsi" w:eastAsiaTheme="minorEastAsia" w:hAnsiTheme="minorHAnsi" w:cstheme="minorBidi"/>
              <w:noProof/>
              <w:sz w:val="22"/>
              <w:szCs w:val="22"/>
            </w:rPr>
          </w:pPr>
          <w:hyperlink w:anchor="_Toc158707785" w:history="1">
            <w:r w:rsidR="00B83B51" w:rsidRPr="001E2308">
              <w:rPr>
                <w:rStyle w:val="Hyperlink"/>
                <w:noProof/>
              </w:rPr>
              <w:t>3.2.</w:t>
            </w:r>
            <w:r w:rsidR="00B83B51">
              <w:rPr>
                <w:rFonts w:asciiTheme="minorHAnsi" w:eastAsiaTheme="minorEastAsia" w:hAnsiTheme="minorHAnsi" w:cstheme="minorBidi"/>
                <w:noProof/>
                <w:sz w:val="22"/>
                <w:szCs w:val="22"/>
              </w:rPr>
              <w:tab/>
            </w:r>
            <w:r w:rsidR="00B83B51" w:rsidRPr="001E2308">
              <w:rPr>
                <w:rStyle w:val="Hyperlink"/>
                <w:noProof/>
              </w:rPr>
              <w:t>FN's konvention om rettigheder for personer med handicap</w:t>
            </w:r>
            <w:r w:rsidR="00B83B51">
              <w:rPr>
                <w:noProof/>
                <w:webHidden/>
              </w:rPr>
              <w:tab/>
            </w:r>
            <w:r w:rsidR="00B83B51">
              <w:rPr>
                <w:noProof/>
                <w:webHidden/>
              </w:rPr>
              <w:fldChar w:fldCharType="begin"/>
            </w:r>
            <w:r w:rsidR="00B83B51">
              <w:rPr>
                <w:noProof/>
                <w:webHidden/>
              </w:rPr>
              <w:instrText xml:space="preserve"> PAGEREF _Toc158707785 \h </w:instrText>
            </w:r>
            <w:r w:rsidR="00B83B51">
              <w:rPr>
                <w:noProof/>
                <w:webHidden/>
              </w:rPr>
            </w:r>
            <w:r w:rsidR="00B83B51">
              <w:rPr>
                <w:noProof/>
                <w:webHidden/>
              </w:rPr>
              <w:fldChar w:fldCharType="separate"/>
            </w:r>
            <w:r w:rsidR="00B83B51">
              <w:rPr>
                <w:noProof/>
                <w:webHidden/>
              </w:rPr>
              <w:t>9</w:t>
            </w:r>
            <w:r w:rsidR="00B83B51">
              <w:rPr>
                <w:noProof/>
                <w:webHidden/>
              </w:rPr>
              <w:fldChar w:fldCharType="end"/>
            </w:r>
          </w:hyperlink>
        </w:p>
        <w:p w14:paraId="22E74609" w14:textId="6DAAACD5" w:rsidR="00B83B51" w:rsidRDefault="00723583">
          <w:pPr>
            <w:pStyle w:val="TOC2"/>
            <w:rPr>
              <w:rFonts w:asciiTheme="minorHAnsi" w:eastAsiaTheme="minorEastAsia" w:hAnsiTheme="minorHAnsi" w:cstheme="minorBidi"/>
              <w:noProof/>
              <w:sz w:val="22"/>
              <w:szCs w:val="22"/>
            </w:rPr>
          </w:pPr>
          <w:hyperlink w:anchor="_Toc158707786" w:history="1">
            <w:r w:rsidR="00B83B51" w:rsidRPr="001E2308">
              <w:rPr>
                <w:rStyle w:val="Hyperlink"/>
                <w:noProof/>
              </w:rPr>
              <w:t>3.3.</w:t>
            </w:r>
            <w:r w:rsidR="00B83B51">
              <w:rPr>
                <w:rFonts w:asciiTheme="minorHAnsi" w:eastAsiaTheme="minorEastAsia" w:hAnsiTheme="minorHAnsi" w:cstheme="minorBidi"/>
                <w:noProof/>
                <w:sz w:val="22"/>
                <w:szCs w:val="22"/>
              </w:rPr>
              <w:tab/>
            </w:r>
            <w:r w:rsidR="00B83B51" w:rsidRPr="001E2308">
              <w:rPr>
                <w:rStyle w:val="Hyperlink"/>
                <w:noProof/>
              </w:rPr>
              <w:t>EU's charter om grundlæggende rettigheder</w:t>
            </w:r>
            <w:r w:rsidR="00B83B51">
              <w:rPr>
                <w:noProof/>
                <w:webHidden/>
              </w:rPr>
              <w:tab/>
            </w:r>
            <w:r w:rsidR="00B83B51">
              <w:rPr>
                <w:noProof/>
                <w:webHidden/>
              </w:rPr>
              <w:fldChar w:fldCharType="begin"/>
            </w:r>
            <w:r w:rsidR="00B83B51">
              <w:rPr>
                <w:noProof/>
                <w:webHidden/>
              </w:rPr>
              <w:instrText xml:space="preserve"> PAGEREF _Toc158707786 \h </w:instrText>
            </w:r>
            <w:r w:rsidR="00B83B51">
              <w:rPr>
                <w:noProof/>
                <w:webHidden/>
              </w:rPr>
            </w:r>
            <w:r w:rsidR="00B83B51">
              <w:rPr>
                <w:noProof/>
                <w:webHidden/>
              </w:rPr>
              <w:fldChar w:fldCharType="separate"/>
            </w:r>
            <w:r w:rsidR="00B83B51">
              <w:rPr>
                <w:noProof/>
                <w:webHidden/>
              </w:rPr>
              <w:t>10</w:t>
            </w:r>
            <w:r w:rsidR="00B83B51">
              <w:rPr>
                <w:noProof/>
                <w:webHidden/>
              </w:rPr>
              <w:fldChar w:fldCharType="end"/>
            </w:r>
          </w:hyperlink>
        </w:p>
        <w:p w14:paraId="1D7694F9" w14:textId="26CCD46A" w:rsidR="00B83B51" w:rsidRDefault="00723583">
          <w:pPr>
            <w:pStyle w:val="TOC2"/>
            <w:rPr>
              <w:rFonts w:asciiTheme="minorHAnsi" w:eastAsiaTheme="minorEastAsia" w:hAnsiTheme="minorHAnsi" w:cstheme="minorBidi"/>
              <w:noProof/>
              <w:sz w:val="22"/>
              <w:szCs w:val="22"/>
            </w:rPr>
          </w:pPr>
          <w:hyperlink w:anchor="_Toc158707787" w:history="1">
            <w:r w:rsidR="00B83B51" w:rsidRPr="001E2308">
              <w:rPr>
                <w:rStyle w:val="Hyperlink"/>
                <w:noProof/>
              </w:rPr>
              <w:t>3.4.</w:t>
            </w:r>
            <w:r w:rsidR="00B83B51">
              <w:rPr>
                <w:rFonts w:asciiTheme="minorHAnsi" w:eastAsiaTheme="minorEastAsia" w:hAnsiTheme="minorHAnsi" w:cstheme="minorBidi"/>
                <w:noProof/>
                <w:sz w:val="22"/>
                <w:szCs w:val="22"/>
              </w:rPr>
              <w:tab/>
            </w:r>
            <w:r w:rsidR="00B83B51" w:rsidRPr="001E2308">
              <w:rPr>
                <w:rStyle w:val="Hyperlink"/>
                <w:noProof/>
              </w:rPr>
              <w:t>EU's valglov</w:t>
            </w:r>
            <w:r w:rsidR="00B83B51">
              <w:rPr>
                <w:noProof/>
                <w:webHidden/>
              </w:rPr>
              <w:tab/>
            </w:r>
            <w:r w:rsidR="00B83B51">
              <w:rPr>
                <w:noProof/>
                <w:webHidden/>
              </w:rPr>
              <w:fldChar w:fldCharType="begin"/>
            </w:r>
            <w:r w:rsidR="00B83B51">
              <w:rPr>
                <w:noProof/>
                <w:webHidden/>
              </w:rPr>
              <w:instrText xml:space="preserve"> PAGEREF _Toc158707787 \h </w:instrText>
            </w:r>
            <w:r w:rsidR="00B83B51">
              <w:rPr>
                <w:noProof/>
                <w:webHidden/>
              </w:rPr>
            </w:r>
            <w:r w:rsidR="00B83B51">
              <w:rPr>
                <w:noProof/>
                <w:webHidden/>
              </w:rPr>
              <w:fldChar w:fldCharType="separate"/>
            </w:r>
            <w:r w:rsidR="00B83B51">
              <w:rPr>
                <w:noProof/>
                <w:webHidden/>
              </w:rPr>
              <w:t>11</w:t>
            </w:r>
            <w:r w:rsidR="00B83B51">
              <w:rPr>
                <w:noProof/>
                <w:webHidden/>
              </w:rPr>
              <w:fldChar w:fldCharType="end"/>
            </w:r>
          </w:hyperlink>
        </w:p>
        <w:p w14:paraId="693DD5CB" w14:textId="39CD5825" w:rsidR="00B83B51" w:rsidRDefault="00723583">
          <w:pPr>
            <w:pStyle w:val="TOC2"/>
            <w:rPr>
              <w:rFonts w:asciiTheme="minorHAnsi" w:eastAsiaTheme="minorEastAsia" w:hAnsiTheme="minorHAnsi" w:cstheme="minorBidi"/>
              <w:noProof/>
              <w:sz w:val="22"/>
              <w:szCs w:val="22"/>
            </w:rPr>
          </w:pPr>
          <w:hyperlink w:anchor="_Toc158707788" w:history="1">
            <w:r w:rsidR="00B83B51" w:rsidRPr="001E2308">
              <w:rPr>
                <w:rStyle w:val="Hyperlink"/>
                <w:noProof/>
              </w:rPr>
              <w:t>3.5.</w:t>
            </w:r>
            <w:r w:rsidR="00B83B51">
              <w:rPr>
                <w:rFonts w:asciiTheme="minorHAnsi" w:eastAsiaTheme="minorEastAsia" w:hAnsiTheme="minorHAnsi" w:cstheme="minorBidi"/>
                <w:noProof/>
                <w:sz w:val="22"/>
                <w:szCs w:val="22"/>
              </w:rPr>
              <w:tab/>
            </w:r>
            <w:r w:rsidR="00B83B51" w:rsidRPr="001E2308">
              <w:rPr>
                <w:rStyle w:val="Hyperlink"/>
                <w:noProof/>
              </w:rPr>
              <w:t>Mobile EU-borgeres stemmeret</w:t>
            </w:r>
            <w:r w:rsidR="00B83B51">
              <w:rPr>
                <w:noProof/>
                <w:webHidden/>
              </w:rPr>
              <w:tab/>
            </w:r>
            <w:r w:rsidR="00B83B51">
              <w:rPr>
                <w:noProof/>
                <w:webHidden/>
              </w:rPr>
              <w:fldChar w:fldCharType="begin"/>
            </w:r>
            <w:r w:rsidR="00B83B51">
              <w:rPr>
                <w:noProof/>
                <w:webHidden/>
              </w:rPr>
              <w:instrText xml:space="preserve"> PAGEREF _Toc158707788 \h </w:instrText>
            </w:r>
            <w:r w:rsidR="00B83B51">
              <w:rPr>
                <w:noProof/>
                <w:webHidden/>
              </w:rPr>
            </w:r>
            <w:r w:rsidR="00B83B51">
              <w:rPr>
                <w:noProof/>
                <w:webHidden/>
              </w:rPr>
              <w:fldChar w:fldCharType="separate"/>
            </w:r>
            <w:r w:rsidR="00B83B51">
              <w:rPr>
                <w:noProof/>
                <w:webHidden/>
              </w:rPr>
              <w:t>11</w:t>
            </w:r>
            <w:r w:rsidR="00B83B51">
              <w:rPr>
                <w:noProof/>
                <w:webHidden/>
              </w:rPr>
              <w:fldChar w:fldCharType="end"/>
            </w:r>
          </w:hyperlink>
        </w:p>
        <w:p w14:paraId="043FB593" w14:textId="36D84763" w:rsidR="00B83B51" w:rsidRDefault="00723583">
          <w:pPr>
            <w:pStyle w:val="TOC2"/>
            <w:rPr>
              <w:rFonts w:asciiTheme="minorHAnsi" w:eastAsiaTheme="minorEastAsia" w:hAnsiTheme="minorHAnsi" w:cstheme="minorBidi"/>
              <w:noProof/>
              <w:sz w:val="22"/>
              <w:szCs w:val="22"/>
            </w:rPr>
          </w:pPr>
          <w:hyperlink w:anchor="_Toc158707789" w:history="1">
            <w:r w:rsidR="00B83B51" w:rsidRPr="001E2308">
              <w:rPr>
                <w:rStyle w:val="Hyperlink"/>
                <w:noProof/>
              </w:rPr>
              <w:t>3.6.</w:t>
            </w:r>
            <w:r w:rsidR="00B83B51">
              <w:rPr>
                <w:rFonts w:asciiTheme="minorHAnsi" w:eastAsiaTheme="minorEastAsia" w:hAnsiTheme="minorHAnsi" w:cstheme="minorBidi"/>
                <w:noProof/>
                <w:sz w:val="22"/>
                <w:szCs w:val="22"/>
              </w:rPr>
              <w:tab/>
            </w:r>
            <w:r w:rsidR="00B83B51" w:rsidRPr="001E2308">
              <w:rPr>
                <w:rStyle w:val="Hyperlink"/>
                <w:noProof/>
              </w:rPr>
              <w:t>Gennemsigtighed i politiske annoncer</w:t>
            </w:r>
            <w:r w:rsidR="00B83B51">
              <w:rPr>
                <w:noProof/>
                <w:webHidden/>
              </w:rPr>
              <w:tab/>
            </w:r>
            <w:r w:rsidR="00B83B51">
              <w:rPr>
                <w:noProof/>
                <w:webHidden/>
              </w:rPr>
              <w:fldChar w:fldCharType="begin"/>
            </w:r>
            <w:r w:rsidR="00B83B51">
              <w:rPr>
                <w:noProof/>
                <w:webHidden/>
              </w:rPr>
              <w:instrText xml:space="preserve"> PAGEREF _Toc158707789 \h </w:instrText>
            </w:r>
            <w:r w:rsidR="00B83B51">
              <w:rPr>
                <w:noProof/>
                <w:webHidden/>
              </w:rPr>
            </w:r>
            <w:r w:rsidR="00B83B51">
              <w:rPr>
                <w:noProof/>
                <w:webHidden/>
              </w:rPr>
              <w:fldChar w:fldCharType="separate"/>
            </w:r>
            <w:r w:rsidR="00B83B51">
              <w:rPr>
                <w:noProof/>
                <w:webHidden/>
              </w:rPr>
              <w:t>12</w:t>
            </w:r>
            <w:r w:rsidR="00B83B51">
              <w:rPr>
                <w:noProof/>
                <w:webHidden/>
              </w:rPr>
              <w:fldChar w:fldCharType="end"/>
            </w:r>
          </w:hyperlink>
        </w:p>
        <w:p w14:paraId="1B25804D" w14:textId="0488627C" w:rsidR="00B83B51" w:rsidRDefault="00723583">
          <w:pPr>
            <w:pStyle w:val="TOC2"/>
            <w:rPr>
              <w:rFonts w:asciiTheme="minorHAnsi" w:eastAsiaTheme="minorEastAsia" w:hAnsiTheme="minorHAnsi" w:cstheme="minorBidi"/>
              <w:noProof/>
              <w:sz w:val="22"/>
              <w:szCs w:val="22"/>
            </w:rPr>
          </w:pPr>
          <w:hyperlink w:anchor="_Toc158707790" w:history="1">
            <w:r w:rsidR="00B83B51" w:rsidRPr="001E2308">
              <w:rPr>
                <w:rStyle w:val="Hyperlink"/>
                <w:noProof/>
              </w:rPr>
              <w:t>3.7.</w:t>
            </w:r>
            <w:r w:rsidR="00B83B51">
              <w:rPr>
                <w:rFonts w:asciiTheme="minorHAnsi" w:eastAsiaTheme="minorEastAsia" w:hAnsiTheme="minorHAnsi" w:cstheme="minorBidi"/>
                <w:noProof/>
                <w:sz w:val="22"/>
                <w:szCs w:val="22"/>
              </w:rPr>
              <w:tab/>
            </w:r>
            <w:r w:rsidR="00B83B51" w:rsidRPr="001E2308">
              <w:rPr>
                <w:rStyle w:val="Hyperlink"/>
                <w:noProof/>
              </w:rPr>
              <w:t>Andre EU-retlige tekster</w:t>
            </w:r>
            <w:r w:rsidR="00B83B51">
              <w:rPr>
                <w:noProof/>
                <w:webHidden/>
              </w:rPr>
              <w:tab/>
            </w:r>
            <w:r w:rsidR="00B83B51">
              <w:rPr>
                <w:noProof/>
                <w:webHidden/>
              </w:rPr>
              <w:fldChar w:fldCharType="begin"/>
            </w:r>
            <w:r w:rsidR="00B83B51">
              <w:rPr>
                <w:noProof/>
                <w:webHidden/>
              </w:rPr>
              <w:instrText xml:space="preserve"> PAGEREF _Toc158707790 \h </w:instrText>
            </w:r>
            <w:r w:rsidR="00B83B51">
              <w:rPr>
                <w:noProof/>
                <w:webHidden/>
              </w:rPr>
            </w:r>
            <w:r w:rsidR="00B83B51">
              <w:rPr>
                <w:noProof/>
                <w:webHidden/>
              </w:rPr>
              <w:fldChar w:fldCharType="separate"/>
            </w:r>
            <w:r w:rsidR="00B83B51">
              <w:rPr>
                <w:noProof/>
                <w:webHidden/>
              </w:rPr>
              <w:t>13</w:t>
            </w:r>
            <w:r w:rsidR="00B83B51">
              <w:rPr>
                <w:noProof/>
                <w:webHidden/>
              </w:rPr>
              <w:fldChar w:fldCharType="end"/>
            </w:r>
          </w:hyperlink>
        </w:p>
        <w:p w14:paraId="08B7D0C9" w14:textId="4BE6347A" w:rsidR="00B83B51" w:rsidRDefault="00723583" w:rsidP="00B83B51">
          <w:pPr>
            <w:pStyle w:val="TOC1"/>
            <w:rPr>
              <w:rFonts w:asciiTheme="minorHAnsi" w:eastAsiaTheme="minorEastAsia" w:hAnsiTheme="minorHAnsi" w:cstheme="minorBidi"/>
              <w:sz w:val="22"/>
              <w:szCs w:val="22"/>
            </w:rPr>
          </w:pPr>
          <w:hyperlink w:anchor="_Toc158707791" w:history="1">
            <w:r w:rsidR="00B83B51" w:rsidRPr="001E2308">
              <w:rPr>
                <w:rStyle w:val="Hyperlink"/>
              </w:rPr>
              <w:t>4. Internationale standarder, der gælder for EU-medlemsstaterne</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_Toc158707791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13</w:t>
            </w:r>
            <w:r w:rsidR="00B83B51" w:rsidRPr="00B83B51">
              <w:rPr>
                <w:b w:val="0"/>
                <w:bCs w:val="0"/>
                <w:webHidden/>
              </w:rPr>
              <w:fldChar w:fldCharType="end"/>
            </w:r>
          </w:hyperlink>
        </w:p>
        <w:p w14:paraId="0ED15516" w14:textId="20B71C63" w:rsidR="00B83B51" w:rsidRDefault="00723583" w:rsidP="00B83B51">
          <w:pPr>
            <w:pStyle w:val="TOC1"/>
            <w:rPr>
              <w:rFonts w:asciiTheme="minorHAnsi" w:eastAsiaTheme="minorEastAsia" w:hAnsiTheme="minorHAnsi" w:cstheme="minorBidi"/>
              <w:sz w:val="22"/>
              <w:szCs w:val="22"/>
            </w:rPr>
          </w:pPr>
          <w:hyperlink w:anchor="_Toc158707792" w:history="1">
            <w:r w:rsidR="00B83B51" w:rsidRPr="001E2308">
              <w:rPr>
                <w:rStyle w:val="Hyperlink"/>
              </w:rPr>
              <w:t>5. Miljøer, der støtter valgdeltagelse</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_Toc158707792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15</w:t>
            </w:r>
            <w:r w:rsidR="00B83B51" w:rsidRPr="00B83B51">
              <w:rPr>
                <w:b w:val="0"/>
                <w:bCs w:val="0"/>
                <w:webHidden/>
              </w:rPr>
              <w:fldChar w:fldCharType="end"/>
            </w:r>
          </w:hyperlink>
        </w:p>
        <w:p w14:paraId="0FB9EAF6" w14:textId="450B3A03" w:rsidR="00B83B51" w:rsidRDefault="00723583">
          <w:pPr>
            <w:pStyle w:val="TOC2"/>
            <w:rPr>
              <w:rFonts w:asciiTheme="minorHAnsi" w:eastAsiaTheme="minorEastAsia" w:hAnsiTheme="minorHAnsi" w:cstheme="minorBidi"/>
              <w:noProof/>
              <w:sz w:val="22"/>
              <w:szCs w:val="22"/>
            </w:rPr>
          </w:pPr>
          <w:hyperlink w:anchor="_Toc158707793" w:history="1">
            <w:r w:rsidR="00B83B51" w:rsidRPr="001E2308">
              <w:rPr>
                <w:rStyle w:val="Hyperlink"/>
                <w:noProof/>
              </w:rPr>
              <w:t>5.1. Udvikling af specifikke politikker</w:t>
            </w:r>
            <w:r w:rsidR="00B83B51">
              <w:rPr>
                <w:noProof/>
                <w:webHidden/>
              </w:rPr>
              <w:tab/>
            </w:r>
            <w:r w:rsidR="00B83B51">
              <w:rPr>
                <w:noProof/>
                <w:webHidden/>
              </w:rPr>
              <w:fldChar w:fldCharType="begin"/>
            </w:r>
            <w:r w:rsidR="00B83B51">
              <w:rPr>
                <w:noProof/>
                <w:webHidden/>
              </w:rPr>
              <w:instrText xml:space="preserve"> PAGEREF _Toc158707793 \h </w:instrText>
            </w:r>
            <w:r w:rsidR="00B83B51">
              <w:rPr>
                <w:noProof/>
                <w:webHidden/>
              </w:rPr>
            </w:r>
            <w:r w:rsidR="00B83B51">
              <w:rPr>
                <w:noProof/>
                <w:webHidden/>
              </w:rPr>
              <w:fldChar w:fldCharType="separate"/>
            </w:r>
            <w:r w:rsidR="00B83B51">
              <w:rPr>
                <w:noProof/>
                <w:webHidden/>
              </w:rPr>
              <w:t>15</w:t>
            </w:r>
            <w:r w:rsidR="00B83B51">
              <w:rPr>
                <w:noProof/>
                <w:webHidden/>
              </w:rPr>
              <w:fldChar w:fldCharType="end"/>
            </w:r>
          </w:hyperlink>
        </w:p>
        <w:p w14:paraId="6A779B28" w14:textId="7CB212B9" w:rsidR="00B83B51" w:rsidRDefault="00723583">
          <w:pPr>
            <w:pStyle w:val="TOC2"/>
            <w:rPr>
              <w:rFonts w:asciiTheme="minorHAnsi" w:eastAsiaTheme="minorEastAsia" w:hAnsiTheme="minorHAnsi" w:cstheme="minorBidi"/>
              <w:noProof/>
              <w:sz w:val="22"/>
              <w:szCs w:val="22"/>
            </w:rPr>
          </w:pPr>
          <w:hyperlink w:anchor="_Toc158707794" w:history="1">
            <w:r w:rsidR="00B83B51" w:rsidRPr="001E2308">
              <w:rPr>
                <w:rStyle w:val="Hyperlink"/>
                <w:noProof/>
              </w:rPr>
              <w:t>5.2. Bevidstgørelse og holdningsændring</w:t>
            </w:r>
            <w:r w:rsidR="00B83B51">
              <w:rPr>
                <w:noProof/>
                <w:webHidden/>
              </w:rPr>
              <w:tab/>
            </w:r>
            <w:r w:rsidR="00B83B51">
              <w:rPr>
                <w:noProof/>
                <w:webHidden/>
              </w:rPr>
              <w:fldChar w:fldCharType="begin"/>
            </w:r>
            <w:r w:rsidR="00B83B51">
              <w:rPr>
                <w:noProof/>
                <w:webHidden/>
              </w:rPr>
              <w:instrText xml:space="preserve"> PAGEREF _Toc158707794 \h </w:instrText>
            </w:r>
            <w:r w:rsidR="00B83B51">
              <w:rPr>
                <w:noProof/>
                <w:webHidden/>
              </w:rPr>
            </w:r>
            <w:r w:rsidR="00B83B51">
              <w:rPr>
                <w:noProof/>
                <w:webHidden/>
              </w:rPr>
              <w:fldChar w:fldCharType="separate"/>
            </w:r>
            <w:r w:rsidR="00B83B51">
              <w:rPr>
                <w:noProof/>
                <w:webHidden/>
              </w:rPr>
              <w:t>15</w:t>
            </w:r>
            <w:r w:rsidR="00B83B51">
              <w:rPr>
                <w:noProof/>
                <w:webHidden/>
              </w:rPr>
              <w:fldChar w:fldCharType="end"/>
            </w:r>
          </w:hyperlink>
        </w:p>
        <w:p w14:paraId="09884BCA" w14:textId="5892250D" w:rsidR="00B83B51" w:rsidRDefault="00723583">
          <w:pPr>
            <w:pStyle w:val="TOC2"/>
            <w:rPr>
              <w:rFonts w:asciiTheme="minorHAnsi" w:eastAsiaTheme="minorEastAsia" w:hAnsiTheme="minorHAnsi" w:cstheme="minorBidi"/>
              <w:noProof/>
              <w:sz w:val="22"/>
              <w:szCs w:val="22"/>
            </w:rPr>
          </w:pPr>
          <w:hyperlink w:anchor="_Toc158707795" w:history="1">
            <w:r w:rsidR="00B83B51" w:rsidRPr="001E2308">
              <w:rPr>
                <w:rStyle w:val="Hyperlink"/>
                <w:noProof/>
              </w:rPr>
              <w:t>5.3. Samarbejde med organisationer, der støtter rettigheder for personer med handicap</w:t>
            </w:r>
            <w:r w:rsidR="00B83B51">
              <w:rPr>
                <w:noProof/>
                <w:webHidden/>
              </w:rPr>
              <w:tab/>
            </w:r>
            <w:r w:rsidR="00B83B51">
              <w:rPr>
                <w:noProof/>
                <w:webHidden/>
              </w:rPr>
              <w:fldChar w:fldCharType="begin"/>
            </w:r>
            <w:r w:rsidR="00B83B51">
              <w:rPr>
                <w:noProof/>
                <w:webHidden/>
              </w:rPr>
              <w:instrText xml:space="preserve"> PAGEREF _Toc158707795 \h </w:instrText>
            </w:r>
            <w:r w:rsidR="00B83B51">
              <w:rPr>
                <w:noProof/>
                <w:webHidden/>
              </w:rPr>
            </w:r>
            <w:r w:rsidR="00B83B51">
              <w:rPr>
                <w:noProof/>
                <w:webHidden/>
              </w:rPr>
              <w:fldChar w:fldCharType="separate"/>
            </w:r>
            <w:r w:rsidR="00B83B51">
              <w:rPr>
                <w:noProof/>
                <w:webHidden/>
              </w:rPr>
              <w:t>17</w:t>
            </w:r>
            <w:r w:rsidR="00B83B51">
              <w:rPr>
                <w:noProof/>
                <w:webHidden/>
              </w:rPr>
              <w:fldChar w:fldCharType="end"/>
            </w:r>
          </w:hyperlink>
        </w:p>
        <w:p w14:paraId="4CD03A55" w14:textId="45570B4B" w:rsidR="00B83B51" w:rsidRDefault="00723583">
          <w:pPr>
            <w:pStyle w:val="TOC2"/>
            <w:rPr>
              <w:rFonts w:asciiTheme="minorHAnsi" w:eastAsiaTheme="minorEastAsia" w:hAnsiTheme="minorHAnsi" w:cstheme="minorBidi"/>
              <w:noProof/>
              <w:sz w:val="22"/>
              <w:szCs w:val="22"/>
            </w:rPr>
          </w:pPr>
          <w:hyperlink w:anchor="_Toc158707796" w:history="1">
            <w:r w:rsidR="00B83B51" w:rsidRPr="001E2308">
              <w:rPr>
                <w:rStyle w:val="Hyperlink"/>
                <w:noProof/>
              </w:rPr>
              <w:t>5.4. Forbedring af bygningers tilgængelighed og anvendelighed</w:t>
            </w:r>
            <w:r w:rsidR="00B83B51">
              <w:rPr>
                <w:noProof/>
                <w:webHidden/>
              </w:rPr>
              <w:tab/>
            </w:r>
            <w:r w:rsidR="00B83B51">
              <w:rPr>
                <w:noProof/>
                <w:webHidden/>
              </w:rPr>
              <w:fldChar w:fldCharType="begin"/>
            </w:r>
            <w:r w:rsidR="00B83B51">
              <w:rPr>
                <w:noProof/>
                <w:webHidden/>
              </w:rPr>
              <w:instrText xml:space="preserve"> PAGEREF _Toc158707796 \h </w:instrText>
            </w:r>
            <w:r w:rsidR="00B83B51">
              <w:rPr>
                <w:noProof/>
                <w:webHidden/>
              </w:rPr>
            </w:r>
            <w:r w:rsidR="00B83B51">
              <w:rPr>
                <w:noProof/>
                <w:webHidden/>
              </w:rPr>
              <w:fldChar w:fldCharType="separate"/>
            </w:r>
            <w:r w:rsidR="00B83B51">
              <w:rPr>
                <w:noProof/>
                <w:webHidden/>
              </w:rPr>
              <w:t>18</w:t>
            </w:r>
            <w:r w:rsidR="00B83B51">
              <w:rPr>
                <w:noProof/>
                <w:webHidden/>
              </w:rPr>
              <w:fldChar w:fldCharType="end"/>
            </w:r>
          </w:hyperlink>
        </w:p>
        <w:p w14:paraId="6B5AA053" w14:textId="31B7E6D1" w:rsidR="00B83B51" w:rsidRDefault="00723583">
          <w:pPr>
            <w:pStyle w:val="TOC2"/>
            <w:rPr>
              <w:rFonts w:asciiTheme="minorHAnsi" w:eastAsiaTheme="minorEastAsia" w:hAnsiTheme="minorHAnsi" w:cstheme="minorBidi"/>
              <w:noProof/>
              <w:sz w:val="22"/>
              <w:szCs w:val="22"/>
            </w:rPr>
          </w:pPr>
          <w:hyperlink w:anchor="_Toc158707797" w:history="1">
            <w:r w:rsidR="00B83B51" w:rsidRPr="001E2308">
              <w:rPr>
                <w:rStyle w:val="Hyperlink"/>
                <w:noProof/>
              </w:rPr>
              <w:t>5.5 Uddannelse og særlig støtte til valgtilforordnede</w:t>
            </w:r>
            <w:r w:rsidR="00B83B51">
              <w:rPr>
                <w:noProof/>
                <w:webHidden/>
              </w:rPr>
              <w:tab/>
            </w:r>
            <w:r w:rsidR="00B83B51">
              <w:rPr>
                <w:noProof/>
                <w:webHidden/>
              </w:rPr>
              <w:fldChar w:fldCharType="begin"/>
            </w:r>
            <w:r w:rsidR="00B83B51">
              <w:rPr>
                <w:noProof/>
                <w:webHidden/>
              </w:rPr>
              <w:instrText xml:space="preserve"> PAGEREF _Toc158707797 \h </w:instrText>
            </w:r>
            <w:r w:rsidR="00B83B51">
              <w:rPr>
                <w:noProof/>
                <w:webHidden/>
              </w:rPr>
            </w:r>
            <w:r w:rsidR="00B83B51">
              <w:rPr>
                <w:noProof/>
                <w:webHidden/>
              </w:rPr>
              <w:fldChar w:fldCharType="separate"/>
            </w:r>
            <w:r w:rsidR="00B83B51">
              <w:rPr>
                <w:noProof/>
                <w:webHidden/>
              </w:rPr>
              <w:t>18</w:t>
            </w:r>
            <w:r w:rsidR="00B83B51">
              <w:rPr>
                <w:noProof/>
                <w:webHidden/>
              </w:rPr>
              <w:fldChar w:fldCharType="end"/>
            </w:r>
          </w:hyperlink>
        </w:p>
        <w:p w14:paraId="0EC57B01" w14:textId="5FA39E3A" w:rsidR="00B83B51" w:rsidRDefault="00723583" w:rsidP="00B83B51">
          <w:pPr>
            <w:pStyle w:val="TOC1"/>
            <w:rPr>
              <w:rFonts w:asciiTheme="minorHAnsi" w:eastAsiaTheme="minorEastAsia" w:hAnsiTheme="minorHAnsi" w:cstheme="minorBidi"/>
              <w:sz w:val="22"/>
              <w:szCs w:val="22"/>
            </w:rPr>
          </w:pPr>
          <w:hyperlink w:anchor="_Toc158707798" w:history="1">
            <w:r w:rsidR="00B83B51" w:rsidRPr="001E2308">
              <w:rPr>
                <w:rStyle w:val="Hyperlink"/>
              </w:rPr>
              <w:t>6. Opsøgende arbejde over for personer med handicap under valgperioden</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_Toc158707798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19</w:t>
            </w:r>
            <w:r w:rsidR="00B83B51" w:rsidRPr="00B83B51">
              <w:rPr>
                <w:b w:val="0"/>
                <w:bCs w:val="0"/>
                <w:webHidden/>
              </w:rPr>
              <w:fldChar w:fldCharType="end"/>
            </w:r>
          </w:hyperlink>
        </w:p>
        <w:p w14:paraId="490C89BD" w14:textId="661680E3" w:rsidR="00B83B51" w:rsidRDefault="00723583">
          <w:pPr>
            <w:pStyle w:val="TOC2"/>
            <w:rPr>
              <w:rFonts w:asciiTheme="minorHAnsi" w:eastAsiaTheme="minorEastAsia" w:hAnsiTheme="minorHAnsi" w:cstheme="minorBidi"/>
              <w:noProof/>
              <w:sz w:val="22"/>
              <w:szCs w:val="22"/>
            </w:rPr>
          </w:pPr>
          <w:hyperlink w:anchor="_Toc158707799" w:history="1">
            <w:r w:rsidR="00B83B51" w:rsidRPr="001E2308">
              <w:rPr>
                <w:rStyle w:val="Hyperlink"/>
                <w:noProof/>
              </w:rPr>
              <w:t>6.1. Adgang til officiel kommunikation</w:t>
            </w:r>
            <w:r w:rsidR="00B83B51">
              <w:rPr>
                <w:noProof/>
                <w:webHidden/>
              </w:rPr>
              <w:tab/>
            </w:r>
            <w:r w:rsidR="00B83B51">
              <w:rPr>
                <w:noProof/>
                <w:webHidden/>
              </w:rPr>
              <w:fldChar w:fldCharType="begin"/>
            </w:r>
            <w:r w:rsidR="00B83B51">
              <w:rPr>
                <w:noProof/>
                <w:webHidden/>
              </w:rPr>
              <w:instrText xml:space="preserve"> PAGEREF _Toc158707799 \h </w:instrText>
            </w:r>
            <w:r w:rsidR="00B83B51">
              <w:rPr>
                <w:noProof/>
                <w:webHidden/>
              </w:rPr>
            </w:r>
            <w:r w:rsidR="00B83B51">
              <w:rPr>
                <w:noProof/>
                <w:webHidden/>
              </w:rPr>
              <w:fldChar w:fldCharType="separate"/>
            </w:r>
            <w:r w:rsidR="00B83B51">
              <w:rPr>
                <w:noProof/>
                <w:webHidden/>
              </w:rPr>
              <w:t>19</w:t>
            </w:r>
            <w:r w:rsidR="00B83B51">
              <w:rPr>
                <w:noProof/>
                <w:webHidden/>
              </w:rPr>
              <w:fldChar w:fldCharType="end"/>
            </w:r>
          </w:hyperlink>
        </w:p>
        <w:p w14:paraId="010CF03B" w14:textId="35F3D349" w:rsidR="00B83B51" w:rsidRDefault="00723583">
          <w:pPr>
            <w:pStyle w:val="TOC2"/>
            <w:rPr>
              <w:rFonts w:asciiTheme="minorHAnsi" w:eastAsiaTheme="minorEastAsia" w:hAnsiTheme="minorHAnsi" w:cstheme="minorBidi"/>
              <w:noProof/>
              <w:sz w:val="22"/>
              <w:szCs w:val="22"/>
            </w:rPr>
          </w:pPr>
          <w:hyperlink w:anchor="_Toc158707800" w:history="1">
            <w:r w:rsidR="00B83B51" w:rsidRPr="001E2308">
              <w:rPr>
                <w:rStyle w:val="Hyperlink"/>
                <w:noProof/>
              </w:rPr>
              <w:t>6.2. Adgang til politisk reklame</w:t>
            </w:r>
            <w:r w:rsidR="00B83B51">
              <w:rPr>
                <w:noProof/>
                <w:webHidden/>
              </w:rPr>
              <w:tab/>
            </w:r>
            <w:r w:rsidR="00B83B51">
              <w:rPr>
                <w:noProof/>
                <w:webHidden/>
              </w:rPr>
              <w:fldChar w:fldCharType="begin"/>
            </w:r>
            <w:r w:rsidR="00B83B51">
              <w:rPr>
                <w:noProof/>
                <w:webHidden/>
              </w:rPr>
              <w:instrText xml:space="preserve"> PAGEREF _Toc158707800 \h </w:instrText>
            </w:r>
            <w:r w:rsidR="00B83B51">
              <w:rPr>
                <w:noProof/>
                <w:webHidden/>
              </w:rPr>
            </w:r>
            <w:r w:rsidR="00B83B51">
              <w:rPr>
                <w:noProof/>
                <w:webHidden/>
              </w:rPr>
              <w:fldChar w:fldCharType="separate"/>
            </w:r>
            <w:r w:rsidR="00B83B51">
              <w:rPr>
                <w:noProof/>
                <w:webHidden/>
              </w:rPr>
              <w:t>21</w:t>
            </w:r>
            <w:r w:rsidR="00B83B51">
              <w:rPr>
                <w:noProof/>
                <w:webHidden/>
              </w:rPr>
              <w:fldChar w:fldCharType="end"/>
            </w:r>
          </w:hyperlink>
        </w:p>
        <w:p w14:paraId="6868AF5E" w14:textId="5ADD3ED5" w:rsidR="00B83B51" w:rsidRDefault="00723583" w:rsidP="00B83B51">
          <w:pPr>
            <w:pStyle w:val="TOC1"/>
            <w:rPr>
              <w:rFonts w:asciiTheme="minorHAnsi" w:eastAsiaTheme="minorEastAsia" w:hAnsiTheme="minorHAnsi" w:cstheme="minorBidi"/>
              <w:sz w:val="22"/>
              <w:szCs w:val="22"/>
            </w:rPr>
          </w:pPr>
          <w:hyperlink w:anchor="_Toc158707801" w:history="1">
            <w:r w:rsidR="00B83B51" w:rsidRPr="001E2308">
              <w:rPr>
                <w:rStyle w:val="Hyperlink"/>
              </w:rPr>
              <w:t>7. Universel udformning og rimelige tilpasninger i valgperioden — procedurer, faciliteter og materialer</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_Toc158707801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22</w:t>
            </w:r>
            <w:r w:rsidR="00B83B51" w:rsidRPr="00B83B51">
              <w:rPr>
                <w:b w:val="0"/>
                <w:bCs w:val="0"/>
                <w:webHidden/>
              </w:rPr>
              <w:fldChar w:fldCharType="end"/>
            </w:r>
          </w:hyperlink>
        </w:p>
        <w:p w14:paraId="131CA23D" w14:textId="5886069E" w:rsidR="00B83B51" w:rsidRDefault="00723583">
          <w:pPr>
            <w:pStyle w:val="TOC2"/>
            <w:rPr>
              <w:rFonts w:asciiTheme="minorHAnsi" w:eastAsiaTheme="minorEastAsia" w:hAnsiTheme="minorHAnsi" w:cstheme="minorBidi"/>
              <w:noProof/>
              <w:sz w:val="22"/>
              <w:szCs w:val="22"/>
            </w:rPr>
          </w:pPr>
          <w:hyperlink w:anchor="_Toc158707802" w:history="1">
            <w:r w:rsidR="00B83B51" w:rsidRPr="001E2308">
              <w:rPr>
                <w:rStyle w:val="Hyperlink"/>
                <w:noProof/>
              </w:rPr>
              <w:t>7.1. Registreringsprocedurer</w:t>
            </w:r>
            <w:r w:rsidR="00B83B51">
              <w:rPr>
                <w:noProof/>
                <w:webHidden/>
              </w:rPr>
              <w:tab/>
            </w:r>
            <w:r w:rsidR="00B83B51">
              <w:rPr>
                <w:noProof/>
                <w:webHidden/>
              </w:rPr>
              <w:fldChar w:fldCharType="begin"/>
            </w:r>
            <w:r w:rsidR="00B83B51">
              <w:rPr>
                <w:noProof/>
                <w:webHidden/>
              </w:rPr>
              <w:instrText xml:space="preserve"> PAGEREF _Toc158707802 \h </w:instrText>
            </w:r>
            <w:r w:rsidR="00B83B51">
              <w:rPr>
                <w:noProof/>
                <w:webHidden/>
              </w:rPr>
            </w:r>
            <w:r w:rsidR="00B83B51">
              <w:rPr>
                <w:noProof/>
                <w:webHidden/>
              </w:rPr>
              <w:fldChar w:fldCharType="separate"/>
            </w:r>
            <w:r w:rsidR="00B83B51">
              <w:rPr>
                <w:noProof/>
                <w:webHidden/>
              </w:rPr>
              <w:t>22</w:t>
            </w:r>
            <w:r w:rsidR="00B83B51">
              <w:rPr>
                <w:noProof/>
                <w:webHidden/>
              </w:rPr>
              <w:fldChar w:fldCharType="end"/>
            </w:r>
          </w:hyperlink>
        </w:p>
        <w:p w14:paraId="4C88AB1E" w14:textId="3FB11280" w:rsidR="00B83B51" w:rsidRDefault="00723583">
          <w:pPr>
            <w:pStyle w:val="TOC2"/>
            <w:rPr>
              <w:rFonts w:asciiTheme="minorHAnsi" w:eastAsiaTheme="minorEastAsia" w:hAnsiTheme="minorHAnsi" w:cstheme="minorBidi"/>
              <w:noProof/>
              <w:sz w:val="22"/>
              <w:szCs w:val="22"/>
            </w:rPr>
          </w:pPr>
          <w:hyperlink w:anchor="_Toc158707803" w:history="1">
            <w:r w:rsidR="00B83B51" w:rsidRPr="001E2308">
              <w:rPr>
                <w:rStyle w:val="Hyperlink"/>
                <w:noProof/>
              </w:rPr>
              <w:t>7.2. Forbedring af adgangen til valgsteder, stemmebokse og stemmeurner</w:t>
            </w:r>
            <w:r w:rsidR="00B83B51">
              <w:rPr>
                <w:noProof/>
                <w:webHidden/>
              </w:rPr>
              <w:tab/>
            </w:r>
            <w:r w:rsidR="00B83B51">
              <w:rPr>
                <w:noProof/>
                <w:webHidden/>
              </w:rPr>
              <w:fldChar w:fldCharType="begin"/>
            </w:r>
            <w:r w:rsidR="00B83B51">
              <w:rPr>
                <w:noProof/>
                <w:webHidden/>
              </w:rPr>
              <w:instrText xml:space="preserve"> PAGEREF _Toc158707803 \h </w:instrText>
            </w:r>
            <w:r w:rsidR="00B83B51">
              <w:rPr>
                <w:noProof/>
                <w:webHidden/>
              </w:rPr>
            </w:r>
            <w:r w:rsidR="00B83B51">
              <w:rPr>
                <w:noProof/>
                <w:webHidden/>
              </w:rPr>
              <w:fldChar w:fldCharType="separate"/>
            </w:r>
            <w:r w:rsidR="00B83B51">
              <w:rPr>
                <w:noProof/>
                <w:webHidden/>
              </w:rPr>
              <w:t>22</w:t>
            </w:r>
            <w:r w:rsidR="00B83B51">
              <w:rPr>
                <w:noProof/>
                <w:webHidden/>
              </w:rPr>
              <w:fldChar w:fldCharType="end"/>
            </w:r>
          </w:hyperlink>
        </w:p>
        <w:p w14:paraId="32197724" w14:textId="365D47CE" w:rsidR="00B83B51" w:rsidRDefault="00723583">
          <w:pPr>
            <w:pStyle w:val="TOC2"/>
            <w:rPr>
              <w:rFonts w:asciiTheme="minorHAnsi" w:eastAsiaTheme="minorEastAsia" w:hAnsiTheme="minorHAnsi" w:cstheme="minorBidi"/>
              <w:noProof/>
              <w:sz w:val="22"/>
              <w:szCs w:val="22"/>
            </w:rPr>
          </w:pPr>
          <w:hyperlink w:anchor="_Toc158707804" w:history="1">
            <w:r w:rsidR="00B83B51" w:rsidRPr="001E2308">
              <w:rPr>
                <w:rStyle w:val="Hyperlink"/>
                <w:noProof/>
              </w:rPr>
              <w:t>7.3 Forøgelse af papirstemmesedlers tilgængelighed</w:t>
            </w:r>
            <w:r w:rsidR="00B83B51">
              <w:rPr>
                <w:noProof/>
                <w:webHidden/>
              </w:rPr>
              <w:tab/>
            </w:r>
            <w:r w:rsidR="00B83B51">
              <w:rPr>
                <w:noProof/>
                <w:webHidden/>
              </w:rPr>
              <w:fldChar w:fldCharType="begin"/>
            </w:r>
            <w:r w:rsidR="00B83B51">
              <w:rPr>
                <w:noProof/>
                <w:webHidden/>
              </w:rPr>
              <w:instrText xml:space="preserve"> PAGEREF _Toc158707804 \h </w:instrText>
            </w:r>
            <w:r w:rsidR="00B83B51">
              <w:rPr>
                <w:noProof/>
                <w:webHidden/>
              </w:rPr>
            </w:r>
            <w:r w:rsidR="00B83B51">
              <w:rPr>
                <w:noProof/>
                <w:webHidden/>
              </w:rPr>
              <w:fldChar w:fldCharType="separate"/>
            </w:r>
            <w:r w:rsidR="00B83B51">
              <w:rPr>
                <w:noProof/>
                <w:webHidden/>
              </w:rPr>
              <w:t>25</w:t>
            </w:r>
            <w:r w:rsidR="00B83B51">
              <w:rPr>
                <w:noProof/>
                <w:webHidden/>
              </w:rPr>
              <w:fldChar w:fldCharType="end"/>
            </w:r>
          </w:hyperlink>
        </w:p>
        <w:p w14:paraId="15FC605F" w14:textId="500953C8" w:rsidR="00B83B51" w:rsidRDefault="00723583">
          <w:pPr>
            <w:pStyle w:val="TOC2"/>
            <w:rPr>
              <w:rFonts w:asciiTheme="minorHAnsi" w:eastAsiaTheme="minorEastAsia" w:hAnsiTheme="minorHAnsi" w:cstheme="minorBidi"/>
              <w:noProof/>
              <w:sz w:val="22"/>
              <w:szCs w:val="22"/>
            </w:rPr>
          </w:pPr>
          <w:hyperlink w:anchor="_Toc158707805" w:history="1">
            <w:r w:rsidR="00B83B51" w:rsidRPr="001E2308">
              <w:rPr>
                <w:rStyle w:val="Hyperlink"/>
                <w:noProof/>
              </w:rPr>
              <w:t>7.4. Forøgelse af stemmemaskiners tilgængelighed</w:t>
            </w:r>
            <w:r w:rsidR="00B83B51">
              <w:rPr>
                <w:noProof/>
                <w:webHidden/>
              </w:rPr>
              <w:tab/>
            </w:r>
            <w:r w:rsidR="00B83B51">
              <w:rPr>
                <w:noProof/>
                <w:webHidden/>
              </w:rPr>
              <w:fldChar w:fldCharType="begin"/>
            </w:r>
            <w:r w:rsidR="00B83B51">
              <w:rPr>
                <w:noProof/>
                <w:webHidden/>
              </w:rPr>
              <w:instrText xml:space="preserve"> PAGEREF _Toc158707805 \h </w:instrText>
            </w:r>
            <w:r w:rsidR="00B83B51">
              <w:rPr>
                <w:noProof/>
                <w:webHidden/>
              </w:rPr>
            </w:r>
            <w:r w:rsidR="00B83B51">
              <w:rPr>
                <w:noProof/>
                <w:webHidden/>
              </w:rPr>
              <w:fldChar w:fldCharType="separate"/>
            </w:r>
            <w:r w:rsidR="00B83B51">
              <w:rPr>
                <w:noProof/>
                <w:webHidden/>
              </w:rPr>
              <w:t>26</w:t>
            </w:r>
            <w:r w:rsidR="00B83B51">
              <w:rPr>
                <w:noProof/>
                <w:webHidden/>
              </w:rPr>
              <w:fldChar w:fldCharType="end"/>
            </w:r>
          </w:hyperlink>
        </w:p>
        <w:p w14:paraId="0E09CA25" w14:textId="723C0AB5" w:rsidR="00B83B51" w:rsidRDefault="00723583">
          <w:pPr>
            <w:pStyle w:val="TOC2"/>
            <w:rPr>
              <w:rFonts w:asciiTheme="minorHAnsi" w:eastAsiaTheme="minorEastAsia" w:hAnsiTheme="minorHAnsi" w:cstheme="minorBidi"/>
              <w:noProof/>
              <w:sz w:val="22"/>
              <w:szCs w:val="22"/>
            </w:rPr>
          </w:pPr>
          <w:hyperlink w:anchor="_Toc158707806" w:history="1">
            <w:r w:rsidR="00B83B51" w:rsidRPr="001E2308">
              <w:rPr>
                <w:rStyle w:val="Hyperlink"/>
                <w:noProof/>
              </w:rPr>
              <w:t>7.5. Supplerende afstemningsmetoder</w:t>
            </w:r>
            <w:r w:rsidR="00B83B51">
              <w:rPr>
                <w:noProof/>
                <w:webHidden/>
              </w:rPr>
              <w:tab/>
            </w:r>
            <w:r w:rsidR="00B83B51">
              <w:rPr>
                <w:noProof/>
                <w:webHidden/>
              </w:rPr>
              <w:fldChar w:fldCharType="begin"/>
            </w:r>
            <w:r w:rsidR="00B83B51">
              <w:rPr>
                <w:noProof/>
                <w:webHidden/>
              </w:rPr>
              <w:instrText xml:space="preserve"> PAGEREF _Toc158707806 \h </w:instrText>
            </w:r>
            <w:r w:rsidR="00B83B51">
              <w:rPr>
                <w:noProof/>
                <w:webHidden/>
              </w:rPr>
            </w:r>
            <w:r w:rsidR="00B83B51">
              <w:rPr>
                <w:noProof/>
                <w:webHidden/>
              </w:rPr>
              <w:fldChar w:fldCharType="separate"/>
            </w:r>
            <w:r w:rsidR="00B83B51">
              <w:rPr>
                <w:noProof/>
                <w:webHidden/>
              </w:rPr>
              <w:t>27</w:t>
            </w:r>
            <w:r w:rsidR="00B83B51">
              <w:rPr>
                <w:noProof/>
                <w:webHidden/>
              </w:rPr>
              <w:fldChar w:fldCharType="end"/>
            </w:r>
          </w:hyperlink>
        </w:p>
        <w:p w14:paraId="289CB8AC" w14:textId="632BDA94" w:rsidR="00B83B51" w:rsidRDefault="00723583">
          <w:pPr>
            <w:pStyle w:val="TOC2"/>
            <w:rPr>
              <w:rFonts w:asciiTheme="minorHAnsi" w:eastAsiaTheme="minorEastAsia" w:hAnsiTheme="minorHAnsi" w:cstheme="minorBidi"/>
              <w:noProof/>
              <w:sz w:val="22"/>
              <w:szCs w:val="22"/>
            </w:rPr>
          </w:pPr>
          <w:hyperlink w:anchor="_Toc158707807" w:history="1">
            <w:r w:rsidR="00B83B51" w:rsidRPr="001E2308">
              <w:rPr>
                <w:rStyle w:val="Hyperlink"/>
                <w:noProof/>
              </w:rPr>
              <w:t>7.6. Adgang til valgrelateret tvistbilæggelse</w:t>
            </w:r>
            <w:r w:rsidR="00B83B51">
              <w:rPr>
                <w:noProof/>
                <w:webHidden/>
              </w:rPr>
              <w:tab/>
            </w:r>
            <w:r w:rsidR="00B83B51">
              <w:rPr>
                <w:noProof/>
                <w:webHidden/>
              </w:rPr>
              <w:fldChar w:fldCharType="begin"/>
            </w:r>
            <w:r w:rsidR="00B83B51">
              <w:rPr>
                <w:noProof/>
                <w:webHidden/>
              </w:rPr>
              <w:instrText xml:space="preserve"> PAGEREF _Toc158707807 \h </w:instrText>
            </w:r>
            <w:r w:rsidR="00B83B51">
              <w:rPr>
                <w:noProof/>
                <w:webHidden/>
              </w:rPr>
            </w:r>
            <w:r w:rsidR="00B83B51">
              <w:rPr>
                <w:noProof/>
                <w:webHidden/>
              </w:rPr>
              <w:fldChar w:fldCharType="separate"/>
            </w:r>
            <w:r w:rsidR="00B83B51">
              <w:rPr>
                <w:noProof/>
                <w:webHidden/>
              </w:rPr>
              <w:t>29</w:t>
            </w:r>
            <w:r w:rsidR="00B83B51">
              <w:rPr>
                <w:noProof/>
                <w:webHidden/>
              </w:rPr>
              <w:fldChar w:fldCharType="end"/>
            </w:r>
          </w:hyperlink>
        </w:p>
        <w:p w14:paraId="1F65600D" w14:textId="1E45AAE5" w:rsidR="00B83B51" w:rsidRDefault="00723583">
          <w:pPr>
            <w:pStyle w:val="TOC2"/>
            <w:rPr>
              <w:rFonts w:asciiTheme="minorHAnsi" w:eastAsiaTheme="minorEastAsia" w:hAnsiTheme="minorHAnsi" w:cstheme="minorBidi"/>
              <w:noProof/>
              <w:sz w:val="22"/>
              <w:szCs w:val="22"/>
            </w:rPr>
          </w:pPr>
          <w:hyperlink w:anchor="_Toc158707808" w:history="1">
            <w:r w:rsidR="00B83B51" w:rsidRPr="001E2308">
              <w:rPr>
                <w:rStyle w:val="Hyperlink"/>
                <w:noProof/>
              </w:rPr>
              <w:t>7.7. Indsamling af data om valgdeltagelse af personer med handicap</w:t>
            </w:r>
            <w:r w:rsidR="00B83B51">
              <w:rPr>
                <w:noProof/>
                <w:webHidden/>
              </w:rPr>
              <w:tab/>
            </w:r>
            <w:r w:rsidR="00B83B51">
              <w:rPr>
                <w:noProof/>
                <w:webHidden/>
              </w:rPr>
              <w:fldChar w:fldCharType="begin"/>
            </w:r>
            <w:r w:rsidR="00B83B51">
              <w:rPr>
                <w:noProof/>
                <w:webHidden/>
              </w:rPr>
              <w:instrText xml:space="preserve"> PAGEREF _Toc158707808 \h </w:instrText>
            </w:r>
            <w:r w:rsidR="00B83B51">
              <w:rPr>
                <w:noProof/>
                <w:webHidden/>
              </w:rPr>
            </w:r>
            <w:r w:rsidR="00B83B51">
              <w:rPr>
                <w:noProof/>
                <w:webHidden/>
              </w:rPr>
              <w:fldChar w:fldCharType="separate"/>
            </w:r>
            <w:r w:rsidR="00B83B51">
              <w:rPr>
                <w:noProof/>
                <w:webHidden/>
              </w:rPr>
              <w:t>29</w:t>
            </w:r>
            <w:r w:rsidR="00B83B51">
              <w:rPr>
                <w:noProof/>
                <w:webHidden/>
              </w:rPr>
              <w:fldChar w:fldCharType="end"/>
            </w:r>
          </w:hyperlink>
        </w:p>
        <w:p w14:paraId="0F2283BB" w14:textId="370928BC" w:rsidR="00B83B51" w:rsidRDefault="00723583">
          <w:pPr>
            <w:pStyle w:val="TOC2"/>
            <w:rPr>
              <w:rFonts w:asciiTheme="minorHAnsi" w:eastAsiaTheme="minorEastAsia" w:hAnsiTheme="minorHAnsi" w:cstheme="minorBidi"/>
              <w:noProof/>
              <w:sz w:val="22"/>
              <w:szCs w:val="22"/>
            </w:rPr>
          </w:pPr>
          <w:hyperlink w:anchor="_Toc158707809" w:history="1">
            <w:r w:rsidR="00B83B51" w:rsidRPr="001E2308">
              <w:rPr>
                <w:rStyle w:val="Hyperlink"/>
                <w:noProof/>
              </w:rPr>
              <w:t>7.8. Overvågning og vurdering af valgs tilgængelighed</w:t>
            </w:r>
            <w:r w:rsidR="00B83B51">
              <w:rPr>
                <w:noProof/>
                <w:webHidden/>
              </w:rPr>
              <w:tab/>
            </w:r>
            <w:r w:rsidR="00B83B51">
              <w:rPr>
                <w:noProof/>
                <w:webHidden/>
              </w:rPr>
              <w:fldChar w:fldCharType="begin"/>
            </w:r>
            <w:r w:rsidR="00B83B51">
              <w:rPr>
                <w:noProof/>
                <w:webHidden/>
              </w:rPr>
              <w:instrText xml:space="preserve"> PAGEREF _Toc158707809 \h </w:instrText>
            </w:r>
            <w:r w:rsidR="00B83B51">
              <w:rPr>
                <w:noProof/>
                <w:webHidden/>
              </w:rPr>
            </w:r>
            <w:r w:rsidR="00B83B51">
              <w:rPr>
                <w:noProof/>
                <w:webHidden/>
              </w:rPr>
              <w:fldChar w:fldCharType="separate"/>
            </w:r>
            <w:r w:rsidR="00B83B51">
              <w:rPr>
                <w:noProof/>
                <w:webHidden/>
              </w:rPr>
              <w:t>31</w:t>
            </w:r>
            <w:r w:rsidR="00B83B51">
              <w:rPr>
                <w:noProof/>
                <w:webHidden/>
              </w:rPr>
              <w:fldChar w:fldCharType="end"/>
            </w:r>
          </w:hyperlink>
        </w:p>
        <w:p w14:paraId="3A244878" w14:textId="718F7714" w:rsidR="00B83B51" w:rsidRDefault="00723583" w:rsidP="00B83B51">
          <w:pPr>
            <w:pStyle w:val="TOC1"/>
            <w:rPr>
              <w:rFonts w:asciiTheme="minorHAnsi" w:eastAsiaTheme="minorEastAsia" w:hAnsiTheme="minorHAnsi" w:cstheme="minorBidi"/>
              <w:sz w:val="22"/>
              <w:szCs w:val="22"/>
            </w:rPr>
          </w:pPr>
          <w:hyperlink w:anchor="_Toc158707810" w:history="1">
            <w:r w:rsidR="00B83B51" w:rsidRPr="001E2308">
              <w:rPr>
                <w:rStyle w:val="Hyperlink"/>
              </w:rPr>
              <w:t>8. Afsluttende betragtninger</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_Toc158707810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31</w:t>
            </w:r>
            <w:r w:rsidR="00B83B51" w:rsidRPr="00B83B51">
              <w:rPr>
                <w:b w:val="0"/>
                <w:bCs w:val="0"/>
                <w:webHidden/>
              </w:rPr>
              <w:fldChar w:fldCharType="end"/>
            </w:r>
          </w:hyperlink>
        </w:p>
        <w:p w14:paraId="1CFCEB87" w14:textId="1E54FC9F" w:rsidR="00B83B51" w:rsidRPr="00B83B51" w:rsidRDefault="00723583" w:rsidP="00B83B51">
          <w:pPr>
            <w:pStyle w:val="TOC1"/>
            <w:rPr>
              <w:rFonts w:asciiTheme="minorHAnsi" w:eastAsiaTheme="minorEastAsia" w:hAnsiTheme="minorHAnsi" w:cstheme="minorBidi"/>
              <w:b w:val="0"/>
              <w:bCs w:val="0"/>
              <w:sz w:val="22"/>
              <w:szCs w:val="22"/>
            </w:rPr>
          </w:pPr>
          <w:hyperlink w:anchor="_Toc158707811" w:history="1">
            <w:r w:rsidR="00B83B51" w:rsidRPr="00B83B51">
              <w:rPr>
                <w:rStyle w:val="Hyperlink"/>
                <w:b w:val="0"/>
                <w:bCs w:val="0"/>
              </w:rPr>
              <w:t>Bilag 1 — Ramme for at give personer med handicap adgang til valg</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_Toc158707811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34</w:t>
            </w:r>
            <w:r w:rsidR="00B83B51" w:rsidRPr="00B83B51">
              <w:rPr>
                <w:b w:val="0"/>
                <w:bCs w:val="0"/>
                <w:webHidden/>
              </w:rPr>
              <w:fldChar w:fldCharType="end"/>
            </w:r>
          </w:hyperlink>
        </w:p>
        <w:p w14:paraId="2DE45BE8" w14:textId="6ADD22BE" w:rsidR="00B83B51" w:rsidRPr="00B83B51" w:rsidRDefault="00723583" w:rsidP="00B83B51">
          <w:pPr>
            <w:pStyle w:val="TOC1"/>
            <w:rPr>
              <w:rFonts w:asciiTheme="minorHAnsi" w:eastAsiaTheme="minorEastAsia" w:hAnsiTheme="minorHAnsi" w:cstheme="minorBidi"/>
              <w:b w:val="0"/>
              <w:bCs w:val="0"/>
              <w:sz w:val="22"/>
              <w:szCs w:val="22"/>
            </w:rPr>
          </w:pPr>
          <w:hyperlink w:anchor="_Toc158707812" w:history="1">
            <w:r w:rsidR="00B83B51" w:rsidRPr="00B83B51">
              <w:rPr>
                <w:rStyle w:val="Hyperlink"/>
                <w:b w:val="0"/>
                <w:bCs w:val="0"/>
              </w:rPr>
              <w:t>Bilag 2 — Eksempler på tjekliste til vurdering af valgsteders tilgængelighed</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_Toc158707812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36</w:t>
            </w:r>
            <w:r w:rsidR="00B83B51" w:rsidRPr="00B83B51">
              <w:rPr>
                <w:b w:val="0"/>
                <w:bCs w:val="0"/>
                <w:webHidden/>
              </w:rPr>
              <w:fldChar w:fldCharType="end"/>
            </w:r>
          </w:hyperlink>
        </w:p>
        <w:p w14:paraId="2CA6A029" w14:textId="665C0DF8" w:rsidR="00B83B51" w:rsidRPr="00B83B51" w:rsidRDefault="00723583" w:rsidP="00B83B51">
          <w:pPr>
            <w:pStyle w:val="TOC1"/>
            <w:rPr>
              <w:rFonts w:asciiTheme="minorHAnsi" w:eastAsiaTheme="minorEastAsia" w:hAnsiTheme="minorHAnsi" w:cstheme="minorBidi"/>
              <w:b w:val="0"/>
              <w:bCs w:val="0"/>
              <w:sz w:val="22"/>
              <w:szCs w:val="22"/>
            </w:rPr>
          </w:pPr>
          <w:hyperlink w:anchor="_Toc158707813" w:history="1">
            <w:r w:rsidR="00B83B51" w:rsidRPr="00B83B51">
              <w:rPr>
                <w:rStyle w:val="Hyperlink"/>
                <w:b w:val="0"/>
                <w:bCs w:val="0"/>
              </w:rPr>
              <w:t>Bilag 3 — Eksempel på generelle anbefalinger til valgtilforordnede</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_Toc158707813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38</w:t>
            </w:r>
            <w:r w:rsidR="00B83B51" w:rsidRPr="00B83B51">
              <w:rPr>
                <w:b w:val="0"/>
                <w:bCs w:val="0"/>
                <w:webHidden/>
              </w:rPr>
              <w:fldChar w:fldCharType="end"/>
            </w:r>
          </w:hyperlink>
        </w:p>
        <w:p w14:paraId="0F5B064F" w14:textId="47D813F2" w:rsidR="00B83B51" w:rsidRPr="00B83B51" w:rsidRDefault="00723583" w:rsidP="00B83B51">
          <w:pPr>
            <w:pStyle w:val="TOC1"/>
            <w:rPr>
              <w:rFonts w:asciiTheme="minorHAnsi" w:eastAsiaTheme="minorEastAsia" w:hAnsiTheme="minorHAnsi" w:cstheme="minorBidi"/>
              <w:b w:val="0"/>
              <w:bCs w:val="0"/>
              <w:sz w:val="22"/>
              <w:szCs w:val="22"/>
            </w:rPr>
          </w:pPr>
          <w:hyperlink w:anchor="_Toc158707814" w:history="1">
            <w:r w:rsidR="00B83B51" w:rsidRPr="00B83B51">
              <w:rPr>
                <w:rStyle w:val="Hyperlink"/>
                <w:b w:val="0"/>
                <w:bCs w:val="0"/>
              </w:rPr>
              <w:t>Bilag 4 — Eksempel på, hvordan man giver adgang til valgstedets lokaler</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_Toc158707814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39</w:t>
            </w:r>
            <w:r w:rsidR="00B83B51" w:rsidRPr="00B83B51">
              <w:rPr>
                <w:b w:val="0"/>
                <w:bCs w:val="0"/>
                <w:webHidden/>
              </w:rPr>
              <w:fldChar w:fldCharType="end"/>
            </w:r>
          </w:hyperlink>
        </w:p>
        <w:p w14:paraId="320DCE21" w14:textId="7A6D6849" w:rsidR="00B83B51" w:rsidRPr="00B83B51" w:rsidRDefault="00723583" w:rsidP="00B83B51">
          <w:pPr>
            <w:pStyle w:val="TOC1"/>
            <w:rPr>
              <w:rFonts w:asciiTheme="minorHAnsi" w:eastAsiaTheme="minorEastAsia" w:hAnsiTheme="minorHAnsi" w:cstheme="minorBidi"/>
              <w:b w:val="0"/>
              <w:bCs w:val="0"/>
              <w:sz w:val="22"/>
              <w:szCs w:val="22"/>
            </w:rPr>
          </w:pPr>
          <w:hyperlink w:anchor="_Toc158707815" w:history="1">
            <w:r w:rsidR="00B83B51" w:rsidRPr="00B83B51">
              <w:rPr>
                <w:rStyle w:val="Hyperlink"/>
                <w:b w:val="0"/>
                <w:bCs w:val="0"/>
              </w:rPr>
              <w:t>Bilag 5 — Eksempel på, hvordan man designer et tilgængeligt valgsted</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_Toc158707815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39</w:t>
            </w:r>
            <w:r w:rsidR="00B83B51" w:rsidRPr="00B83B51">
              <w:rPr>
                <w:b w:val="0"/>
                <w:bCs w:val="0"/>
                <w:webHidden/>
              </w:rPr>
              <w:fldChar w:fldCharType="end"/>
            </w:r>
          </w:hyperlink>
        </w:p>
        <w:p w14:paraId="56A9A220" w14:textId="38557474" w:rsidR="00B83B51" w:rsidRPr="00B83B51" w:rsidRDefault="00723583" w:rsidP="00B83B51">
          <w:pPr>
            <w:pStyle w:val="TOC1"/>
            <w:rPr>
              <w:rFonts w:asciiTheme="minorHAnsi" w:eastAsiaTheme="minorEastAsia" w:hAnsiTheme="minorHAnsi" w:cstheme="minorBidi"/>
              <w:b w:val="0"/>
              <w:bCs w:val="0"/>
              <w:sz w:val="22"/>
              <w:szCs w:val="22"/>
            </w:rPr>
          </w:pPr>
          <w:hyperlink w:anchor="_Toc158707816" w:history="1">
            <w:r w:rsidR="00B83B51" w:rsidRPr="00B83B51">
              <w:rPr>
                <w:rStyle w:val="Hyperlink"/>
                <w:b w:val="0"/>
                <w:bCs w:val="0"/>
              </w:rPr>
              <w:t>Bilag 6 — Eksempler på tilpassede stemmebokse</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_Toc158707816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40</w:t>
            </w:r>
            <w:r w:rsidR="00B83B51" w:rsidRPr="00B83B51">
              <w:rPr>
                <w:b w:val="0"/>
                <w:bCs w:val="0"/>
                <w:webHidden/>
              </w:rPr>
              <w:fldChar w:fldCharType="end"/>
            </w:r>
          </w:hyperlink>
        </w:p>
        <w:p w14:paraId="44BD932C" w14:textId="69042552" w:rsidR="00B83B51" w:rsidRPr="00B83B51" w:rsidRDefault="00723583" w:rsidP="00B83B51">
          <w:pPr>
            <w:pStyle w:val="TOC1"/>
            <w:rPr>
              <w:rFonts w:asciiTheme="minorHAnsi" w:eastAsiaTheme="minorEastAsia" w:hAnsiTheme="minorHAnsi" w:cstheme="minorBidi"/>
              <w:b w:val="0"/>
              <w:bCs w:val="0"/>
              <w:sz w:val="22"/>
              <w:szCs w:val="22"/>
            </w:rPr>
          </w:pPr>
          <w:hyperlink w:anchor="_Toc158707817" w:history="1">
            <w:r w:rsidR="00B83B51" w:rsidRPr="00B83B51">
              <w:rPr>
                <w:rStyle w:val="Hyperlink"/>
                <w:b w:val="0"/>
                <w:bCs w:val="0"/>
              </w:rPr>
              <w:t>Bilag 7 — Handicapbegrebet anvendt af medlemsstaterne i forbindelse med valg</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_Toc158707817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40</w:t>
            </w:r>
            <w:r w:rsidR="00B83B51" w:rsidRPr="00B83B51">
              <w:rPr>
                <w:b w:val="0"/>
                <w:bCs w:val="0"/>
                <w:webHidden/>
              </w:rPr>
              <w:fldChar w:fldCharType="end"/>
            </w:r>
          </w:hyperlink>
        </w:p>
        <w:p w14:paraId="37C3C7E4" w14:textId="282E6A22" w:rsidR="00B83B51" w:rsidRPr="00B83B51" w:rsidRDefault="00723583" w:rsidP="00B83B51">
          <w:pPr>
            <w:pStyle w:val="TOC1"/>
            <w:rPr>
              <w:rFonts w:asciiTheme="minorHAnsi" w:eastAsiaTheme="minorEastAsia" w:hAnsiTheme="minorHAnsi" w:cstheme="minorBidi"/>
              <w:b w:val="0"/>
              <w:bCs w:val="0"/>
              <w:sz w:val="22"/>
              <w:szCs w:val="22"/>
            </w:rPr>
          </w:pPr>
          <w:hyperlink w:anchor="_Toc158707818" w:history="1">
            <w:r w:rsidR="00B83B51" w:rsidRPr="00B83B51">
              <w:rPr>
                <w:rStyle w:val="Hyperlink"/>
                <w:b w:val="0"/>
                <w:bCs w:val="0"/>
              </w:rPr>
              <w:t>Bilag 8 — EU-retten og EU-standarder af relevans i forbindelse med valgtilgængelighed for personer med handicap</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_Toc158707818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43</w:t>
            </w:r>
            <w:r w:rsidR="00B83B51" w:rsidRPr="00B83B51">
              <w:rPr>
                <w:b w:val="0"/>
                <w:bCs w:val="0"/>
                <w:webHidden/>
              </w:rPr>
              <w:fldChar w:fldCharType="end"/>
            </w:r>
          </w:hyperlink>
        </w:p>
        <w:p w14:paraId="6CD8458D" w14:textId="413C746E" w:rsidR="00B83B51" w:rsidRPr="00B83B51" w:rsidRDefault="00723583" w:rsidP="00B83B51">
          <w:pPr>
            <w:pStyle w:val="TOC1"/>
            <w:rPr>
              <w:rFonts w:asciiTheme="minorHAnsi" w:eastAsiaTheme="minorEastAsia" w:hAnsiTheme="minorHAnsi" w:cstheme="minorBidi"/>
              <w:b w:val="0"/>
              <w:bCs w:val="0"/>
              <w:sz w:val="22"/>
              <w:szCs w:val="22"/>
            </w:rPr>
          </w:pPr>
          <w:hyperlink w:anchor="_Toc158707819" w:history="1">
            <w:r w:rsidR="00B83B51" w:rsidRPr="00B83B51">
              <w:rPr>
                <w:rStyle w:val="Hyperlink"/>
                <w:b w:val="0"/>
                <w:bCs w:val="0"/>
              </w:rPr>
              <w:t>Bilag 9 — Resultaterne af en fokusgruppe om valgtilgængelighed for personer med handicap afholdt af Kommissionen den 7. september 2023</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_Toc158707819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46</w:t>
            </w:r>
            <w:r w:rsidR="00B83B51" w:rsidRPr="00B83B51">
              <w:rPr>
                <w:b w:val="0"/>
                <w:bCs w:val="0"/>
                <w:webHidden/>
              </w:rPr>
              <w:fldChar w:fldCharType="end"/>
            </w:r>
          </w:hyperlink>
        </w:p>
        <w:p w14:paraId="3FF11641" w14:textId="783FAD21" w:rsidR="00B83B51" w:rsidRPr="00B83B51" w:rsidRDefault="00723583" w:rsidP="00B83B51">
          <w:pPr>
            <w:pStyle w:val="TOC1"/>
            <w:rPr>
              <w:rFonts w:asciiTheme="minorHAnsi" w:eastAsiaTheme="minorEastAsia" w:hAnsiTheme="minorHAnsi" w:cstheme="minorBidi"/>
              <w:b w:val="0"/>
              <w:bCs w:val="0"/>
              <w:sz w:val="22"/>
              <w:szCs w:val="22"/>
            </w:rPr>
          </w:pPr>
          <w:hyperlink w:anchor="_Toc158707820" w:history="1">
            <w:r w:rsidR="00B83B51" w:rsidRPr="00B83B51">
              <w:rPr>
                <w:rStyle w:val="Hyperlink"/>
                <w:b w:val="0"/>
                <w:bCs w:val="0"/>
              </w:rPr>
              <w:t xml:space="preserve">Bilag 10 — Forekomst af hjælpemidler og tilgængelige stemmeurner og stemmebokse </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_Toc158707820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48</w:t>
            </w:r>
            <w:r w:rsidR="00B83B51" w:rsidRPr="00B83B51">
              <w:rPr>
                <w:b w:val="0"/>
                <w:bCs w:val="0"/>
                <w:webHidden/>
              </w:rPr>
              <w:fldChar w:fldCharType="end"/>
            </w:r>
          </w:hyperlink>
        </w:p>
        <w:p w14:paraId="1EEF81F9" w14:textId="56F638DD" w:rsidR="00B83B51" w:rsidRPr="00B83B51" w:rsidRDefault="00723583" w:rsidP="00B83B51">
          <w:pPr>
            <w:pStyle w:val="TOC1"/>
            <w:rPr>
              <w:rFonts w:asciiTheme="minorHAnsi" w:eastAsiaTheme="minorEastAsia" w:hAnsiTheme="minorHAnsi" w:cstheme="minorBidi"/>
              <w:b w:val="0"/>
              <w:bCs w:val="0"/>
              <w:sz w:val="22"/>
              <w:szCs w:val="22"/>
            </w:rPr>
          </w:pPr>
          <w:hyperlink w:anchor="_Toc158707821" w:history="1">
            <w:r w:rsidR="00B83B51" w:rsidRPr="00B83B51">
              <w:rPr>
                <w:rStyle w:val="Hyperlink"/>
                <w:b w:val="0"/>
                <w:bCs w:val="0"/>
              </w:rPr>
              <w:t>Bilag 11 — Supplerende afstemningsmuligheder for personer med handicap i EU's medlemsstater</w:t>
            </w:r>
            <w:r w:rsidR="00B83B51" w:rsidRPr="00B83B51">
              <w:rPr>
                <w:b w:val="0"/>
                <w:bCs w:val="0"/>
                <w:webHidden/>
              </w:rPr>
              <w:tab/>
            </w:r>
            <w:r w:rsidR="00B83B51" w:rsidRPr="00B83B51">
              <w:rPr>
                <w:b w:val="0"/>
                <w:bCs w:val="0"/>
                <w:webHidden/>
              </w:rPr>
              <w:fldChar w:fldCharType="begin"/>
            </w:r>
            <w:r w:rsidR="00B83B51" w:rsidRPr="00B83B51">
              <w:rPr>
                <w:b w:val="0"/>
                <w:bCs w:val="0"/>
                <w:webHidden/>
              </w:rPr>
              <w:instrText xml:space="preserve"> PAGEREF _Toc158707821 \h </w:instrText>
            </w:r>
            <w:r w:rsidR="00B83B51" w:rsidRPr="00B83B51">
              <w:rPr>
                <w:b w:val="0"/>
                <w:bCs w:val="0"/>
                <w:webHidden/>
              </w:rPr>
            </w:r>
            <w:r w:rsidR="00B83B51" w:rsidRPr="00B83B51">
              <w:rPr>
                <w:b w:val="0"/>
                <w:bCs w:val="0"/>
                <w:webHidden/>
              </w:rPr>
              <w:fldChar w:fldCharType="separate"/>
            </w:r>
            <w:r w:rsidR="00B83B51" w:rsidRPr="00B83B51">
              <w:rPr>
                <w:b w:val="0"/>
                <w:bCs w:val="0"/>
                <w:webHidden/>
              </w:rPr>
              <w:t>50</w:t>
            </w:r>
            <w:r w:rsidR="00B83B51" w:rsidRPr="00B83B51">
              <w:rPr>
                <w:b w:val="0"/>
                <w:bCs w:val="0"/>
                <w:webHidden/>
              </w:rPr>
              <w:fldChar w:fldCharType="end"/>
            </w:r>
          </w:hyperlink>
        </w:p>
        <w:p w14:paraId="3A48D0F8" w14:textId="6559F66F" w:rsidR="00A11876" w:rsidRPr="00B42AEB" w:rsidRDefault="00A11876" w:rsidP="003F797B">
          <w:pPr>
            <w:rPr>
              <w:noProof/>
            </w:rPr>
          </w:pPr>
          <w:r>
            <w:rPr>
              <w:noProof/>
            </w:rPr>
            <w:fldChar w:fldCharType="end"/>
          </w:r>
          <w:r>
            <w:rPr>
              <w:noProof/>
            </w:rPr>
            <w:tab/>
          </w:r>
        </w:p>
      </w:sdtContent>
    </w:sdt>
    <w:p w14:paraId="4152E7A7" w14:textId="2DA68AC6" w:rsidR="00B42AEB" w:rsidRDefault="00B42AEB" w:rsidP="00B42AEB">
      <w:pPr>
        <w:rPr>
          <w:noProof/>
        </w:rPr>
      </w:pPr>
      <w:r>
        <w:rPr>
          <w:noProof/>
        </w:rPr>
        <w:br w:type="page"/>
      </w:r>
    </w:p>
    <w:p w14:paraId="3ED83566" w14:textId="1B7AB8FF" w:rsidR="0040253E" w:rsidRPr="00B42AEB" w:rsidRDefault="00090D1B" w:rsidP="006B02A7">
      <w:pPr>
        <w:pStyle w:val="Heading1"/>
        <w:numPr>
          <w:ilvl w:val="0"/>
          <w:numId w:val="1"/>
        </w:numPr>
        <w:spacing w:before="0" w:after="240" w:line="288" w:lineRule="auto"/>
        <w:ind w:left="357" w:hanging="357"/>
        <w:rPr>
          <w:noProof/>
        </w:rPr>
      </w:pPr>
      <w:bookmarkStart w:id="5" w:name="_Toc148534964"/>
      <w:bookmarkStart w:id="6" w:name="_Toc148534965"/>
      <w:bookmarkStart w:id="7" w:name="_Toc148517836"/>
      <w:bookmarkStart w:id="8" w:name="_Toc148517837"/>
      <w:bookmarkStart w:id="9" w:name="_Toc148718574"/>
      <w:bookmarkStart w:id="10" w:name="_Toc158707781"/>
      <w:bookmarkEnd w:id="5"/>
      <w:bookmarkEnd w:id="6"/>
      <w:bookmarkEnd w:id="7"/>
      <w:bookmarkEnd w:id="8"/>
      <w:r>
        <w:rPr>
          <w:noProof/>
        </w:rPr>
        <w:t>Indledning</w:t>
      </w:r>
      <w:bookmarkEnd w:id="9"/>
      <w:bookmarkEnd w:id="10"/>
    </w:p>
    <w:p w14:paraId="4FB845FE" w14:textId="4D65AA3A" w:rsidR="00F06738" w:rsidRPr="00B42AEB" w:rsidRDefault="00A96911" w:rsidP="00B42AEB">
      <w:pPr>
        <w:rPr>
          <w:noProof/>
        </w:rPr>
      </w:pPr>
      <w:r>
        <w:rPr>
          <w:noProof/>
        </w:rPr>
        <w:t>Da Europa-Kommissionens formand, Ursula von der Leyen, tiltrådte, meddelte hun, at opbygningen af en Union med ligestilling ville være en af hendes Kommissions topprioriteter.</w:t>
      </w:r>
      <w:r>
        <w:rPr>
          <w:rStyle w:val="FootnoteReference"/>
          <w:noProof/>
        </w:rPr>
        <w:t>(</w:t>
      </w:r>
      <w:r>
        <w:rPr>
          <w:rStyle w:val="FootnoteReference"/>
          <w:noProof/>
        </w:rPr>
        <w:footnoteReference w:id="2"/>
      </w:r>
      <w:r>
        <w:rPr>
          <w:rStyle w:val="FootnoteReference"/>
          <w:noProof/>
        </w:rPr>
        <w:t>))</w:t>
      </w:r>
    </w:p>
    <w:p w14:paraId="74B96FFE" w14:textId="0A0BA016" w:rsidR="00BF5544" w:rsidRPr="00B42AEB" w:rsidRDefault="00EF5AB9" w:rsidP="00B42AEB">
      <w:pPr>
        <w:rPr>
          <w:noProof/>
        </w:rPr>
      </w:pPr>
      <w:r>
        <w:rPr>
          <w:noProof/>
        </w:rPr>
        <w:t>Evnen til at deltage i valg er afgørende for et dynamisk demokrati. Dette går videre end blot at have stemmeret. Det betyder også, at man kan stille op som kandidat, tilslutte sig et politisk parti, deltage i valgprocessen som valgtilforordnet eller valgobservatør og have adgang til oplysninger. Det indebærer, at man frit og uhindret kan udtrykke sine valgpræferencer i fuld hemmelighed. Alle borgere bør kunne deltage effektivt i det politiske liv i EU. Hver stemme tæller. Men det er stadig en udfordring for mange at deltage i det politiske liv.</w:t>
      </w:r>
    </w:p>
    <w:p w14:paraId="60452DE3" w14:textId="1FB95C83" w:rsidR="00A54759" w:rsidRPr="00B42AEB" w:rsidRDefault="1A7BFF85" w:rsidP="00B42AEB">
      <w:pPr>
        <w:rPr>
          <w:noProof/>
        </w:rPr>
      </w:pPr>
      <w:r>
        <w:rPr>
          <w:noProof/>
        </w:rPr>
        <w:t>I EU har personer med handicap stadig vanskeligt ved at udøve deres valgrettigheder. Ca. 27 % af EU's befolkning har en eller anden form for handicap</w:t>
      </w:r>
      <w:r>
        <w:rPr>
          <w:noProof/>
          <w:vertAlign w:val="superscript"/>
        </w:rPr>
        <w:t>(</w:t>
      </w:r>
      <w:r>
        <w:rPr>
          <w:noProof/>
          <w:vertAlign w:val="superscript"/>
        </w:rPr>
        <w:footnoteReference w:id="3"/>
      </w:r>
      <w:r>
        <w:rPr>
          <w:noProof/>
          <w:vertAlign w:val="superscript"/>
        </w:rPr>
        <w:t>)</w:t>
      </w:r>
      <w:r>
        <w:rPr>
          <w:noProof/>
        </w:rPr>
        <w:t xml:space="preserve">. Dette omfatter personer med en langvarig fysisk, psykisk, intellektuel eller sensorisk funktionsnedsættelse, som i samspil med forskellige barrierer kan hindre dem i fuldt og effektivt at deltage i samfundslivet på lige fod med andre. </w:t>
      </w:r>
    </w:p>
    <w:p w14:paraId="3FD5B7BF" w14:textId="38B21CF3" w:rsidR="00C24C52" w:rsidRPr="00B42AEB" w:rsidRDefault="00E86740" w:rsidP="00B42AEB">
      <w:pPr>
        <w:rPr>
          <w:noProof/>
        </w:rPr>
      </w:pPr>
      <w:r>
        <w:rPr>
          <w:noProof/>
        </w:rPr>
        <w:t>Det er medlemsstaternes ansvar at afholde nationale valg i overensstemmelse med deres internationale forpligtelser. Kommissionen støtter bl.a. udveksling af god praksis, herunder om tilgængelige stemmemaskiner og specifikke tilpasninger, og hvordan der kan skabes muligheder for vælgere med handicap. EU finansierer også handicaporganisationer på EU-plan for at øge bevidstheden om og fremme rettigheder og forbedre deres medlemsorganisationers kapacitet.</w:t>
      </w:r>
    </w:p>
    <w:p w14:paraId="00221810" w14:textId="410D9FB9" w:rsidR="005F5A33" w:rsidRPr="00B42AEB" w:rsidRDefault="00ED1FD7" w:rsidP="00B42AEB">
      <w:pPr>
        <w:rPr>
          <w:noProof/>
        </w:rPr>
      </w:pPr>
      <w:r>
        <w:rPr>
          <w:noProof/>
        </w:rPr>
        <w:t>I Kommissionens rapport</w:t>
      </w:r>
      <w:r>
        <w:rPr>
          <w:rStyle w:val="FootnoteReference"/>
          <w:noProof/>
        </w:rPr>
        <w:t>(</w:t>
      </w:r>
      <w:r>
        <w:rPr>
          <w:rStyle w:val="FootnoteReference"/>
          <w:noProof/>
        </w:rPr>
        <w:footnoteReference w:id="4"/>
      </w:r>
      <w:r>
        <w:rPr>
          <w:rStyle w:val="FootnoteReference"/>
          <w:noProof/>
        </w:rPr>
        <w:t>))</w:t>
      </w:r>
      <w:r>
        <w:rPr>
          <w:noProof/>
        </w:rPr>
        <w:t xml:space="preserve"> om valget til Europa-Parlamentet i 2019 blev det understreget, at borgere med handicap står over for yderligere hindringer i forbindelse med udøvelsen af deres valgrettigheder.</w:t>
      </w:r>
      <w:r>
        <w:rPr>
          <w:rStyle w:val="FootnoteReference"/>
          <w:noProof/>
        </w:rPr>
        <w:t>(</w:t>
      </w:r>
      <w:r>
        <w:rPr>
          <w:rStyle w:val="FootnoteReference"/>
          <w:noProof/>
        </w:rPr>
        <w:footnoteReference w:id="5"/>
      </w:r>
      <w:r>
        <w:rPr>
          <w:rStyle w:val="FootnoteReference"/>
          <w:noProof/>
        </w:rPr>
        <w:t>))</w:t>
      </w:r>
      <w:r>
        <w:rPr>
          <w:noProof/>
        </w:rPr>
        <w:t xml:space="preserve"> Rapporten understregede betydningen af at tackle disse hindringer med henblik på det næste valg til Europa-Parlamentet.</w:t>
      </w:r>
    </w:p>
    <w:p w14:paraId="4E2F3A83" w14:textId="0438E144" w:rsidR="00B25AC6" w:rsidRPr="00B42AEB" w:rsidRDefault="00B25AC6" w:rsidP="00B42AEB">
      <w:pPr>
        <w:rPr>
          <w:noProof/>
        </w:rPr>
      </w:pPr>
      <w:r>
        <w:rPr>
          <w:noProof/>
        </w:rPr>
        <w:t>Europa-Parlamentet har understreget betydningen af at støtte stemmeretten for personer med handicap. I sin beslutning af 26. november 2020 om status over valget til Europa-Parlamentet opfordrede det medlemsstaterne til at intensivere udvekslingen af bedste praksis for at forbedre adgangen til valgsteder for personer med handicap. Europa-Parlamentet påpegede, at de praktiske afstemningsregler for vælgere med handicap er lige så vigtige som adgang til information eller til valgsteder. I sin beslutning af 10. marts 2022 om rapporten om unionsborgerskab 2020 opfordrede Parlamentet Kommissionen og medlemsstaterne til at udveksle og fremme bedste praksis inden for det europæiske valgsamarbejdsnetværk</w:t>
      </w:r>
      <w:r>
        <w:rPr>
          <w:rStyle w:val="FootnoteReference"/>
          <w:noProof/>
        </w:rPr>
        <w:t>(</w:t>
      </w:r>
      <w:r>
        <w:rPr>
          <w:rStyle w:val="FootnoteReference"/>
          <w:noProof/>
        </w:rPr>
        <w:footnoteReference w:id="6"/>
      </w:r>
      <w:r>
        <w:rPr>
          <w:rStyle w:val="FootnoteReference"/>
          <w:noProof/>
        </w:rPr>
        <w:t>))</w:t>
      </w:r>
      <w:r>
        <w:rPr>
          <w:noProof/>
        </w:rPr>
        <w:t xml:space="preserve"> om, hvordan de særlige valgbehov hos dårligt stillede grupper af borgere kan opfyldes for at øge deres deltagelse i valg og sætte disse grupper i stand til at udøve deres stemmeret ved det næste valg til Europa-Parlamentet.</w:t>
      </w:r>
    </w:p>
    <w:p w14:paraId="04E49DFE" w14:textId="2E5B1372" w:rsidR="00B25AC6" w:rsidRPr="00B42AEB" w:rsidRDefault="0043426B" w:rsidP="00B42AEB">
      <w:pPr>
        <w:rPr>
          <w:noProof/>
        </w:rPr>
      </w:pPr>
      <w:r>
        <w:rPr>
          <w:noProof/>
        </w:rPr>
        <w:t>I sin lovgivningsmæssige beslutning om forslag til Rådets forordning om almindelige direkte valg af medlemmerne af Europa-Parlamentet</w:t>
      </w:r>
      <w:r>
        <w:rPr>
          <w:noProof/>
          <w:vertAlign w:val="superscript"/>
        </w:rPr>
        <w:t>(</w:t>
      </w:r>
      <w:r>
        <w:rPr>
          <w:noProof/>
          <w:vertAlign w:val="superscript"/>
        </w:rPr>
        <w:footnoteReference w:id="7"/>
      </w:r>
      <w:r>
        <w:rPr>
          <w:noProof/>
          <w:vertAlign w:val="superscript"/>
        </w:rPr>
        <w:t>)</w:t>
      </w:r>
      <w:r>
        <w:rPr>
          <w:noProof/>
        </w:rPr>
        <w:t xml:space="preserve"> opfordrede Europa-Parlamentet medlemsstaterne til at sikre, at alle borgere har lige adgang til oplysninger og stemmeafgivelse, herunder personer med handicap. Dette omfatter f.eks. leje af tilpassede lokaler, når offentlige strukturer ikke er tilpasset.</w:t>
      </w:r>
      <w:r>
        <w:rPr>
          <w:noProof/>
          <w:vertAlign w:val="superscript"/>
        </w:rPr>
        <w:t>(</w:t>
      </w:r>
      <w:r>
        <w:rPr>
          <w:noProof/>
          <w:vertAlign w:val="superscript"/>
        </w:rPr>
        <w:footnoteReference w:id="8"/>
      </w:r>
      <w:r>
        <w:rPr>
          <w:noProof/>
          <w:vertAlign w:val="superscript"/>
        </w:rPr>
        <w:t>)</w:t>
      </w:r>
    </w:p>
    <w:p w14:paraId="1B39E2C0" w14:textId="15269172" w:rsidR="001418CF" w:rsidRPr="00B42AEB" w:rsidRDefault="0043426B" w:rsidP="00B42AEB">
      <w:pPr>
        <w:rPr>
          <w:noProof/>
        </w:rPr>
      </w:pPr>
      <w:r>
        <w:rPr>
          <w:noProof/>
        </w:rPr>
        <w:t>For nylig opfordrede Europa-Parlamentet i sin beslutning af 13. december 2022 om lige rettigheder for personer med handicap</w:t>
      </w:r>
      <w:r>
        <w:rPr>
          <w:rStyle w:val="FootnoteReference"/>
          <w:noProof/>
        </w:rPr>
        <w:t>(</w:t>
      </w:r>
      <w:r>
        <w:rPr>
          <w:rStyle w:val="FootnoteReference"/>
          <w:noProof/>
        </w:rPr>
        <w:footnoteReference w:id="9"/>
      </w:r>
      <w:r>
        <w:rPr>
          <w:rStyle w:val="FootnoteReference"/>
          <w:noProof/>
        </w:rPr>
        <w:t>))</w:t>
      </w:r>
      <w:r>
        <w:rPr>
          <w:noProof/>
        </w:rPr>
        <w:t xml:space="preserve"> til ændringer af den europæiske valglov og al relevant national lovgivning for at sikre, at alle personer med handicap kan stemme og stille op som kandidater ved valg på lige fod med andre. Parlamentet understregede, at afgørelser om at fratage personer deres rets- og handleevne på grund af handicap, der træffes af oprindelsesmedlemsstaten, ikke bør medføre, at EU-borgere ikke kan stillet op som kandidat i deres bopælsmedlemsstat, hvis lovgivningen i den pågældende medlemsstat opretholder denne ret for alle personer med handicap uden begrænsninger.</w:t>
      </w:r>
      <w:r>
        <w:rPr>
          <w:rStyle w:val="FootnoteReference"/>
          <w:noProof/>
        </w:rPr>
        <w:t>(</w:t>
      </w:r>
      <w:r>
        <w:rPr>
          <w:rStyle w:val="FootnoteReference"/>
          <w:noProof/>
        </w:rPr>
        <w:footnoteReference w:id="10"/>
      </w:r>
      <w:r>
        <w:rPr>
          <w:rStyle w:val="FootnoteReference"/>
          <w:noProof/>
        </w:rPr>
        <w:t>))</w:t>
      </w:r>
      <w:r>
        <w:rPr>
          <w:noProof/>
        </w:rPr>
        <w:t xml:space="preserve"> </w:t>
      </w:r>
    </w:p>
    <w:p w14:paraId="6295BB90" w14:textId="30A71ED5" w:rsidR="001418CF" w:rsidRPr="00B42AEB" w:rsidRDefault="00A14C18" w:rsidP="00B42AEB">
      <w:pPr>
        <w:rPr>
          <w:noProof/>
        </w:rPr>
      </w:pPr>
      <w:r>
        <w:rPr>
          <w:noProof/>
        </w:rPr>
        <w:t>Spørgsmålet om stemmeret for personer med handicap blev også rejst i forbindelse med Europa-Parlamentets udtalelse om valgdirektiverne om valgrettigheder for mobile EU-borgere. Dette omfattede at gøre valgoplysninger tilgængelige for personer med handicap ved at anvende tilgængelighedskravene i bilag I til Europa-Parlamentets og Rådets direktiv (EU) 2019/882 og ved hjælp af kommunikationsmidler, -metoder og -formater, der kan hjælpe personer med handicap, såsom tegnsprog, blindskrift eller letlæseligt format.</w:t>
      </w:r>
      <w:r>
        <w:rPr>
          <w:rStyle w:val="FootnoteReference"/>
          <w:noProof/>
        </w:rPr>
        <w:t>(</w:t>
      </w:r>
      <w:r>
        <w:rPr>
          <w:rStyle w:val="FootnoteReference"/>
          <w:noProof/>
        </w:rPr>
        <w:footnoteReference w:id="11"/>
      </w:r>
      <w:r>
        <w:rPr>
          <w:rStyle w:val="FootnoteReference"/>
          <w:noProof/>
        </w:rPr>
        <w:t>))</w:t>
      </w:r>
      <w:r>
        <w:rPr>
          <w:noProof/>
        </w:rPr>
        <w:t xml:space="preserve"> </w:t>
      </w:r>
    </w:p>
    <w:p w14:paraId="518DCA0D" w14:textId="32F79C0C" w:rsidR="00B25AC6" w:rsidRPr="00B42AEB" w:rsidRDefault="00DF59AA" w:rsidP="00B42AEB">
      <w:pPr>
        <w:rPr>
          <w:noProof/>
        </w:rPr>
      </w:pPr>
      <w:r>
        <w:rPr>
          <w:noProof/>
        </w:rPr>
        <w:t>I denne udtalelse opfordrede Europa-Parlamentet medlemsstaterne til at indføre ordninger, der er skræddersyet til deres nationale afstemningsprocedurer, for at hjælpe borgere med handicap med at stemme, f.eks. ved at give dem mulighed for at vælge valgsteder, oprette lukkede valgsteder på centrale steder og anvende kompenserende teknologier, formater og teknikker såsom blindskrift, stor skrift, lydbaseret information, taktile stencils, letlæselig information og kommunikation via tegnsprog. Parlamentet opfordrede også medlemsstaterne til at overveje at anvende supplerende værktøjer til at lette stemmeafgivningen, såsom forudgående fysisk stemmeafgivning og stemmeafgivning ved stedfortræder og elektronisk stemmeafgivning og onlineafstemning.</w:t>
      </w:r>
    </w:p>
    <w:p w14:paraId="0AD2DD61" w14:textId="0DE9528D" w:rsidR="002428CE" w:rsidRPr="00B42AEB" w:rsidRDefault="00177336" w:rsidP="00B42AEB">
      <w:pPr>
        <w:rPr>
          <w:noProof/>
        </w:rPr>
      </w:pPr>
      <w:r>
        <w:rPr>
          <w:noProof/>
        </w:rPr>
        <w:t>Den 20. marts 2019 vedtog Det Europæiske Økonomiske og Sociale Udvalg en rapport</w:t>
      </w:r>
      <w:r>
        <w:rPr>
          <w:rStyle w:val="FootnoteReference"/>
          <w:noProof/>
        </w:rPr>
        <w:t>(</w:t>
      </w:r>
      <w:r>
        <w:rPr>
          <w:rStyle w:val="FootnoteReference"/>
          <w:noProof/>
        </w:rPr>
        <w:footnoteReference w:id="12"/>
      </w:r>
      <w:r>
        <w:rPr>
          <w:rStyle w:val="FootnoteReference"/>
          <w:noProof/>
        </w:rPr>
        <w:t>))</w:t>
      </w:r>
      <w:r>
        <w:rPr>
          <w:noProof/>
        </w:rPr>
        <w:t xml:space="preserve"> om status for gennemførelsen af retten for EU-borgere med handicap til at stemme ved valg til Europa-Parlamentet. I rapporten påpeges flere hindringer, som personer med handicap står over for i forbindelse med udøvelsen af deres valgrettigheder. Den fastlægger god praksis</w:t>
      </w:r>
      <w:r>
        <w:rPr>
          <w:rStyle w:val="FootnoteReference"/>
          <w:noProof/>
        </w:rPr>
        <w:t>(</w:t>
      </w:r>
      <w:r>
        <w:rPr>
          <w:rStyle w:val="FootnoteReference"/>
          <w:noProof/>
        </w:rPr>
        <w:footnoteReference w:id="13"/>
      </w:r>
      <w:r>
        <w:rPr>
          <w:rStyle w:val="FootnoteReference"/>
          <w:noProof/>
        </w:rPr>
        <w:t>))</w:t>
      </w:r>
      <w:r>
        <w:rPr>
          <w:noProof/>
        </w:rPr>
        <w:t xml:space="preserve"> for forbedring af adgangen til oplysninger i perioden forud for valget, valghandling på "almindelige" valgsteder, stemmesedler og tilgængelighed. Den beskriver også de løsninger, der anvendes i nogle få medlemsstater, såsom tidlig stemmeafgivning på bestemte valgsteder, brevstemme, stemmeafgivning via mobil stemmeurne, stemmeafgivning ved stedfortræder og elektronisk stemmeafgivning. Endelig indeholder den en beskrivelse af ordninger, der skal gøre det muligt for personer, der opholder sig på hospitaler og institutioner for langtidspleje, at stemme, retten for personer med handicap til at stemme i lande, hvor der er stemmepligt, og procedurer i tilfælde, hvor en person med handicap bor i et andet land end sit hjemland.</w:t>
      </w:r>
    </w:p>
    <w:p w14:paraId="57AC243C" w14:textId="03A68E8C" w:rsidR="00407A29" w:rsidRPr="00B42AEB" w:rsidRDefault="00BB4CF0" w:rsidP="00B42AEB">
      <w:pPr>
        <w:rPr>
          <w:noProof/>
        </w:rPr>
      </w:pPr>
      <w:r>
        <w:rPr>
          <w:noProof/>
        </w:rPr>
        <w:t>FN's komité for rettigheder for personer med handicap anbefalede, at EU i samarbejde med medlemsstaterne og organisationer, der repræsenterer personer med handicap, træffer de nødvendige foranstaltninger for at gøre det muligt for alle med alle former for handicap at udøve deres ret til at stemme og stille op som kandidater ved valg</w:t>
      </w:r>
      <w:r>
        <w:rPr>
          <w:rStyle w:val="FootnoteReference"/>
          <w:noProof/>
        </w:rPr>
        <w:t>(</w:t>
      </w:r>
      <w:r>
        <w:rPr>
          <w:rStyle w:val="FootnoteReference"/>
          <w:noProof/>
        </w:rPr>
        <w:footnoteReference w:id="14"/>
      </w:r>
      <w:r>
        <w:rPr>
          <w:rStyle w:val="FootnoteReference"/>
          <w:noProof/>
        </w:rPr>
        <w:t>))</w:t>
      </w:r>
      <w:r>
        <w:rPr>
          <w:noProof/>
        </w:rPr>
        <w:t>.</w:t>
      </w:r>
    </w:p>
    <w:p w14:paraId="6C2DCB59" w14:textId="27B732F4" w:rsidR="00ED61D7" w:rsidRPr="00B42AEB" w:rsidRDefault="00ED61D7" w:rsidP="00B42AEB">
      <w:pPr>
        <w:rPr>
          <w:noProof/>
        </w:rPr>
      </w:pPr>
      <w:r>
        <w:rPr>
          <w:noProof/>
        </w:rPr>
        <w:t>Kommissionen bebudede i sin strategi for rettigheder for personer med handicap for 2021-2030</w:t>
      </w:r>
      <w:r>
        <w:rPr>
          <w:rStyle w:val="FootnoteReference"/>
          <w:noProof/>
        </w:rPr>
        <w:t>(</w:t>
      </w:r>
      <w:r>
        <w:rPr>
          <w:rStyle w:val="FootnoteReference"/>
          <w:noProof/>
        </w:rPr>
        <w:footnoteReference w:id="15"/>
      </w:r>
      <w:r>
        <w:rPr>
          <w:rStyle w:val="FootnoteReference"/>
          <w:noProof/>
        </w:rPr>
        <w:t>))</w:t>
      </w:r>
      <w:r>
        <w:rPr>
          <w:noProof/>
        </w:rPr>
        <w:t>, at den ville udarbejde en vejledning om god valgpraksis vedrørende valgdeltagelse af borgere med handicap. Denne vejledning er udarbejdet i tæt samarbejde med medlemsstaterne inden for rammerne af det europæiske valgsamarbejdsnetværk. Den bygger på de drøftelser, der fandt sted som led i arrangementet på højt plan om valg, som Kommissionen afholdt den 23.-24. oktober 2023</w:t>
      </w:r>
      <w:r>
        <w:rPr>
          <w:rStyle w:val="FootnoteReference"/>
          <w:noProof/>
        </w:rPr>
        <w:t>(</w:t>
      </w:r>
      <w:r>
        <w:rPr>
          <w:rStyle w:val="FootnoteReference"/>
          <w:noProof/>
        </w:rPr>
        <w:footnoteReference w:id="16"/>
      </w:r>
      <w:r>
        <w:rPr>
          <w:rStyle w:val="FootnoteReference"/>
          <w:noProof/>
        </w:rPr>
        <w:t>))</w:t>
      </w:r>
      <w:r>
        <w:rPr>
          <w:noProof/>
        </w:rPr>
        <w:t>.</w:t>
      </w:r>
    </w:p>
    <w:p w14:paraId="1F77BC31" w14:textId="6063F90A" w:rsidR="00475D7E" w:rsidRPr="00B42AEB" w:rsidRDefault="00475D7E" w:rsidP="00B42AEB">
      <w:pPr>
        <w:rPr>
          <w:noProof/>
        </w:rPr>
      </w:pPr>
      <w:r>
        <w:rPr>
          <w:noProof/>
        </w:rPr>
        <w:t>Kommissionen bebudede i sin strategi for rettigheder for personer med handicap, at den havde til hensigt:</w:t>
      </w:r>
    </w:p>
    <w:p w14:paraId="4F7B58C7" w14:textId="602A349A" w:rsidR="00475D7E" w:rsidRPr="00860D52" w:rsidRDefault="00475D7E" w:rsidP="00860D52">
      <w:pPr>
        <w:pStyle w:val="ListBullet2"/>
        <w:spacing w:after="120" w:line="288" w:lineRule="auto"/>
        <w:jc w:val="left"/>
        <w:rPr>
          <w:rFonts w:ascii="Arial" w:hAnsi="Arial" w:cs="Arial"/>
          <w:noProof/>
        </w:rPr>
      </w:pPr>
      <w:r>
        <w:rPr>
          <w:rFonts w:ascii="Arial" w:hAnsi="Arial"/>
          <w:b/>
          <w:noProof/>
        </w:rPr>
        <w:t>at samarbejde</w:t>
      </w:r>
      <w:r>
        <w:rPr>
          <w:rFonts w:ascii="Arial" w:hAnsi="Arial"/>
          <w:noProof/>
        </w:rPr>
        <w:t xml:space="preserve"> med medlemsstaterne, bl.a. gennem målrettede drøftelser i det europæiske valgsamarbejdsnetværk og Europa-Parlamentet, for at sikre politiske rettigheder for personer med handicap på lige fod med andre</w:t>
      </w:r>
    </w:p>
    <w:p w14:paraId="4A09A4E2" w14:textId="3A2A86EB" w:rsidR="00475D7E" w:rsidRPr="00860D52" w:rsidRDefault="00475D7E" w:rsidP="00860D52">
      <w:pPr>
        <w:pStyle w:val="ListBullet2"/>
        <w:spacing w:after="120" w:line="288" w:lineRule="auto"/>
        <w:jc w:val="left"/>
        <w:rPr>
          <w:rFonts w:ascii="Arial" w:hAnsi="Arial" w:cs="Arial"/>
          <w:noProof/>
        </w:rPr>
      </w:pPr>
      <w:r>
        <w:rPr>
          <w:rFonts w:ascii="Arial" w:hAnsi="Arial"/>
          <w:noProof/>
        </w:rPr>
        <w:t xml:space="preserve">inden for rammerne af det valgarrangement på højt plan, der blev bebudet i handlingsplanen for europæisk demokrati (som fandt sted den 23.-24. oktober 2023), </w:t>
      </w:r>
      <w:r>
        <w:rPr>
          <w:rFonts w:ascii="Arial" w:hAnsi="Arial"/>
          <w:b/>
          <w:noProof/>
        </w:rPr>
        <w:t>at drøfte</w:t>
      </w:r>
      <w:r>
        <w:rPr>
          <w:rFonts w:ascii="Arial" w:hAnsi="Arial"/>
          <w:noProof/>
        </w:rPr>
        <w:t xml:space="preserve"> praksis for inklusivt demokrati med det formål at sikre, at kandidatlisterne afspejler samfundets mangfoldighed</w:t>
      </w:r>
    </w:p>
    <w:p w14:paraId="03B1A87B" w14:textId="70E2628B" w:rsidR="00475D7E" w:rsidRPr="00860D52" w:rsidRDefault="00475D7E" w:rsidP="00860D52">
      <w:pPr>
        <w:pStyle w:val="ListBullet2"/>
        <w:spacing w:after="120" w:line="288" w:lineRule="auto"/>
        <w:jc w:val="left"/>
        <w:rPr>
          <w:rFonts w:ascii="Arial" w:hAnsi="Arial" w:cs="Arial"/>
          <w:noProof/>
        </w:rPr>
      </w:pPr>
      <w:r>
        <w:rPr>
          <w:rFonts w:ascii="Arial" w:hAnsi="Arial"/>
          <w:b/>
          <w:noProof/>
        </w:rPr>
        <w:t>at støtte</w:t>
      </w:r>
      <w:r>
        <w:rPr>
          <w:rFonts w:ascii="Arial" w:hAnsi="Arial"/>
          <w:noProof/>
        </w:rPr>
        <w:t xml:space="preserve"> inklusiv demokratisk deltagelse, herunder for personer med handicap, gennem det nye program for medborgerskab ligestilling, rettigheder og værdier</w:t>
      </w:r>
      <w:r>
        <w:rPr>
          <w:rStyle w:val="FootnoteReference"/>
          <w:noProof/>
        </w:rPr>
        <w:t>(</w:t>
      </w:r>
      <w:r>
        <w:rPr>
          <w:rStyle w:val="FootnoteReference"/>
          <w:noProof/>
        </w:rPr>
        <w:footnoteReference w:id="17"/>
      </w:r>
      <w:r>
        <w:rPr>
          <w:rStyle w:val="FootnoteReference"/>
          <w:noProof/>
        </w:rPr>
        <w:t>))</w:t>
      </w:r>
      <w:r>
        <w:rPr>
          <w:rFonts w:ascii="Arial" w:hAnsi="Arial"/>
          <w:noProof/>
        </w:rPr>
        <w:t>.</w:t>
      </w:r>
    </w:p>
    <w:p w14:paraId="4AD0AA7C" w14:textId="49F03D86" w:rsidR="0008772F" w:rsidRPr="00B42AEB" w:rsidRDefault="0088209D" w:rsidP="00B42AEB">
      <w:pPr>
        <w:rPr>
          <w:noProof/>
        </w:rPr>
      </w:pPr>
      <w:r>
        <w:rPr>
          <w:noProof/>
        </w:rPr>
        <w:t>Udarbejdelsen af denne vejledning bygger på arbejdet i Agenturet for Grundlæggende Rettigheder</w:t>
      </w:r>
      <w:r>
        <w:rPr>
          <w:rStyle w:val="FootnoteReference"/>
          <w:noProof/>
        </w:rPr>
        <w:t>(</w:t>
      </w:r>
      <w:r>
        <w:rPr>
          <w:rStyle w:val="FootnoteReference"/>
          <w:noProof/>
        </w:rPr>
        <w:footnoteReference w:id="18"/>
      </w:r>
      <w:r>
        <w:rPr>
          <w:rStyle w:val="FootnoteReference"/>
          <w:noProof/>
        </w:rPr>
        <w:t>))</w:t>
      </w:r>
      <w:r>
        <w:rPr>
          <w:noProof/>
        </w:rPr>
        <w:t xml:space="preserve"> i tæt samarbejde med </w:t>
      </w:r>
      <w:bookmarkStart w:id="11" w:name="_Hlk141276234"/>
      <w:r>
        <w:rPr>
          <w:noProof/>
        </w:rPr>
        <w:t>Europa-Kommissionen og det akademiske netværk af europæiske handicapeksperter.</w:t>
      </w:r>
      <w:bookmarkEnd w:id="11"/>
      <w:r>
        <w:rPr>
          <w:noProof/>
        </w:rPr>
        <w:t xml:space="preserve"> Netværket har udviklet </w:t>
      </w:r>
      <w:hyperlink r:id="rId15" w:history="1">
        <w:r>
          <w:rPr>
            <w:rStyle w:val="Hyperlink"/>
            <w:noProof/>
          </w:rPr>
          <w:t>28 menneskerettighedsindikatorer</w:t>
        </w:r>
      </w:hyperlink>
      <w:r>
        <w:rPr>
          <w:noProof/>
        </w:rPr>
        <w:t xml:space="preserve"> til vurdering af den politiske deltagelse af personer med handicap i EU. Dataene er inddelt i fire hovedtemaer: 1) fjernelse af retlige og administrative hindringer 2) øget bevidsthed om rettigheder 3) mere tilgængelig politisk deltagelse 4) udvidede muligheder for deltagelse. </w:t>
      </w:r>
    </w:p>
    <w:p w14:paraId="22C5DBAA" w14:textId="387FBF17" w:rsidR="0026573B" w:rsidRPr="00B42AEB" w:rsidRDefault="00736B50" w:rsidP="00B42AEB">
      <w:pPr>
        <w:rPr>
          <w:noProof/>
        </w:rPr>
      </w:pPr>
      <w:r>
        <w:rPr>
          <w:noProof/>
        </w:rPr>
        <w:t>Det europæiske valgsamarbejdsnetværk har været tæt involveret i udarbejdelsen af denne vejledning, herunder inden for rammerne af en særlig undergruppe. Valgpraksis, der er udformet med henblik på at opfylde behovene hos personer med handicap, har gentagne gange været genstand for drøftelser mellem medlemsstaterne i dette netværk og har været en integreret del af Kommissionens bestræbelser på at hjælpe personer med at udøve deres valgrettigheder</w:t>
      </w:r>
      <w:r>
        <w:rPr>
          <w:rStyle w:val="FootnoteReference"/>
          <w:noProof/>
        </w:rPr>
        <w:t>(</w:t>
      </w:r>
      <w:r>
        <w:rPr>
          <w:rStyle w:val="FootnoteReference"/>
          <w:noProof/>
        </w:rPr>
        <w:footnoteReference w:id="19"/>
      </w:r>
      <w:r>
        <w:rPr>
          <w:rStyle w:val="FootnoteReference"/>
          <w:noProof/>
        </w:rPr>
        <w:t>))</w:t>
      </w:r>
      <w:r>
        <w:rPr>
          <w:noProof/>
        </w:rPr>
        <w:t>.</w:t>
      </w:r>
    </w:p>
    <w:p w14:paraId="2D946BC5" w14:textId="082245C4" w:rsidR="00090D1B" w:rsidRPr="00B42AEB" w:rsidRDefault="00666F5C" w:rsidP="00B42AEB">
      <w:pPr>
        <w:rPr>
          <w:noProof/>
        </w:rPr>
      </w:pPr>
      <w:r>
        <w:rPr>
          <w:noProof/>
        </w:rPr>
        <w:t>I den forbindelse sendte 22 medlemsstater bidrag om valgrammer og praksis for deltagelse i valg for personer med handicap. Undersøgelsen viste, at der er et væld af praksis, der kan bidrage til at sikre, at valg er tilgængelige for alle.</w:t>
      </w:r>
    </w:p>
    <w:p w14:paraId="1A1EE013" w14:textId="63FCBE53" w:rsidR="00573F10" w:rsidRPr="00B42AEB" w:rsidRDefault="005D1899" w:rsidP="00B42AEB">
      <w:pPr>
        <w:rPr>
          <w:noProof/>
        </w:rPr>
      </w:pPr>
      <w:r>
        <w:rPr>
          <w:noProof/>
        </w:rPr>
        <w:t>For at støtte udarbejdelsen af denne vejledning udarbejdede et netværk af akademikere om medborgerskab et studie om handicappede borgeres deltagelse i valg.</w:t>
      </w:r>
      <w:r>
        <w:rPr>
          <w:rStyle w:val="FootnoteReference"/>
          <w:noProof/>
        </w:rPr>
        <w:t>(</w:t>
      </w:r>
      <w:r>
        <w:rPr>
          <w:rStyle w:val="FootnoteReference"/>
          <w:noProof/>
        </w:rPr>
        <w:footnoteReference w:id="20"/>
      </w:r>
      <w:r>
        <w:rPr>
          <w:rStyle w:val="FootnoteReference"/>
          <w:noProof/>
        </w:rPr>
        <w:t>))</w:t>
      </w:r>
      <w:r>
        <w:rPr>
          <w:noProof/>
        </w:rPr>
        <w:t xml:space="preserve"> Denne vejledning er også baseret på studiet om politisk deltagelse for personer med handicap</w:t>
      </w:r>
      <w:r>
        <w:rPr>
          <w:noProof/>
          <w:vertAlign w:val="superscript"/>
        </w:rPr>
        <w:t>(</w:t>
      </w:r>
      <w:r>
        <w:rPr>
          <w:noProof/>
          <w:vertAlign w:val="superscript"/>
        </w:rPr>
        <w:footnoteReference w:id="21"/>
      </w:r>
      <w:r>
        <w:rPr>
          <w:noProof/>
          <w:vertAlign w:val="superscript"/>
        </w:rPr>
        <w:t>)</w:t>
      </w:r>
      <w:r>
        <w:rPr>
          <w:noProof/>
        </w:rPr>
        <w:t>, der blev udarbejdet i 2018 og ajourført i 2021</w:t>
      </w:r>
      <w:r>
        <w:rPr>
          <w:rStyle w:val="FootnoteReference"/>
          <w:noProof/>
        </w:rPr>
        <w:t>(</w:t>
      </w:r>
      <w:r>
        <w:rPr>
          <w:rStyle w:val="FootnoteReference"/>
          <w:noProof/>
        </w:rPr>
        <w:footnoteReference w:id="22"/>
      </w:r>
      <w:r>
        <w:rPr>
          <w:rStyle w:val="FootnoteReference"/>
          <w:noProof/>
        </w:rPr>
        <w:t>))</w:t>
      </w:r>
      <w:r>
        <w:rPr>
          <w:noProof/>
        </w:rPr>
        <w:t xml:space="preserve"> af et akademisk netværk om unionsborgerskabsrettigheder.</w:t>
      </w:r>
    </w:p>
    <w:p w14:paraId="7C9E0D75" w14:textId="7785B0FC" w:rsidR="006A58FF" w:rsidRPr="00B42AEB" w:rsidRDefault="006A58FF" w:rsidP="006B02A7">
      <w:pPr>
        <w:rPr>
          <w:noProof/>
        </w:rPr>
      </w:pPr>
      <w:r>
        <w:rPr>
          <w:noProof/>
        </w:rPr>
        <w:t>Kommissionen gennemførte også ad hoc-høringer med grupper, der støttede deltagelsen af borgere med handicap.</w:t>
      </w:r>
      <w:r>
        <w:rPr>
          <w:rStyle w:val="FootnoteReference"/>
          <w:noProof/>
        </w:rPr>
        <w:t>(</w:t>
      </w:r>
      <w:r>
        <w:rPr>
          <w:rStyle w:val="FootnoteReference"/>
          <w:noProof/>
        </w:rPr>
        <w:footnoteReference w:id="23"/>
      </w:r>
      <w:r>
        <w:rPr>
          <w:rStyle w:val="FootnoteReference"/>
          <w:noProof/>
        </w:rPr>
        <w:t>))</w:t>
      </w:r>
    </w:p>
    <w:p w14:paraId="21997086" w14:textId="395576B5" w:rsidR="00DC4711" w:rsidRPr="00B42AEB" w:rsidRDefault="00DC4711" w:rsidP="00B42AEB">
      <w:pPr>
        <w:rPr>
          <w:noProof/>
        </w:rPr>
      </w:pPr>
      <w:r>
        <w:rPr>
          <w:noProof/>
        </w:rPr>
        <w:t>Sideløbende med denne vejledning har Kommissionen udarbejdet et kompendium over praksis for e-afstemning som bebudet i handlingsplanen for europæisk demokrati</w:t>
      </w:r>
      <w:r>
        <w:rPr>
          <w:rStyle w:val="FootnoteReference"/>
          <w:noProof/>
        </w:rPr>
        <w:t>(</w:t>
      </w:r>
      <w:r>
        <w:rPr>
          <w:rStyle w:val="FootnoteReference"/>
          <w:noProof/>
        </w:rPr>
        <w:footnoteReference w:id="24"/>
      </w:r>
      <w:r>
        <w:rPr>
          <w:rStyle w:val="FootnoteReference"/>
          <w:noProof/>
        </w:rPr>
        <w:t>))</w:t>
      </w:r>
      <w:r>
        <w:rPr>
          <w:noProof/>
        </w:rPr>
        <w:t xml:space="preserve"> og strategien for rettigheder for personer med handicap. Mere specifikt ses der i kompendiet</w:t>
      </w:r>
      <w:r>
        <w:rPr>
          <w:rStyle w:val="FootnoteReference"/>
          <w:noProof/>
        </w:rPr>
        <w:t>(</w:t>
      </w:r>
      <w:r>
        <w:rPr>
          <w:rStyle w:val="FootnoteReference"/>
          <w:noProof/>
        </w:rPr>
        <w:footnoteReference w:id="25"/>
      </w:r>
      <w:r>
        <w:rPr>
          <w:rStyle w:val="FootnoteReference"/>
          <w:noProof/>
        </w:rPr>
        <w:t>))</w:t>
      </w:r>
      <w:r>
        <w:rPr>
          <w:noProof/>
        </w:rPr>
        <w:t xml:space="preserve"> på spørgsmål om tilgængeligheden af de elementer af stemmemaskinerne, der anvendes på valgsteder, som vælgeren møder, og grænsefladen til onlineafstemning, som også er en nyttig afstemningsmetode for personer med handicap.</w:t>
      </w:r>
    </w:p>
    <w:p w14:paraId="3030EB9B" w14:textId="36E84B9B" w:rsidR="009C383D" w:rsidRPr="00B42AEB" w:rsidRDefault="006B42E9" w:rsidP="006B02A7">
      <w:pPr>
        <w:pStyle w:val="Heading1"/>
        <w:numPr>
          <w:ilvl w:val="0"/>
          <w:numId w:val="1"/>
        </w:numPr>
        <w:spacing w:before="360" w:after="240" w:line="288" w:lineRule="auto"/>
        <w:ind w:left="357" w:hanging="357"/>
        <w:rPr>
          <w:noProof/>
        </w:rPr>
      </w:pPr>
      <w:bookmarkStart w:id="12" w:name="_Toc148718575"/>
      <w:bookmarkStart w:id="13" w:name="_Toc158707782"/>
      <w:r>
        <w:rPr>
          <w:noProof/>
        </w:rPr>
        <w:t>Centrale spørgsmål, som borgere med handicap står over for</w:t>
      </w:r>
      <w:bookmarkEnd w:id="12"/>
      <w:bookmarkEnd w:id="13"/>
    </w:p>
    <w:p w14:paraId="1994D7F6" w14:textId="17A106AC" w:rsidR="00573F10" w:rsidRPr="00B42AEB" w:rsidRDefault="00FF640F" w:rsidP="00B42AEB">
      <w:pPr>
        <w:rPr>
          <w:noProof/>
        </w:rPr>
      </w:pPr>
      <w:r>
        <w:rPr>
          <w:noProof/>
        </w:rPr>
        <w:t>Det er medlemsstaternes ansvar at fastsætte kriterierne for støtteberettigelse og vurderingsprocedurerne for anerkendelse af handicapstatus. De er også deres opgave at definere, hvem der kan stemme og stille op til valg, i overensstemmelse med EU-retten og relevante internationale standarder. Borgere med handicap står over for mange retlige, administrative og institutionelle hindringer for at deltage aktivt i det demokratiske liv. Borgere med intellektuelle funktionsnedsættelser står over for særligt store forhindringer i forbindelse med udøvelsen af deres politiske rettigheder på grund af en række retlige og administrative hindringer. Andre karakteristika, såsom alder og køn, og faktorer såsom socioøkonomisk status og lave økonomiske midler påvirker også graden af politisk deltagelse blandt borgere med handicap. På trods af en betydelig indsats på forskellige niveauer for at løse disse problemer, såsom en revision af de lovgivningsmæssige rammer, øget adgang til valgmaterialer og -faciliteter, er der stadig meget arbejde, der skal gøres for at støtte udøvelsen af de demokratiske rettigheder og valgrettigheder for borgere med handicap</w:t>
      </w:r>
      <w:r>
        <w:rPr>
          <w:rStyle w:val="FootnoteReference"/>
          <w:noProof/>
        </w:rPr>
        <w:t>(</w:t>
      </w:r>
      <w:r>
        <w:rPr>
          <w:rStyle w:val="FootnoteReference"/>
          <w:noProof/>
        </w:rPr>
        <w:footnoteReference w:id="26"/>
      </w:r>
      <w:r>
        <w:rPr>
          <w:rStyle w:val="FootnoteReference"/>
          <w:noProof/>
        </w:rPr>
        <w:t>))</w:t>
      </w:r>
      <w:r>
        <w:rPr>
          <w:noProof/>
        </w:rPr>
        <w:t>.</w:t>
      </w:r>
    </w:p>
    <w:p w14:paraId="398F79D2" w14:textId="3472DC09" w:rsidR="003E706D" w:rsidRPr="00B42AEB" w:rsidRDefault="002C5F2D" w:rsidP="00B42AEB">
      <w:pPr>
        <w:rPr>
          <w:noProof/>
        </w:rPr>
      </w:pPr>
      <w:r>
        <w:rPr>
          <w:noProof/>
        </w:rPr>
        <w:t xml:space="preserve">De vigtigste bekymringer, der afspejles i den eksisterende litteratur </w:t>
      </w:r>
      <w:bookmarkStart w:id="14" w:name="_Hlk151654247"/>
      <w:r>
        <w:rPr>
          <w:noProof/>
        </w:rPr>
        <w:t>og hos interessenterne,</w:t>
      </w:r>
      <w:bookmarkEnd w:id="14"/>
      <w:r>
        <w:rPr>
          <w:noProof/>
        </w:rPr>
        <w:t xml:space="preserve"> vedrører følgende hindringer:</w:t>
      </w:r>
    </w:p>
    <w:p w14:paraId="037C713B" w14:textId="789DD85F" w:rsidR="003E706D" w:rsidRPr="00B42AEB" w:rsidRDefault="003E706D" w:rsidP="002D36F0">
      <w:pPr>
        <w:pStyle w:val="ListParagraph"/>
        <w:numPr>
          <w:ilvl w:val="0"/>
          <w:numId w:val="5"/>
        </w:numPr>
        <w:spacing w:after="120" w:line="288" w:lineRule="auto"/>
        <w:rPr>
          <w:noProof/>
        </w:rPr>
      </w:pPr>
      <w:r>
        <w:rPr>
          <w:b/>
          <w:noProof/>
        </w:rPr>
        <w:t>fysiske barrierer</w:t>
      </w:r>
      <w:r>
        <w:rPr>
          <w:noProof/>
        </w:rPr>
        <w:t xml:space="preserve"> (herunder utilgængelige valgsteder, utilstrækkelige valgordninger for personer, der bor på døgninstitutioner eller institutioner for langtidspleje eller opholder sig på hospitaler, eller personer, der ikke kan forlade deres hjem, mobilitetsbarrierer og utilgængelige materialer, der anvendes i forbindelse med valg, såsom stemmesedler, stemmebokse eller stemmemaskiner, begrænsede muligheder for at stemme)</w:t>
      </w:r>
    </w:p>
    <w:p w14:paraId="581097C2" w14:textId="0A8C504D" w:rsidR="003E706D" w:rsidRPr="00B42AEB" w:rsidRDefault="003E706D" w:rsidP="002D36F0">
      <w:pPr>
        <w:pStyle w:val="ListParagraph"/>
        <w:numPr>
          <w:ilvl w:val="0"/>
          <w:numId w:val="5"/>
        </w:numPr>
        <w:spacing w:after="120" w:line="288" w:lineRule="auto"/>
        <w:rPr>
          <w:noProof/>
        </w:rPr>
      </w:pPr>
      <w:r>
        <w:rPr>
          <w:b/>
          <w:bCs/>
          <w:noProof/>
        </w:rPr>
        <w:t>informationsbarrierer</w:t>
      </w:r>
      <w:r>
        <w:rPr>
          <w:noProof/>
        </w:rPr>
        <w:t xml:space="preserve"> (herunder manglende adgang til politiske kandidater og partioplysninger, manglende kendskab til valgprocessen — hvor, hvornår og hvordan man stemmer)</w:t>
      </w:r>
    </w:p>
    <w:p w14:paraId="0F9AD794" w14:textId="124EAE79" w:rsidR="003E706D" w:rsidRPr="00B42AEB" w:rsidRDefault="003E706D" w:rsidP="002D36F0">
      <w:pPr>
        <w:pStyle w:val="ListParagraph"/>
        <w:numPr>
          <w:ilvl w:val="0"/>
          <w:numId w:val="5"/>
        </w:numPr>
        <w:spacing w:after="120" w:line="288" w:lineRule="auto"/>
        <w:ind w:left="1434" w:hanging="357"/>
        <w:rPr>
          <w:noProof/>
        </w:rPr>
      </w:pPr>
      <w:r>
        <w:rPr>
          <w:b/>
          <w:bCs/>
          <w:noProof/>
        </w:rPr>
        <w:t>bistandsbarrierer</w:t>
      </w:r>
      <w:r>
        <w:rPr>
          <w:noProof/>
        </w:rPr>
        <w:t xml:space="preserve"> (herunder begrænset stemmebistand, manglende uddannelse af valgpersonale i, hvordan man kan yde bistand, og begrænsninger med hensyn til, hvem der ydes bistand)</w:t>
      </w:r>
    </w:p>
    <w:p w14:paraId="424D0409" w14:textId="4E04FDEA" w:rsidR="003E706D" w:rsidRPr="00B42AEB" w:rsidRDefault="003E706D" w:rsidP="002D36F0">
      <w:pPr>
        <w:pStyle w:val="ListParagraph"/>
        <w:numPr>
          <w:ilvl w:val="0"/>
          <w:numId w:val="5"/>
        </w:numPr>
        <w:spacing w:after="120" w:line="288" w:lineRule="auto"/>
        <w:rPr>
          <w:noProof/>
        </w:rPr>
      </w:pPr>
      <w:r>
        <w:rPr>
          <w:b/>
          <w:noProof/>
        </w:rPr>
        <w:t>samfundsmæssige hindringer</w:t>
      </w:r>
      <w:r>
        <w:rPr>
          <w:noProof/>
        </w:rPr>
        <w:t xml:space="preserve"> (herunder stereotyper om borgere med handicap, omsorgspersoners/hjælperes holdninger og synspunkter samt tilgængeligheden af og adgangen til støttenetværk).</w:t>
      </w:r>
      <w:r>
        <w:rPr>
          <w:rStyle w:val="FootnoteReference"/>
          <w:noProof/>
        </w:rPr>
        <w:t>(</w:t>
      </w:r>
      <w:r>
        <w:rPr>
          <w:rStyle w:val="FootnoteReference"/>
          <w:noProof/>
        </w:rPr>
        <w:footnoteReference w:id="27"/>
      </w:r>
      <w:r>
        <w:rPr>
          <w:rStyle w:val="FootnoteReference"/>
          <w:noProof/>
        </w:rPr>
        <w:t>))</w:t>
      </w:r>
    </w:p>
    <w:p w14:paraId="529F43C4" w14:textId="2B008DE2" w:rsidR="00E7243F" w:rsidRPr="00B42AEB" w:rsidRDefault="00E7243F" w:rsidP="006B02A7">
      <w:pPr>
        <w:pStyle w:val="Heading1"/>
        <w:numPr>
          <w:ilvl w:val="0"/>
          <w:numId w:val="1"/>
        </w:numPr>
        <w:spacing w:before="360" w:after="240" w:line="288" w:lineRule="auto"/>
        <w:ind w:left="357" w:hanging="357"/>
        <w:rPr>
          <w:noProof/>
        </w:rPr>
      </w:pPr>
      <w:bookmarkStart w:id="15" w:name="_Toc148718576"/>
      <w:bookmarkStart w:id="16" w:name="_Toc158707783"/>
      <w:r>
        <w:rPr>
          <w:noProof/>
        </w:rPr>
        <w:t>EU-ramme</w:t>
      </w:r>
      <w:bookmarkEnd w:id="15"/>
      <w:bookmarkEnd w:id="16"/>
    </w:p>
    <w:p w14:paraId="01B25BAC" w14:textId="2581B0CE" w:rsidR="0069065F" w:rsidRPr="00B42AEB" w:rsidRDefault="0069065F" w:rsidP="006B02A7">
      <w:pPr>
        <w:pStyle w:val="Heading2"/>
        <w:numPr>
          <w:ilvl w:val="1"/>
          <w:numId w:val="1"/>
        </w:numPr>
        <w:spacing w:before="0" w:after="240"/>
        <w:rPr>
          <w:noProof/>
        </w:rPr>
      </w:pPr>
      <w:bookmarkStart w:id="17" w:name="_Toc148718577"/>
      <w:bookmarkStart w:id="18" w:name="_Toc158707784"/>
      <w:r>
        <w:rPr>
          <w:noProof/>
        </w:rPr>
        <w:t>Traktater</w:t>
      </w:r>
      <w:bookmarkEnd w:id="17"/>
      <w:bookmarkEnd w:id="18"/>
    </w:p>
    <w:p w14:paraId="22F239CA" w14:textId="4C6CF697" w:rsidR="0024514D" w:rsidRPr="00B42AEB" w:rsidRDefault="0069065F" w:rsidP="00B42AEB">
      <w:pPr>
        <w:rPr>
          <w:noProof/>
        </w:rPr>
      </w:pPr>
      <w:r>
        <w:rPr>
          <w:noProof/>
        </w:rPr>
        <w:t>Artikel 10 i traktaten om Den Europæiske Unions funktionsmåde (TEUF) fastsætter, at "ved fastlæggelsen og gennemførelsen af sine politikker og aktiviteter tilstræber Unionen at bekæmpe enhver form for forskelsbehandling på grund af [...] handicap".</w:t>
      </w:r>
    </w:p>
    <w:p w14:paraId="5095E76E" w14:textId="2E8565CD" w:rsidR="00271CAD" w:rsidRPr="00B42AEB" w:rsidRDefault="00271CAD" w:rsidP="00B42AEB">
      <w:pPr>
        <w:rPr>
          <w:noProof/>
        </w:rPr>
      </w:pPr>
      <w:r>
        <w:rPr>
          <w:noProof/>
        </w:rPr>
        <w:t xml:space="preserve">Artikel 19, stk. 1, i TEUF bestemmer, at "[m]ed forbehold af traktaternes øvrige bestemmelser og inden for rammerne af de beføjelser, som traktaterne tillægger Unionen, kan Rådet, der træffer afgørelse med enstemmighed efter en særlig lovgivningsprocedure og efter Europa-Parlamentets godkendelse, træffe hensigtsmæssige foranstaltninger til at bekæmpe forskelsbehandling på grund af [...] handicap". </w:t>
      </w:r>
    </w:p>
    <w:p w14:paraId="32738849" w14:textId="4E9F4303" w:rsidR="0069065F" w:rsidRPr="00B42AEB" w:rsidRDefault="0069065F" w:rsidP="00B42AEB">
      <w:pPr>
        <w:rPr>
          <w:noProof/>
        </w:rPr>
      </w:pPr>
      <w:r>
        <w:rPr>
          <w:noProof/>
        </w:rPr>
        <w:t>I henhold til artikel 19, stk. 2, i TEUF "[...] kan Europa-Parlamentet og Rådet, uden at der er tale om nogen form for harmonisering [...], efter den almindelige lovgivningsprocedure vedtage grundprincipper for EU-tilskyndelsesforanstaltninger til støtte for medlemsstaternes aktioner med henblik på at bidrage til virkeliggørelsen af målene i stk. 1".</w:t>
      </w:r>
    </w:p>
    <w:p w14:paraId="61A67F60" w14:textId="13F383A9" w:rsidR="00F5599C" w:rsidRPr="00B42AEB" w:rsidRDefault="00850940" w:rsidP="006B02A7">
      <w:pPr>
        <w:pStyle w:val="Heading2"/>
        <w:numPr>
          <w:ilvl w:val="1"/>
          <w:numId w:val="1"/>
        </w:numPr>
        <w:spacing w:before="240" w:after="240"/>
        <w:rPr>
          <w:noProof/>
        </w:rPr>
      </w:pPr>
      <w:bookmarkStart w:id="19" w:name="_Toc158707785"/>
      <w:r>
        <w:rPr>
          <w:noProof/>
        </w:rPr>
        <w:t>FN's konvention om rettigheder for personer med handicap</w:t>
      </w:r>
      <w:bookmarkEnd w:id="19"/>
    </w:p>
    <w:p w14:paraId="7C3E267C" w14:textId="4A9A9364" w:rsidR="00850940" w:rsidRPr="00B42AEB" w:rsidRDefault="00F5599C" w:rsidP="00B42AEB">
      <w:pPr>
        <w:rPr>
          <w:noProof/>
        </w:rPr>
      </w:pPr>
      <w:r>
        <w:rPr>
          <w:noProof/>
        </w:rPr>
        <w:t>EU er part i FN's konvention om rettigheder for personer med handicap (FN's handicapkonvention). Inden for rammerne af Unionens kompetencer udgør bestemmelserne i denne konvention følgelig en integrerende del af Unionens retsorden.</w:t>
      </w:r>
    </w:p>
    <w:p w14:paraId="750F94E7" w14:textId="77777777" w:rsidR="001D613C" w:rsidRPr="00B42AEB" w:rsidRDefault="00850940" w:rsidP="00B42AEB">
      <w:pPr>
        <w:rPr>
          <w:noProof/>
        </w:rPr>
      </w:pPr>
      <w:r>
        <w:rPr>
          <w:noProof/>
        </w:rPr>
        <w:t xml:space="preserve">Det fremgår af artikel 29 i FN's handicapkonvention, at deltagerstaterne bl.a. skal sikre, at stemmeprocedurer, afstemningsfaciliteter og valgmateriale er passende, tilgængelige, lette at forstå og anvende. </w:t>
      </w:r>
    </w:p>
    <w:p w14:paraId="5D6B24E2" w14:textId="2970F945" w:rsidR="00850940" w:rsidRPr="00B42AEB" w:rsidRDefault="00850940" w:rsidP="00B42AEB">
      <w:pPr>
        <w:rPr>
          <w:noProof/>
        </w:rPr>
      </w:pPr>
      <w:r>
        <w:rPr>
          <w:noProof/>
        </w:rPr>
        <w:t xml:space="preserve">FN's handicapkonvention indeholder forpligtelser for deltagerstaterne til at beskytte retten for personer med handicap til frit at kunne afgive en hemmelig stemme ved valg og folkeafstemninger og til at stille op til valg, effektivt bestride et embede og udføre alle offentlige funktioner på alle niveauer i den offentlige forvaltning, idet det gøres lettere at anvende hjælpemiddelteknologi og ny teknologi, hvor det er hensigtsmæssigt. </w:t>
      </w:r>
    </w:p>
    <w:p w14:paraId="7272E26B" w14:textId="6E1792F2" w:rsidR="00850940" w:rsidRPr="00B42AEB" w:rsidRDefault="00850940" w:rsidP="00B42AEB">
      <w:pPr>
        <w:rPr>
          <w:noProof/>
        </w:rPr>
      </w:pPr>
      <w:r>
        <w:rPr>
          <w:noProof/>
        </w:rPr>
        <w:t xml:space="preserve">Medlemsstaterne er også forpligtet til at sikre, at personer med handicap frit kan give udtryk for deres vilje som vælgere. Med henblik herpå skal medlemsstaterne tillade, at de om nødvendigt og efter anmodning kan få bistand fra en person efter eget valg til at afgive deres stemme. </w:t>
      </w:r>
    </w:p>
    <w:p w14:paraId="53D95EA0" w14:textId="30D56785" w:rsidR="00F5599C" w:rsidRPr="00B42AEB" w:rsidRDefault="00850940" w:rsidP="00B42AEB">
      <w:pPr>
        <w:rPr>
          <w:noProof/>
        </w:rPr>
      </w:pPr>
      <w:r>
        <w:rPr>
          <w:rStyle w:val="sbb9ee52a"/>
          <w:noProof/>
        </w:rPr>
        <w:t>I generel bemærkning nr. 2 om artikel 9 i</w:t>
      </w:r>
      <w:r>
        <w:rPr>
          <w:noProof/>
        </w:rPr>
        <w:t xml:space="preserve"> De Forenede Nationers konvention om rettigheder for personer med handicap, </w:t>
      </w:r>
      <w:r>
        <w:rPr>
          <w:rStyle w:val="sbb9ee52a"/>
          <w:noProof/>
        </w:rPr>
        <w:t>der blev vedtaget af komitéen for rettigheder for personer med handicap</w:t>
      </w:r>
      <w:r>
        <w:rPr>
          <w:rStyle w:val="FootnoteReference"/>
          <w:noProof/>
        </w:rPr>
        <w:t>(</w:t>
      </w:r>
      <w:r>
        <w:rPr>
          <w:rStyle w:val="FootnoteReference"/>
          <w:noProof/>
        </w:rPr>
        <w:footnoteReference w:id="28"/>
      </w:r>
      <w:r>
        <w:rPr>
          <w:rStyle w:val="FootnoteReference"/>
          <w:noProof/>
        </w:rPr>
        <w:t>))</w:t>
      </w:r>
      <w:r>
        <w:rPr>
          <w:noProof/>
        </w:rPr>
        <w:t xml:space="preserve"> </w:t>
      </w:r>
      <w:r>
        <w:rPr>
          <w:rStyle w:val="sbb9ee52a"/>
          <w:noProof/>
        </w:rPr>
        <w:t>den 11. april 2014,</w:t>
      </w:r>
      <w:r>
        <w:rPr>
          <w:noProof/>
        </w:rPr>
        <w:t xml:space="preserve"> anføres det, at </w:t>
      </w:r>
      <w:r>
        <w:rPr>
          <w:rStyle w:val="sbb9ee52a"/>
          <w:noProof/>
        </w:rPr>
        <w:t>det også er vigtigt, at politiske møder og materialer, der anvendes og produceres af politiske partier eller individuelle kandidater, der deltager i valg, er tilgængelige.</w:t>
      </w:r>
    </w:p>
    <w:p w14:paraId="546C41CA" w14:textId="0273F616" w:rsidR="00846458" w:rsidRPr="00B42AEB" w:rsidRDefault="004801BB" w:rsidP="006B02A7">
      <w:pPr>
        <w:pStyle w:val="Heading2"/>
        <w:numPr>
          <w:ilvl w:val="1"/>
          <w:numId w:val="1"/>
        </w:numPr>
        <w:spacing w:before="240" w:after="240"/>
        <w:rPr>
          <w:noProof/>
        </w:rPr>
      </w:pPr>
      <w:bookmarkStart w:id="20" w:name="_Toc148718578"/>
      <w:bookmarkStart w:id="21" w:name="_Toc158707786"/>
      <w:r>
        <w:rPr>
          <w:noProof/>
        </w:rPr>
        <w:t>EU's charter om grundlæggende rettigheder</w:t>
      </w:r>
      <w:bookmarkEnd w:id="20"/>
      <w:bookmarkEnd w:id="21"/>
    </w:p>
    <w:p w14:paraId="2A5B1C10" w14:textId="6E496CCB" w:rsidR="00271CAD" w:rsidRPr="00B42AEB" w:rsidRDefault="008E6A92" w:rsidP="00B42AEB">
      <w:pPr>
        <w:rPr>
          <w:noProof/>
        </w:rPr>
      </w:pPr>
      <w:r>
        <w:rPr>
          <w:noProof/>
        </w:rPr>
        <w:t xml:space="preserve">Artikel 21 i EU's charter om grundlæggende rettigheder ("chartret") forbyder enhver forskelsbehandling, herunder på grund af handicap. </w:t>
      </w:r>
    </w:p>
    <w:p w14:paraId="5824D6D2" w14:textId="7F1D748B" w:rsidR="00846458" w:rsidRPr="00B42AEB" w:rsidRDefault="00846458" w:rsidP="00B42AEB">
      <w:pPr>
        <w:rPr>
          <w:noProof/>
        </w:rPr>
      </w:pPr>
      <w:r>
        <w:rPr>
          <w:noProof/>
        </w:rPr>
        <w:t>I artikel 26 i chartret om integration af personer med handicap hedder det, at EU anerkender og respekterer retten for mennesker med handicap til at nyde godt af foranstaltninger, der skal sikre deres autonomi, deres sociale og erhvervsmæssige integration og deres deltagelse i samfundslivet. Som EU-Domstolen fremhævede i Glatzel-sagen</w:t>
      </w:r>
      <w:r>
        <w:rPr>
          <w:rStyle w:val="FootnoteReference"/>
          <w:noProof/>
        </w:rPr>
        <w:t>(</w:t>
      </w:r>
      <w:r>
        <w:rPr>
          <w:rStyle w:val="FootnoteReference"/>
          <w:noProof/>
        </w:rPr>
        <w:footnoteReference w:id="29"/>
      </w:r>
      <w:r>
        <w:rPr>
          <w:rStyle w:val="FootnoteReference"/>
          <w:noProof/>
        </w:rPr>
        <w:t xml:space="preserve">) ) </w:t>
      </w:r>
      <w:r>
        <w:rPr>
          <w:noProof/>
        </w:rPr>
        <w:t>, kan sager på grundlag af artikel 26 indbringes for Domstolen i forbindelse med fortolkningen og kontrollen af lovligheden af EU-retsakter, der gennemfører det i artiklen indeholdte princip, der er fastsat i denne artikel, dvs. princippet om integration af personer med handicap.</w:t>
      </w:r>
    </w:p>
    <w:p w14:paraId="360C3401" w14:textId="737E3B47" w:rsidR="00C34E12" w:rsidRPr="00B42AEB" w:rsidRDefault="00C34E12" w:rsidP="00B42AEB">
      <w:pPr>
        <w:rPr>
          <w:noProof/>
        </w:rPr>
      </w:pPr>
      <w:r>
        <w:rPr>
          <w:noProof/>
        </w:rPr>
        <w:t>Chartrets artikel 39 og artikel 40 vedrører stemmeret og valgbarhed til Europa-Parlamentet og til kommunale valg.</w:t>
      </w:r>
    </w:p>
    <w:p w14:paraId="75C93C24" w14:textId="1585B005" w:rsidR="00BE5CB3" w:rsidRPr="00B42AEB" w:rsidRDefault="00FF3AD9" w:rsidP="00B42AEB">
      <w:pPr>
        <w:rPr>
          <w:noProof/>
        </w:rPr>
      </w:pPr>
      <w:r>
        <w:rPr>
          <w:noProof/>
        </w:rPr>
        <w:t xml:space="preserve">Chartrets artikel 53 fastsætter, at de rettigheder, der er fastsat heri, skal fortolkes i overensstemmelse med folkeretten og internationale konventioner, som Unionen eller alle medlemsstaterne er parter i. Dette omfatter den europæiske menneskerettighedskonvention (EMRK) og FN's handicapkonvention. Navnlig bør retten til ikkeforskelsbehandling, der er nedfældet i chartrets artikel 21, fortolkes under hensyntagen til Den Europæiske Menneskerettighedsdomstols retspraksis. </w:t>
      </w:r>
    </w:p>
    <w:p w14:paraId="4FF913F0" w14:textId="222AE85B" w:rsidR="00E7243F" w:rsidRPr="00B42AEB" w:rsidRDefault="00E7243F" w:rsidP="00524C0B">
      <w:pPr>
        <w:pStyle w:val="Heading2"/>
        <w:numPr>
          <w:ilvl w:val="1"/>
          <w:numId w:val="1"/>
        </w:numPr>
        <w:spacing w:before="240" w:after="240"/>
        <w:ind w:left="426" w:hanging="426"/>
        <w:rPr>
          <w:noProof/>
        </w:rPr>
      </w:pPr>
      <w:bookmarkStart w:id="22" w:name="_Toc148718579"/>
      <w:bookmarkStart w:id="23" w:name="_Toc158707787"/>
      <w:r>
        <w:rPr>
          <w:noProof/>
        </w:rPr>
        <w:t>EU's valglov</w:t>
      </w:r>
      <w:bookmarkEnd w:id="22"/>
      <w:bookmarkEnd w:id="23"/>
    </w:p>
    <w:p w14:paraId="5C2746D7" w14:textId="58C5B0F7" w:rsidR="004B299C" w:rsidRPr="00B42AEB" w:rsidRDefault="002E02A2" w:rsidP="00B42AEB">
      <w:pPr>
        <w:rPr>
          <w:noProof/>
        </w:rPr>
      </w:pPr>
      <w:r>
        <w:rPr>
          <w:noProof/>
        </w:rPr>
        <w:t>Hvad angår proceduren for valg af Europa-Parlamentets medlemmer bestemmer artikel 223, stk. 1, TEUF for det første, at det tilkommer Europa-Parlamentet at udarbejde forslag med henblik på fastsættelse af de bestemmelser, der er nødvendige for, at dets medlemmer kan vælges ved almindelige direkte valg ifølge en i alle medlemsstater ensartet fremgangsmåde eller efter principper, der er fælles for alle medlemsstater. For det andet præciseres det, at det tilkommer Rådet for Den Europæiske Union at fastsætte disse bestemmelser.</w:t>
      </w:r>
    </w:p>
    <w:p w14:paraId="002A177F" w14:textId="12E353A3" w:rsidR="00F37BF3" w:rsidRPr="00B42AEB" w:rsidRDefault="00F37BF3" w:rsidP="00B42AEB">
      <w:pPr>
        <w:rPr>
          <w:noProof/>
        </w:rPr>
      </w:pPr>
      <w:r>
        <w:rPr>
          <w:noProof/>
        </w:rPr>
        <w:t>Valgakten fra 1976</w:t>
      </w:r>
      <w:r>
        <w:rPr>
          <w:rStyle w:val="FootnoteReference"/>
          <w:noProof/>
        </w:rPr>
        <w:t>(</w:t>
      </w:r>
      <w:r>
        <w:rPr>
          <w:rStyle w:val="FootnoteReference"/>
          <w:noProof/>
        </w:rPr>
        <w:footnoteReference w:id="30"/>
      </w:r>
      <w:r>
        <w:rPr>
          <w:rStyle w:val="FootnoteReference"/>
          <w:noProof/>
        </w:rPr>
        <w:t>))</w:t>
      </w:r>
      <w:r>
        <w:rPr>
          <w:noProof/>
        </w:rPr>
        <w:t xml:space="preserve"> fastsætter de fælles principper for almindelige direkte valg af medlemmerne af Europa-Parlamentet.</w:t>
      </w:r>
    </w:p>
    <w:p w14:paraId="1544DEA1" w14:textId="07970F8B" w:rsidR="00A40202" w:rsidRPr="00B42AEB" w:rsidRDefault="00A40202" w:rsidP="00B42AEB">
      <w:pPr>
        <w:rPr>
          <w:noProof/>
        </w:rPr>
      </w:pPr>
      <w:r>
        <w:rPr>
          <w:noProof/>
        </w:rPr>
        <w:t>Aktens artikel 8, stk. 1, bestemmer, at med forbehold af de øvrige bestemmelser "er valgproceduren undergivet hver medlemsstats nationale forskrifter".</w:t>
      </w:r>
    </w:p>
    <w:p w14:paraId="4AE87950" w14:textId="22F9A390" w:rsidR="0026422C" w:rsidRPr="00B42AEB" w:rsidRDefault="0026422C" w:rsidP="00B42AEB">
      <w:pPr>
        <w:rPr>
          <w:noProof/>
          <w:bdr w:val="none" w:sz="0" w:space="0" w:color="auto" w:frame="1"/>
        </w:rPr>
      </w:pPr>
      <w:r>
        <w:rPr>
          <w:noProof/>
          <w:bdr w:val="none" w:sz="0" w:space="0" w:color="auto" w:frame="1"/>
        </w:rPr>
        <w:t>Den 3. maj 2022 vedtog Europa-Parlamentet et udkast til lovgivningsmæssig retsakt, som ophæver valgakten og erstatter den med en ny rådsforordning om almindelige direkte valg af medlemmerne af Europa-Parlamentet</w:t>
      </w:r>
      <w:r>
        <w:rPr>
          <w:noProof/>
          <w:bdr w:val="none" w:sz="0" w:space="0" w:color="auto" w:frame="1"/>
          <w:vertAlign w:val="superscript"/>
        </w:rPr>
        <w:t>(</w:t>
      </w:r>
      <w:r>
        <w:rPr>
          <w:noProof/>
          <w:bdr w:val="none" w:sz="0" w:space="0" w:color="auto" w:frame="1"/>
          <w:vertAlign w:val="superscript"/>
        </w:rPr>
        <w:footnoteReference w:id="31"/>
      </w:r>
      <w:r>
        <w:rPr>
          <w:noProof/>
          <w:bdr w:val="none" w:sz="0" w:space="0" w:color="auto" w:frame="1"/>
          <w:vertAlign w:val="superscript"/>
        </w:rPr>
        <w:t>)</w:t>
      </w:r>
      <w:r>
        <w:rPr>
          <w:noProof/>
          <w:bdr w:val="none" w:sz="0" w:space="0" w:color="auto" w:frame="1"/>
        </w:rPr>
        <w:t>. Dette vil omfatte foranstaltninger, der gør det muligt for personer med handicap at deltage i valgprocessen på lige fod med andre, herunder personer, der er frataget deres rets- og handleevne</w:t>
      </w:r>
      <w:r>
        <w:rPr>
          <w:rStyle w:val="FootnoteReference"/>
          <w:noProof/>
          <w:bdr w:val="none" w:sz="0" w:space="0" w:color="auto" w:frame="1"/>
        </w:rPr>
        <w:t>(</w:t>
      </w:r>
      <w:r>
        <w:rPr>
          <w:rStyle w:val="FootnoteReference"/>
          <w:noProof/>
          <w:bdr w:val="none" w:sz="0" w:space="0" w:color="auto" w:frame="1"/>
        </w:rPr>
        <w:footnoteReference w:id="32"/>
      </w:r>
      <w:r>
        <w:rPr>
          <w:rStyle w:val="FootnoteReference"/>
          <w:noProof/>
          <w:bdr w:val="none" w:sz="0" w:space="0" w:color="auto" w:frame="1"/>
        </w:rPr>
        <w:t>))</w:t>
      </w:r>
      <w:r>
        <w:rPr>
          <w:noProof/>
          <w:bdr w:val="none" w:sz="0" w:space="0" w:color="auto" w:frame="1"/>
        </w:rPr>
        <w:t xml:space="preserve">. </w:t>
      </w:r>
      <w:r>
        <w:rPr>
          <w:noProof/>
        </w:rPr>
        <w:t>Det foreslog også at fastsætte forpligtelser for medlemsstaterne til at træffe passende foranstaltninger for at hjælpe personer med handicap med at udøve deres stemmeret, enten uafhængigt og hemmeligt eller med bistand fra en person efter eget valg.</w:t>
      </w:r>
    </w:p>
    <w:p w14:paraId="113D0B73" w14:textId="077C3ED0" w:rsidR="00EE13BB" w:rsidRPr="00B42AEB" w:rsidRDefault="00E47BA1" w:rsidP="00B42AEB">
      <w:pPr>
        <w:rPr>
          <w:noProof/>
          <w:bdr w:val="none" w:sz="0" w:space="0" w:color="auto" w:frame="1"/>
        </w:rPr>
      </w:pPr>
      <w:r>
        <w:rPr>
          <w:noProof/>
          <w:bdr w:val="none" w:sz="0" w:space="0" w:color="auto" w:frame="1"/>
        </w:rPr>
        <w:t>De interinstitutionelle drøftelser om denne tekst er i gang.</w:t>
      </w:r>
    </w:p>
    <w:p w14:paraId="42F7864D" w14:textId="34A93432" w:rsidR="00E7243F" w:rsidRPr="00B42AEB" w:rsidRDefault="00E7243F" w:rsidP="00524C0B">
      <w:pPr>
        <w:pStyle w:val="Heading2"/>
        <w:numPr>
          <w:ilvl w:val="1"/>
          <w:numId w:val="1"/>
        </w:numPr>
        <w:spacing w:before="240" w:after="240"/>
        <w:ind w:left="567" w:hanging="567"/>
        <w:rPr>
          <w:noProof/>
        </w:rPr>
      </w:pPr>
      <w:bookmarkStart w:id="24" w:name="_Toc148718580"/>
      <w:bookmarkStart w:id="25" w:name="_Toc158707788"/>
      <w:r>
        <w:rPr>
          <w:noProof/>
        </w:rPr>
        <w:t>Mobile EU-borgeres stemmeret</w:t>
      </w:r>
      <w:bookmarkEnd w:id="24"/>
      <w:bookmarkEnd w:id="25"/>
    </w:p>
    <w:p w14:paraId="2CE8187B" w14:textId="4A8AF298" w:rsidR="00E7243F" w:rsidRPr="00B42AEB" w:rsidRDefault="00E7243F" w:rsidP="00B42AEB">
      <w:pPr>
        <w:rPr>
          <w:noProof/>
        </w:rPr>
      </w:pPr>
      <w:r>
        <w:rPr>
          <w:noProof/>
        </w:rPr>
        <w:t>I henhold til artikel 20, stk. 2, litra b), og artikel 22 i TEUF har statsborgere i EU's medlemsstater: a) valgret og er valgbare ved valg til Europa-Parlamentet og b) valgret og er valgbare ved kommunale valg i deres bopælsland. Disse to rettigheder indrømmes også i henhold til chartret.</w:t>
      </w:r>
      <w:r>
        <w:rPr>
          <w:noProof/>
          <w:vertAlign w:val="superscript"/>
        </w:rPr>
        <w:t>(</w:t>
      </w:r>
      <w:r>
        <w:rPr>
          <w:noProof/>
          <w:vertAlign w:val="superscript"/>
        </w:rPr>
        <w:footnoteReference w:id="33"/>
      </w:r>
      <w:r>
        <w:rPr>
          <w:noProof/>
          <w:vertAlign w:val="superscript"/>
        </w:rPr>
        <w:t>)</w:t>
      </w:r>
    </w:p>
    <w:p w14:paraId="5EFFFEB9" w14:textId="601EA5A8" w:rsidR="00E7243F" w:rsidRPr="00B42AEB" w:rsidRDefault="00E7243F" w:rsidP="00B42AEB">
      <w:pPr>
        <w:rPr>
          <w:noProof/>
        </w:rPr>
      </w:pPr>
      <w:r>
        <w:rPr>
          <w:noProof/>
        </w:rPr>
        <w:t>Artikel 20 og 22 i TEUF fastsætter, at unionsborgere, der har bopæl i en medlemsstat, hvor de ikke er statsborgere ("mobile" EU-borgere), kan udøve disse rettigheder på samme betingelser som statsborgere i denne stat. Som følge heraf skal nationale love, der fastlægger betingelserne for udøvelse af stemmeretten i en ren national dimension, også finde anvendelse på mobile EU-borgere med hensyn til kommunale valg og valg til Europa-Parlamentet.</w:t>
      </w:r>
    </w:p>
    <w:p w14:paraId="1DDBE975" w14:textId="662400ED" w:rsidR="00E7243F" w:rsidRPr="00B42AEB" w:rsidRDefault="00E7243F" w:rsidP="00B42AEB">
      <w:pPr>
        <w:rPr>
          <w:noProof/>
        </w:rPr>
      </w:pPr>
      <w:r>
        <w:rPr>
          <w:noProof/>
        </w:rPr>
        <w:t>Direktiv 93/109/EF</w:t>
      </w:r>
      <w:r>
        <w:rPr>
          <w:rStyle w:val="FootnoteReference"/>
          <w:noProof/>
        </w:rPr>
        <w:t>(</w:t>
      </w:r>
      <w:r>
        <w:rPr>
          <w:rStyle w:val="FootnoteReference"/>
          <w:noProof/>
        </w:rPr>
        <w:footnoteReference w:id="34"/>
      </w:r>
      <w:r>
        <w:rPr>
          <w:rStyle w:val="FootnoteReference"/>
          <w:noProof/>
        </w:rPr>
        <w:t>))</w:t>
      </w:r>
      <w:r>
        <w:rPr>
          <w:noProof/>
        </w:rPr>
        <w:t xml:space="preserve"> og direktiv 94/80/EF</w:t>
      </w:r>
      <w:r>
        <w:rPr>
          <w:rStyle w:val="FootnoteReference"/>
          <w:noProof/>
        </w:rPr>
        <w:t>(</w:t>
      </w:r>
      <w:r>
        <w:rPr>
          <w:rStyle w:val="FootnoteReference"/>
          <w:noProof/>
        </w:rPr>
        <w:footnoteReference w:id="35"/>
      </w:r>
      <w:r>
        <w:rPr>
          <w:rStyle w:val="FootnoteReference"/>
          <w:noProof/>
        </w:rPr>
        <w:t>))</w:t>
      </w:r>
      <w:r>
        <w:rPr>
          <w:noProof/>
        </w:rPr>
        <w:t xml:space="preserve"> fastsætter de nærmere regler for udøvelse af valgret og valgbarhed ved valg til Europa-Parlamentet og kommunale valg for mobile EU-borgere.</w:t>
      </w:r>
    </w:p>
    <w:p w14:paraId="0CBDF673" w14:textId="03292E51" w:rsidR="00181B90" w:rsidRPr="00B42AEB" w:rsidRDefault="00E7243F" w:rsidP="00B42AEB">
      <w:pPr>
        <w:rPr>
          <w:noProof/>
        </w:rPr>
      </w:pPr>
      <w:r>
        <w:rPr>
          <w:noProof/>
        </w:rPr>
        <w:t>Den 25. november 2021 vedtog Kommissionen en pakke af foranstaltninger til styrkelse af demokratiet og beskyttelse af integriteten af valg. Dette omfattede to omarbejdede lovgivningsforslag om de nærmere regler for mobile EU-borgeres valgrettigheder.</w:t>
      </w:r>
      <w:r>
        <w:rPr>
          <w:rStyle w:val="FootnoteReference"/>
          <w:noProof/>
        </w:rPr>
        <w:t>(</w:t>
      </w:r>
      <w:r>
        <w:rPr>
          <w:rStyle w:val="FootnoteReference"/>
          <w:noProof/>
        </w:rPr>
        <w:footnoteReference w:id="36"/>
      </w:r>
      <w:r>
        <w:rPr>
          <w:rStyle w:val="FootnoteReference"/>
          <w:noProof/>
        </w:rPr>
        <w:t>))</w:t>
      </w:r>
    </w:p>
    <w:p w14:paraId="18E0695B" w14:textId="32B224C5" w:rsidR="00E7243F" w:rsidRPr="00B42AEB" w:rsidRDefault="00E7243F" w:rsidP="00B42AEB">
      <w:pPr>
        <w:rPr>
          <w:noProof/>
        </w:rPr>
      </w:pPr>
      <w:r>
        <w:rPr>
          <w:noProof/>
        </w:rPr>
        <w:t>Disse initiativer ajourfører, præciserer og styrker reglerne for at tackle de vanskeligheder, som mobile EU-borgere, herunder borgere med handicap, står over for. Målet er at sikre bred og inklusiv deltagelse i valg, støtte disse grupper af personer i udøvelsen af deres rettigheder og beskytte valgenes integritet. Disse initiativer opfordrer også medlemsstaterne til at gøre valgoplysninger tilgængelige for mobile EU-borgere med handicap ved hjælp af passende kommunikationsmidler, -metoder og -formater. De indebærer, at mobile EU-borgere vil have lige adgang til fjernafstemning og elektronisk stemmeafgivning på samme vilkår som statsborgere i den pågældende medlemsstat. De interinstitutionelle drøftelser om disse initiativer er i gang.</w:t>
      </w:r>
    </w:p>
    <w:p w14:paraId="2556360B" w14:textId="4D3972EE" w:rsidR="00176DE7" w:rsidRPr="00B42AEB" w:rsidRDefault="00176DE7" w:rsidP="006B02A7">
      <w:pPr>
        <w:pStyle w:val="Heading2"/>
        <w:numPr>
          <w:ilvl w:val="1"/>
          <w:numId w:val="1"/>
        </w:numPr>
        <w:spacing w:before="240" w:after="240"/>
        <w:rPr>
          <w:noProof/>
        </w:rPr>
      </w:pPr>
      <w:bookmarkStart w:id="26" w:name="_Toc148718581"/>
      <w:bookmarkStart w:id="27" w:name="_Toc158707789"/>
      <w:r>
        <w:rPr>
          <w:noProof/>
        </w:rPr>
        <w:t>Gennemsigtighed i politiske annoncer</w:t>
      </w:r>
      <w:bookmarkEnd w:id="26"/>
      <w:bookmarkEnd w:id="27"/>
    </w:p>
    <w:p w14:paraId="683C934D" w14:textId="7F03E17E" w:rsidR="00E7243F" w:rsidRPr="00B42AEB" w:rsidRDefault="00E7243F" w:rsidP="00B42AEB">
      <w:pPr>
        <w:rPr>
          <w:noProof/>
        </w:rPr>
      </w:pPr>
      <w:r>
        <w:rPr>
          <w:noProof/>
        </w:rPr>
        <w:t>I forslaget om gennemsigtighed og målretning i forbindelse med politisk reklame</w:t>
      </w:r>
      <w:r>
        <w:rPr>
          <w:rStyle w:val="FootnoteReference"/>
          <w:noProof/>
        </w:rPr>
        <w:t>(</w:t>
      </w:r>
      <w:r>
        <w:rPr>
          <w:rStyle w:val="FootnoteReference"/>
          <w:noProof/>
        </w:rPr>
        <w:footnoteReference w:id="37"/>
      </w:r>
      <w:r>
        <w:rPr>
          <w:rStyle w:val="FootnoteReference"/>
          <w:noProof/>
        </w:rPr>
        <w:t>))</w:t>
      </w:r>
      <w:r>
        <w:rPr>
          <w:noProof/>
        </w:rPr>
        <w:t>, som er en del af samme lovgivningspakke, var Kommissionen også opmærksom på behovet for at udarbejde gennemsigtighedsmeddelelser, der skal ledsage politiske reklamer, som er tilgængelige for personer med handicap.</w:t>
      </w:r>
    </w:p>
    <w:p w14:paraId="315B1338" w14:textId="22858B3F" w:rsidR="00157E17" w:rsidRPr="00B42AEB" w:rsidRDefault="00A1581C" w:rsidP="00B42AEB">
      <w:pPr>
        <w:rPr>
          <w:noProof/>
          <w:u w:val="single"/>
        </w:rPr>
      </w:pPr>
      <w:r>
        <w:rPr>
          <w:noProof/>
        </w:rPr>
        <w:t>De interinstitutionelle drøftelser om denne tekst er i gang.</w:t>
      </w:r>
    </w:p>
    <w:p w14:paraId="38A09369" w14:textId="6A0C220B" w:rsidR="00EB4917" w:rsidRPr="00B42AEB" w:rsidRDefault="000C0387" w:rsidP="006B1A12">
      <w:pPr>
        <w:pStyle w:val="Heading2"/>
        <w:numPr>
          <w:ilvl w:val="1"/>
          <w:numId w:val="1"/>
        </w:numPr>
        <w:spacing w:before="240" w:after="240"/>
        <w:ind w:left="567" w:hanging="567"/>
        <w:rPr>
          <w:noProof/>
        </w:rPr>
      </w:pPr>
      <w:bookmarkStart w:id="28" w:name="_Toc148718582"/>
      <w:bookmarkStart w:id="29" w:name="_Toc158707790"/>
      <w:r>
        <w:rPr>
          <w:noProof/>
        </w:rPr>
        <w:t>Andre EU-retlige tekster</w:t>
      </w:r>
      <w:bookmarkEnd w:id="28"/>
      <w:bookmarkEnd w:id="29"/>
      <w:r>
        <w:rPr>
          <w:noProof/>
        </w:rPr>
        <w:t xml:space="preserve"> </w:t>
      </w:r>
    </w:p>
    <w:p w14:paraId="3B65A866" w14:textId="45FA2247" w:rsidR="003316F0" w:rsidRPr="00B42AEB" w:rsidRDefault="00EB4917" w:rsidP="00B42AEB">
      <w:pPr>
        <w:rPr>
          <w:noProof/>
        </w:rPr>
      </w:pPr>
      <w:r>
        <w:rPr>
          <w:noProof/>
        </w:rPr>
        <w:t>Andre relevante EU-retsakter omfatter direktiv (EU) 2019/882</w:t>
      </w:r>
      <w:r>
        <w:rPr>
          <w:noProof/>
          <w:vertAlign w:val="superscript"/>
        </w:rPr>
        <w:t>(</w:t>
      </w:r>
      <w:r>
        <w:rPr>
          <w:noProof/>
          <w:vertAlign w:val="superscript"/>
        </w:rPr>
        <w:footnoteReference w:id="38"/>
      </w:r>
      <w:r>
        <w:rPr>
          <w:noProof/>
          <w:vertAlign w:val="superscript"/>
        </w:rPr>
        <w:t>)</w:t>
      </w:r>
      <w:r>
        <w:rPr>
          <w:noProof/>
        </w:rPr>
        <w:t xml:space="preserve"> (den europæiske tilgængelighedsdirektiv) om tilgængelighedskrav til produkter og tjenesteydelser, Europa-Parlamentets og Rådets direktiv 2014/24/EU</w:t>
      </w:r>
      <w:r>
        <w:rPr>
          <w:noProof/>
          <w:vertAlign w:val="superscript"/>
        </w:rPr>
        <w:t>(</w:t>
      </w:r>
      <w:r>
        <w:rPr>
          <w:noProof/>
          <w:vertAlign w:val="superscript"/>
        </w:rPr>
        <w:footnoteReference w:id="39"/>
      </w:r>
      <w:r>
        <w:rPr>
          <w:noProof/>
          <w:vertAlign w:val="superscript"/>
        </w:rPr>
        <w:t>)</w:t>
      </w:r>
      <w:r>
        <w:rPr>
          <w:noProof/>
        </w:rPr>
        <w:t xml:space="preserve"> og 2014/25/EU</w:t>
      </w:r>
      <w:r>
        <w:rPr>
          <w:noProof/>
          <w:vertAlign w:val="superscript"/>
        </w:rPr>
        <w:t>(</w:t>
      </w:r>
      <w:r>
        <w:rPr>
          <w:noProof/>
          <w:vertAlign w:val="superscript"/>
        </w:rPr>
        <w:footnoteReference w:id="40"/>
      </w:r>
      <w:r>
        <w:rPr>
          <w:noProof/>
          <w:vertAlign w:val="superscript"/>
        </w:rPr>
        <w:t>)</w:t>
      </w:r>
      <w:r>
        <w:rPr>
          <w:noProof/>
        </w:rPr>
        <w:t xml:space="preserve"> om offentlige udbud, direktiv (EU) 2016/2102</w:t>
      </w:r>
      <w:r>
        <w:rPr>
          <w:noProof/>
          <w:vertAlign w:val="superscript"/>
        </w:rPr>
        <w:t>(</w:t>
      </w:r>
      <w:r>
        <w:rPr>
          <w:noProof/>
          <w:vertAlign w:val="superscript"/>
        </w:rPr>
        <w:footnoteReference w:id="41"/>
      </w:r>
      <w:r>
        <w:rPr>
          <w:noProof/>
          <w:vertAlign w:val="superscript"/>
        </w:rPr>
        <w:t>)</w:t>
      </w:r>
      <w:r>
        <w:rPr>
          <w:noProof/>
        </w:rPr>
        <w:t xml:space="preserve"> (direktivet om webtilgængelighed) og direktiv 2010/13/EU</w:t>
      </w:r>
      <w:r>
        <w:rPr>
          <w:noProof/>
          <w:vertAlign w:val="superscript"/>
        </w:rPr>
        <w:t>(</w:t>
      </w:r>
      <w:r>
        <w:rPr>
          <w:noProof/>
          <w:vertAlign w:val="superscript"/>
        </w:rPr>
        <w:footnoteReference w:id="42"/>
      </w:r>
      <w:r>
        <w:rPr>
          <w:noProof/>
          <w:vertAlign w:val="superscript"/>
        </w:rPr>
        <w:t>)</w:t>
      </w:r>
      <w:r>
        <w:rPr>
          <w:noProof/>
        </w:rPr>
        <w:t xml:space="preserve"> (direktivet om audiovisuelle medietjenester).</w:t>
      </w:r>
    </w:p>
    <w:p w14:paraId="6AE2A251" w14:textId="1A2FAABF" w:rsidR="00912818" w:rsidRPr="006B02A7" w:rsidRDefault="00912818" w:rsidP="00B42AEB">
      <w:pPr>
        <w:rPr>
          <w:noProof/>
          <w:shd w:val="clear" w:color="auto" w:fill="FFFFFF"/>
        </w:rPr>
      </w:pPr>
      <w:r>
        <w:rPr>
          <w:noProof/>
          <w:shd w:val="clear" w:color="auto" w:fill="FFFFFF"/>
        </w:rPr>
        <w:t>I artikel 3, stk. 1, i det europæiske tilgængelighedsdirektiv defineres personer med handicap som personer med en langvarig fysisk, psykisk, intellektuel eller sensorisk funktionsnedsættelse, som i samspil med forskellige barrierer kan hindre dem i fuldt og effektivt at deltage i samfundslivet på lige fod med andre. Kommissionen har foreslået at anvende samme definition i sit forslag om EU-handicapkortet og EU-parkeringskortet for personer med handicap</w:t>
      </w:r>
      <w:r>
        <w:rPr>
          <w:noProof/>
          <w:shd w:val="clear" w:color="auto" w:fill="FFFFFF"/>
          <w:vertAlign w:val="superscript"/>
        </w:rPr>
        <w:t>(</w:t>
      </w:r>
      <w:r>
        <w:rPr>
          <w:noProof/>
          <w:shd w:val="clear" w:color="auto" w:fill="FFFFFF"/>
          <w:vertAlign w:val="superscript"/>
        </w:rPr>
        <w:footnoteReference w:id="43"/>
      </w:r>
      <w:r>
        <w:rPr>
          <w:noProof/>
          <w:shd w:val="clear" w:color="auto" w:fill="FFFFFF"/>
          <w:vertAlign w:val="superscript"/>
        </w:rPr>
        <w:t>)</w:t>
      </w:r>
      <w:r>
        <w:rPr>
          <w:noProof/>
          <w:shd w:val="clear" w:color="auto" w:fill="FFFFFF"/>
        </w:rPr>
        <w:t>.</w:t>
      </w:r>
    </w:p>
    <w:p w14:paraId="3F2A4BA7" w14:textId="747C0F00" w:rsidR="008D65A6" w:rsidRPr="00B42AEB" w:rsidRDefault="00E561C6" w:rsidP="006B02A7">
      <w:pPr>
        <w:pStyle w:val="Heading1"/>
        <w:spacing w:before="360" w:after="240" w:line="288" w:lineRule="auto"/>
        <w:rPr>
          <w:noProof/>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707791"/>
      <w:bookmarkEnd w:id="30"/>
      <w:bookmarkEnd w:id="31"/>
      <w:bookmarkEnd w:id="32"/>
      <w:bookmarkEnd w:id="33"/>
      <w:bookmarkEnd w:id="34"/>
      <w:bookmarkEnd w:id="35"/>
      <w:bookmarkEnd w:id="36"/>
      <w:bookmarkEnd w:id="37"/>
      <w:bookmarkEnd w:id="38"/>
      <w:r>
        <w:rPr>
          <w:noProof/>
        </w:rPr>
        <w:t>4. Internationale standarder</w:t>
      </w:r>
      <w:bookmarkEnd w:id="39"/>
      <w:r>
        <w:rPr>
          <w:noProof/>
        </w:rPr>
        <w:t>, der gælder for EU-medlemsstaterne</w:t>
      </w:r>
      <w:bookmarkEnd w:id="40"/>
    </w:p>
    <w:p w14:paraId="027134CE" w14:textId="554A217C" w:rsidR="007144EF" w:rsidRPr="00B42AEB" w:rsidRDefault="004801BB" w:rsidP="00B42AEB">
      <w:pPr>
        <w:rPr>
          <w:rStyle w:val="sbb9ee52a"/>
          <w:noProof/>
        </w:rPr>
      </w:pPr>
      <w:r>
        <w:rPr>
          <w:noProof/>
        </w:rPr>
        <w:t xml:space="preserve">Ud over FN's handicapkonvention, som både EU og dets medlemsstater er parter i, har EU's medlemsstater forpligtet sig til at opretholde en række internationale standarder vedrørende valgrettigheder for personer med handicap. </w:t>
      </w:r>
    </w:p>
    <w:p w14:paraId="0A4F2E0E" w14:textId="2C0A2013" w:rsidR="00F91223" w:rsidRPr="00B42AEB" w:rsidRDefault="008B438A" w:rsidP="00B42AEB">
      <w:pPr>
        <w:rPr>
          <w:noProof/>
        </w:rPr>
      </w:pPr>
      <w:r>
        <w:rPr>
          <w:noProof/>
        </w:rPr>
        <w:t>Den europæiske konvention til beskyttelse af menneskerettigheder og grundlæggende frihedsrettigheder ("EMRK")</w:t>
      </w:r>
      <w:r>
        <w:rPr>
          <w:rStyle w:val="FootnoteReference"/>
          <w:noProof/>
        </w:rPr>
        <w:t>(</w:t>
      </w:r>
      <w:r>
        <w:rPr>
          <w:rStyle w:val="FootnoteReference"/>
          <w:noProof/>
        </w:rPr>
        <w:footnoteReference w:id="44"/>
      </w:r>
      <w:r>
        <w:rPr>
          <w:rStyle w:val="FootnoteReference"/>
          <w:noProof/>
        </w:rPr>
        <w:t>))</w:t>
      </w:r>
      <w:r>
        <w:rPr>
          <w:noProof/>
        </w:rPr>
        <w:t>, som fastsætter retten til frie valg, er også relevant i forbindelse med valgrettigheder for personer med handicap.</w:t>
      </w:r>
    </w:p>
    <w:p w14:paraId="6BAF844C" w14:textId="26767427" w:rsidR="00F15CB6" w:rsidRPr="00B42AEB" w:rsidRDefault="00E418CB" w:rsidP="00B42AEB">
      <w:pPr>
        <w:rPr>
          <w:noProof/>
        </w:rPr>
      </w:pPr>
      <w:r>
        <w:rPr>
          <w:noProof/>
        </w:rPr>
        <w:t>Europarådets Parlamentariske Forsamlings resolution 2155 (2017) om politiske rettigheder for personer med handicap opfordrer medlemsstaterne til at træffe konkrete og specifikke foranstaltninger for at lette adgangen til at stemme og deltage i valg for personer med handicap.</w:t>
      </w:r>
      <w:r>
        <w:rPr>
          <w:rStyle w:val="FootnoteReference"/>
          <w:noProof/>
        </w:rPr>
        <w:t>(</w:t>
      </w:r>
      <w:r>
        <w:rPr>
          <w:rStyle w:val="FootnoteReference"/>
          <w:noProof/>
        </w:rPr>
        <w:footnoteReference w:id="45"/>
      </w:r>
      <w:r>
        <w:rPr>
          <w:rStyle w:val="FootnoteReference"/>
          <w:noProof/>
        </w:rPr>
        <w:t>))</w:t>
      </w:r>
      <w:r>
        <w:rPr>
          <w:noProof/>
        </w:rPr>
        <w:t xml:space="preserve"> </w:t>
      </w:r>
    </w:p>
    <w:p w14:paraId="1E7EDD37" w14:textId="2415A066" w:rsidR="00BA7E91" w:rsidRPr="00B42AEB" w:rsidRDefault="00F15CB6" w:rsidP="00B42AEB">
      <w:pPr>
        <w:rPr>
          <w:b/>
          <w:noProof/>
        </w:rPr>
      </w:pPr>
      <w:r>
        <w:rPr>
          <w:noProof/>
        </w:rPr>
        <w:t>Den Europæiske Menneskerettighedsdomstol (EMD) har undersøgt foreneligheden af bestemmelserne om valg i den europæiske menneskerettighedskonvention med fratagelse af valgretten for personer, der er sat under værgemål, i flere tilfælde. I sagen Alajos Kiss mod Ungarn</w:t>
      </w:r>
      <w:r>
        <w:rPr>
          <w:rStyle w:val="FootnoteReference"/>
          <w:noProof/>
        </w:rPr>
        <w:t>(</w:t>
      </w:r>
      <w:r>
        <w:rPr>
          <w:rStyle w:val="FootnoteReference"/>
          <w:noProof/>
        </w:rPr>
        <w:footnoteReference w:id="46"/>
      </w:r>
      <w:r>
        <w:rPr>
          <w:rStyle w:val="FootnoteReference"/>
          <w:noProof/>
        </w:rPr>
        <w:t>))</w:t>
      </w:r>
      <w:r>
        <w:rPr>
          <w:noProof/>
        </w:rPr>
        <w:t xml:space="preserve"> og senest i sagen Anatoliy Marinov mod Bulgarien</w:t>
      </w:r>
      <w:r>
        <w:rPr>
          <w:rStyle w:val="FootnoteReference"/>
          <w:noProof/>
        </w:rPr>
        <w:t>(</w:t>
      </w:r>
      <w:r>
        <w:rPr>
          <w:rStyle w:val="FootnoteReference"/>
          <w:noProof/>
        </w:rPr>
        <w:footnoteReference w:id="47"/>
      </w:r>
      <w:r>
        <w:rPr>
          <w:rStyle w:val="FootnoteReference"/>
          <w:noProof/>
        </w:rPr>
        <w:t>))</w:t>
      </w:r>
      <w:r>
        <w:rPr>
          <w:noProof/>
        </w:rPr>
        <w:t xml:space="preserve"> konkluderede EMD, at en vilkårlig fjernelse af stemmerettigheder uden en individualiseret retlig vurdering og udelukkende på grundlag af et mentalt handicap, der kræver delvis værgemål, ikke kan anses for at være forenelig med de legitime grunde til at begrænse stemmeretten.  Den fandt ingen overtrædelse af EMRK i sagen Strøbye og Rosenlind mod Danmark</w:t>
      </w:r>
      <w:r>
        <w:rPr>
          <w:rStyle w:val="FootnoteReference"/>
          <w:noProof/>
        </w:rPr>
        <w:t>(</w:t>
      </w:r>
      <w:r>
        <w:rPr>
          <w:rStyle w:val="FootnoteReference"/>
          <w:noProof/>
        </w:rPr>
        <w:footnoteReference w:id="48"/>
      </w:r>
      <w:r>
        <w:rPr>
          <w:rStyle w:val="FootnoteReference"/>
          <w:noProof/>
        </w:rPr>
        <w:t>))</w:t>
      </w:r>
      <w:r>
        <w:rPr>
          <w:noProof/>
        </w:rPr>
        <w:t xml:space="preserve"> og sagen Caamaño Valle mod Spanien</w:t>
      </w:r>
      <w:r>
        <w:rPr>
          <w:rStyle w:val="FootnoteReference"/>
          <w:noProof/>
        </w:rPr>
        <w:t>(</w:t>
      </w:r>
      <w:r>
        <w:rPr>
          <w:rStyle w:val="FootnoteReference"/>
          <w:noProof/>
        </w:rPr>
        <w:footnoteReference w:id="49"/>
      </w:r>
      <w:r>
        <w:rPr>
          <w:rStyle w:val="FootnoteReference"/>
          <w:noProof/>
        </w:rPr>
        <w:t>))</w:t>
      </w:r>
      <w:r>
        <w:rPr>
          <w:noProof/>
        </w:rPr>
        <w:t>, hvor fratagelse af stemmeretten for personer under værgemål var baseret på grundige og individualiserede retlige vurderinger. EMD fandt også, at det ikke kunne udelukkes, at myndighedernes undladelse af at give kørestolsbrugere passende adgang til valgstederne kunne påvirke deres ret til respekt for privatliv og familieliv som fastsat i EMRK's artikel 8.</w:t>
      </w:r>
      <w:r>
        <w:rPr>
          <w:rStyle w:val="FootnoteReference"/>
          <w:noProof/>
        </w:rPr>
        <w:t>(</w:t>
      </w:r>
      <w:r>
        <w:rPr>
          <w:rStyle w:val="FootnoteReference"/>
          <w:noProof/>
        </w:rPr>
        <w:footnoteReference w:id="50"/>
      </w:r>
      <w:r>
        <w:rPr>
          <w:rStyle w:val="FootnoteReference"/>
          <w:noProof/>
        </w:rPr>
        <w:t>))</w:t>
      </w:r>
    </w:p>
    <w:p w14:paraId="083BEEB1" w14:textId="6479FFA5" w:rsidR="007144EF" w:rsidRPr="00B42AEB" w:rsidRDefault="00065DBE" w:rsidP="00B42AEB">
      <w:pPr>
        <w:rPr>
          <w:noProof/>
        </w:rPr>
      </w:pPr>
      <w:r>
        <w:rPr>
          <w:noProof/>
        </w:rPr>
        <w:t>Venedigkommissionen udsendte en revideret fortolkningserklæring til kodeksen for god praksis i valgspørgsmål om valgdeltagelse af personer med handicap</w:t>
      </w:r>
      <w:r>
        <w:rPr>
          <w:noProof/>
          <w:vertAlign w:val="superscript"/>
        </w:rPr>
        <w:t>(</w:t>
      </w:r>
      <w:r>
        <w:rPr>
          <w:noProof/>
          <w:vertAlign w:val="superscript"/>
        </w:rPr>
        <w:footnoteReference w:id="51"/>
      </w:r>
      <w:r>
        <w:rPr>
          <w:noProof/>
          <w:vertAlign w:val="superscript"/>
        </w:rPr>
        <w:t>)</w:t>
      </w:r>
      <w:r>
        <w:rPr>
          <w:noProof/>
        </w:rPr>
        <w:t>. Denne erklæring supplerer de fem principper, der ligger til grund for Europas valgarv: universel, lige, fri, hemmelige og direkte valgret for at sikre, at personer med handicap kan udøve deres stemmeret på lige fod med andre.</w:t>
      </w:r>
    </w:p>
    <w:p w14:paraId="6407A629" w14:textId="324DC868" w:rsidR="00453A34" w:rsidRPr="00B42AEB" w:rsidRDefault="00453A34" w:rsidP="00B42AEB">
      <w:pPr>
        <w:rPr>
          <w:noProof/>
        </w:rPr>
      </w:pPr>
      <w:r>
        <w:rPr>
          <w:noProof/>
        </w:rPr>
        <w:t>En af aktiviteterne i Kontoret for Demokratiske Institutioner og Menneskerettigheder (ODHIR) under Organisationen for Sikkerhed og Samarbejde i Europa (OSCE) er at overvåge valg. I forbindelse med ODHIR-valgobservationsmissioner vurderes tilgængeligheden af informationsmateriale, kandidatlister, stemmesedler og valgsteder. ODHIR har i stigende grad henvist til FN's handicapkonvention i sine valgobservationsrapporter ud over OSCE's Københavnsdokument og Europarådets standarder såsom Venedigkommissionens kodeks for god praksis i valgspørgsmål og den reviderede fortolkningserklæring om valgdeltagelse af personer med handicap og konsekvenserne af EMD's retspraksis.</w:t>
      </w:r>
      <w:r>
        <w:rPr>
          <w:rStyle w:val="FootnoteReference"/>
          <w:noProof/>
        </w:rPr>
        <w:t>(</w:t>
      </w:r>
      <w:r>
        <w:rPr>
          <w:rStyle w:val="FootnoteReference"/>
          <w:noProof/>
        </w:rPr>
        <w:footnoteReference w:id="52"/>
      </w:r>
      <w:r>
        <w:rPr>
          <w:rStyle w:val="FootnoteReference"/>
          <w:noProof/>
        </w:rPr>
        <w:t>))</w:t>
      </w:r>
    </w:p>
    <w:p w14:paraId="17E933B8" w14:textId="5069FE3C" w:rsidR="008D65A6" w:rsidRPr="00B42AEB" w:rsidRDefault="005F4D4C" w:rsidP="006B02A7">
      <w:pPr>
        <w:pStyle w:val="Heading1"/>
        <w:spacing w:before="360" w:after="240" w:line="288" w:lineRule="auto"/>
        <w:rPr>
          <w:noProof/>
        </w:rPr>
      </w:pPr>
      <w:bookmarkStart w:id="41" w:name="_Toc148718584"/>
      <w:bookmarkStart w:id="42" w:name="_Toc158707792"/>
      <w:r>
        <w:rPr>
          <w:noProof/>
        </w:rPr>
        <w:t>5. Miljøer, der støtter valgdeltagelse</w:t>
      </w:r>
      <w:bookmarkEnd w:id="41"/>
      <w:bookmarkEnd w:id="42"/>
      <w:r>
        <w:rPr>
          <w:noProof/>
        </w:rPr>
        <w:t xml:space="preserve"> </w:t>
      </w:r>
    </w:p>
    <w:p w14:paraId="737AFB17" w14:textId="62F799F6" w:rsidR="00A74464" w:rsidRPr="00B42AEB" w:rsidRDefault="009D30C1" w:rsidP="00B42AEB">
      <w:pPr>
        <w:rPr>
          <w:noProof/>
        </w:rPr>
      </w:pPr>
      <w:bookmarkStart w:id="43" w:name="_Toc148715277"/>
      <w:r>
        <w:rPr>
          <w:noProof/>
        </w:rPr>
        <w:t>For at støtte valgdeltagelsen af personer med handicap er der behov for en bred tilgang for at øge den generelle tilgængelighed hvad angår miljø, tjenesteydelser og oplysninger, som personer med handicap interagerer med.</w:t>
      </w:r>
      <w:bookmarkEnd w:id="43"/>
      <w:r>
        <w:rPr>
          <w:noProof/>
        </w:rPr>
        <w:t xml:space="preserve"> </w:t>
      </w:r>
    </w:p>
    <w:p w14:paraId="6114B8EC" w14:textId="3322E40D" w:rsidR="009D30C1" w:rsidRPr="00B42AEB" w:rsidRDefault="00500632" w:rsidP="00B42AEB">
      <w:pPr>
        <w:rPr>
          <w:noProof/>
        </w:rPr>
      </w:pPr>
      <w:bookmarkStart w:id="44" w:name="_Toc148715278"/>
      <w:r>
        <w:rPr>
          <w:noProof/>
        </w:rPr>
        <w:t>I de følgende punkter omtales god valgpraksis i medlemsstaterne. Bilag I, der er udarbejdet på grundlag af denne gode praksis, indeholder en praktisk tjekliste over de forskellige punkter, der skal behandles.</w:t>
      </w:r>
      <w:bookmarkEnd w:id="44"/>
      <w:r>
        <w:rPr>
          <w:noProof/>
        </w:rPr>
        <w:t xml:space="preserve"> </w:t>
      </w:r>
    </w:p>
    <w:p w14:paraId="5C39848D" w14:textId="4DBFCFB7" w:rsidR="000421AB" w:rsidRPr="00B42AEB" w:rsidRDefault="0099175B" w:rsidP="006B02A7">
      <w:pPr>
        <w:pStyle w:val="Heading2"/>
        <w:spacing w:before="240" w:after="240"/>
        <w:rPr>
          <w:noProof/>
        </w:rPr>
      </w:pPr>
      <w:bookmarkStart w:id="45" w:name="_Toc148718585"/>
      <w:bookmarkStart w:id="46" w:name="_Toc158707793"/>
      <w:r>
        <w:rPr>
          <w:noProof/>
        </w:rPr>
        <w:t>5.1. Udvikling af specifikke politikker</w:t>
      </w:r>
      <w:bookmarkEnd w:id="45"/>
      <w:bookmarkEnd w:id="46"/>
    </w:p>
    <w:p w14:paraId="4026B982" w14:textId="5C9384E9" w:rsidR="00671367" w:rsidRPr="00B42AEB" w:rsidRDefault="004E4D77" w:rsidP="00B42AEB">
      <w:pPr>
        <w:rPr>
          <w:noProof/>
        </w:rPr>
      </w:pPr>
      <w:r>
        <w:rPr>
          <w:noProof/>
        </w:rPr>
        <w:t xml:space="preserve">Der skal udvikles specifikke politikker med forskellige involverede enheder, herunder kompetente myndigheder på nationalt, regionalt og lokalt plan, ligestillingsorganer og valgmyndigheder. </w:t>
      </w:r>
    </w:p>
    <w:p w14:paraId="760931A2" w14:textId="67F50F36" w:rsidR="00A67DD6" w:rsidRPr="00B42AEB" w:rsidRDefault="007471B2" w:rsidP="00B42AEB">
      <w:pPr>
        <w:rPr>
          <w:noProof/>
        </w:rPr>
      </w:pPr>
      <w:r>
        <w:rPr>
          <w:noProof/>
        </w:rPr>
        <w:t>Flere medlemsstater har udviklet sådanne politikker. I Nederlandene udarbejdede ministeriet for indre anliggender og for forbindelserne inden for kongeriget i 2021 og 2022 f.eks. en tilgængelig afstemningshandlingsplan i samarbejde med handicaporganisationer og andre interessegrupper, sammenslutningen af nederlandske kommuner, den nederlandske sammenslutning for borgerinteresser, valgrådet og ministeriet for sundhed, velfærd og sport. Formålet med planen var at forbedre valgstedernes tilgængelighed, at give oplysninger om stemmeafgivning, der er lettere at forstå for alle, at informere medlemmerne af valgstedet bedre om tilgængelighed og at tilskynde de politiske partier til at tale og skrive på et enkelt sprog i deres valgkamp.</w:t>
      </w:r>
    </w:p>
    <w:p w14:paraId="0A99A2D0" w14:textId="31898362" w:rsidR="00182075" w:rsidRPr="00B42AEB" w:rsidRDefault="00182075" w:rsidP="00B42AEB">
      <w:pPr>
        <w:rPr>
          <w:noProof/>
        </w:rPr>
      </w:pPr>
      <w:r>
        <w:rPr>
          <w:noProof/>
        </w:rPr>
        <w:t>Malta skitserede tiltag til støtte for kandidater med handicap ved lokale og nationale valg samt EU-valg i sin nationale strategi for handicappedes rettigheder for 2021-2030. Repræsentanter for valgkommissionen, politiske partier og kandidater med handicap arbejder tæt sammen med Komitéen for Rettigheder for Personer med Handicap om at udforme og gennemføre understøttende lovgivningsmæssige og politiske foranstaltninger senest i 2026.</w:t>
      </w:r>
    </w:p>
    <w:p w14:paraId="5C014B9F" w14:textId="2DABCFCB" w:rsidR="00AB4623" w:rsidRPr="00B42AEB" w:rsidRDefault="00AB4623" w:rsidP="00B42AEB">
      <w:pPr>
        <w:rPr>
          <w:noProof/>
        </w:rPr>
      </w:pPr>
      <w:r>
        <w:rPr>
          <w:noProof/>
        </w:rPr>
        <w:t xml:space="preserve">En stor del af det arbejde, der udføres af valgmyndighederne, drejer sig om planlægningen af valg. Gennem omfattende planlægning og specifikke politikker og foranstaltninger kan disse myndigheder bidrage til at sikre inklusive valg og bidrage til at øge deltagelsen af personer med handicap, navnlig når dette er et tværgående mål, der er integreret i de operationelle planer for valg. </w:t>
      </w:r>
    </w:p>
    <w:p w14:paraId="5B8B9119" w14:textId="5E21A462" w:rsidR="008B7FC0" w:rsidRPr="00B42AEB" w:rsidRDefault="0099175B" w:rsidP="006B02A7">
      <w:pPr>
        <w:pStyle w:val="Heading2"/>
        <w:spacing w:before="240" w:after="240"/>
        <w:rPr>
          <w:noProof/>
        </w:rPr>
      </w:pPr>
      <w:bookmarkStart w:id="47" w:name="_Toc148718586"/>
      <w:bookmarkStart w:id="48" w:name="_Toc158707794"/>
      <w:r>
        <w:rPr>
          <w:noProof/>
        </w:rPr>
        <w:t>5.2. Bevidstgørelse og holdningsændring</w:t>
      </w:r>
      <w:bookmarkEnd w:id="47"/>
      <w:bookmarkEnd w:id="48"/>
    </w:p>
    <w:p w14:paraId="3C165A4D" w14:textId="10F98B4F" w:rsidR="002D0F67" w:rsidRPr="00B42AEB" w:rsidRDefault="00AD2E4E" w:rsidP="00B42AEB">
      <w:pPr>
        <w:rPr>
          <w:noProof/>
        </w:rPr>
      </w:pPr>
      <w:r>
        <w:rPr>
          <w:noProof/>
        </w:rPr>
        <w:t>Medlemsstaterne har valgt forskellige tilgange til at støtte valgrettighederne for personer med handicap, der deltager i valgprocessen. I flere medlemsstater arbejder flere myndigheder på forskellige niveauer, herunder ligestillingsorganer og valgmyndigheder, på at øge deltagelsen i valg og øge bevidstheden om politiske processer blandt personer med handicap. Dette omfatter tilrettelæggelse af møder, gennemførelse af specifikke oplysningskampagner, udarbejdelse af kommunikationssæt, udarbejdelse af oplysningsark om stemmeafgivelse og brochurer med et letlæseligt sprog, billeder og diagrammer.</w:t>
      </w:r>
    </w:p>
    <w:p w14:paraId="471F5993" w14:textId="6D271727" w:rsidR="00A132D3" w:rsidRPr="00B42AEB" w:rsidRDefault="00A132D3" w:rsidP="00B42AEB">
      <w:pPr>
        <w:rPr>
          <w:noProof/>
        </w:rPr>
      </w:pPr>
      <w:r>
        <w:rPr>
          <w:noProof/>
        </w:rPr>
        <w:t xml:space="preserve">Rumænien forpligtede sig i sin nationale strategi for rettigheder for personer med handicap, </w:t>
      </w:r>
      <w:r>
        <w:rPr>
          <w:i/>
          <w:noProof/>
        </w:rPr>
        <w:t>Et retfærdigt Rumænien, 2022-2027</w:t>
      </w:r>
      <w:r>
        <w:rPr>
          <w:rStyle w:val="FootnoteReference"/>
          <w:i/>
          <w:noProof/>
        </w:rPr>
        <w:t>(</w:t>
      </w:r>
      <w:r>
        <w:rPr>
          <w:rStyle w:val="FootnoteReference"/>
          <w:noProof/>
        </w:rPr>
        <w:footnoteReference w:id="53"/>
      </w:r>
      <w:r>
        <w:rPr>
          <w:rStyle w:val="FootnoteReference"/>
          <w:noProof/>
        </w:rPr>
        <w:t>)</w:t>
      </w:r>
      <w:r>
        <w:rPr>
          <w:rStyle w:val="FootnoteReference"/>
          <w:i/>
          <w:noProof/>
        </w:rPr>
        <w:t>)</w:t>
      </w:r>
      <w:r>
        <w:rPr>
          <w:noProof/>
        </w:rPr>
        <w:t>, til at gennemføre en oplysningskampagne for personer med handicap vedrørende valgdeltagelse og folkeafstemninger i samarbejde med repræsentative handicaporganisationer. Det kan være nyttigt at øge bevidstheden ved hjælp af videomateriale, der er beregnet til personer med handicap, som det er tilfældet i Finland.</w:t>
      </w:r>
      <w:r>
        <w:rPr>
          <w:rStyle w:val="FootnoteReference"/>
          <w:noProof/>
        </w:rPr>
        <w:t>(</w:t>
      </w:r>
      <w:r>
        <w:rPr>
          <w:rStyle w:val="FootnoteReference"/>
          <w:noProof/>
        </w:rPr>
        <w:footnoteReference w:id="54"/>
      </w:r>
      <w:r>
        <w:rPr>
          <w:rStyle w:val="FootnoteReference"/>
          <w:noProof/>
        </w:rPr>
        <w:t>))</w:t>
      </w:r>
    </w:p>
    <w:p w14:paraId="1D89DF84" w14:textId="38421691" w:rsidR="009D07B8" w:rsidRPr="00B42AEB" w:rsidRDefault="009D07B8" w:rsidP="006B02A7">
      <w:pPr>
        <w:rPr>
          <w:noProof/>
        </w:rPr>
      </w:pPr>
      <w:r>
        <w:rPr>
          <w:noProof/>
        </w:rPr>
        <w:t>Irlands nyoprettede valgkommission med titlen An Coimisiún Toghcháin har en ny vælgeruddannelses- og bevidstgørelsesfunktion, der arbejder for at øge deltagelsen i og fremme bevidstheden om irske demokratiske processer. Som led i sit offentlige engagement vil den tilskynde til valgdeltagelse af underrepræsenterede grupper såsom personer med handicap.</w:t>
      </w:r>
      <w:r>
        <w:rPr>
          <w:rStyle w:val="FootnoteReference"/>
          <w:noProof/>
        </w:rPr>
        <w:t>(</w:t>
      </w:r>
      <w:r>
        <w:rPr>
          <w:rStyle w:val="FootnoteReference"/>
          <w:noProof/>
        </w:rPr>
        <w:footnoteReference w:id="55"/>
      </w:r>
      <w:r>
        <w:rPr>
          <w:rStyle w:val="FootnoteReference"/>
          <w:noProof/>
        </w:rPr>
        <w:t>))</w:t>
      </w:r>
      <w:r>
        <w:rPr>
          <w:noProof/>
        </w:rPr>
        <w:t xml:space="preserve"> </w:t>
      </w:r>
    </w:p>
    <w:p w14:paraId="202DCA59" w14:textId="225ED5B5" w:rsidR="00892F1F" w:rsidRPr="00B42AEB" w:rsidRDefault="00934A8A" w:rsidP="006B02A7">
      <w:pPr>
        <w:rPr>
          <w:noProof/>
        </w:rPr>
      </w:pPr>
      <w:r>
        <w:rPr>
          <w:noProof/>
        </w:rPr>
        <w:t>Andre enheder gennemfører oplysningsaktiviteter. Det Europæiske Handicapforum koordinerer f.eks. et EU-finansieret projekt, handicaprettigheder ved valget til Europa-Parlamentet (Dree), som har til formål at øge den politiske deltagelse af personer med handicap ved valget til Europa-Parlamentet i 2024. Sammen med syv nationale medlemssammenslutninger styrker og mobiliserer Dree personer med handicap til at blive vælgere, kandidater og aktivister.</w:t>
      </w:r>
      <w:r>
        <w:rPr>
          <w:rStyle w:val="FootnoteReference"/>
          <w:noProof/>
        </w:rPr>
        <w:t>(</w:t>
      </w:r>
      <w:r>
        <w:rPr>
          <w:rStyle w:val="FootnoteReference"/>
          <w:noProof/>
        </w:rPr>
        <w:footnoteReference w:id="56"/>
      </w:r>
      <w:r>
        <w:rPr>
          <w:rStyle w:val="FootnoteReference"/>
          <w:noProof/>
        </w:rPr>
        <w:t>))</w:t>
      </w:r>
    </w:p>
    <w:p w14:paraId="6A38201D" w14:textId="17C50366" w:rsidR="00B81268" w:rsidRPr="00B42AEB" w:rsidRDefault="00CB50DA" w:rsidP="006B02A7">
      <w:pPr>
        <w:rPr>
          <w:noProof/>
        </w:rPr>
      </w:pPr>
      <w:r>
        <w:rPr>
          <w:noProof/>
        </w:rPr>
        <w:t xml:space="preserve">I 2011 gennemførte Inclusion Europe projektet "Accommodating Diversity for Active Participation in European Elections", som blev finansieret under programmet for grundlæggende rettigheder og unionsborgerskab, og som øgede bevidstheden om hindringerne for </w:t>
      </w:r>
      <w:r>
        <w:rPr>
          <w:rStyle w:val="Strong"/>
          <w:b w:val="0"/>
          <w:noProof/>
        </w:rPr>
        <w:t>adgangen til valg for personer med handicap i Europa</w:t>
      </w:r>
      <w:r>
        <w:rPr>
          <w:noProof/>
        </w:rPr>
        <w:t>. Den udarbejdede også en national vejledning</w:t>
      </w:r>
      <w:r>
        <w:rPr>
          <w:rStyle w:val="FootnoteReference"/>
          <w:noProof/>
        </w:rPr>
        <w:t>(</w:t>
      </w:r>
      <w:r>
        <w:rPr>
          <w:rStyle w:val="FootnoteReference"/>
          <w:noProof/>
        </w:rPr>
        <w:footnoteReference w:id="57"/>
      </w:r>
      <w:r>
        <w:rPr>
          <w:rStyle w:val="FootnoteReference"/>
          <w:noProof/>
        </w:rPr>
        <w:t>))</w:t>
      </w:r>
      <w:r>
        <w:rPr>
          <w:noProof/>
        </w:rPr>
        <w:t xml:space="preserve"> med titlen "</w:t>
      </w:r>
      <w:r>
        <w:rPr>
          <w:i/>
          <w:noProof/>
        </w:rPr>
        <w:t xml:space="preserve">Voting for All!", </w:t>
      </w:r>
      <w:r>
        <w:rPr>
          <w:rStyle w:val="Hyperlink"/>
          <w:noProof/>
          <w:u w:val="none"/>
        </w:rPr>
        <w:t>anbefalinger om tilgængelige valg i Europa</w:t>
      </w:r>
      <w:r>
        <w:rPr>
          <w:rStyle w:val="FootnoteReference"/>
          <w:noProof/>
        </w:rPr>
        <w:t>(</w:t>
      </w:r>
      <w:r>
        <w:rPr>
          <w:rStyle w:val="FootnoteReference"/>
          <w:noProof/>
        </w:rPr>
        <w:footnoteReference w:id="58"/>
      </w:r>
      <w:r>
        <w:rPr>
          <w:rStyle w:val="FootnoteReference"/>
          <w:noProof/>
        </w:rPr>
        <w:t>))</w:t>
      </w:r>
      <w:r>
        <w:rPr>
          <w:rStyle w:val="Hyperlink"/>
          <w:noProof/>
          <w:u w:val="none"/>
        </w:rPr>
        <w:t xml:space="preserve"> </w:t>
      </w:r>
      <w:r>
        <w:rPr>
          <w:noProof/>
        </w:rPr>
        <w:t>og en samling af god praksis for tilgængelige valg i Europa</w:t>
      </w:r>
      <w:hyperlink r:id="rId16" w:history="1">
        <w:r>
          <w:rPr>
            <w:rStyle w:val="FootnoteReference"/>
            <w:noProof/>
          </w:rPr>
          <w:t>(</w:t>
        </w:r>
        <w:r>
          <w:rPr>
            <w:rStyle w:val="FootnoteReference"/>
            <w:noProof/>
          </w:rPr>
          <w:footnoteReference w:id="59"/>
        </w:r>
        <w:r>
          <w:rPr>
            <w:rStyle w:val="FootnoteReference"/>
            <w:noProof/>
          </w:rPr>
          <w:t>))</w:t>
        </w:r>
        <w:r>
          <w:rPr>
            <w:rStyle w:val="Hyperlink"/>
            <w:noProof/>
            <w:u w:val="none"/>
          </w:rPr>
          <w:t xml:space="preserve"> </w:t>
        </w:r>
      </w:hyperlink>
      <w:r>
        <w:rPr>
          <w:noProof/>
        </w:rPr>
        <w:t>, der er offentliggjort på engelsk, fransk og tjekkisk. I forbindelse med det næste valg til Europa-Parlamentet vil Inclusion Europe gennemføre en oplysningskampagne med fokus på kvinder med intellektuelle handicap og politisk deltagelse. Kampagnen vil omfatte en række interviews med selvfortalere og kvinder med handicap i politik for at lytte til deres feedback om betydningen af at stemme og blive valgt for kvinder med handicap. Den vil fremme videoer om afstemning, om værgemål og øge bevidstheden om valg blandt personer med handicap ved gennemførelse af en kommunikationskampagne.</w:t>
      </w:r>
    </w:p>
    <w:p w14:paraId="72D47D9D" w14:textId="26EFCF48" w:rsidR="000C2E6C" w:rsidRPr="00B42AEB" w:rsidRDefault="0099175B" w:rsidP="006B02A7">
      <w:pPr>
        <w:pStyle w:val="Heading2"/>
        <w:spacing w:before="240" w:after="240"/>
        <w:rPr>
          <w:noProof/>
        </w:rPr>
      </w:pPr>
      <w:bookmarkStart w:id="49" w:name="_Toc148718587"/>
      <w:bookmarkStart w:id="50" w:name="_Toc158707795"/>
      <w:r>
        <w:rPr>
          <w:noProof/>
        </w:rPr>
        <w:t>5.3. Samarbejde med organisationer, der støtter rettigheder for personer med handicap</w:t>
      </w:r>
      <w:bookmarkEnd w:id="49"/>
      <w:bookmarkEnd w:id="50"/>
    </w:p>
    <w:p w14:paraId="63D80D6C" w14:textId="3E1E80DE" w:rsidR="002B1D7A" w:rsidRPr="00B42AEB" w:rsidRDefault="00ED062E" w:rsidP="00B42AEB">
      <w:pPr>
        <w:rPr>
          <w:noProof/>
        </w:rPr>
      </w:pPr>
      <w:r>
        <w:rPr>
          <w:noProof/>
        </w:rPr>
        <w:t xml:space="preserve">I de fleste medlemsstater er organisationer, der støtter rettighederne for personer med handicap, involveret i alle faser af valgperioden gennem tæt dialog og samarbejde med de relevante myndigheder. Disse organisationer indgår f.eks. i processen med at drøfte og udforme nye regler om assisteret stemmeafgivning eller i evalueringen af reglerne om bistand i forbindelse med specifikke valg. </w:t>
      </w:r>
    </w:p>
    <w:p w14:paraId="277A3225" w14:textId="552ABE6C" w:rsidR="00DA420F" w:rsidRPr="00B42AEB" w:rsidRDefault="00E438AF" w:rsidP="00B42AEB">
      <w:pPr>
        <w:rPr>
          <w:noProof/>
        </w:rPr>
      </w:pPr>
      <w:r>
        <w:rPr>
          <w:noProof/>
        </w:rPr>
        <w:t>I Kroatien og Spanien er handicaporganisationer involveret i fælles projekter for at støtte vælgere med synshandicap ved at udarbejde lydoptagelser af kandidatlisten eller støtte vælgere med audiovisuelle handicap. De yder denne støtte gennem tolke, der ledsager dem hjemmefra til valgstedet og tilbage, ved at tilbyde tegnsprogstolkning eller anden specifik tolkning og ved at hjælpe dem med at udfylde stemmesedlerne.</w:t>
      </w:r>
    </w:p>
    <w:p w14:paraId="35B98893" w14:textId="7F05D92A" w:rsidR="00063E3F" w:rsidRPr="00B42AEB" w:rsidRDefault="00D81741" w:rsidP="00B42AEB">
      <w:pPr>
        <w:rPr>
          <w:noProof/>
        </w:rPr>
      </w:pPr>
      <w:r>
        <w:rPr>
          <w:noProof/>
        </w:rPr>
        <w:t>Handicaporganisationer kan også hjælpe med at udarbejde officielt valgmateriale og kurser, herunder valgspecifik information på almindeligt sprog, som det er sket i Litauen, Luxembourg og Portugal, og letforståelige valgkort som i Ungarn. De gennemfører også deres egne initiativer for at fremme tilgængeligheden ved valg. De formidler f.eks. oplysninger om valgstedernes tilgængelighed og tilbyder valgtilforordnede uddannelse i tilgængelighed. Det finske justitsministerium støtter tilvejebringelsen af valgoplysninger for synshæmmede sammen med den finske sammenslutning af synshæmmede. I Spanien gennemføres den tilgængelige afstemningsprocedure for personer med visuelle handicap ved hjælp af Braille-punktskriftsystemet i samarbejde med ONCE (det spanske blindesamfund</w:t>
      </w:r>
      <w:r>
        <w:rPr>
          <w:rStyle w:val="FootnoteReference"/>
          <w:noProof/>
        </w:rPr>
        <w:t>(</w:t>
      </w:r>
      <w:r>
        <w:rPr>
          <w:rStyle w:val="FootnoteReference"/>
          <w:noProof/>
        </w:rPr>
        <w:footnoteReference w:id="60"/>
      </w:r>
      <w:r>
        <w:rPr>
          <w:rStyle w:val="FootnoteReference"/>
          <w:noProof/>
        </w:rPr>
        <w:t>))</w:t>
      </w:r>
      <w:r>
        <w:rPr>
          <w:noProof/>
        </w:rPr>
        <w:t>). Samarbejdet mellem de spanske myndigheder og handicaporganisationer om at fjerne de hindringer, der er opstået under valgprocessen, har også ført til anvendelse af tilgængelig skiltning på valgstederne og en letlæselig håndbog for de tilforordnede på valgstederne.</w:t>
      </w:r>
    </w:p>
    <w:p w14:paraId="315ADAA3" w14:textId="7528BDA4" w:rsidR="00C70372" w:rsidRPr="00B42AEB" w:rsidRDefault="00050F3E" w:rsidP="00B42AEB">
      <w:pPr>
        <w:rPr>
          <w:noProof/>
        </w:rPr>
      </w:pPr>
      <w:r>
        <w:rPr>
          <w:noProof/>
        </w:rPr>
        <w:t>I flere medlemsstater vurderes valgstedernes tilgængelighed i forhold til tjeklister, der er udarbejdet i fællesskab af kompetente myndigheder og handicaporganisationer eller udviklet af sådanne organisationer selv. Sådanne organisationer kan også støtte myndighederne ved at udarbejde spørgeskemaer, som det er tilfældet i Letland, retningslinjer, som de gør i Belgien og Rumænien, og ved at udstede anbefalinger og indsamle og indsende feedback om valgsteders og valgmaterialets tilgængelighed. De kan også deltage i inspektionen af valgstederne for at fastslå, om de er tilgængelige, som det er tilfældet i Litauen.</w:t>
      </w:r>
    </w:p>
    <w:p w14:paraId="5595ACB4" w14:textId="18F59403" w:rsidR="00256917" w:rsidRPr="00B42AEB" w:rsidRDefault="00EA544A" w:rsidP="00B42AEB">
      <w:pPr>
        <w:rPr>
          <w:noProof/>
        </w:rPr>
      </w:pPr>
      <w:r>
        <w:rPr>
          <w:noProof/>
        </w:rPr>
        <w:t>Andre medlemsstater såsom Kroatien, Irland, Rumænien og Spanien har formaliseret deres samarbejde med handicaporganisationer, enten ved at indgå specifikke aftaler eller ved at nedsætte arbejdsgrupper.</w:t>
      </w:r>
    </w:p>
    <w:p w14:paraId="31DD48CB" w14:textId="76B0ED88" w:rsidR="009A02EB" w:rsidRPr="00B42AEB" w:rsidRDefault="009A02EB" w:rsidP="00B42AEB">
      <w:pPr>
        <w:rPr>
          <w:noProof/>
        </w:rPr>
      </w:pPr>
      <w:r>
        <w:rPr>
          <w:noProof/>
        </w:rPr>
        <w:t xml:space="preserve">Som følge af den aftale, der blev undertegnet i 2021 mellem det spanske indenrigsministerium og sammenslutningen </w:t>
      </w:r>
      <w:r>
        <w:rPr>
          <w:i/>
          <w:iCs/>
          <w:noProof/>
        </w:rPr>
        <w:t>Plena Inclusión España</w:t>
      </w:r>
      <w:r>
        <w:rPr>
          <w:noProof/>
        </w:rPr>
        <w:t xml:space="preserve"> (Et Spanien med Fuld Inklusion), blev der iværksat et pilotprojekt</w:t>
      </w:r>
      <w:r>
        <w:rPr>
          <w:noProof/>
          <w:vertAlign w:val="superscript"/>
        </w:rPr>
        <w:t>(</w:t>
      </w:r>
      <w:r>
        <w:rPr>
          <w:noProof/>
          <w:vertAlign w:val="superscript"/>
        </w:rPr>
        <w:footnoteReference w:id="61"/>
      </w:r>
      <w:r>
        <w:rPr>
          <w:noProof/>
          <w:vertAlign w:val="superscript"/>
        </w:rPr>
        <w:t>)</w:t>
      </w:r>
      <w:r>
        <w:rPr>
          <w:noProof/>
        </w:rPr>
        <w:t xml:space="preserve"> vedrørende tilgængelig skiltning under de seneste lokalvalg i 2023.</w:t>
      </w:r>
      <w:r>
        <w:rPr>
          <w:noProof/>
          <w:vertAlign w:val="superscript"/>
        </w:rPr>
        <w:t>(</w:t>
      </w:r>
      <w:r>
        <w:rPr>
          <w:noProof/>
          <w:vertAlign w:val="superscript"/>
        </w:rPr>
        <w:footnoteReference w:id="62"/>
      </w:r>
      <w:r>
        <w:rPr>
          <w:noProof/>
          <w:vertAlign w:val="superscript"/>
        </w:rPr>
        <w:t>)</w:t>
      </w:r>
      <w:r>
        <w:rPr>
          <w:noProof/>
        </w:rPr>
        <w:t xml:space="preserve"> Dette omfattede uddeling af plakater til fremme af kognitiv tilgængelighed (for personer med intellektuelle handicap og ældre) på valgsteder i Madrid, et projekt, der også omfattede samarbejde med regeringsdelegationen i Madrid. Projektet, der også blev gennemført ved det seneste parlamentsvalg, bestod af i alt syv piktogrammer, der var udformet af </w:t>
      </w:r>
      <w:r>
        <w:rPr>
          <w:i/>
          <w:iCs/>
          <w:noProof/>
        </w:rPr>
        <w:t>Plena Inclusión</w:t>
      </w:r>
      <w:r>
        <w:rPr>
          <w:noProof/>
        </w:rPr>
        <w:t xml:space="preserve"> for at lette adgangen til valgstedet, og en vejledning</w:t>
      </w:r>
      <w:r>
        <w:rPr>
          <w:noProof/>
          <w:vertAlign w:val="superscript"/>
        </w:rPr>
        <w:t>(</w:t>
      </w:r>
      <w:r>
        <w:rPr>
          <w:noProof/>
          <w:vertAlign w:val="superscript"/>
        </w:rPr>
        <w:footnoteReference w:id="63"/>
      </w:r>
      <w:r>
        <w:rPr>
          <w:noProof/>
          <w:vertAlign w:val="superscript"/>
        </w:rPr>
        <w:t>)</w:t>
      </w:r>
      <w:r>
        <w:rPr>
          <w:noProof/>
        </w:rPr>
        <w:t>. Det er planen, at dette projekt vil blive udvidet til at omfatte andre byer i forbindelse med fremtidige indkaldelser af forslag.</w:t>
      </w:r>
    </w:p>
    <w:p w14:paraId="7DBC5EDA" w14:textId="2C5AF618" w:rsidR="008B7FC0" w:rsidRPr="00B42AEB" w:rsidRDefault="0099175B" w:rsidP="006B02A7">
      <w:pPr>
        <w:pStyle w:val="Heading2"/>
        <w:spacing w:before="240" w:after="240"/>
        <w:rPr>
          <w:noProof/>
        </w:rPr>
      </w:pPr>
      <w:bookmarkStart w:id="51" w:name="_Toc148718588"/>
      <w:bookmarkStart w:id="52" w:name="_Toc158707796"/>
      <w:r>
        <w:rPr>
          <w:noProof/>
        </w:rPr>
        <w:t>5.4. Forbedring af bygningers tilgængelighed og anvendelighed</w:t>
      </w:r>
      <w:bookmarkEnd w:id="51"/>
      <w:bookmarkEnd w:id="52"/>
    </w:p>
    <w:p w14:paraId="674CA5D0" w14:textId="65F2DCA3" w:rsidR="00907E91" w:rsidRPr="00B42AEB" w:rsidRDefault="00AB6108" w:rsidP="00B42AEB">
      <w:pPr>
        <w:rPr>
          <w:noProof/>
        </w:rPr>
      </w:pPr>
      <w:r>
        <w:rPr>
          <w:noProof/>
        </w:rPr>
        <w:t>De fleste medlemsstater har vedtaget specifikke krav for at sikre, at personer med handicap kan få adgang til bygninger. Bygninger skal anvendes sikkert og uden hindret adgang for personer med fysisk funktionsnedsættelse. En tilgængelig bygning betyder, at den kan anvendes bekvemt, sikkert og uafhængigt for alle, herunder personer med handicap eller grupper, der har brug for særlige værktøjer eller tekniske ordninger. Bygninger og infrastruktur skal have mindst én vej, der giver sikker og komfortabel adgang for bevægelseshæmmede personer.</w:t>
      </w:r>
    </w:p>
    <w:p w14:paraId="33512755" w14:textId="07633403" w:rsidR="009612AC" w:rsidRPr="00B42AEB" w:rsidRDefault="0099175B" w:rsidP="006B02A7">
      <w:pPr>
        <w:pStyle w:val="Heading2"/>
        <w:spacing w:before="240" w:after="240"/>
        <w:rPr>
          <w:noProof/>
        </w:rPr>
      </w:pPr>
      <w:bookmarkStart w:id="53" w:name="_Toc148718589"/>
      <w:bookmarkStart w:id="54" w:name="_Toc158707797"/>
      <w:r>
        <w:rPr>
          <w:noProof/>
        </w:rPr>
        <w:t>5.5 Uddannelse og særlig støtte til valgtilforordnede</w:t>
      </w:r>
      <w:bookmarkEnd w:id="53"/>
      <w:bookmarkEnd w:id="54"/>
    </w:p>
    <w:p w14:paraId="7E4E2AC9" w14:textId="12B90AB5" w:rsidR="00C66196" w:rsidRPr="00B42AEB" w:rsidRDefault="00DF759A" w:rsidP="00B42AEB">
      <w:pPr>
        <w:rPr>
          <w:noProof/>
        </w:rPr>
      </w:pPr>
      <w:r>
        <w:rPr>
          <w:noProof/>
        </w:rPr>
        <w:t>I flere medlemsstater giver retningslinjer og håndbøger til tilforordnede ved valgstederne, der normalt udarbejdes i samarbejde med handicaporganisationer, oplysninger om, hvordan det kan gøres lettere for personer med handicap at stemme, herunder modtagelse og hjælp til vælgere med handicap, der er skræddersyet til deres type handicap. Tilforordnede ved valgstederne uddannes også i, hvordan de kan komme i kontakt med personer med handicap og hjælpe dem med at udøve deres stemmeret, uafhængigt eller med bistand.</w:t>
      </w:r>
      <w:r>
        <w:rPr>
          <w:rStyle w:val="FootnoteReference"/>
          <w:noProof/>
        </w:rPr>
        <w:t>(</w:t>
      </w:r>
      <w:r>
        <w:rPr>
          <w:rStyle w:val="FootnoteReference"/>
          <w:noProof/>
        </w:rPr>
        <w:footnoteReference w:id="64"/>
      </w:r>
      <w:r>
        <w:rPr>
          <w:rStyle w:val="FootnoteReference"/>
          <w:noProof/>
        </w:rPr>
        <w:t>))</w:t>
      </w:r>
      <w:r>
        <w:rPr>
          <w:noProof/>
        </w:rPr>
        <w:t xml:space="preserve"> Danmark forbereder også quizzer for valgtilforordnede for at teste deres viden om, hvordan de kan hjælpe vælgerne. I Nederlandene kan personer med handicap udføre frivilligt arbejde og forvalte valgsteder.</w:t>
      </w:r>
      <w:r>
        <w:rPr>
          <w:rStyle w:val="FootnoteReference"/>
          <w:noProof/>
        </w:rPr>
        <w:t>(</w:t>
      </w:r>
      <w:r>
        <w:rPr>
          <w:rStyle w:val="FootnoteReference"/>
          <w:noProof/>
        </w:rPr>
        <w:footnoteReference w:id="65"/>
      </w:r>
      <w:r>
        <w:rPr>
          <w:rStyle w:val="FootnoteReference"/>
          <w:noProof/>
        </w:rPr>
        <w:t>))</w:t>
      </w:r>
      <w:r>
        <w:rPr>
          <w:noProof/>
        </w:rPr>
        <w:t xml:space="preserve"> Kroatien tilbyder valgtilforordnede uddannelse i, hvordan de kan hjælpe vælgere med handicap, og offentliggør specifikke oplysninger om afstemningsprocedurer for personer med handicap til videreformidling til valgudvalgene.</w:t>
      </w:r>
    </w:p>
    <w:p w14:paraId="1E9282EE" w14:textId="17E8D9AB" w:rsidR="00927A12" w:rsidRPr="00B42AEB" w:rsidRDefault="00DF0F46" w:rsidP="00B42AEB">
      <w:pPr>
        <w:rPr>
          <w:noProof/>
        </w:rPr>
      </w:pPr>
      <w:r>
        <w:rPr>
          <w:noProof/>
        </w:rPr>
        <w:t>Spanien yder særlig støtte til personer med syns-, høre- eller udviklingshandicap, som er offentligt finansieret. Dette omfatter letlæselige manualer og en gratis magnetisk induktionstjeneste på valgstedet for hørehæmmede personer (høreapparatbrugere), som er blevet udnævnt til medlemmer af valgstedet (både ordinære medlemmer og suppleanter). Der sørges også for gratis tegnsprogstolkning for hørehæmmede personer, der er udnævnt til tilforordnede ved valgstederne, og for personer med syns- og kognitive vanskeligheder på deres anmodning.</w:t>
      </w:r>
      <w:r>
        <w:rPr>
          <w:rStyle w:val="FootnoteReference"/>
          <w:noProof/>
        </w:rPr>
        <w:t>(</w:t>
      </w:r>
      <w:r>
        <w:rPr>
          <w:rStyle w:val="FootnoteReference"/>
          <w:noProof/>
        </w:rPr>
        <w:footnoteReference w:id="66"/>
      </w:r>
      <w:r>
        <w:rPr>
          <w:rStyle w:val="FootnoteReference"/>
          <w:noProof/>
        </w:rPr>
        <w:t>))</w:t>
      </w:r>
    </w:p>
    <w:p w14:paraId="0D2D0F44" w14:textId="7B6FDFD3" w:rsidR="008D65A6" w:rsidRPr="00B42AEB" w:rsidRDefault="00DE389B" w:rsidP="006B02A7">
      <w:pPr>
        <w:pStyle w:val="Heading1"/>
        <w:spacing w:before="360" w:after="240" w:line="288" w:lineRule="auto"/>
        <w:rPr>
          <w:noProof/>
        </w:rPr>
      </w:pPr>
      <w:bookmarkStart w:id="55" w:name="_Toc148718590"/>
      <w:bookmarkStart w:id="56" w:name="_Toc158707798"/>
      <w:r>
        <w:rPr>
          <w:noProof/>
        </w:rPr>
        <w:t>6. Opsøgende arbejde over for personer med handicap under valgperioden</w:t>
      </w:r>
      <w:bookmarkEnd w:id="55"/>
      <w:bookmarkEnd w:id="56"/>
    </w:p>
    <w:p w14:paraId="08003BA8" w14:textId="59F356E9" w:rsidR="008B7FC0" w:rsidRPr="00B42AEB" w:rsidRDefault="0099175B" w:rsidP="006B02A7">
      <w:pPr>
        <w:pStyle w:val="Heading2"/>
        <w:spacing w:before="0" w:after="240"/>
        <w:rPr>
          <w:noProof/>
        </w:rPr>
      </w:pPr>
      <w:bookmarkStart w:id="57" w:name="_Toc148718591"/>
      <w:bookmarkStart w:id="58" w:name="_Toc158707799"/>
      <w:r>
        <w:rPr>
          <w:noProof/>
        </w:rPr>
        <w:t>6.1. Adgang til officiel kommunikation</w:t>
      </w:r>
      <w:bookmarkEnd w:id="57"/>
      <w:bookmarkEnd w:id="58"/>
    </w:p>
    <w:p w14:paraId="33BA5F03" w14:textId="55D84704" w:rsidR="00875B38" w:rsidRPr="00B42AEB" w:rsidRDefault="00622E27" w:rsidP="00B42AEB">
      <w:pPr>
        <w:rPr>
          <w:noProof/>
        </w:rPr>
      </w:pPr>
      <w:r>
        <w:rPr>
          <w:noProof/>
        </w:rPr>
        <w:t>De fleste medlemsstater (herunder Østrig, Belgien, Bulgarien, Tjekkiet, Frankrig, Tyskland, Ungarn, Irland, Italien, Letland, Litauen, Luxembourg, Nederlandene, Portugal, Rumænien, Spanien og Sverige) udarbejder og uddeler valgundervisningsmateriale og giver valgoplysninger, herunder til specifikke grupper af vælgere såsom personer med handicap. De giver oplysninger om valg i forskellige formater såsom video, lyd, stor print, foldere, pjecer og brochurer i letlæseligt sprog, blindskrift og "daisy audio books".</w:t>
      </w:r>
    </w:p>
    <w:p w14:paraId="774EC49E" w14:textId="640C7A77" w:rsidR="00571599" w:rsidRPr="00B42AEB" w:rsidRDefault="00786ACA" w:rsidP="00B42AEB">
      <w:pPr>
        <w:rPr>
          <w:noProof/>
        </w:rPr>
      </w:pPr>
      <w:r>
        <w:rPr>
          <w:noProof/>
        </w:rPr>
        <w:t>Websteder, der giver oplysninger om valg, skal overholde internationale tilgængelighedskrav såsom retningslinjer for webindholdstilgængelighed</w:t>
      </w:r>
      <w:r>
        <w:rPr>
          <w:rStyle w:val="FootnoteReference"/>
          <w:noProof/>
        </w:rPr>
        <w:t>(</w:t>
      </w:r>
      <w:r>
        <w:rPr>
          <w:rStyle w:val="FootnoteReference"/>
          <w:noProof/>
        </w:rPr>
        <w:footnoteReference w:id="67"/>
      </w:r>
      <w:r>
        <w:rPr>
          <w:rStyle w:val="FootnoteReference"/>
          <w:noProof/>
        </w:rPr>
        <w:t>))</w:t>
      </w:r>
      <w:r>
        <w:rPr>
          <w:noProof/>
        </w:rPr>
        <w:t>. Webstederne bliver gradvist mere tilgængelige i alle medlemsstater. I nogle tilfælde kan vælgerne indberette mangler i adgangen til sådant indhold via en kontaktformular, som det er tilfældet i Tyskland.</w:t>
      </w:r>
    </w:p>
    <w:p w14:paraId="088F70CC" w14:textId="449ADD5C" w:rsidR="00DB46C5" w:rsidRPr="00B42AEB" w:rsidRDefault="002D7A8A" w:rsidP="00B42AEB">
      <w:pPr>
        <w:rPr>
          <w:noProof/>
        </w:rPr>
      </w:pPr>
      <w:r>
        <w:rPr>
          <w:noProof/>
        </w:rPr>
        <w:t xml:space="preserve">Nogle medlemsstater arbejder også på specifikke digitale formater såsom videoer og apps for at hjælpe med at inkludere personer med handicap og fjerne hindringer. I andre lande, f.eks. Tjekkiet, indeholder brochurer QR-koder, der henviser til prøvestemmesedler og videoer på tegnsprog for hørehæmmede. Finland åbner en valgtelefontjeneste og WhatsApp-tjeneste inden hvert valg. Grækenland tilbyder en onlinetjeneste </w:t>
      </w:r>
      <w:r>
        <w:rPr>
          <w:i/>
          <w:iCs/>
          <w:noProof/>
        </w:rPr>
        <w:t>"Hvor skal du stemme?"</w:t>
      </w:r>
      <w:r>
        <w:rPr>
          <w:noProof/>
        </w:rPr>
        <w:t>, hvor vælgerne kan udfylde en formular med grundlæggende personoplysninger og automatisk modtage oplysninger om det valgsted, hvor de skal stemme, herunder adressen og et adgangskort til valgstedet. I Litauen udsendes valgrelaterede videoer, der udarbejdes eller bestilles af den centrale valgkommission, på nationale tv-kanaler og nyhedsportaler og oversættes til tegnsprog.</w:t>
      </w:r>
    </w:p>
    <w:p w14:paraId="3C85D29C" w14:textId="0403273B" w:rsidR="00E2390C" w:rsidRPr="00B42AEB" w:rsidRDefault="004D2A71" w:rsidP="00B42AEB">
      <w:pPr>
        <w:rPr>
          <w:noProof/>
        </w:rPr>
      </w:pPr>
      <w:r>
        <w:rPr>
          <w:noProof/>
        </w:rPr>
        <w:t>I flere medlemsstater, f.eks. Frankrig og Grækenland, opfordres medieforetagender til at gøre alle deres valgprogrammer tilgængelige: tv-nyheder, debatter mellem kandidater, programmer og dokumentarfilm om valgkampagner og kandidater. De kan opnå tilgængelighed ved at tilføje undertekstning (simultantolkning i forbindelse med direkte transmissioner) og tegnsprogstolkning. Den franske medietilsynsmyndighed har offentliggjort en vejledning med konkrete eksempler med henblik på at forbedre den visuelle kvalitet af tegnsprogstolkning.</w:t>
      </w:r>
      <w:r>
        <w:rPr>
          <w:rStyle w:val="FootnoteReference"/>
          <w:noProof/>
        </w:rPr>
        <w:t>(</w:t>
      </w:r>
      <w:r>
        <w:rPr>
          <w:rStyle w:val="FootnoteReference"/>
          <w:noProof/>
        </w:rPr>
        <w:footnoteReference w:id="68"/>
      </w:r>
      <w:r>
        <w:rPr>
          <w:rStyle w:val="FootnoteReference"/>
          <w:noProof/>
        </w:rPr>
        <w:t>))</w:t>
      </w:r>
      <w:r>
        <w:rPr>
          <w:noProof/>
        </w:rPr>
        <w:t xml:space="preserve"> De franske tv-tjenesteudbydere med et gennemsnitligt årligt publikum på over 2,5 % af det samlede publikum er forpligtet til at give adgang til alle valgnyhedsprogrammer for hørehæmmede personer ved at tilbyde undertekstning eller tegnsprog. I forbindelse med det franske præsidentvalg skal alle kandidater sørge for tilgængelige tv-spots i det mindste med undertekster, selv om nogle kandidater også udsender med tegnsprog.</w:t>
      </w:r>
      <w:r>
        <w:rPr>
          <w:rStyle w:val="FootnoteReference"/>
          <w:noProof/>
        </w:rPr>
        <w:t>(</w:t>
      </w:r>
      <w:r>
        <w:rPr>
          <w:rStyle w:val="FootnoteReference"/>
          <w:noProof/>
        </w:rPr>
        <w:footnoteReference w:id="69"/>
      </w:r>
      <w:r>
        <w:rPr>
          <w:rStyle w:val="FootnoteReference"/>
          <w:noProof/>
        </w:rPr>
        <w:t>))</w:t>
      </w:r>
      <w:r>
        <w:rPr>
          <w:noProof/>
        </w:rPr>
        <w:t xml:space="preserve"> En uafhængig myndighed, der er ansvarlig for at fastsætte kampagnereglerne i medierne, kontrollerer denne forpligtelse.</w:t>
      </w:r>
      <w:r>
        <w:rPr>
          <w:rStyle w:val="FootnoteReference"/>
          <w:noProof/>
        </w:rPr>
        <w:t>(</w:t>
      </w:r>
      <w:r>
        <w:rPr>
          <w:rStyle w:val="FootnoteReference"/>
          <w:noProof/>
        </w:rPr>
        <w:footnoteReference w:id="70"/>
      </w:r>
      <w:r>
        <w:rPr>
          <w:rStyle w:val="FootnoteReference"/>
          <w:noProof/>
        </w:rPr>
        <w:t>))</w:t>
      </w:r>
      <w:r>
        <w:rPr>
          <w:noProof/>
        </w:rPr>
        <w:t xml:space="preserve"> Andre franske tv-tjenesteudbydere skal lette adgangen (ved undertekstning eller tegnsprog) for hørehæmmede til de vigtigste valgnyhedsprogrammer i spidsbelastningsperioder og gøre debatter mellem kandidater tilgængelige. Ansøgere, der opfordres til at tale på tv-platforme, kan også forhøre sig hos de kanaler, om de rent faktisk sørger for disse tilgængelighedsfunktioner.</w:t>
      </w:r>
      <w:r>
        <w:rPr>
          <w:rStyle w:val="FootnoteReference"/>
          <w:noProof/>
        </w:rPr>
        <w:t>(</w:t>
      </w:r>
      <w:r>
        <w:rPr>
          <w:rStyle w:val="FootnoteReference"/>
          <w:noProof/>
        </w:rPr>
        <w:footnoteReference w:id="71"/>
      </w:r>
      <w:r>
        <w:rPr>
          <w:rStyle w:val="FootnoteReference"/>
          <w:noProof/>
        </w:rPr>
        <w:t>))</w:t>
      </w:r>
    </w:p>
    <w:p w14:paraId="79703C3C" w14:textId="0055DD1D" w:rsidR="00B139EA" w:rsidRPr="00B42AEB" w:rsidRDefault="00B139EA" w:rsidP="00B42AEB">
      <w:pPr>
        <w:rPr>
          <w:noProof/>
        </w:rPr>
      </w:pPr>
      <w:r>
        <w:rPr>
          <w:noProof/>
        </w:rPr>
        <w:t>Flere medlemsstater (f.eks. Estland, Tyskland, Ungarn og Litauen) udveksler oplysninger om valgsteders tilgængelighed via digitale kortapplikationer, på valgmyndighedernes websteder eller om valgmeddelelsen, der sendes til vælgerne.</w:t>
      </w:r>
    </w:p>
    <w:p w14:paraId="61C3C521" w14:textId="77777777" w:rsidR="00B139EA" w:rsidRPr="00B42AEB" w:rsidRDefault="00B139EA" w:rsidP="00B42AEB">
      <w:pPr>
        <w:rPr>
          <w:noProof/>
        </w:rPr>
      </w:pPr>
      <w:r>
        <w:rPr>
          <w:noProof/>
        </w:rPr>
        <w:t>I Tyskland indeholder oplysningerne til vælgerne om valgstedernes placering flere piktogrammer, der beskriver opstillingen af valgstedet, og som omfatter telefonnumre.</w:t>
      </w:r>
    </w:p>
    <w:p w14:paraId="2E6E5C3B" w14:textId="7024B3FE" w:rsidR="00B139EA" w:rsidRPr="00B42AEB" w:rsidRDefault="004801BB" w:rsidP="00B42AEB">
      <w:pPr>
        <w:rPr>
          <w:noProof/>
        </w:rPr>
      </w:pPr>
      <w:r>
        <w:rPr>
          <w:noProof/>
        </w:rPr>
        <w:t>Nederlandene stiller et onlineværktøj</w:t>
      </w:r>
      <w:r>
        <w:rPr>
          <w:rStyle w:val="FootnoteReference"/>
          <w:noProof/>
        </w:rPr>
        <w:t>(</w:t>
      </w:r>
      <w:r>
        <w:rPr>
          <w:rStyle w:val="FootnoteReference"/>
          <w:noProof/>
        </w:rPr>
        <w:footnoteReference w:id="72"/>
      </w:r>
      <w:r>
        <w:rPr>
          <w:rStyle w:val="FootnoteReference"/>
          <w:noProof/>
        </w:rPr>
        <w:t>))</w:t>
      </w:r>
      <w:r>
        <w:rPr>
          <w:noProof/>
        </w:rPr>
        <w:t xml:space="preserve"> til rådighed, som personer med handicap kan benytte til at finde tilgængelige valgsteder. Værktøjet har forskellige søgekriterier, herunder visuelle hjælpemidler, høreapparater, akustik, der egner sig til hørehæmmede, og andre tilgængelige faciliteter.</w:t>
      </w:r>
    </w:p>
    <w:p w14:paraId="1F40A8D4" w14:textId="7E4CF357" w:rsidR="00B139EA" w:rsidRPr="00B42AEB" w:rsidRDefault="00B139EA" w:rsidP="00B42AEB">
      <w:pPr>
        <w:rPr>
          <w:noProof/>
        </w:rPr>
      </w:pPr>
      <w:r>
        <w:rPr>
          <w:noProof/>
        </w:rPr>
        <w:t>Frankrig bruger også udendørs informationspaneler til at angive valgstedernes placering og åbningstider, som skal opfylde specifikke krav for at sikre oplysningernes læsbarhed og synlighed.</w:t>
      </w:r>
    </w:p>
    <w:p w14:paraId="0E997E06" w14:textId="3F9BD0DD" w:rsidR="00B139EA" w:rsidRPr="00B42AEB" w:rsidRDefault="00B139EA" w:rsidP="00B42AEB">
      <w:pPr>
        <w:rPr>
          <w:noProof/>
        </w:rPr>
      </w:pPr>
      <w:r>
        <w:rPr>
          <w:noProof/>
        </w:rPr>
        <w:t>I Spanien skal der være passende skiltning på valgstederne, herunder en angivelse af de tilgængelige faciliteter og åbningstiderne.</w:t>
      </w:r>
    </w:p>
    <w:p w14:paraId="0D38607A" w14:textId="595E6DAA" w:rsidR="00256917" w:rsidRPr="00B42AEB" w:rsidRDefault="00825735" w:rsidP="00B42AEB">
      <w:pPr>
        <w:rPr>
          <w:noProof/>
        </w:rPr>
      </w:pPr>
      <w:r>
        <w:rPr>
          <w:noProof/>
        </w:rPr>
        <w:t>I Ungarn omfatter valginformationskampagner individuelle vælgermeddelelser og skræddersyede budskaber til personer med handicap. De stiller valgkort til rådighed i et letforståeligt sprog og ledsagende letlæseligt materiale efter anmodning fra vælgeren.</w:t>
      </w:r>
    </w:p>
    <w:p w14:paraId="01341A63" w14:textId="618AB543" w:rsidR="00742678" w:rsidRPr="00B42AEB" w:rsidRDefault="00B15B45" w:rsidP="00B42AEB">
      <w:pPr>
        <w:rPr>
          <w:noProof/>
        </w:rPr>
      </w:pPr>
      <w:r>
        <w:rPr>
          <w:noProof/>
        </w:rPr>
        <w:t>Nederlandene stiller en digital værktøjskasse til rådighed for kommuner og andre partnere, der indeholder flere kommunikationsværktøjer for vælgere med handicap. Den indeholder oplysninger om, hvilke faciliteter der er til rådighed på valgstedet, så vælgerne kan afgive deres stemme uafhængigt. Den indeholder også oplysninger om valg på et tilgængeligt sprog og på tegnsprog via et særligt websted. Værktøjskassen indeholder f.eks. også en digitalt tilgængelig udgave af stemmesedlen. Fælles for alt kommunikationsmateriale om valget lægges der så vidt muligt vægt på visuel kommunikation og anvendelse af et klart sprog. Kommunikationsmaterialet er blevet udviklet og stillet til rådighed for personer med handicap i samarbejde med interessegrupper. Dette omfatter vejledning i, hvordan man stemmer ved hjælp af en afstemningsskabelon, en folder og en valgavis for vælgere med et (mildt) kognitivt handicap, en infografik om hjælpemidler på valgstedet, informative videoer på tegnsprog, en digitalt tilgængelig udgave af stemmesedlen og et bevis for fuldmagt, der er tilgængelig online, oplysninger om tilgængelighedsfaciliteterne på valgstederne på et særligt websted. Desuden arrangerer nogle kommuner en testafstemning forud for valget for at give vælgerne mulighed for at "øve" sig i at afgive deres stemme og give dem mulighed for at stemme uafhængigt på valgdagen.</w:t>
      </w:r>
    </w:p>
    <w:p w14:paraId="548ECC0D" w14:textId="2158B2E5" w:rsidR="00C40F26" w:rsidRPr="00B42AEB" w:rsidRDefault="007E53A1" w:rsidP="00B42AEB">
      <w:pPr>
        <w:rPr>
          <w:noProof/>
        </w:rPr>
      </w:pPr>
      <w:r>
        <w:rPr>
          <w:noProof/>
        </w:rPr>
        <w:t>Spanien stiller et gratis kundetelefonnummer til rådighed for personer, der planlægger at anvende den tilgængelige afstemningsprocedure — Braille-punkskriftsystemet. Denne telefontjeneste giver også oplysninger om valgkandidater og andre aspekter af afstemningsproceduren.</w:t>
      </w:r>
    </w:p>
    <w:p w14:paraId="280F39DD" w14:textId="0A1B5C58" w:rsidR="00825735" w:rsidRPr="00B42AEB" w:rsidRDefault="007E53A1" w:rsidP="00B42AEB">
      <w:pPr>
        <w:rPr>
          <w:noProof/>
        </w:rPr>
      </w:pPr>
      <w:r>
        <w:rPr>
          <w:noProof/>
        </w:rPr>
        <w:t>Sverige har et "talende" websted for personer med synshandicap og personer med læsevanskeligheder (f.eks. personer med ordblindhed), så de kan lytte til oplysninger, der læses højt.</w:t>
      </w:r>
    </w:p>
    <w:p w14:paraId="3239ABD7" w14:textId="7EF59031" w:rsidR="00AC3895" w:rsidRPr="00B42AEB" w:rsidRDefault="0099175B" w:rsidP="006B02A7">
      <w:pPr>
        <w:pStyle w:val="Heading2"/>
        <w:spacing w:before="240" w:after="240"/>
        <w:rPr>
          <w:noProof/>
        </w:rPr>
      </w:pPr>
      <w:bookmarkStart w:id="59" w:name="_Toc148718592"/>
      <w:bookmarkStart w:id="60" w:name="_Toc158707800"/>
      <w:r>
        <w:rPr>
          <w:noProof/>
        </w:rPr>
        <w:t>6.2. Adgang til politisk reklame</w:t>
      </w:r>
      <w:bookmarkEnd w:id="59"/>
      <w:bookmarkEnd w:id="60"/>
    </w:p>
    <w:p w14:paraId="0FE306DC" w14:textId="7D41D35E" w:rsidR="00C476EE" w:rsidRPr="00B42AEB" w:rsidRDefault="00C476EE" w:rsidP="00B42AEB">
      <w:pPr>
        <w:rPr>
          <w:noProof/>
        </w:rPr>
      </w:pPr>
      <w:r>
        <w:rPr>
          <w:noProof/>
        </w:rPr>
        <w:t>I Frankrig opfordres kandidaterne til at stille alle valgkampagnedokumenter (f.eks. foldere) til rådighed samtidigt i trykt papirform, på et websted (der opfylder de retlige tilgængelighedskrav</w:t>
      </w:r>
      <w:r>
        <w:rPr>
          <w:rStyle w:val="FootnoteReference"/>
          <w:noProof/>
        </w:rPr>
        <w:t>(</w:t>
      </w:r>
      <w:r>
        <w:rPr>
          <w:rStyle w:val="FootnoteReference"/>
          <w:noProof/>
        </w:rPr>
        <w:footnoteReference w:id="73"/>
      </w:r>
      <w:r>
        <w:rPr>
          <w:rStyle w:val="FootnoteReference"/>
          <w:noProof/>
        </w:rPr>
        <w:t>))</w:t>
      </w:r>
      <w:r>
        <w:rPr>
          <w:noProof/>
        </w:rPr>
        <w:t>) og i et tilgængeligt format med bevisværdi i overensstemmelse med tilgængelighedskriterierne i loven om lige rettigheder og muligheder fra 2005. De skal også være tilgængelige i en letlæselig og forståelig udgave. Dette materiale skal være tilgængeligt fra begyndelsen af valgkampen, indtil valgstederne er lukket.</w:t>
      </w:r>
      <w:r>
        <w:rPr>
          <w:rStyle w:val="FootnoteReference"/>
          <w:noProof/>
        </w:rPr>
        <w:t>(</w:t>
      </w:r>
      <w:r>
        <w:rPr>
          <w:rStyle w:val="FootnoteReference"/>
          <w:noProof/>
        </w:rPr>
        <w:footnoteReference w:id="74"/>
      </w:r>
      <w:r>
        <w:rPr>
          <w:rStyle w:val="FootnoteReference"/>
          <w:noProof/>
        </w:rPr>
        <w:t>))</w:t>
      </w:r>
    </w:p>
    <w:p w14:paraId="5D5B2CA1" w14:textId="1AE79A32" w:rsidR="00C40F26" w:rsidRPr="00B42AEB" w:rsidRDefault="00742678" w:rsidP="00B42AEB">
      <w:pPr>
        <w:rPr>
          <w:noProof/>
        </w:rPr>
      </w:pPr>
      <w:r>
        <w:rPr>
          <w:noProof/>
        </w:rPr>
        <w:t xml:space="preserve">I flere medlemsstater, f.eks. Ungarn og Spanien, skal sponsorer sikre, at der er adgang til politisk reklame. I Litauen oplyser den centrale valgkommission fra og med 2019 for hvert valg kandidaterne om, at de bør tage hensyn til behovene hos vælgere med handicap i forbindelse med udarbejdelsen af deres valgmateriale. </w:t>
      </w:r>
    </w:p>
    <w:p w14:paraId="09D8B868" w14:textId="3F0BC82E" w:rsidR="00990F3C" w:rsidRPr="00B42AEB" w:rsidRDefault="00C40F26" w:rsidP="00B42AEB">
      <w:pPr>
        <w:rPr>
          <w:noProof/>
        </w:rPr>
      </w:pPr>
      <w:r>
        <w:rPr>
          <w:noProof/>
        </w:rPr>
        <w:t>I Spanien skal politiske organisationer sikre, at deres offentlige aktiviteter er tilgængelige for personer med handicap, og stille tilgængelig information til rådighed, når det er muligt. Dette omfatter websider, trykt materiale i formater, der er tilgængelige for personer med handicap, telefontjenester og audiovisuelle formater. Offentligt ejede nationale tv- og radiostationer skal stille gratis lokaler til rådighed til politisk reklame for kandidater, politiske partier, forbund, koalitioner og grupper af vælgere, som opfylder de specifikke tilgængelighedsbehov hos personer med handicap.</w:t>
      </w:r>
    </w:p>
    <w:p w14:paraId="7F648CD6" w14:textId="4140BEEE" w:rsidR="0073307C" w:rsidRPr="00B42AEB" w:rsidRDefault="00990F3C" w:rsidP="00B42AEB">
      <w:pPr>
        <w:rPr>
          <w:noProof/>
        </w:rPr>
      </w:pPr>
      <w:r>
        <w:rPr>
          <w:noProof/>
        </w:rPr>
        <w:t>I forbindelse med valget til Europa-Parlamentet i 2019 afprøvede den tyske forening for blinde og synshæmmede anvendeligheden og læsbarheden af de materialer, der blev anvendt i valgkampagnen, for brugere af en skærmlæser. De rangordnede materialet i forhold til de fastsatte kriterier og sendte resultaterne af denne vurdering til de politiske partier, der stillede op til valg.</w:t>
      </w:r>
      <w:r>
        <w:rPr>
          <w:rStyle w:val="FootnoteReference"/>
          <w:noProof/>
        </w:rPr>
        <w:t>(</w:t>
      </w:r>
      <w:r>
        <w:rPr>
          <w:rStyle w:val="FootnoteReference"/>
          <w:noProof/>
        </w:rPr>
        <w:footnoteReference w:id="75"/>
      </w:r>
      <w:r>
        <w:rPr>
          <w:rStyle w:val="FootnoteReference"/>
          <w:noProof/>
        </w:rPr>
        <w:t>))</w:t>
      </w:r>
    </w:p>
    <w:p w14:paraId="29BAD056" w14:textId="3CB6C5C6" w:rsidR="008D65A6" w:rsidRPr="00B42AEB" w:rsidRDefault="00DE389B" w:rsidP="006B02A7">
      <w:pPr>
        <w:pStyle w:val="Heading1"/>
        <w:spacing w:before="360" w:after="240" w:line="288" w:lineRule="auto"/>
        <w:rPr>
          <w:noProof/>
        </w:rPr>
      </w:pPr>
      <w:bookmarkStart w:id="61" w:name="_Toc148718593"/>
      <w:bookmarkStart w:id="62" w:name="_Toc158707801"/>
      <w:r>
        <w:rPr>
          <w:noProof/>
        </w:rPr>
        <w:t>7. Universel udformning og rimelige tilpasninger i valgperioden — procedurer, faciliteter og materialer</w:t>
      </w:r>
      <w:bookmarkEnd w:id="61"/>
      <w:bookmarkEnd w:id="62"/>
    </w:p>
    <w:p w14:paraId="6CBB9A35" w14:textId="64B70E21" w:rsidR="00E77382" w:rsidRPr="00B42AEB" w:rsidRDefault="0099175B" w:rsidP="006B02A7">
      <w:pPr>
        <w:pStyle w:val="Heading2"/>
        <w:spacing w:before="0" w:after="240"/>
        <w:rPr>
          <w:noProof/>
        </w:rPr>
      </w:pPr>
      <w:bookmarkStart w:id="63" w:name="_Toc148718594"/>
      <w:bookmarkStart w:id="64" w:name="_Toc158707802"/>
      <w:r>
        <w:rPr>
          <w:noProof/>
        </w:rPr>
        <w:t xml:space="preserve">7.1. </w:t>
      </w:r>
      <w:bookmarkEnd w:id="63"/>
      <w:r>
        <w:rPr>
          <w:noProof/>
        </w:rPr>
        <w:t>Registreringsprocedurer</w:t>
      </w:r>
      <w:bookmarkEnd w:id="64"/>
    </w:p>
    <w:p w14:paraId="4EC47BED" w14:textId="15E12600" w:rsidR="001726FB" w:rsidRPr="00B42AEB" w:rsidRDefault="009E6BD5" w:rsidP="00B42AEB">
      <w:pPr>
        <w:rPr>
          <w:noProof/>
        </w:rPr>
      </w:pPr>
      <w:r>
        <w:rPr>
          <w:noProof/>
        </w:rPr>
        <w:t>Anvendelsen af registreringsprocedurer i valgprocessen, uanset formålet hermed, giver afgørende muligheder for at lette interaktionen mellem personer med handicap og kompetente myndigheder, herunder ved hjælp af forskellige tilgængelige værktøjer og midler såsom tilgængeligt papir og digitale formularer. Hvis registreringen finder sted personligt, er det af afgørende betydning, at der er adgang til mødesteder og information.</w:t>
      </w:r>
    </w:p>
    <w:p w14:paraId="79621768" w14:textId="3FFBBD8B" w:rsidR="00C64C88" w:rsidRPr="00B42AEB" w:rsidRDefault="00EF4A32" w:rsidP="00B42AEB">
      <w:pPr>
        <w:rPr>
          <w:noProof/>
        </w:rPr>
      </w:pPr>
      <w:r>
        <w:rPr>
          <w:noProof/>
        </w:rPr>
        <w:t>I de fleste medlemsstater sker vælgerregistreringen ved nationale valg automatisk. To medlemsstater, Cypern og Irland, anvender aktiv vælgerregistrering, mens andre bruger onlineværktøjer til at registrere præferencen eller retten til en bestemt afstemningsprocedure, f.eks. brevstemme eller mobil stemmeafgivning. For at lette anvendelsen af disse værktøjer har medlemsstaterne gennemført tilgængelighedskrav og sikret, at onlineindhold er tilgængeligt fra en række forskellige enheder. De har også udviklet forenklede formularer på et klart og brugerfokuseret sprog. I Cypern er kontorerne i de distriktsforvaltninger, der behandler ansøgninger om optagelse på valglisterne, tilgængelige for personer med handicap. Tilvejebringelsen af tilgængelige oplysninger om vælgerregistrering, som flere medlemsstater såsom Luxembourg har gjort, er også afgørende for at lette denne proces.</w:t>
      </w:r>
    </w:p>
    <w:p w14:paraId="719DA231" w14:textId="1B16D682" w:rsidR="008F291D" w:rsidRPr="00B42AEB" w:rsidRDefault="00F3686B" w:rsidP="00B42AEB">
      <w:pPr>
        <w:rPr>
          <w:noProof/>
        </w:rPr>
      </w:pPr>
      <w:r>
        <w:rPr>
          <w:noProof/>
        </w:rPr>
        <w:t>I nogle medlemsstater kan ansøgerne modtage særlig støtte, f.eks. små tilskud til tegntolkning og transport, hvilket kan gøre det lettere at indgive dokumenter, hvis dette kun er muligt personligt. I andre medlemsstater, f.eks. Rumænien</w:t>
      </w:r>
      <w:r>
        <w:rPr>
          <w:rStyle w:val="FootnoteReference"/>
          <w:noProof/>
        </w:rPr>
        <w:t>(</w:t>
      </w:r>
      <w:r>
        <w:rPr>
          <w:rStyle w:val="FootnoteReference"/>
          <w:noProof/>
        </w:rPr>
        <w:footnoteReference w:id="76"/>
      </w:r>
      <w:r>
        <w:rPr>
          <w:rStyle w:val="FootnoteReference"/>
          <w:noProof/>
        </w:rPr>
        <w:t>))</w:t>
      </w:r>
      <w:r>
        <w:rPr>
          <w:noProof/>
        </w:rPr>
        <w:t>, kan ansøgerne også indsamle støttesignaturer ad elektronisk vej.</w:t>
      </w:r>
    </w:p>
    <w:p w14:paraId="1A615D0A" w14:textId="728C572F" w:rsidR="00F42B95" w:rsidRPr="00B42AEB" w:rsidRDefault="0099175B" w:rsidP="006B02A7">
      <w:pPr>
        <w:pStyle w:val="Heading2"/>
        <w:spacing w:before="240" w:after="240"/>
        <w:rPr>
          <w:noProof/>
        </w:rPr>
      </w:pPr>
      <w:bookmarkStart w:id="65" w:name="_Toc148715289"/>
      <w:bookmarkStart w:id="66" w:name="_Toc148718595"/>
      <w:bookmarkStart w:id="67" w:name="_Toc158707803"/>
      <w:r>
        <w:rPr>
          <w:noProof/>
        </w:rPr>
        <w:t>7.2. Forbedring af adgangen til valgsteder, stemmebokse og stemmeurner</w:t>
      </w:r>
      <w:bookmarkEnd w:id="65"/>
      <w:bookmarkEnd w:id="66"/>
      <w:bookmarkEnd w:id="67"/>
    </w:p>
    <w:p w14:paraId="71544D5C" w14:textId="05517545" w:rsidR="00626892" w:rsidRPr="00B42AEB" w:rsidRDefault="002B2D35" w:rsidP="00B42AEB">
      <w:pPr>
        <w:rPr>
          <w:noProof/>
        </w:rPr>
      </w:pPr>
      <w:r>
        <w:rPr>
          <w:noProof/>
        </w:rPr>
        <w:t>De fleste medlemsstater har vedtaget flere krav for at sikre, at personer med handicap kan stemme på valgstedet. Kravene dækker forskellige aspekter af afstemningsprocessen og interaktionen med vælgere med handicap på valgstederne, valgmateriale og valgpersonale</w:t>
      </w:r>
      <w:r>
        <w:rPr>
          <w:rStyle w:val="FootnoteReference"/>
          <w:noProof/>
        </w:rPr>
        <w:t>(</w:t>
      </w:r>
      <w:r>
        <w:rPr>
          <w:rStyle w:val="FootnoteReference"/>
          <w:noProof/>
        </w:rPr>
        <w:footnoteReference w:id="77"/>
      </w:r>
      <w:r>
        <w:rPr>
          <w:rStyle w:val="FootnoteReference"/>
          <w:noProof/>
        </w:rPr>
        <w:t>))</w:t>
      </w:r>
      <w:r>
        <w:rPr>
          <w:noProof/>
        </w:rPr>
        <w:t>. Dette omfatter ankomst til og indgang til valgstedet, identifikation af vælgere, optagelse på en valgliste, enten manuelt eller elektronisk, adgang til en stemmeboks, stemmeafgivning på papirbaserede stemmesedler eller på stemmemaskiner, anbringelsen af den papirbaserede stemmeseddel i en stemmeurne og afgang fra valgstedet. Flere medlemsstater har udarbejdet detaljerede retningslinjer og tjeklister, som ofte er udarbejdet i samarbejde med handicaporganisationer, og som omfatter kriterier, der spænder fra adgang til offentlig transport til, om der findes ramper og politikker for kø. Malta gør det f.eks. lettere for personer med handicap at stemme ved at give dem prioritet i køen (på et bestemt tidsinterval) på deres respektive valgsted.</w:t>
      </w:r>
    </w:p>
    <w:p w14:paraId="25A72D5C" w14:textId="19DB6CA2" w:rsidR="002B44F6" w:rsidRPr="00B42AEB" w:rsidRDefault="002B44F6" w:rsidP="00B42AEB">
      <w:pPr>
        <w:rPr>
          <w:b/>
          <w:noProof/>
        </w:rPr>
      </w:pPr>
      <w:r>
        <w:rPr>
          <w:noProof/>
        </w:rPr>
        <w:t>I nogle medlemsstater, f.eks. Østrig</w:t>
      </w:r>
      <w:r>
        <w:rPr>
          <w:rStyle w:val="FootnoteReference"/>
          <w:noProof/>
        </w:rPr>
        <w:t>(</w:t>
      </w:r>
      <w:r>
        <w:rPr>
          <w:rStyle w:val="FootnoteReference"/>
          <w:noProof/>
        </w:rPr>
        <w:footnoteReference w:id="78"/>
      </w:r>
      <w:r>
        <w:rPr>
          <w:rStyle w:val="FootnoteReference"/>
          <w:noProof/>
        </w:rPr>
        <w:t>))</w:t>
      </w:r>
      <w:r>
        <w:rPr>
          <w:noProof/>
        </w:rPr>
        <w:t xml:space="preserve"> og Ungarn, skal hver kommune stille mindst ét valgsted uden barrierer til rådighed. I andre medlemsstater er det obligatorisk at gøre alle valgsteder tilgængelige, f.eks. i Frankrig, Nederlandene, Spanien og Slovenien. Andre medlemsstater, såsom Grækenland, søger i henhold til den nationale handlingsplan for personer med handicap at oprette et register over tilgængelige bygninger på kommunalt plan (første grad af lokal forvaltning), som også vil blive anvendt som valgsteder. I andre medlemsstater, f.eks. Irland, skal valgtilforordnede træffe de foranstaltninger, der er nødvendige for at sikre, at valgstederne er tilgængelige, hvilket indebærer, at der på hvert valgsted stilles et passende bord og en passende stol til rådighed, der er placeret således, at det sikres, at vælgeren kan stemme i hemmelighed, og som giver vælgere, der er kørestolsbrugere, som har et fysisk handicap eller et synshandicap eller ældre vælgere en mere bekvem måde at stemme på.</w:t>
      </w:r>
    </w:p>
    <w:p w14:paraId="3A607801" w14:textId="717FE1BA" w:rsidR="005C7F85" w:rsidRPr="00B42AEB" w:rsidRDefault="00EA3DF5" w:rsidP="00B42AEB">
      <w:pPr>
        <w:rPr>
          <w:noProof/>
        </w:rPr>
      </w:pPr>
      <w:r>
        <w:rPr>
          <w:noProof/>
        </w:rPr>
        <w:t xml:space="preserve">I flere medlemsstater skal parkeringspladser ved siden af valgstederne opfylde strenge krav med hensyn til skiltning og overflade, f.eks. Belgien, Luxembourg og Nederlandene. Valgstederne skal være tilgængelige med offentlig transport. Personer med handicap, herunder kørestolsbrugere, skal om nødvendigt kunne få adgang til, bevæge sig rundt på og forlade valgstederne under normale driftsforhold ved midlertidige eller permanente arrangementer (som i Belgien, Danmark, Estland, Frankrig, Finland, Irland, Litauen, Luxembourg, Nederlandene, Rumænien, Sverige, Slovenien og Tyskland). Dette omfatter prioriteret brug af bygninger med én etage, brede døråbninger, der enten automatisk eller let kan betjenes, ramper med lav hældning, kontinuerlige håndlister, flade manøvreområder foran dørene, tilstrækkeligt brede gange, uhindrede ruter, tilstrækkelig belysning, stole i venteområdet, tilpasset skiltning, styrebaner, farvekodeskilte og andre egnede midler til at lede synshæmmede vælgere. Andre medlemsstater, f.eks. Danmark, Frankrig, Luxembourg, Nederlandene og Spanien, tillader også personer med handicap at komme ind sammen med deres førerhunde og hjælpehunde. </w:t>
      </w:r>
    </w:p>
    <w:p w14:paraId="2169E13B" w14:textId="620C40F5" w:rsidR="005A2789" w:rsidRPr="00B42AEB" w:rsidRDefault="00722578" w:rsidP="00B42AEB">
      <w:pPr>
        <w:rPr>
          <w:noProof/>
        </w:rPr>
      </w:pPr>
      <w:r>
        <w:rPr>
          <w:noProof/>
        </w:rPr>
        <w:t>Nogle medlemsstater, f.eks. Belgien, Spanien</w:t>
      </w:r>
      <w:r>
        <w:rPr>
          <w:noProof/>
          <w:vertAlign w:val="superscript"/>
        </w:rPr>
        <w:t>(</w:t>
      </w:r>
      <w:r>
        <w:rPr>
          <w:rStyle w:val="FootnoteReference"/>
          <w:noProof/>
        </w:rPr>
        <w:footnoteReference w:id="79"/>
      </w:r>
      <w:r>
        <w:rPr>
          <w:noProof/>
          <w:vertAlign w:val="superscript"/>
        </w:rPr>
        <w:t>)</w:t>
      </w:r>
      <w:r>
        <w:rPr>
          <w:noProof/>
        </w:rPr>
        <w:t xml:space="preserve"> og Rumænien</w:t>
      </w:r>
      <w:r>
        <w:rPr>
          <w:rStyle w:val="FootnoteReference"/>
          <w:noProof/>
        </w:rPr>
        <w:t>(</w:t>
      </w:r>
      <w:r>
        <w:rPr>
          <w:rStyle w:val="FootnoteReference"/>
          <w:noProof/>
        </w:rPr>
        <w:footnoteReference w:id="80"/>
      </w:r>
      <w:r>
        <w:rPr>
          <w:rStyle w:val="FootnoteReference"/>
          <w:noProof/>
        </w:rPr>
        <w:t>))</w:t>
      </w:r>
      <w:r>
        <w:rPr>
          <w:noProof/>
        </w:rPr>
        <w:t>, har fastsat de tekniske specifikationer for stemmebokse ved lov. Stemmebokse skal være udformet således, at de opfylder behovene hos personer med handicap, navnlig kørestolsbrugere. I f.eks. Luxembourg, Frankrig og Italien skal et af de kabiner, der oprettes på hvert valgsted, være udformet med henblik på handicapadgang. Dette betyder, at de skal have en minimumsstørrelse, være placeret i et område, der giver tilstrækkelig rotationsplads, og være forsynet med særlige karakteristika såsom horisontale støttestænger, borde eller hylder i en vis højde eller indstillelige med tilstrækkeligt benrum og tilstrækkelig belysning. Nogle medlemsstater, f.eks. Nederlandene, stiller også læselupper med lys til rådighed. Andre værktøjer, der anvendes til at stemme, såsom kuglepenne eller blyanter, skal være let tilgængelige for personer med handicap.</w:t>
      </w:r>
    </w:p>
    <w:p w14:paraId="0AD2DFFB" w14:textId="7AD8ECED" w:rsidR="00F8466F" w:rsidRPr="00B42AEB" w:rsidRDefault="00E0730B" w:rsidP="00B42AEB">
      <w:pPr>
        <w:rPr>
          <w:noProof/>
        </w:rPr>
      </w:pPr>
      <w:r>
        <w:rPr>
          <w:noProof/>
        </w:rPr>
        <w:t>Adgangen til stemmeurner er også vigtig, når vælgerne selv skal putte deres stemmesedler i stemmeurnen. Stemmeurnen skal være let genkendelig og placeres i et område, der giver uhindret adgang og tilstrækkeligt manøvrerum. Stemmeurnens sprække og betjeningen af elektroniske afstemningsmaskiner skal placeres i en vis højde. Der skal stilles et trin til rådighed for personer, der ikke er i stand til at nå sprækken på stemmeurnen, samtidig med at sikkerhedskravene overholdes. I Frankrig kræver loven f.eks., at stemmeurnen på hvert enkelt valgsted også skal være tilgængelig for kørestolsbrugere.</w:t>
      </w:r>
    </w:p>
    <w:p w14:paraId="45D3DB32" w14:textId="71B1D0FB" w:rsidR="00005528" w:rsidRPr="00B42AEB" w:rsidRDefault="00005528" w:rsidP="00B42AEB">
      <w:pPr>
        <w:rPr>
          <w:noProof/>
        </w:rPr>
      </w:pPr>
      <w:r>
        <w:rPr>
          <w:noProof/>
        </w:rPr>
        <w:t>I nogle medlemsstater (f.eks. Estland) er valgstederne udstyret med borde og skærme, der gør det muligt for vælgerne at udfylde stemmesedlen siddende eller i kørestol. Der er adgang til forstørrelsesglas til at hjælpe vælgerne med at udfylde stemmesedlen og læse kandidatlisten. Der findes fjerntegnsprogstolkning, hvilket gør det lettere for vælgere, der taler tegnsprog, at kommunikere med medlemmerne af områdets valgudvalg. For at give blinde eller synshæmmede personer mulighed for at underskrive det rette sted på valglisterne eller tilstedeværelseslisterne anbefales det i Frankrig at anvende et signaturhjælpemiddel med en kontrastfarve (et vindue på en lille plastiklineal).</w:t>
      </w:r>
    </w:p>
    <w:p w14:paraId="1ADEADA2" w14:textId="77777777" w:rsidR="00B42AEB" w:rsidRPr="00B42AEB" w:rsidRDefault="00C259CB" w:rsidP="007F0EBB">
      <w:pPr>
        <w:jc w:val="center"/>
        <w:rPr>
          <w:noProof/>
          <w:u w:val="single"/>
        </w:rPr>
      </w:pPr>
      <w:bookmarkStart w:id="68" w:name="_Toc148715290"/>
      <w:bookmarkStart w:id="69" w:name="_Toc148718596"/>
      <w:r>
        <w:rPr>
          <w:noProof/>
          <w:lang w:val="en-GB" w:eastAsia="en-GB"/>
        </w:rPr>
        <w:drawing>
          <wp:inline distT="0" distB="0" distL="0" distR="0" wp14:anchorId="4FA2C219" wp14:editId="235FE9DC">
            <wp:extent cx="2569210" cy="1926590"/>
            <wp:effectExtent l="0" t="0" r="0" b="0"/>
            <wp:docPr id="87" name="Picture 87" descr="Billedet viser en stemmeseddelskabelon, som anvendes i Østr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7F0EBB" w:rsidRDefault="00B42AEB" w:rsidP="007F0EBB">
      <w:pPr>
        <w:pStyle w:val="Caption"/>
        <w:rPr>
          <w:noProof/>
        </w:rPr>
      </w:pPr>
      <w:r>
        <w:rPr>
          <w:noProof/>
        </w:rPr>
        <w:t>Stemmeseddelskabelon, der anvendes i Østrig.</w:t>
      </w:r>
    </w:p>
    <w:p w14:paraId="5F247431" w14:textId="6BB7D2A7" w:rsidR="00F53BDC" w:rsidRPr="00B42AEB" w:rsidRDefault="002052F5" w:rsidP="006B02A7">
      <w:pPr>
        <w:pStyle w:val="Heading2"/>
        <w:spacing w:before="240" w:after="240"/>
        <w:rPr>
          <w:noProof/>
        </w:rPr>
      </w:pPr>
      <w:bookmarkStart w:id="70" w:name="_Toc158707804"/>
      <w:r>
        <w:rPr>
          <w:noProof/>
        </w:rPr>
        <w:t>7.3 Forøgelse af papirstemmesedlers tilgængelighed</w:t>
      </w:r>
      <w:bookmarkEnd w:id="68"/>
      <w:bookmarkEnd w:id="69"/>
      <w:bookmarkEnd w:id="70"/>
    </w:p>
    <w:p w14:paraId="1A770A21" w14:textId="4EC8D530" w:rsidR="00B42AEB" w:rsidRPr="00B42AEB" w:rsidRDefault="00386D1A" w:rsidP="00B42AEB">
      <w:pPr>
        <w:rPr>
          <w:noProof/>
        </w:rPr>
      </w:pPr>
      <w:r>
        <w:rPr>
          <w:noProof/>
        </w:rPr>
        <w:t>I Østrig, Danmark</w:t>
      </w:r>
      <w:r>
        <w:rPr>
          <w:rStyle w:val="FootnoteReference"/>
          <w:noProof/>
        </w:rPr>
        <w:t>(</w:t>
      </w:r>
      <w:r>
        <w:rPr>
          <w:rStyle w:val="FootnoteReference"/>
          <w:noProof/>
        </w:rPr>
        <w:footnoteReference w:id="81"/>
      </w:r>
      <w:r>
        <w:rPr>
          <w:rStyle w:val="FootnoteReference"/>
          <w:noProof/>
        </w:rPr>
        <w:t>))</w:t>
      </w:r>
      <w:r>
        <w:rPr>
          <w:noProof/>
        </w:rPr>
        <w:t>, Ungarn, Luxembourg</w:t>
      </w:r>
      <w:r>
        <w:rPr>
          <w:rStyle w:val="FootnoteReference"/>
          <w:noProof/>
        </w:rPr>
        <w:t>(</w:t>
      </w:r>
      <w:r>
        <w:rPr>
          <w:rStyle w:val="FootnoteReference"/>
          <w:noProof/>
        </w:rPr>
        <w:footnoteReference w:id="82"/>
      </w:r>
      <w:r>
        <w:rPr>
          <w:rStyle w:val="FootnoteReference"/>
          <w:noProof/>
        </w:rPr>
        <w:t>))</w:t>
      </w:r>
      <w:r>
        <w:rPr>
          <w:noProof/>
        </w:rPr>
        <w:t>, Tyskland, Slovenien, Irland, Portugal og Spanien skal valgstederne have særlige skabeloner til papirbaserede stemmesedler, herunder punktskrift. I Nederlandene og Malta ledsages disse skabeloner også af lydstøtte eller af informationsmateriale på papir, som i Portugal og Spanien, som forklarer, hvordan man bruger stencilen, hvordan stemmesedlen er struktureret, hvilke kandidater og partier der stiller op til valg, og hvilket hul i stencilen der skal anvendes for hver kandidat.</w:t>
      </w:r>
    </w:p>
    <w:p w14:paraId="3AD5F5C0" w14:textId="2396D488" w:rsidR="005B294B" w:rsidRPr="00B42AEB" w:rsidRDefault="00905FF2" w:rsidP="00B42AEB">
      <w:pPr>
        <w:rPr>
          <w:noProof/>
        </w:rPr>
      </w:pPr>
      <w:r>
        <w:rPr>
          <w:noProof/>
        </w:rPr>
        <w:t>I Irland understøttes brugen af punktskriftskabelonen af en telefonlinje, som vælgerne kan ringe til for at høre opstillingen af stemmesedlen og kandidaternes rækkefølge. I Østrig blev stemmesedlen efter de seneste lovgivningsmæssige ændringer forbedret ved at tilføje en affasning på den ene side for synshæmmede, og den planlægger også at indføre en skabelon til stemmekort. Tjekkiet tilføjer QR-koder på de stemmeinstrukser, der er knyttet til brevstemmer, som indeholder en video på tegnsprog. Hjælpemidler såsom læselupper stilles til rådighed for vælgere med handicap i flere medlemsstater, f.eks. Belgien og Nederlandene.</w:t>
      </w:r>
    </w:p>
    <w:p w14:paraId="1A117F92" w14:textId="61635AD3" w:rsidR="00B77091" w:rsidRPr="00B42AEB" w:rsidRDefault="00B77091" w:rsidP="00B42AEB">
      <w:pPr>
        <w:rPr>
          <w:noProof/>
        </w:rPr>
      </w:pPr>
      <w:r>
        <w:rPr>
          <w:noProof/>
        </w:rPr>
        <w:t>I Danmark kan vælgere, der har brug for hjælp til selv at stemme, anvende tekniske hjælpemidler såsom en tykkere sort pen, der hjælper vælgeren med at se, hvor stemmesedlen skal markeres, et forstørrelsesglas, der forstørrer stemmesedlen og gør den lettere at læse, og en LED-lampe til bedre lys, hvilket er nyttigt for alle med nedsat syn. Vælgeren kan kontrollere lampens lysstyrke, farve og lysstrøm. Disse værktøjer suppleres af et kameraovervågningssystem (CCTV), som er en særlig type forstørrelsesglas, der forstørrer stemmesedlen på en skærm, og hvor vælgeren kan justere forstørrelse og kontrast. Desuden skal der være et justerbart bord, som gør det muligt for vælgerne i en kørestol at udfylde stemmesedlen.</w:t>
      </w:r>
    </w:p>
    <w:p w14:paraId="2976F852" w14:textId="77777777" w:rsidR="00B42AEB" w:rsidRPr="00B42AEB" w:rsidRDefault="0083071B" w:rsidP="007F0EBB">
      <w:pPr>
        <w:jc w:val="center"/>
        <w:rPr>
          <w:noProof/>
        </w:rPr>
      </w:pPr>
      <w:r>
        <w:rPr>
          <w:noProof/>
          <w:lang w:val="en-GB" w:eastAsia="en-GB"/>
        </w:rPr>
        <w:drawing>
          <wp:inline distT="0" distB="0" distL="0" distR="0" wp14:anchorId="540BEA6F" wp14:editId="287B9ED0">
            <wp:extent cx="2038350" cy="1527810"/>
            <wp:effectExtent l="0" t="0" r="0" b="0"/>
            <wp:docPr id="1" name="Picture 1" descr="Billedet viser de stemmeseddelmapper, som benyttes i Litau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7F0EBB" w:rsidRDefault="00B42AEB" w:rsidP="007F0EBB">
      <w:pPr>
        <w:pStyle w:val="Caption"/>
        <w:rPr>
          <w:noProof/>
        </w:rPr>
      </w:pPr>
      <w:r>
        <w:rPr>
          <w:noProof/>
        </w:rPr>
        <w:t>Stemmeseddelmapper, som benyttes i Litauen.</w:t>
      </w:r>
    </w:p>
    <w:p w14:paraId="3F2088A4" w14:textId="0A322D57" w:rsidR="00202542" w:rsidRPr="00B42AEB" w:rsidRDefault="0064747E" w:rsidP="00B42AEB">
      <w:pPr>
        <w:rPr>
          <w:noProof/>
        </w:rPr>
      </w:pPr>
      <w:r>
        <w:rPr>
          <w:noProof/>
        </w:rPr>
        <w:t>Litauen stiller papirmapper med punktskrift til rådighed, hvor vælgerne kan placere de papirbaserede standardstemmesedler. I Malta er hvert valgsted udstyret med en lydafspilningsapparat, der læser indholdet af stemmesedlen. I Nederlandene anvender borgere, der stemmer fra udlandet, en reduceret stemmeseddel. De kan vælge, om de ønsker at modtage stemmesedlen pr. post eller e-mail. Der sendes et dokument med partierne og kandidaterne sammen med stemmesedlen. Der ophænges lister over kandidater i stort format på alle valgsteder.</w:t>
      </w:r>
    </w:p>
    <w:p w14:paraId="3994C551" w14:textId="36ACE17A" w:rsidR="00E972D7" w:rsidRPr="00B42AEB" w:rsidRDefault="00A4693C" w:rsidP="00B42AEB">
      <w:pPr>
        <w:rPr>
          <w:noProof/>
        </w:rPr>
      </w:pPr>
      <w:r>
        <w:rPr>
          <w:noProof/>
        </w:rPr>
        <w:t>I Nederlandene kan vælgere med kognitive handicap (uden for stemmeboksen) få en forklaring på, hvordan stemmesedlen fungerer. Mange kommuner og civilsamfundsorganisationer tilrettelægger kurser i stemmeafgivning inden valget. Desuden kan vælgere med et kognitivt handicap se forklaringer på et websted.</w:t>
      </w:r>
      <w:r>
        <w:rPr>
          <w:rStyle w:val="FootnoteReference"/>
          <w:noProof/>
        </w:rPr>
        <w:t>(</w:t>
      </w:r>
      <w:r>
        <w:rPr>
          <w:rStyle w:val="FootnoteReference"/>
          <w:noProof/>
        </w:rPr>
        <w:footnoteReference w:id="83"/>
      </w:r>
      <w:r>
        <w:rPr>
          <w:rStyle w:val="FootnoteReference"/>
          <w:noProof/>
        </w:rPr>
        <w:t>))</w:t>
      </w:r>
    </w:p>
    <w:p w14:paraId="218EB0B2" w14:textId="3450CDE2" w:rsidR="005F3847" w:rsidRPr="00B42AEB" w:rsidRDefault="005F3847" w:rsidP="00B42AEB">
      <w:pPr>
        <w:rPr>
          <w:noProof/>
        </w:rPr>
      </w:pPr>
      <w:r>
        <w:rPr>
          <w:noProof/>
        </w:rPr>
        <w:t>I Nederlandene er der ved at blive udformet en ny stemmeseddel. Denne stemmeseddel vil også i højere grad opfylde behovene hos personer med handicap. Skrifttypen er større og lettere at læse. Der tilføjes logoer for politiske partier for at gøre partierne mere synlige og lettere at finde. Der også ved at blive udviklet en universel skabelon til den nye stemmeseddel til brug for personer med synshandicap. Målet er, at kommunen skal have mindst én skabelon understøttet af en lydboks. Rumænien har også set på, hvordan man kan forenkle papirbaserede stemmesedler ved at reducere dem til et enkelt ark papir, hvilket kan forbedre den generelle tilgængelighed, herunder for vælgere med synshandicap.</w:t>
      </w:r>
      <w:r>
        <w:rPr>
          <w:rStyle w:val="FootnoteReference"/>
          <w:noProof/>
        </w:rPr>
        <w:t>(</w:t>
      </w:r>
      <w:r>
        <w:rPr>
          <w:rStyle w:val="FootnoteReference"/>
          <w:noProof/>
        </w:rPr>
        <w:footnoteReference w:id="84"/>
      </w:r>
      <w:r>
        <w:rPr>
          <w:rStyle w:val="FootnoteReference"/>
          <w:noProof/>
        </w:rPr>
        <w:t>))</w:t>
      </w:r>
    </w:p>
    <w:p w14:paraId="18E8F280" w14:textId="63B5C58E" w:rsidR="00F53BDC" w:rsidRPr="00B42AEB" w:rsidRDefault="0099175B" w:rsidP="006B02A7">
      <w:pPr>
        <w:pStyle w:val="Heading2"/>
        <w:spacing w:before="240" w:after="240"/>
        <w:rPr>
          <w:noProof/>
        </w:rPr>
      </w:pPr>
      <w:bookmarkStart w:id="71" w:name="_Toc148718597"/>
      <w:bookmarkStart w:id="72" w:name="_Toc158707805"/>
      <w:r>
        <w:rPr>
          <w:noProof/>
        </w:rPr>
        <w:t>7.4. Forøgelse af stemmemaskiners tilgængelighed</w:t>
      </w:r>
      <w:bookmarkEnd w:id="71"/>
      <w:bookmarkEnd w:id="72"/>
    </w:p>
    <w:p w14:paraId="389A1358" w14:textId="4B30CDAF" w:rsidR="00353EE9" w:rsidRPr="00B42AEB" w:rsidRDefault="00353EE9" w:rsidP="00B42AEB">
      <w:pPr>
        <w:rPr>
          <w:noProof/>
          <w:bdr w:val="none" w:sz="0" w:space="0" w:color="auto" w:frame="1"/>
        </w:rPr>
      </w:pPr>
      <w:r>
        <w:rPr>
          <w:noProof/>
          <w:bdr w:val="none" w:sz="0" w:space="0" w:color="auto" w:frame="1"/>
        </w:rPr>
        <w:t>Med henblik på lokalvalgene i 2018 og forbundsvalget i 2019 udviklede Belgien et pilotprojekt for at supplere elektroniske afstemningscomputere med et lydmodul, der gør det muligt for synshæmmede at stemme uafhængigt. Dette pilotprojekt blev udviklet i tæt samarbejde med handicaporganisationer og -foreninger, der repræsenterer synshæmmede. Af logistiske årsager kunne dette projekt ikke gennemføres i stor skala.</w:t>
      </w:r>
    </w:p>
    <w:p w14:paraId="1CF6307E" w14:textId="38F06BD7" w:rsidR="00DA1AB1" w:rsidRPr="00B42AEB" w:rsidRDefault="00DA1AB1" w:rsidP="00B42AEB">
      <w:pPr>
        <w:rPr>
          <w:noProof/>
          <w:bdr w:val="none" w:sz="0" w:space="0" w:color="auto" w:frame="1"/>
        </w:rPr>
      </w:pPr>
      <w:r>
        <w:rPr>
          <w:noProof/>
          <w:bdr w:val="none" w:sz="0" w:space="0" w:color="auto" w:frame="1"/>
        </w:rPr>
        <w:t>I Bulgarien er</w:t>
      </w:r>
      <w:r>
        <w:rPr>
          <w:noProof/>
        </w:rPr>
        <w:t xml:space="preserve"> stemmemaskiner blevet obligatoriske på nationale valgsteder og i udlandet, hvor der er mindst 300 vælgere. Grænsefladen består af en berøringsskærm. Efter at en vælger har afgivet en stemme, udskriver enheden et stykke papir som bevis, som vælgeren kan kontrollere. Dette gør det også muligt at foretage en manuel stemmeoptælling, hvis elektronisk lagrede stemmer går tabt. Den bulgarske valglov kræver, at stemmemaskiner udformes, implementeres og vedligeholdes på en måde, der bl.a. sikrer let og forståelig adgang til mekanismer og metoder til maskinstemmeafgivning, herunder forenklet adgang for vælgere med synshandicap eller motoriske handicap.</w:t>
      </w:r>
    </w:p>
    <w:p w14:paraId="2B6B6BE4" w14:textId="3D806DB2" w:rsidR="00357AEF" w:rsidRPr="00B42AEB" w:rsidRDefault="00357AEF" w:rsidP="00B42AEB">
      <w:pPr>
        <w:rPr>
          <w:noProof/>
        </w:rPr>
      </w:pPr>
      <w:r>
        <w:rPr>
          <w:noProof/>
        </w:rPr>
        <w:t>Siden ændringsloven ZVDZ-C trådte i kraft den 20. maj 2017, anvendes der ikke længere stemmemaskiner for vælgere med handicap ved valg og folkeafstemninger i Slovenien.</w:t>
      </w:r>
      <w:r>
        <w:rPr>
          <w:rStyle w:val="FootnoteReference"/>
          <w:noProof/>
        </w:rPr>
        <w:t>(</w:t>
      </w:r>
      <w:r>
        <w:rPr>
          <w:rStyle w:val="FootnoteReference"/>
          <w:noProof/>
        </w:rPr>
        <w:footnoteReference w:id="85"/>
      </w:r>
      <w:r>
        <w:rPr>
          <w:rStyle w:val="FootnoteReference"/>
          <w:noProof/>
        </w:rPr>
        <w:t>))</w:t>
      </w:r>
      <w:r>
        <w:rPr>
          <w:noProof/>
        </w:rPr>
        <w:t xml:space="preserve"> Lovgivningen blev ændret for at sikre, at alle valgsteder er fuldt tilgængelige for personer med handicap. Den lovgivende forsamling fulgte også eksempler fra andre lande</w:t>
      </w:r>
      <w:r>
        <w:rPr>
          <w:rStyle w:val="FootnoteReference"/>
          <w:noProof/>
        </w:rPr>
        <w:t>(</w:t>
      </w:r>
      <w:r>
        <w:rPr>
          <w:rStyle w:val="FootnoteReference"/>
          <w:noProof/>
        </w:rPr>
        <w:footnoteReference w:id="86"/>
      </w:r>
      <w:r>
        <w:rPr>
          <w:rStyle w:val="FootnoteReference"/>
          <w:noProof/>
        </w:rPr>
        <w:t>))</w:t>
      </w:r>
      <w:r>
        <w:rPr>
          <w:noProof/>
        </w:rPr>
        <w:t xml:space="preserve"> og gjorde det muligt for personer med handicap at brevstemme i tillæg til at stemme på valgstederne.</w:t>
      </w:r>
    </w:p>
    <w:p w14:paraId="68D7323C" w14:textId="1FD244B7" w:rsidR="00F1598C" w:rsidRPr="00B42AEB" w:rsidRDefault="0099175B" w:rsidP="006B02A7">
      <w:pPr>
        <w:pStyle w:val="Heading2"/>
        <w:spacing w:before="240" w:after="240"/>
        <w:rPr>
          <w:noProof/>
        </w:rPr>
      </w:pPr>
      <w:bookmarkStart w:id="73" w:name="_Toc148718598"/>
      <w:bookmarkStart w:id="74" w:name="_Toc158707806"/>
      <w:r>
        <w:rPr>
          <w:noProof/>
        </w:rPr>
        <w:t>7.5. Supplerende afstemningsmetoder</w:t>
      </w:r>
      <w:bookmarkEnd w:id="73"/>
      <w:bookmarkEnd w:id="74"/>
    </w:p>
    <w:p w14:paraId="124E64A4" w14:textId="282862A9" w:rsidR="00F1598C" w:rsidRPr="00B42AEB" w:rsidRDefault="00FF48B0" w:rsidP="00B42AEB">
      <w:pPr>
        <w:rPr>
          <w:noProof/>
        </w:rPr>
      </w:pPr>
      <w:r>
        <w:rPr>
          <w:noProof/>
        </w:rPr>
        <w:t>Flere medlemsstater tillader vælgere, der ikke er i stand til at møde op på et valgsted på valgdagen, at stemme på forhånd enten fra deres hjem, fra et hospital (som i Danmark, Malta og Portugal) eller fra et valgsted, der åbnes forud for valgdagen (som i Danmark, Estland, Finland, Letland, Litauen, Malta, Portugal, Slovenien, Sverige, Tyskland og Østrig).</w:t>
      </w:r>
    </w:p>
    <w:p w14:paraId="63FE761A" w14:textId="1F1D16BD" w:rsidR="00FE4F70" w:rsidRPr="00B42AEB" w:rsidRDefault="004E4D77" w:rsidP="00B42AEB">
      <w:pPr>
        <w:rPr>
          <w:noProof/>
        </w:rPr>
      </w:pPr>
      <w:r>
        <w:rPr>
          <w:noProof/>
        </w:rPr>
        <w:t>Personer med handicap har mulighed for at stemme på et tilgængeligt valgsted i flere medlemsstater, f.eks. Belgien, Danmark, Irland, Italien, Letland, Litauen, Rumænien, Tyskland, Ungarn og Østrig</w:t>
      </w:r>
      <w:r>
        <w:rPr>
          <w:rStyle w:val="FootnoteReference"/>
          <w:noProof/>
        </w:rPr>
        <w:t>(</w:t>
      </w:r>
      <w:r>
        <w:rPr>
          <w:rStyle w:val="FootnoteReference"/>
          <w:noProof/>
        </w:rPr>
        <w:footnoteReference w:id="87"/>
      </w:r>
      <w:r>
        <w:rPr>
          <w:rStyle w:val="FootnoteReference"/>
          <w:noProof/>
        </w:rPr>
        <w:t>))</w:t>
      </w:r>
      <w:r>
        <w:rPr>
          <w:noProof/>
        </w:rPr>
        <w:t xml:space="preserve">. I Nederlandene er vælgerne ikke tilknyttet et valgsted. Med deres valgkort kan de stemme på alle valgsteder i deres kommune. Der er særlige valgsteder på hospitaler og/eller andre plejeinstitutioner i medlemsstaterne, f.eks. Estland, Irland, Kroatien, Malta og Nederlandene. </w:t>
      </w:r>
    </w:p>
    <w:p w14:paraId="662BA159" w14:textId="38B438C1" w:rsidR="001D73C2" w:rsidRPr="00B42AEB" w:rsidRDefault="00475B8D" w:rsidP="00B42AEB">
      <w:pPr>
        <w:rPr>
          <w:noProof/>
        </w:rPr>
      </w:pPr>
      <w:r>
        <w:rPr>
          <w:noProof/>
        </w:rPr>
        <w:t xml:space="preserve">Det er muligt at fortovsstemme, dvs. afgive stemme uden for valgstedet enten i stueetagen eller ved indgangen til valgstedet, i nogle medlemsstater (f.eks. Danmark, Kroatien, Slovenien, Sverige og Tjekkiet). </w:t>
      </w:r>
    </w:p>
    <w:p w14:paraId="579CDE2D" w14:textId="3A16FC16" w:rsidR="00637F9E" w:rsidRPr="00B42AEB" w:rsidRDefault="00637F9E" w:rsidP="00B42AEB">
      <w:pPr>
        <w:rPr>
          <w:noProof/>
        </w:rPr>
      </w:pPr>
      <w:r>
        <w:rPr>
          <w:noProof/>
        </w:rPr>
        <w:t>Mobil stemmeafgivning, hvilket indebærer, at en embedsmand i administrationen, der har til opgave at organisere valget, bringer en stemmeurne til vælgerens bopæl (hjem, hospital eller et andet sted), er en metode, der anvendes i flere medlemsstater (f.eks. Bulgarien, Danmark, Estland, Italien, Irland, Kroatien, Letland, Litauen, Portugal, Rumænien, Slovenien, Sverige, Tjekkiet, Ungarn og Østrig). Nogle medlemsstater, herunder Finland, Luxembourg</w:t>
      </w:r>
      <w:r>
        <w:rPr>
          <w:rStyle w:val="FootnoteReference"/>
          <w:noProof/>
        </w:rPr>
        <w:t>(</w:t>
      </w:r>
      <w:r>
        <w:rPr>
          <w:rStyle w:val="FootnoteReference"/>
          <w:noProof/>
        </w:rPr>
        <w:footnoteReference w:id="88"/>
      </w:r>
      <w:r>
        <w:rPr>
          <w:rStyle w:val="FootnoteReference"/>
          <w:noProof/>
        </w:rPr>
        <w:t>))</w:t>
      </w:r>
      <w:r>
        <w:rPr>
          <w:noProof/>
        </w:rPr>
        <w:t>, Italien (visse kommuner), Polen og Portugal tilbyder endda vælgerne, herunder personer med handicap, gratis transport til valgstederne på særlige betingelser. Belgien yder også støtte til transport til valgsteder.</w:t>
      </w:r>
    </w:p>
    <w:p w14:paraId="667B739F" w14:textId="1EEB0EF0" w:rsidR="00E53CB9" w:rsidRPr="00B42AEB" w:rsidRDefault="004E4D77" w:rsidP="00B42AEB">
      <w:pPr>
        <w:rPr>
          <w:noProof/>
        </w:rPr>
      </w:pPr>
      <w:r>
        <w:rPr>
          <w:noProof/>
        </w:rPr>
        <w:t xml:space="preserve">Personer med handicap kan modtage bistand under afstemningsprocessen i alle medlemsstater. Der er visse forskelle med hensyn til, hvem der kan hjælpe vælgeren, og hvilke betingelser vælgeren skal opfylde. I de fleste medlemsstater, f.eks. Belgien, Danmark, Slovenien, Spanien, Sverige, Tyskland, Ungarn og Østrig, kan vælgere med handicap bistås af enhver person, som de har tillid til, uden begrænsninger. </w:t>
      </w:r>
    </w:p>
    <w:p w14:paraId="197C46A5" w14:textId="2259223A" w:rsidR="00F1598C" w:rsidRPr="00B42AEB" w:rsidRDefault="00953CBA" w:rsidP="00B42AEB">
      <w:pPr>
        <w:rPr>
          <w:noProof/>
        </w:rPr>
      </w:pPr>
      <w:r>
        <w:rPr>
          <w:noProof/>
        </w:rPr>
        <w:t>Der kan brevstemmes, enten i landet eller fra udlandet, i 20 medlemsstater. Praksis med hensyn til brevstemme i de enkelte lande varierer i EU. Kun nogle medlemsstater, f.eks. Spanien og Tyskland, tillader alle vælgere at stemme pr. post. I medlemsstater som Irland, Litauen, Nederlandene, Slovenien og Østrig er denne metode begrænset til specifikke grupper såsom vælgere med handicap eller vælgere i udlandet.</w:t>
      </w:r>
    </w:p>
    <w:p w14:paraId="3FA774EC" w14:textId="4472BFE9" w:rsidR="004F42CB" w:rsidRPr="00B42AEB" w:rsidRDefault="00786ACA" w:rsidP="00B42AEB">
      <w:pPr>
        <w:rPr>
          <w:noProof/>
        </w:rPr>
      </w:pPr>
      <w:r>
        <w:rPr>
          <w:noProof/>
        </w:rPr>
        <w:t>Der findes onlineafstemning i Estland, hvor vælgerne kan vælge, om de vil afgive stemme på et valgsted på valgdagen eller afgive deres stemme på et websted i valgperioden. I henhold til den estiske valglov skal afstemningsapplikationen yde støtte til synshæmmede. Dette krav er opfyldt i praksis ved at give denne gruppe mulighed for at udøve sin stemmeret uden bistand.</w:t>
      </w:r>
    </w:p>
    <w:p w14:paraId="48204868" w14:textId="00E40753" w:rsidR="004F42CB" w:rsidRPr="00B42AEB" w:rsidRDefault="004F42CB" w:rsidP="00B42AEB">
      <w:pPr>
        <w:rPr>
          <w:noProof/>
        </w:rPr>
      </w:pPr>
      <w:r>
        <w:rPr>
          <w:noProof/>
        </w:rPr>
        <w:t>I Frankrig anvendes onlineafstemning til at vælge repræsentanter for franske statsborgere, der bor i udlandet, ved parlamentsvalg og konsulære valg. For at kunne stemme online skal franske vælgere officielt have bopæl i udlandet og være registreret på en konsulær valgliste. De skal også være på listen med gyldig e-mailadresse og telefonnummer for at modtage deres brugernavn (pr. e-mail) og deres password (pr. sms). Der kræves ingen anden formalitet.</w:t>
      </w:r>
      <w:r>
        <w:rPr>
          <w:rStyle w:val="FootnoteReference"/>
          <w:noProof/>
        </w:rPr>
        <w:t>(</w:t>
      </w:r>
      <w:r>
        <w:rPr>
          <w:rStyle w:val="FootnoteReference"/>
          <w:noProof/>
        </w:rPr>
        <w:footnoteReference w:id="89"/>
      </w:r>
      <w:r>
        <w:rPr>
          <w:rStyle w:val="FootnoteReference"/>
          <w:noProof/>
        </w:rPr>
        <w:t>))</w:t>
      </w:r>
      <w:r>
        <w:rPr>
          <w:noProof/>
        </w:rPr>
        <w:t xml:space="preserve"> Ved præsidentvalget i 2022 kunne franske vælgere i udlandet stemme online i fem på hinanden følgende dage.  På Europa- og Udenrigsministeriets websted blev der offentliggjort en række spørgsmål og svar, der specifikt vedrørte onlineafstemning.</w:t>
      </w:r>
    </w:p>
    <w:p w14:paraId="198691A1" w14:textId="54F236BD" w:rsidR="004F42CB" w:rsidRPr="00B42AEB" w:rsidRDefault="004F42CB" w:rsidP="00B42AEB">
      <w:pPr>
        <w:rPr>
          <w:noProof/>
        </w:rPr>
      </w:pPr>
      <w:r>
        <w:rPr>
          <w:noProof/>
        </w:rPr>
        <w:t>I 2023 anvendte Tyskland onlineafstemning til sit socialpolitiske valg, hvor der stemmes for at vælge det råd, der fører tilsyn med de nationale sundheds- og pensionsforsikringsfonde. Omkring 22,3 mio. havde mulighed for at stemme enten online eller med traditionelle brevstemmer i løbet af en stemmeafgivningsperiode på 51 dage.</w:t>
      </w:r>
      <w:r>
        <w:rPr>
          <w:rStyle w:val="FootnoteReference"/>
          <w:noProof/>
        </w:rPr>
        <w:t>(</w:t>
      </w:r>
      <w:r>
        <w:rPr>
          <w:rStyle w:val="FootnoteReference"/>
          <w:noProof/>
        </w:rPr>
        <w:footnoteReference w:id="90"/>
      </w:r>
      <w:r>
        <w:rPr>
          <w:rStyle w:val="FootnoteReference"/>
          <w:noProof/>
        </w:rPr>
        <w:t>))</w:t>
      </w:r>
    </w:p>
    <w:p w14:paraId="295D8D84" w14:textId="44C84434" w:rsidR="007E642B" w:rsidRPr="00B42AEB" w:rsidRDefault="007E642B" w:rsidP="00B42AEB">
      <w:pPr>
        <w:rPr>
          <w:noProof/>
        </w:rPr>
      </w:pPr>
      <w:r>
        <w:rPr>
          <w:noProof/>
        </w:rPr>
        <w:t xml:space="preserve">Stemmeafgivning ved stedfortræder anvendes i Belgien, Frankrig, Nederlandene og Polen. I Belgien og Polen er stemmeafgivning ved stedfortræder tilgængelig for vælgere, der ikke er i stand til at nå frem til et valgsted på grund af visse sygdomme eller vanskeligheder, dårligt helbred eller alderdom, som kan omfatte personer med handicap. Alle vælgere kan stemme ved stedfortræder i Frankrig og Nederlandene. Svenske vælgere kan stemme med kurer, hvor en anden person transporterer den stemme, som vælgeren har afgivet, til valgstedet. </w:t>
      </w:r>
    </w:p>
    <w:p w14:paraId="37B80A00" w14:textId="748CCF3F" w:rsidR="00E77382" w:rsidRPr="00B42AEB" w:rsidRDefault="0099175B" w:rsidP="006B02A7">
      <w:pPr>
        <w:pStyle w:val="Heading2"/>
        <w:spacing w:before="240" w:after="240"/>
        <w:rPr>
          <w:noProof/>
        </w:rPr>
      </w:pPr>
      <w:bookmarkStart w:id="75" w:name="_Toc148718599"/>
      <w:bookmarkStart w:id="76" w:name="_Toc158707807"/>
      <w:r>
        <w:rPr>
          <w:noProof/>
        </w:rPr>
        <w:t>7.6. Adgang til valgrelateret tvistbilæggelse</w:t>
      </w:r>
      <w:bookmarkEnd w:id="75"/>
      <w:bookmarkEnd w:id="76"/>
    </w:p>
    <w:p w14:paraId="5D48DAF1" w14:textId="13457737" w:rsidR="00F25CDA" w:rsidRPr="00B42AEB" w:rsidRDefault="009F7081" w:rsidP="00B42AEB">
      <w:pPr>
        <w:rPr>
          <w:noProof/>
        </w:rPr>
      </w:pPr>
      <w:r>
        <w:rPr>
          <w:noProof/>
        </w:rPr>
        <w:t>Flere medlemsstater har indført særlige ordninger for, at personer med handicap kan få adgang til retssystemet, f.eks. ved at stille oplysninger i tilgængelige formater til rådighed eller sørge for specifikke formater, herunder digitale metoder til indgivelse af klager.</w:t>
      </w:r>
      <w:r>
        <w:rPr>
          <w:rStyle w:val="FootnoteReference"/>
          <w:noProof/>
        </w:rPr>
        <w:t>(</w:t>
      </w:r>
      <w:r>
        <w:rPr>
          <w:rStyle w:val="FootnoteReference"/>
          <w:noProof/>
        </w:rPr>
        <w:footnoteReference w:id="91"/>
      </w:r>
      <w:r>
        <w:rPr>
          <w:rStyle w:val="FootnoteReference"/>
          <w:noProof/>
        </w:rPr>
        <w:t>))</w:t>
      </w:r>
      <w:r>
        <w:rPr>
          <w:noProof/>
        </w:rPr>
        <w:t xml:space="preserve"> Tilgængeligheden af valgrelateret tvistbilæggelse indebærer også at sikre, at mekanismer til indgivelse af klager er tilgængelige, og at mødestederne for høringer eller afgørelser også er tilgængelige.</w:t>
      </w:r>
    </w:p>
    <w:p w14:paraId="5CE2F746" w14:textId="25A0AF32" w:rsidR="001559C0" w:rsidRPr="00B42AEB" w:rsidRDefault="00D54ADA" w:rsidP="00B42AEB">
      <w:pPr>
        <w:rPr>
          <w:noProof/>
        </w:rPr>
      </w:pPr>
      <w:r>
        <w:rPr>
          <w:noProof/>
        </w:rPr>
        <w:t xml:space="preserve">Rumænien har som led i sin nationale strategi for rettigheder for personer med handicap forpligtet sig til at offentliggøre skabeloner i tilgængelige formater for anmodninger og klager vedrørende valgrettigheder. Litauen har indført et tilgængeligt informationssystem til forvaltning af valgtvister, som vælgerne kan bruge til at indgive klager. I Spanien kan vælgerne indgive klager over valgsteder, der ikke overholder de retlige tilgængelighedskrav. I Irland behandler de valgtilforordnede alle spørgsmål vedrørende adgang til mødesteder, og de har ansvaret for at gennemføre valghandlinger i hver valgkreds. </w:t>
      </w:r>
    </w:p>
    <w:p w14:paraId="76C6667F" w14:textId="3B5D0876" w:rsidR="00172C0C" w:rsidRPr="00B42AEB" w:rsidRDefault="0099175B" w:rsidP="006B02A7">
      <w:pPr>
        <w:pStyle w:val="Heading2"/>
        <w:spacing w:before="240" w:after="240"/>
        <w:rPr>
          <w:noProof/>
        </w:rPr>
      </w:pPr>
      <w:bookmarkStart w:id="77" w:name="_Toc148718600"/>
      <w:bookmarkStart w:id="78" w:name="_Toc158707808"/>
      <w:r>
        <w:rPr>
          <w:noProof/>
        </w:rPr>
        <w:t>7.7. Indsamling af data om valgdeltagelse af personer med handicap</w:t>
      </w:r>
      <w:bookmarkEnd w:id="77"/>
      <w:bookmarkEnd w:id="78"/>
    </w:p>
    <w:p w14:paraId="34570675" w14:textId="7DE48870" w:rsidR="00172C0C" w:rsidRPr="00B42AEB" w:rsidRDefault="00B56C06" w:rsidP="00B42AEB">
      <w:pPr>
        <w:rPr>
          <w:noProof/>
        </w:rPr>
      </w:pPr>
      <w:r>
        <w:rPr>
          <w:noProof/>
        </w:rPr>
        <w:t>Det er vigtigt at indsamle statistikker om valgdeltagelse af borgere med handicap for at kontrollere, hvor effektivt de kan udøve deres valgrettigheder. Dette kan bidrage til at evaluere de foranstaltninger, der er truffet for personer med handicap, og kan føre til mere effektive løsninger. På samme måde er opdelte data om handicap nyttige til at indgå i EU's og medlemsstaternes oplysningskampagner om valg og øge deres rækkevidde og effektivitet.</w:t>
      </w:r>
    </w:p>
    <w:p w14:paraId="099F74C6" w14:textId="0B002927" w:rsidR="00172C0C" w:rsidRPr="00B42AEB" w:rsidRDefault="008A5EA0" w:rsidP="00B42AEB">
      <w:pPr>
        <w:rPr>
          <w:noProof/>
        </w:rPr>
      </w:pPr>
      <w:r>
        <w:rPr>
          <w:noProof/>
        </w:rPr>
        <w:t>De registreringsprocesser, der anvendes i forbindelse med valg, herunder vælgerregistrering, registrering af kandidater, tildeling af adgang til særlige afstemningsprocedurer eller registrering af vælgernes tilstedeværelse på valgstedet, kan give myndighederne mulighed for at indsamle oplysninger om, i hvilke valgkredse vælgere med handicap bor, hvor mange vælgere med handicap der er i forskellige valgkredse, og hvilken form for tilpasninger de har brug for for at kunne deltage på lige fod med andre vælgere.</w:t>
      </w:r>
    </w:p>
    <w:p w14:paraId="454F813C" w14:textId="1B32B5AE" w:rsidR="00172C0C" w:rsidRPr="00B42AEB" w:rsidRDefault="00172C0C" w:rsidP="00B42AEB">
      <w:pPr>
        <w:rPr>
          <w:rStyle w:val="normaltextrun"/>
          <w:noProof/>
        </w:rPr>
      </w:pPr>
      <w:r>
        <w:rPr>
          <w:noProof/>
        </w:rPr>
        <w:t xml:space="preserve">Indsamling af statistiske data </w:t>
      </w:r>
      <w:r>
        <w:rPr>
          <w:rStyle w:val="normaltextrun"/>
          <w:noProof/>
        </w:rPr>
        <w:t>opdelt efter handicaptype eller gennemførelse af undersøgelser</w:t>
      </w:r>
      <w:r>
        <w:rPr>
          <w:noProof/>
        </w:rPr>
        <w:t xml:space="preserve"> af flere faktorer vedrørende personer med handicap og tilgængelighed ved valgstederne </w:t>
      </w:r>
      <w:r>
        <w:rPr>
          <w:rStyle w:val="normaltextrun"/>
          <w:noProof/>
        </w:rPr>
        <w:t>kan hjælpe valgmyndighederne med at fordele deres ressourcer mere effektivt. Samling af ressourcer og data fra alle relevante myndigheder, herunder ved at kombinere statistiske oplysninger med administrative data om handicap og inklusion, giver et mere nøjagtigt billede af den støtte, som personer med handicap har brug for til effektivt at udøve deres valgrettigheder.</w:t>
      </w:r>
    </w:p>
    <w:p w14:paraId="141DB299" w14:textId="0C6FFE85" w:rsidR="001D31EC" w:rsidRPr="00B42AEB" w:rsidRDefault="006C4C6A" w:rsidP="00B42AEB">
      <w:pPr>
        <w:rPr>
          <w:rStyle w:val="normaltextrun"/>
          <w:noProof/>
        </w:rPr>
      </w:pPr>
      <w:r>
        <w:rPr>
          <w:rStyle w:val="normaltextrun"/>
          <w:noProof/>
        </w:rPr>
        <w:t xml:space="preserve">Enhver behandling af personoplysninger skal ske i fuld overensstemmelse med den generelle forordning om databeskyttelse (GDPR). Helbredsoplysninger, såsom personoplysninger om personens handicap, er en særlig kategori af personoplysninger, der er omfattet af særlig beskyttelse i henhold til nævnte forordning. </w:t>
      </w:r>
    </w:p>
    <w:p w14:paraId="1737BA7A" w14:textId="33ECCE9C" w:rsidR="005F5DD5" w:rsidRPr="00B42AEB" w:rsidRDefault="00172C0C" w:rsidP="00B42AEB">
      <w:pPr>
        <w:rPr>
          <w:noProof/>
        </w:rPr>
      </w:pPr>
      <w:r>
        <w:rPr>
          <w:rStyle w:val="normaltextrun"/>
          <w:noProof/>
        </w:rPr>
        <w:t>Rumænien indsamler f.eks. data om personer med handicaps deltagelse i valg ved at sammenligne antallet af personer med en handicapattest og antallet af vælgere. Dette er baseret på en formaliseret aftale mellem den permanente valgmyndighed og den nationale myndighed for rettigheder for personer med handicap, og den sikrer overholdelse af databeskyttelseskravene.</w:t>
      </w:r>
    </w:p>
    <w:p w14:paraId="161DA235" w14:textId="599E484A" w:rsidR="00172C0C" w:rsidRPr="00B42AEB" w:rsidRDefault="00172C0C" w:rsidP="00B42AEB">
      <w:pPr>
        <w:rPr>
          <w:noProof/>
        </w:rPr>
      </w:pPr>
      <w:r>
        <w:rPr>
          <w:noProof/>
        </w:rPr>
        <w:t>Sverige indsamler statistiske data om handicappedes deltagelse i valg (som vist i figuren nedenfor).</w:t>
      </w:r>
    </w:p>
    <w:p w14:paraId="09E482B4" w14:textId="08BFDF48" w:rsidR="00172C0C" w:rsidRPr="00B42AEB" w:rsidRDefault="00E317F7" w:rsidP="00B7011F">
      <w:pPr>
        <w:jc w:val="center"/>
        <w:rPr>
          <w:noProof/>
        </w:rPr>
      </w:pPr>
      <w:r>
        <w:rPr>
          <w:noProof/>
          <w:lang w:val="en-GB" w:eastAsia="en-GB"/>
        </w:rPr>
        <w:drawing>
          <wp:inline distT="0" distB="0" distL="0" distR="0" wp14:anchorId="43E57A57" wp14:editId="09DCED85">
            <wp:extent cx="2506499" cy="5232400"/>
            <wp:effectExtent l="0" t="0" r="8255"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510919" cy="5241627"/>
                    </a:xfrm>
                    <a:prstGeom prst="rect">
                      <a:avLst/>
                    </a:prstGeom>
                  </pic:spPr>
                </pic:pic>
              </a:graphicData>
            </a:graphic>
          </wp:inline>
        </w:drawing>
      </w:r>
      <w:r w:rsidR="007013F9">
        <w:rPr>
          <w:noProof/>
          <w:lang w:val="en-GB" w:eastAsia="en-GB"/>
        </w:rPr>
        <w:drawing>
          <wp:inline distT="0" distB="0" distL="0" distR="0" wp14:anchorId="208E20B2" wp14:editId="5D59FD60">
            <wp:extent cx="3133521" cy="5276850"/>
            <wp:effectExtent l="0" t="0" r="0" b="0"/>
            <wp:docPr id="90" name="Picture 90" descr="En graf med tekst. Den viser valgdeltagelsen ved parlamentsvalget 2018 i Sverige for forskellige grupper (hørehæmmede, synshæmmede, personer med handicap, astma, allergi, ordblindhed, evne til at udføre aktiviteter, psykisk sygdom os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3146531" cy="5298758"/>
                    </a:xfrm>
                    <a:prstGeom prst="rect">
                      <a:avLst/>
                    </a:prstGeom>
                  </pic:spPr>
                </pic:pic>
              </a:graphicData>
            </a:graphic>
          </wp:inline>
        </w:drawing>
      </w:r>
    </w:p>
    <w:p w14:paraId="719367FF" w14:textId="7CF95311" w:rsidR="00172C0C" w:rsidRPr="00B42AEB" w:rsidRDefault="00172C0C" w:rsidP="00B42AEB">
      <w:pPr>
        <w:rPr>
          <w:noProof/>
        </w:rPr>
      </w:pPr>
      <w:r>
        <w:rPr>
          <w:noProof/>
        </w:rPr>
        <w:t>Flere medlemsstater, såsom Spanien og Ungarn, indsamler data om vælgere, der anmoder om adgang til særlige afstemningsordninger. Siden 2016. Litauen har ført et elektronisk register over personer med ret til at stemme i hjemmet, herunder vælgere med handicap og over 70 år. I Luxembourg er indsamlingen af sådanne data særlig relevant, da deltagelse i valg er obligatorisk for alle registrerede vælgere, indtil de fylder 75 år. Luxembourg gennemfører også undersøgelser for at indsamle data om flere faktorer vedrørende personer med handicap og valgs tilgængelighed.</w:t>
      </w:r>
    </w:p>
    <w:p w14:paraId="06035948" w14:textId="32CCA47C" w:rsidR="00DC6D28" w:rsidRPr="00B42AEB" w:rsidRDefault="0099175B" w:rsidP="006B02A7">
      <w:pPr>
        <w:pStyle w:val="Heading2"/>
        <w:spacing w:before="240" w:after="240"/>
        <w:rPr>
          <w:noProof/>
        </w:rPr>
      </w:pPr>
      <w:bookmarkStart w:id="79" w:name="_Toc148718601"/>
      <w:bookmarkStart w:id="80" w:name="_Toc158707809"/>
      <w:r>
        <w:rPr>
          <w:noProof/>
        </w:rPr>
        <w:t>7.8. Overvågning og vurdering af valgs tilgængelighed</w:t>
      </w:r>
      <w:bookmarkEnd w:id="79"/>
      <w:bookmarkEnd w:id="80"/>
    </w:p>
    <w:p w14:paraId="7481BD36" w14:textId="085B858E" w:rsidR="005F78F7" w:rsidRPr="00B42AEB" w:rsidRDefault="005F5DD5" w:rsidP="00B42AEB">
      <w:pPr>
        <w:rPr>
          <w:noProof/>
        </w:rPr>
      </w:pPr>
      <w:r>
        <w:rPr>
          <w:noProof/>
        </w:rPr>
        <w:t>Perioden efter et valg bruges normalt på at se på resultaterne med hensyn til at gennemføre gnidningsløse og troværdige valg og vurdere, hvordan reglerne blev gennemført, og hvilke ressourcer der blev anvendt. Flere medlemsstater (Litauen, Rumænien og Sverige) kræver navnlig, at valgmyndighederne vurderer, hvordan valgprocessen blev gennemført. Irlands nye valgkommission har et lovgivningsmæssigt mandat til at foretage vurderinger af begivenhederne efter valget. Disse vurderinger vil undersøge valgtilforordnedes og formændenes (som fører tilsyn med valgstederne ved en afstemning) støtte til at gøre det lettere for blinde, umyndiggjorte og analfabetiske vælgere at stemme på valgstederne. Spanien udarbejder spørgeskemaer for at vurdere valgets overensstemmelse med tilgængelighedskravene og tilgængelighedsrapporter efter hver valgproces. Medlemsstaten udpeger tilgængelighedsansvarlige for valget i hver regeringsdelegation (19) og subdelegation (52), som er ansvarlige for tilgængelighed i alle valgprocesser, fungerer som samtalepartnere for indenrigsministeriet og foretager hurtig opfølgning på alle hændelser i forbindelse med valgtilgængelighed. Nederlandene foretager lignende vurderinger og undersøgelser efter valget. I Nederlandene kan vælgerne bruge hotlinen "Ubegrænset Afstemning" (</w:t>
      </w:r>
      <w:r>
        <w:rPr>
          <w:i/>
          <w:noProof/>
        </w:rPr>
        <w:t>Meldpunt Onbeperkt Stemmen</w:t>
      </w:r>
      <w:r>
        <w:rPr>
          <w:noProof/>
        </w:rPr>
        <w:t>) til at indberette positive eller negative erfaringer og fremsætte forslag til at forbedre valgs tilgængelighed.</w:t>
      </w:r>
    </w:p>
    <w:p w14:paraId="1A63EBAC" w14:textId="1418B714" w:rsidR="005F78F7" w:rsidRPr="00B42AEB" w:rsidRDefault="005F78F7" w:rsidP="00B42AEB">
      <w:pPr>
        <w:rPr>
          <w:noProof/>
        </w:rPr>
      </w:pPr>
      <w:r>
        <w:rPr>
          <w:noProof/>
        </w:rPr>
        <w:t>I Frankrig overvåges valgs tilgængelighed under valget og vurderes efter valget. Overvågningen under valget foretages af et uafhængigt organ, det nationale rådgivende råd for personer med handicap, og af civilsamfundsorganisationer. Deres vurderinger offentliggøres online</w:t>
      </w:r>
      <w:r>
        <w:rPr>
          <w:rStyle w:val="FootnoteReference"/>
          <w:noProof/>
        </w:rPr>
        <w:t>(</w:t>
      </w:r>
      <w:r>
        <w:rPr>
          <w:rStyle w:val="FootnoteReference"/>
          <w:noProof/>
        </w:rPr>
        <w:footnoteReference w:id="92"/>
      </w:r>
      <w:r>
        <w:rPr>
          <w:rStyle w:val="FootnoteReference"/>
          <w:noProof/>
        </w:rPr>
        <w:t>))</w:t>
      </w:r>
      <w:r>
        <w:rPr>
          <w:noProof/>
        </w:rPr>
        <w:t>. Efter valget vurderer indenrigsministeriet med ansvar for afholdelse af valg og den nationale komité for personer med handicap sammen med civilsamfundsorganisationer og politiske partier, hvad der har fungeret med valgtilrettelæggelsen, og hvad der kan forbedres inden det næste valg.</w:t>
      </w:r>
    </w:p>
    <w:p w14:paraId="2C472F62" w14:textId="47116067" w:rsidR="005F5DD5" w:rsidRPr="00B42AEB" w:rsidRDefault="00E7413F" w:rsidP="00B42AEB">
      <w:pPr>
        <w:rPr>
          <w:noProof/>
        </w:rPr>
      </w:pPr>
      <w:r>
        <w:rPr>
          <w:noProof/>
        </w:rPr>
        <w:t>Kommissionen udsender også en rapport efter hvert valg til Europa-Parlamentet, som omfatter de problemer, som personer med handicap står over for.</w:t>
      </w:r>
    </w:p>
    <w:p w14:paraId="245760E7" w14:textId="61042173" w:rsidR="008D65A6" w:rsidRPr="00B42AEB" w:rsidRDefault="00DE389B" w:rsidP="006B02A7">
      <w:pPr>
        <w:pStyle w:val="Heading1"/>
        <w:spacing w:before="360" w:after="240" w:line="288" w:lineRule="auto"/>
        <w:rPr>
          <w:noProof/>
        </w:rPr>
      </w:pPr>
      <w:bookmarkStart w:id="81" w:name="_Toc148718602"/>
      <w:bookmarkStart w:id="82" w:name="_Toc158707810"/>
      <w:r>
        <w:rPr>
          <w:noProof/>
        </w:rPr>
        <w:t>8. Afsluttende betragtninger</w:t>
      </w:r>
      <w:bookmarkEnd w:id="81"/>
      <w:bookmarkEnd w:id="82"/>
    </w:p>
    <w:p w14:paraId="0F9EDE65" w14:textId="01F896D2" w:rsidR="005B346B" w:rsidRPr="00B42AEB" w:rsidRDefault="00304616" w:rsidP="006B02A7">
      <w:pPr>
        <w:rPr>
          <w:noProof/>
        </w:rPr>
      </w:pPr>
      <w:r>
        <w:rPr>
          <w:noProof/>
        </w:rPr>
        <w:t>Ligestilling og ikke-forskelsbehandling samt integration af personer med handicap er centrale værdier i EU og udgør grundlæggende rettigheder i henhold til EU's charter om grundlæggende rettigheder. For at fremme en Union med lige muligheder fremlagde Kommissionen i marts 2021 en ny ambitiøs strategi for rettigheder for personer med handicap for 2021-2030. Strategien har til formål at forbedre tilværelsen for personer med handicap, herunder at sikre, at de kan deltage i valg på lige fod.</w:t>
      </w:r>
    </w:p>
    <w:p w14:paraId="0ABD5CCB" w14:textId="4A89009F" w:rsidR="00972F59" w:rsidRPr="00B42AEB" w:rsidRDefault="00972F59" w:rsidP="00B42AEB">
      <w:pPr>
        <w:rPr>
          <w:noProof/>
        </w:rPr>
      </w:pPr>
      <w:r>
        <w:rPr>
          <w:noProof/>
        </w:rPr>
        <w:t xml:space="preserve">Selv om medlemsstaterne i stigende grad har anerkendt og taget hensyn til betydningen af at sikre lige adgang til valg for borgere med handicap, har EU også vedtaget adskillige retsakter om tilgængelighed og standarder, der kan være nyttige som referencer, når tilgængelighedsfunktioner indarbejdes i forskellige faser af valgprocesserne. </w:t>
      </w:r>
    </w:p>
    <w:p w14:paraId="77EC65B2" w14:textId="38BE9ADB" w:rsidR="004D28B3" w:rsidRPr="00B42AEB" w:rsidRDefault="0044004C" w:rsidP="00B42AEB">
      <w:pPr>
        <w:rPr>
          <w:noProof/>
        </w:rPr>
      </w:pPr>
      <w:r>
        <w:rPr>
          <w:noProof/>
        </w:rPr>
        <w:t xml:space="preserve">Denne vejledning i god valgpraksis er udarbejdet for at støtte medlemsstaternes udveksling af god praksis og ekspertise og mere generelt for at støtte deres bestræbelser på at sikre, at borgere med handicap kan udøve deres valgrettigheder effektivt. </w:t>
      </w:r>
    </w:p>
    <w:p w14:paraId="63B0EE08" w14:textId="67DECDAC" w:rsidR="00430C8E" w:rsidRPr="00B42AEB" w:rsidRDefault="00CE304F" w:rsidP="00B42AEB">
      <w:pPr>
        <w:rPr>
          <w:noProof/>
        </w:rPr>
      </w:pPr>
      <w:r>
        <w:rPr>
          <w:noProof/>
        </w:rPr>
        <w:t>De vigtigste foranstaltninger, som medlemsstaterne har truffet, omfatter</w:t>
      </w:r>
      <w:r>
        <w:rPr>
          <w:rStyle w:val="FootnoteReference"/>
          <w:noProof/>
        </w:rPr>
        <w:t>(</w:t>
      </w:r>
      <w:r>
        <w:rPr>
          <w:rStyle w:val="FootnoteReference"/>
          <w:noProof/>
        </w:rPr>
        <w:footnoteReference w:id="93"/>
      </w:r>
      <w:r>
        <w:rPr>
          <w:rStyle w:val="FootnoteReference"/>
          <w:noProof/>
        </w:rPr>
        <w:t>))</w:t>
      </w:r>
      <w:r>
        <w:rPr>
          <w:noProof/>
        </w:rPr>
        <w:t>:</w:t>
      </w:r>
    </w:p>
    <w:p w14:paraId="15A88BBD" w14:textId="706C8D0F" w:rsidR="00430C8E" w:rsidRPr="00B42AEB" w:rsidRDefault="00CC0FB4" w:rsidP="002D36F0">
      <w:pPr>
        <w:pStyle w:val="ListParagraph"/>
        <w:numPr>
          <w:ilvl w:val="0"/>
          <w:numId w:val="9"/>
        </w:numPr>
        <w:rPr>
          <w:noProof/>
        </w:rPr>
      </w:pPr>
      <w:r>
        <w:rPr>
          <w:noProof/>
        </w:rPr>
        <w:t>metoder til tidlig stemmeafgivning og alternative afstemningsprocedurer, herunder forudgående personlig stemmeafgivning, brevstemme, onlineafstemning, mobil stemmeafgivning, fortovsafstemning, ændring eller valg af valgsteder og stemmeafgivning ved bistand fra en person efter eget valg</w:t>
      </w:r>
    </w:p>
    <w:p w14:paraId="7E059B89" w14:textId="05C8EB8A" w:rsidR="00430C8E" w:rsidRPr="00B42AEB" w:rsidRDefault="00CC0FB4" w:rsidP="002D36F0">
      <w:pPr>
        <w:pStyle w:val="ListParagraph"/>
        <w:numPr>
          <w:ilvl w:val="0"/>
          <w:numId w:val="9"/>
        </w:numPr>
        <w:rPr>
          <w:noProof/>
        </w:rPr>
      </w:pPr>
      <w:r>
        <w:rPr>
          <w:noProof/>
        </w:rPr>
        <w:t>indførelse af særlige afstemningsordninger for at sikre, at personer, der bor på plejeinstitutioner eller institutioner for langtidspleje eller opholder sig på hospitaler, eller personer, der ikke kan forlade deres hjem, ikke mister deres stemmeret, med særlig vægt på lukkede døgninstitutioner</w:t>
      </w:r>
    </w:p>
    <w:p w14:paraId="382CDAB8" w14:textId="1104F32D" w:rsidR="00430C8E" w:rsidRPr="00B42AEB" w:rsidRDefault="00CC0FB4" w:rsidP="002D36F0">
      <w:pPr>
        <w:pStyle w:val="ListParagraph"/>
        <w:numPr>
          <w:ilvl w:val="0"/>
          <w:numId w:val="9"/>
        </w:numPr>
        <w:rPr>
          <w:noProof/>
        </w:rPr>
      </w:pPr>
      <w:r>
        <w:rPr>
          <w:noProof/>
        </w:rPr>
        <w:t>tilrådighedsstillelse af en bred vifte af hjælpemidler såsom punktskrift, QR-koder, stor skrift, lydguide og letlæselige guider, punktskriftkuverter, taktile stenciler, forstørrelsesglas, ekstra belysning, skriveredskaber og stempler</w:t>
      </w:r>
    </w:p>
    <w:p w14:paraId="51486EF5" w14:textId="77777777" w:rsidR="00C347D9" w:rsidRPr="00B42AEB" w:rsidRDefault="00F97CAE" w:rsidP="002D36F0">
      <w:pPr>
        <w:pStyle w:val="ListParagraph"/>
        <w:numPr>
          <w:ilvl w:val="0"/>
          <w:numId w:val="9"/>
        </w:numPr>
        <w:rPr>
          <w:noProof/>
        </w:rPr>
      </w:pPr>
      <w:r>
        <w:rPr>
          <w:noProof/>
        </w:rPr>
        <w:t>standarder for ydelse af menneskelig støtte gennem telefon eller tegnsprog og levering af tilgængelig transport til valgstedet</w:t>
      </w:r>
    </w:p>
    <w:p w14:paraId="3659EEF3" w14:textId="0BEF2417" w:rsidR="007320FD" w:rsidRPr="00B42AEB" w:rsidRDefault="00430C8E" w:rsidP="002D36F0">
      <w:pPr>
        <w:pStyle w:val="ListParagraph"/>
        <w:numPr>
          <w:ilvl w:val="0"/>
          <w:numId w:val="9"/>
        </w:numPr>
        <w:rPr>
          <w:noProof/>
        </w:rPr>
      </w:pPr>
      <w:r>
        <w:rPr>
          <w:noProof/>
        </w:rPr>
        <w:t>forenklede procedurer for anmodning om tilpasning.</w:t>
      </w:r>
    </w:p>
    <w:p w14:paraId="6C1F5A83" w14:textId="53ADCCFE" w:rsidR="00CD0249" w:rsidRPr="00B42AEB" w:rsidRDefault="00A01F39" w:rsidP="00B42AEB">
      <w:pPr>
        <w:rPr>
          <w:noProof/>
        </w:rPr>
      </w:pPr>
      <w:r>
        <w:rPr>
          <w:noProof/>
        </w:rPr>
        <w:t xml:space="preserve">Der kan ydes mere støtte til en praksis, der fokuserer på at sikre, at personer med handicap kan stemme uafhængigt og i hemmelighed, f.eks. ved at anvende en punktskriftskabelon, der kan placeres over stemmesedlen til at afgive stemme. Dette </w:t>
      </w:r>
      <w:bookmarkStart w:id="84" w:name="_Hlk151657166"/>
      <w:r>
        <w:rPr>
          <w:noProof/>
        </w:rPr>
        <w:t>kunne</w:t>
      </w:r>
      <w:bookmarkEnd w:id="84"/>
      <w:r>
        <w:rPr>
          <w:noProof/>
        </w:rPr>
        <w:t xml:space="preserve"> supplere praksis, der gør det muligt for vælgerne at blive bistået af andre personer, når de afgiver deres stemme.</w:t>
      </w:r>
    </w:p>
    <w:p w14:paraId="115862F8" w14:textId="130D9C4B" w:rsidR="006837E1" w:rsidRPr="00B42AEB" w:rsidRDefault="007F753B" w:rsidP="00B42AEB">
      <w:pPr>
        <w:rPr>
          <w:noProof/>
        </w:rPr>
      </w:pPr>
      <w:r>
        <w:rPr>
          <w:noProof/>
        </w:rPr>
        <w:t>De nationale myndigheder kan også overveje at tage yderligere hensyn til de specifikke behov hos borgere, der lever med mentale sygdomme, som kan påvirke deres oplevelse af at stemme, herunder depression og angst, hvad enten de er langsigtede eller midlertidige</w:t>
      </w:r>
      <w:r>
        <w:rPr>
          <w:rStyle w:val="FootnoteReference"/>
          <w:noProof/>
        </w:rPr>
        <w:t>(</w:t>
      </w:r>
      <w:r>
        <w:rPr>
          <w:rStyle w:val="FootnoteReference"/>
          <w:noProof/>
        </w:rPr>
        <w:footnoteReference w:id="94"/>
      </w:r>
      <w:r>
        <w:rPr>
          <w:rStyle w:val="FootnoteReference"/>
          <w:noProof/>
        </w:rPr>
        <w:t>))</w:t>
      </w:r>
      <w:r>
        <w:rPr>
          <w:noProof/>
        </w:rPr>
        <w:t xml:space="preserve">. </w:t>
      </w:r>
      <w:bookmarkStart w:id="85" w:name="_Hlk128656389"/>
    </w:p>
    <w:bookmarkEnd w:id="85"/>
    <w:p w14:paraId="356F2B44" w14:textId="6C15BAE7" w:rsidR="00F95C1A" w:rsidRPr="00B42AEB" w:rsidRDefault="006837E1" w:rsidP="00B42AEB">
      <w:pPr>
        <w:rPr>
          <w:noProof/>
        </w:rPr>
      </w:pPr>
      <w:r>
        <w:rPr>
          <w:noProof/>
        </w:rPr>
        <w:t>Tilgængelighed går videre end praktiske foranstaltninger. Det omfatter det sociale miljø, hvor personer deltager i valgprocessen. Der er behov for yderligere forskning i dette fænomen. Yderligere arbejde og politiske foranstaltninger kan også overvejes med hensyn til, hvordan personalet på valgstederne kan støtte borgere med handicap (ud over at hjælpe dem, når de bliver spurgt), og hvordan de kan skabe et inklusivt miljø. Eksempler herpå omfatter sprogvejledning (som fremhævet i Frankrigs vejledning til medier) i forbindelse med kommunikation med borgere med handicap, som er vælgere eller kandidater, foranstaltninger til at skabe et socialt miljø til støtte for politisk deltagelse, navnlig for politiske kandidater</w:t>
      </w:r>
      <w:r>
        <w:rPr>
          <w:rStyle w:val="FootnoteReference"/>
          <w:noProof/>
        </w:rPr>
        <w:t>(</w:t>
      </w:r>
      <w:r>
        <w:rPr>
          <w:rStyle w:val="FootnoteReference"/>
          <w:noProof/>
        </w:rPr>
        <w:footnoteReference w:id="95"/>
      </w:r>
      <w:r>
        <w:rPr>
          <w:rStyle w:val="FootnoteReference"/>
          <w:noProof/>
        </w:rPr>
        <w:t>))</w:t>
      </w:r>
      <w:r>
        <w:rPr>
          <w:noProof/>
        </w:rPr>
        <w:t>, og oprettelse af netværk, mentorordninger og kanaler, der informerer borgere med handicap om disse muligheder og støtter deres valgdeltagelse.</w:t>
      </w:r>
    </w:p>
    <w:p w14:paraId="634264B2" w14:textId="7633CC60" w:rsidR="0087128C" w:rsidRPr="00B42AEB" w:rsidRDefault="00F95C1A" w:rsidP="00B42AEB">
      <w:pPr>
        <w:rPr>
          <w:noProof/>
        </w:rPr>
      </w:pPr>
      <w:r>
        <w:rPr>
          <w:noProof/>
        </w:rPr>
        <w:t>Klart sprog og tilgængeligt kommunikationsmateriale er også vigtigt for at bekæmpe misinformation og desinformation, da personer med handicap kan være særligt udsatte. Covid-19-pandemien førte til ændringer i afstemningsprocedurerne, såsom øget brug af brevstemme eller fjernafstemning, hvilket kan have ført til udvikling af praksis til støtte for valgtilgængelighed for personer med handicap.</w:t>
      </w:r>
    </w:p>
    <w:p w14:paraId="43AA3D6D" w14:textId="5E8C51AD" w:rsidR="004B1282" w:rsidRPr="00B42AEB" w:rsidRDefault="00781643" w:rsidP="00B42AEB">
      <w:pPr>
        <w:rPr>
          <w:noProof/>
        </w:rPr>
      </w:pPr>
      <w:r>
        <w:rPr>
          <w:noProof/>
        </w:rPr>
        <w:t xml:space="preserve">Oplysningskampagner og andre bevidstgørelsestiltag vedrørende valgrettigheder for personer med handicap kan udvikles yderligere for at støtte den generelle bevidsthed blandt valgtilforordnede, valgobservatører, politiske partier og offentligheden generelt. Der er en grad af bevidsthed i officielle dokumenter, da der er flere eksempler på vejledning i brugen af specifikt sprog og kategorier, herunder vejledning til valgarrangører, hvilket synes at være at foretrække. Dette omfatter information om, hvilke typer handicap der falder ind under kategorien "borgere med handicap", og udvikling af disse oplysninger i samarbejde med organisationer, der repræsenterer personer med handicap (som det er tilfældet i Belgien, Finland og Letland). </w:t>
      </w:r>
    </w:p>
    <w:p w14:paraId="76A5EB90" w14:textId="57A87F3D" w:rsidR="006837E1" w:rsidRPr="00B42AEB" w:rsidRDefault="00AA3E79" w:rsidP="00B42AEB">
      <w:pPr>
        <w:rPr>
          <w:noProof/>
        </w:rPr>
      </w:pPr>
      <w:r>
        <w:rPr>
          <w:noProof/>
        </w:rPr>
        <w:t>Effektive uddannelseskurser omfatter aspekter som f.eks. at give et overblik over valgrettigheder for personer med handicap, tilgængelig afstemningspraksis og -steder, rimelige tilpasninger, der er tilgængelige for personer med handicap, hvordan vælgere med handicap støttes og beredskabsplaner, hvis der opstår problemer. Desuden kan kurserne omfatte selvvurdering, test og certificering for at identificere blinde vinkler eller manglende forståelse af oplysningerne. Et godt eksempel herpå kommer fra Danmark, hvor valgtilforordnede (og andre) tager en quiz for at kontrollere deres kendskab til oplysningerne.</w:t>
      </w:r>
    </w:p>
    <w:p w14:paraId="58D5BCDF" w14:textId="64EA9478" w:rsidR="00594214" w:rsidRPr="00B42AEB" w:rsidRDefault="00594214" w:rsidP="00B42AEB">
      <w:pPr>
        <w:rPr>
          <w:noProof/>
        </w:rPr>
      </w:pPr>
      <w:r>
        <w:rPr>
          <w:noProof/>
        </w:rPr>
        <w:t>Når det er muligt, kan de foranstaltninger, der gennemføres, sikre, at borgere med handicap har en valgoplevelse, der er så sammenlignelig som muligt med andre borgeres. Dette kan gå videre end blot at give adgang i en eller anden form. Som eksempler kan nævnes at have et automatisk valgregister (som i de fleste medlemsstater), således at det ikke er nødvendigt at "tilvælge" stemmeretten, eller forenklede registreringsprocedurer som f.eks. i Irland og at indføre flere tilgængelighedsforanstaltninger på valgstederne frem for alternative former for stemmeafgivning (såsom brevstemme), der ikke giver en følelse af deltagelse i det offentlige liv i samme omfang. Dette kan også omfatte genskabelse af en valgstedsatmosfære i andre sammenhænge, f.eks. ved at gøre det muligt for borgere med handicap, der bor på plejeinstitutioner, at stemme på en bestemt dag i deres eget miljø (f.eks. de "lukkede valgsteder" i Polen).</w:t>
      </w:r>
    </w:p>
    <w:p w14:paraId="57B3EB97" w14:textId="640A1ED5" w:rsidR="0093702C" w:rsidRPr="00B42AEB" w:rsidRDefault="0093702C" w:rsidP="00B42AEB">
      <w:pPr>
        <w:rPr>
          <w:noProof/>
        </w:rPr>
      </w:pPr>
      <w:r>
        <w:rPr>
          <w:noProof/>
        </w:rPr>
        <w:t>De nuværende datasæt omfatter ikke specifikt de problemer, som borgere med handicap kan stå over for, når de udøver deres valgrettigheder. Indsamling af flere statistiske oplysninger om borgere med handicap (som i Sverige og Rumænien) vil give myndighederne en bedre forståelse af, hvordan valgoplevelser kan variere afhængigt af former for handicap, og hvordan disse oplysninger kan anvendes til i fællesskab at udforme forskningsprojekter, der tilpasser dataindsamlingen til dem. Gode eksempler omfatter afprøvning af nye stemmeredskaber/-teknologier med inddragelse af borgere med forskellige tilgængelighedsbehov til at undersøge potentielle utilsigtede konsekvenser eller uopfyldte behov og udformning af kvantitative instrumenter, der gør det muligt at aggregere og analysere resultater på grundlag af forskellige typer handicap, ved hjælp af kvalitative forskningsresultater, der giver indgående indsigt i personers oplevede erfaringer, for bedre at forstå, hvordan de ønsker at deltage i det offentlige og politiske liv. Enhver behandling af personoplysninger til statistiske formål skal ske i fuld overensstemmelse med GDPR.</w:t>
      </w:r>
    </w:p>
    <w:p w14:paraId="1ABB8BC2" w14:textId="1D8FFAF9" w:rsidR="00594214" w:rsidRPr="00B42AEB" w:rsidRDefault="00594214" w:rsidP="00B42AEB">
      <w:pPr>
        <w:rPr>
          <w:noProof/>
        </w:rPr>
      </w:pPr>
      <w:r>
        <w:rPr>
          <w:noProof/>
        </w:rPr>
        <w:t>For effektivt at opfylde behovene hos borgere med handicap i forbindelse med valg kan der anvendes standardforanstaltninger til at vurdere både, i hvilket omfang der er uligheder i adgangen til at stemme, og effektiviteten af eventuelle løsninger, der træffes for at mindske disse uligheder.</w:t>
      </w:r>
    </w:p>
    <w:p w14:paraId="379BF075" w14:textId="79CEBA37" w:rsidR="00A7320F" w:rsidRPr="00B42AEB" w:rsidRDefault="000006E3" w:rsidP="00B42AEB">
      <w:pPr>
        <w:rPr>
          <w:noProof/>
        </w:rPr>
      </w:pPr>
      <w:r>
        <w:rPr>
          <w:noProof/>
        </w:rPr>
        <w:t xml:space="preserve">Repræsentative organisationer for personer med handicap kan høres, når der udarbejdes foranstaltninger, der har til formål at støtte deltagelse i valg for personer med handicap. </w:t>
      </w:r>
    </w:p>
    <w:p w14:paraId="7EF9687E" w14:textId="77777777" w:rsidR="004638ED" w:rsidRPr="00B42AEB" w:rsidRDefault="003B4818" w:rsidP="00B42AEB">
      <w:pPr>
        <w:rPr>
          <w:noProof/>
        </w:rPr>
      </w:pPr>
      <w:r>
        <w:rPr>
          <w:noProof/>
        </w:rPr>
        <w:t>Kommissionen vil i december 2024 fremsætte henstillinger vedrørende inklusive og modstandsdygtige valgprocesser i Unionen, herunder foranstaltninger til at fremme tilgængeligheden af valg for personer med handicap</w:t>
      </w:r>
      <w:r>
        <w:rPr>
          <w:rStyle w:val="Heading1Char"/>
          <w:bCs/>
          <w:noProof/>
          <w:shd w:val="clear" w:color="auto" w:fill="FFFFFF"/>
        </w:rPr>
        <w:t>.</w:t>
      </w:r>
      <w:r>
        <w:rPr>
          <w:noProof/>
        </w:rPr>
        <w:t xml:space="preserve"> </w:t>
      </w:r>
    </w:p>
    <w:p w14:paraId="31BD6C46" w14:textId="15E6B275" w:rsidR="00BC3993" w:rsidRPr="00B42AEB" w:rsidRDefault="007013F9" w:rsidP="00B42AEB">
      <w:pPr>
        <w:rPr>
          <w:noProof/>
        </w:rPr>
      </w:pPr>
      <w:r>
        <w:rPr>
          <w:noProof/>
        </w:rPr>
        <w:t xml:space="preserve">Der vil blive ført yderligere drøftelser om spørgsmålet om handicapinkluderende valg inden for rammerne af det europæiske valgsamarbejdsnetværk. </w:t>
      </w:r>
    </w:p>
    <w:p w14:paraId="33EFA13E" w14:textId="1A12ECB5" w:rsidR="00963BCC" w:rsidRPr="00B42AEB" w:rsidRDefault="00BC3993" w:rsidP="006B02A7">
      <w:pPr>
        <w:pStyle w:val="Heading1"/>
        <w:spacing w:before="360" w:after="240" w:line="288" w:lineRule="auto"/>
        <w:rPr>
          <w:noProof/>
        </w:rPr>
      </w:pPr>
      <w:bookmarkStart w:id="86" w:name="_Toc148718603"/>
      <w:bookmarkStart w:id="87" w:name="_Toc158707811"/>
      <w:r>
        <w:rPr>
          <w:noProof/>
        </w:rPr>
        <w:t>Bilag 1 — Ramme for at give personer med handicap adgang til valg</w:t>
      </w:r>
      <w:bookmarkEnd w:id="86"/>
      <w:bookmarkEnd w:id="87"/>
      <w:r>
        <w:rPr>
          <w:noProof/>
        </w:rPr>
        <w:t xml:space="preserve"> </w:t>
      </w:r>
    </w:p>
    <w:tbl>
      <w:tblPr>
        <w:tblStyle w:val="TableGrid"/>
        <w:tblW w:w="5000" w:type="pct"/>
        <w:tblLook w:val="04A0" w:firstRow="1" w:lastRow="0" w:firstColumn="1" w:lastColumn="0" w:noHBand="0" w:noVBand="1"/>
      </w:tblPr>
      <w:tblGrid>
        <w:gridCol w:w="1462"/>
        <w:gridCol w:w="7598"/>
      </w:tblGrid>
      <w:tr w:rsidR="00963BCC" w:rsidRPr="006B02A7" w14:paraId="6FE07AFC" w14:textId="77777777" w:rsidTr="006F0581">
        <w:trPr>
          <w:trHeight w:val="448"/>
          <w:tblHeader/>
        </w:trPr>
        <w:tc>
          <w:tcPr>
            <w:tcW w:w="807" w:type="pct"/>
            <w:shd w:val="clear" w:color="auto" w:fill="D9D9D9" w:themeFill="background1" w:themeFillShade="D9"/>
          </w:tcPr>
          <w:p w14:paraId="09C2B282" w14:textId="6CA9C21C" w:rsidR="00963BCC" w:rsidRPr="006B02A7" w:rsidRDefault="00963BCC" w:rsidP="00B42AEB">
            <w:pPr>
              <w:rPr>
                <w:b/>
                <w:noProof/>
              </w:rPr>
            </w:pPr>
            <w:r>
              <w:rPr>
                <w:b/>
                <w:noProof/>
              </w:rPr>
              <w:t>Hvornår?</w:t>
            </w:r>
          </w:p>
        </w:tc>
        <w:tc>
          <w:tcPr>
            <w:tcW w:w="4193" w:type="pct"/>
            <w:shd w:val="clear" w:color="auto" w:fill="D9D9D9" w:themeFill="background1" w:themeFillShade="D9"/>
          </w:tcPr>
          <w:p w14:paraId="0D46CAD8" w14:textId="77777777" w:rsidR="00963BCC" w:rsidRPr="006B02A7" w:rsidRDefault="00963BCC" w:rsidP="00B42AEB">
            <w:pPr>
              <w:rPr>
                <w:b/>
                <w:noProof/>
              </w:rPr>
            </w:pPr>
            <w:r>
              <w:rPr>
                <w:b/>
                <w:noProof/>
              </w:rPr>
              <w:t>Hvad?</w:t>
            </w:r>
          </w:p>
        </w:tc>
      </w:tr>
      <w:tr w:rsidR="00963BCC" w:rsidRPr="00B42AEB" w14:paraId="0B27FF49" w14:textId="77777777">
        <w:trPr>
          <w:trHeight w:val="558"/>
        </w:trPr>
        <w:tc>
          <w:tcPr>
            <w:tcW w:w="807" w:type="pct"/>
          </w:tcPr>
          <w:p w14:paraId="11DB106F" w14:textId="77777777" w:rsidR="00963BCC" w:rsidRPr="00B42AEB" w:rsidRDefault="00963BCC" w:rsidP="00B42AEB">
            <w:pPr>
              <w:rPr>
                <w:noProof/>
              </w:rPr>
            </w:pPr>
            <w:r>
              <w:rPr>
                <w:noProof/>
              </w:rPr>
              <w:t>Inden valget</w:t>
            </w:r>
          </w:p>
        </w:tc>
        <w:tc>
          <w:tcPr>
            <w:tcW w:w="4193" w:type="pct"/>
          </w:tcPr>
          <w:p w14:paraId="1C12219B" w14:textId="3397D2BB" w:rsidR="00963BCC" w:rsidRPr="00B42AEB" w:rsidRDefault="00963BCC" w:rsidP="002D36F0">
            <w:pPr>
              <w:pStyle w:val="ListParagraph"/>
              <w:numPr>
                <w:ilvl w:val="0"/>
                <w:numId w:val="3"/>
              </w:numPr>
              <w:ind w:left="343" w:hanging="283"/>
              <w:rPr>
                <w:noProof/>
              </w:rPr>
            </w:pPr>
            <w:r>
              <w:rPr>
                <w:noProof/>
              </w:rPr>
              <w:t>udarbejde handlingsplaner for personer med handicap, herunder tjeklister for tilgængelige valg, og inddrage organisationer, der repræsenterer personer med handicap, i udarbejdelsen af sådanne planer</w:t>
            </w:r>
          </w:p>
          <w:p w14:paraId="7EA00262" w14:textId="627C2C48" w:rsidR="00963BCC" w:rsidRPr="00B42AEB" w:rsidRDefault="00963BCC" w:rsidP="002D36F0">
            <w:pPr>
              <w:pStyle w:val="ListParagraph"/>
              <w:numPr>
                <w:ilvl w:val="0"/>
                <w:numId w:val="3"/>
              </w:numPr>
              <w:ind w:left="343" w:hanging="283"/>
              <w:rPr>
                <w:noProof/>
              </w:rPr>
            </w:pPr>
            <w:r>
              <w:rPr>
                <w:noProof/>
              </w:rPr>
              <w:t>sikre, at personer med handicap har adgang til valgoplysninger på mange forskellige og tilgængelige måder og formater</w:t>
            </w:r>
          </w:p>
          <w:p w14:paraId="5B8869F4" w14:textId="77777777" w:rsidR="00963BCC" w:rsidRPr="00B42AEB" w:rsidRDefault="00963BCC" w:rsidP="002D36F0">
            <w:pPr>
              <w:pStyle w:val="ListParagraph"/>
              <w:numPr>
                <w:ilvl w:val="0"/>
                <w:numId w:val="3"/>
              </w:numPr>
              <w:ind w:left="343" w:hanging="283"/>
              <w:rPr>
                <w:noProof/>
              </w:rPr>
            </w:pPr>
            <w:r>
              <w:rPr>
                <w:noProof/>
              </w:rPr>
              <w:t>sikre, at valgmyndighedernes websteder er tilgængelige</w:t>
            </w:r>
          </w:p>
          <w:p w14:paraId="75E5F808" w14:textId="50BBAE45" w:rsidR="000006E3" w:rsidRPr="00B42AEB" w:rsidRDefault="00963BCC" w:rsidP="002D36F0">
            <w:pPr>
              <w:pStyle w:val="ListParagraph"/>
              <w:numPr>
                <w:ilvl w:val="0"/>
                <w:numId w:val="3"/>
              </w:numPr>
              <w:ind w:left="343" w:hanging="283"/>
              <w:rPr>
                <w:noProof/>
              </w:rPr>
            </w:pPr>
            <w:r>
              <w:rPr>
                <w:noProof/>
              </w:rPr>
              <w:t>gennemføre oplysnings- og uddannelsesaktiviteter, herunder i samarbejde med organisationer, der repræsenterer personer med handicap</w:t>
            </w:r>
          </w:p>
          <w:p w14:paraId="3D4E6945" w14:textId="27E9CB54" w:rsidR="00963BCC" w:rsidRPr="00B42AEB" w:rsidRDefault="00963BCC" w:rsidP="002D36F0">
            <w:pPr>
              <w:pStyle w:val="ListParagraph"/>
              <w:numPr>
                <w:ilvl w:val="0"/>
                <w:numId w:val="3"/>
              </w:numPr>
              <w:ind w:left="343" w:hanging="283"/>
              <w:rPr>
                <w:noProof/>
              </w:rPr>
            </w:pPr>
            <w:r>
              <w:rPr>
                <w:noProof/>
              </w:rPr>
              <w:t>vælge valgsteder, der er tilgængelige, herunder ved at anvende tjeklister, der er udviklet sammen med organisationer, der repræsenterer personer med handicap</w:t>
            </w:r>
          </w:p>
          <w:p w14:paraId="042946EC" w14:textId="77777777" w:rsidR="00963BCC" w:rsidRPr="00B42AEB" w:rsidRDefault="00963BCC" w:rsidP="002D36F0">
            <w:pPr>
              <w:pStyle w:val="ListParagraph"/>
              <w:numPr>
                <w:ilvl w:val="0"/>
                <w:numId w:val="3"/>
              </w:numPr>
              <w:ind w:left="343" w:hanging="283"/>
              <w:rPr>
                <w:noProof/>
              </w:rPr>
            </w:pPr>
            <w:r>
              <w:rPr>
                <w:noProof/>
              </w:rPr>
              <w:t>udforme stemmesedler, så de er lette at læse, og bruge hjælpemidler</w:t>
            </w:r>
          </w:p>
          <w:p w14:paraId="3E9290D2" w14:textId="4F2A0D43" w:rsidR="00963BCC" w:rsidRPr="00B42AEB" w:rsidRDefault="00963BCC" w:rsidP="002D36F0">
            <w:pPr>
              <w:pStyle w:val="ListParagraph"/>
              <w:numPr>
                <w:ilvl w:val="0"/>
                <w:numId w:val="3"/>
              </w:numPr>
              <w:ind w:left="343" w:hanging="283"/>
              <w:rPr>
                <w:noProof/>
              </w:rPr>
            </w:pPr>
            <w:r>
              <w:rPr>
                <w:noProof/>
              </w:rPr>
              <w:t>udforme tilgængelige valgsteder, der går videre end fysisk tilgængelighed</w:t>
            </w:r>
          </w:p>
          <w:p w14:paraId="17CA8DE6" w14:textId="77777777" w:rsidR="00963BCC" w:rsidRPr="00B42AEB" w:rsidRDefault="00963BCC" w:rsidP="002D36F0">
            <w:pPr>
              <w:pStyle w:val="ListParagraph"/>
              <w:numPr>
                <w:ilvl w:val="0"/>
                <w:numId w:val="3"/>
              </w:numPr>
              <w:ind w:left="343" w:hanging="283"/>
              <w:rPr>
                <w:noProof/>
              </w:rPr>
            </w:pPr>
            <w:r>
              <w:rPr>
                <w:noProof/>
              </w:rPr>
              <w:t>sikre, at stemmemaskiner er udstyret med software, der let kan inkorporere tilgængelighedsfunktioner</w:t>
            </w:r>
          </w:p>
          <w:p w14:paraId="50B28094" w14:textId="77777777" w:rsidR="00963BCC" w:rsidRPr="00B42AEB" w:rsidRDefault="00963BCC" w:rsidP="002D36F0">
            <w:pPr>
              <w:pStyle w:val="ListParagraph"/>
              <w:numPr>
                <w:ilvl w:val="0"/>
                <w:numId w:val="3"/>
              </w:numPr>
              <w:ind w:left="343" w:hanging="283"/>
              <w:rPr>
                <w:noProof/>
              </w:rPr>
            </w:pPr>
            <w:r>
              <w:rPr>
                <w:noProof/>
              </w:rPr>
              <w:t>designe stemmebokse og stemmeurner, der er tilgængelige for en bred vifte af vælgere</w:t>
            </w:r>
          </w:p>
          <w:p w14:paraId="6AFB874D" w14:textId="558654F9" w:rsidR="00963BCC" w:rsidRPr="00B42AEB" w:rsidRDefault="00963BCC" w:rsidP="002D36F0">
            <w:pPr>
              <w:pStyle w:val="ListParagraph"/>
              <w:numPr>
                <w:ilvl w:val="0"/>
                <w:numId w:val="3"/>
              </w:numPr>
              <w:ind w:left="343" w:hanging="283"/>
              <w:rPr>
                <w:noProof/>
              </w:rPr>
            </w:pPr>
            <w:r>
              <w:rPr>
                <w:noProof/>
              </w:rPr>
              <w:t xml:space="preserve">købe redskaber til forbedring af tilgængeligheden, f.eks. forstørrelsesglas, lamper, taktile skabeloner og/eller punktskriftskabeloner til papirbaserede stemmesedler, taktile mærkater til stemmeurner, kuglepenne med ekstra tykt greb, store udskrifter, lydfiler (dvs. DAISY </w:t>
            </w:r>
            <w:r>
              <w:rPr>
                <w:noProof/>
                <w:vertAlign w:val="superscript"/>
              </w:rPr>
              <w:t>(</w:t>
            </w:r>
            <w:r>
              <w:rPr>
                <w:noProof/>
                <w:vertAlign w:val="superscript"/>
              </w:rPr>
              <w:footnoteReference w:id="96"/>
            </w:r>
            <w:r>
              <w:rPr>
                <w:noProof/>
                <w:vertAlign w:val="superscript"/>
              </w:rPr>
              <w:t>)</w:t>
            </w:r>
            <w:r>
              <w:rPr>
                <w:noProof/>
              </w:rPr>
              <w:t>), videofiler med fuld transskription, billedtekst og tegnsprogstolkning</w:t>
            </w:r>
          </w:p>
          <w:p w14:paraId="4E82977F" w14:textId="77777777" w:rsidR="00963BCC" w:rsidRPr="00B42AEB" w:rsidRDefault="00963BCC" w:rsidP="002D36F0">
            <w:pPr>
              <w:pStyle w:val="ListParagraph"/>
              <w:numPr>
                <w:ilvl w:val="0"/>
                <w:numId w:val="3"/>
              </w:numPr>
              <w:ind w:left="343" w:hanging="283"/>
              <w:rPr>
                <w:noProof/>
              </w:rPr>
            </w:pPr>
            <w:r>
              <w:rPr>
                <w:noProof/>
              </w:rPr>
              <w:t>fastsætte supplerende afstemningsmetoder og andre særlige ordninger, herunder brevstemme og onlineafstemning, forhåndsafstemning, mobil stemmeafgivning, fortovsafstemning, stemmeafgivning ved stedfortræder og mulighed for at vælge et andet valgsted</w:t>
            </w:r>
          </w:p>
          <w:p w14:paraId="02FACD2A" w14:textId="77777777" w:rsidR="00963BCC" w:rsidRPr="00B42AEB" w:rsidRDefault="00963BCC" w:rsidP="002D36F0">
            <w:pPr>
              <w:pStyle w:val="ListParagraph"/>
              <w:numPr>
                <w:ilvl w:val="0"/>
                <w:numId w:val="3"/>
              </w:numPr>
              <w:ind w:left="343" w:hanging="283"/>
              <w:rPr>
                <w:noProof/>
              </w:rPr>
            </w:pPr>
            <w:r>
              <w:rPr>
                <w:noProof/>
              </w:rPr>
              <w:t>integrere handicaphensyn i manualer for valgtilforordnede</w:t>
            </w:r>
          </w:p>
          <w:p w14:paraId="3626D78D" w14:textId="1B4BA294" w:rsidR="00963BCC" w:rsidRPr="00B42AEB" w:rsidRDefault="00A27E30" w:rsidP="002D36F0">
            <w:pPr>
              <w:pStyle w:val="ListParagraph"/>
              <w:numPr>
                <w:ilvl w:val="0"/>
                <w:numId w:val="3"/>
              </w:numPr>
              <w:ind w:left="343" w:hanging="283"/>
              <w:rPr>
                <w:noProof/>
              </w:rPr>
            </w:pPr>
            <w:r>
              <w:rPr>
                <w:noProof/>
              </w:rPr>
              <w:t>høre organisationer, der repræsenterer personer med handicap, ved udarbejdelse af valgregler, og inddrage dem i udarbejdelsen af adfærdskodekser, herunder inklusiv praksis for udarbejdelse af kandidatlister</w:t>
            </w:r>
          </w:p>
        </w:tc>
      </w:tr>
      <w:tr w:rsidR="00963BCC" w:rsidRPr="00B42AEB" w14:paraId="7FCDA1EC" w14:textId="77777777">
        <w:trPr>
          <w:trHeight w:val="448"/>
        </w:trPr>
        <w:tc>
          <w:tcPr>
            <w:tcW w:w="807" w:type="pct"/>
          </w:tcPr>
          <w:p w14:paraId="18795CCD" w14:textId="77777777" w:rsidR="00963BCC" w:rsidRPr="00B42AEB" w:rsidRDefault="00963BCC" w:rsidP="00B42AEB">
            <w:pPr>
              <w:rPr>
                <w:noProof/>
              </w:rPr>
            </w:pPr>
            <w:r>
              <w:rPr>
                <w:noProof/>
              </w:rPr>
              <w:t>Under valget</w:t>
            </w:r>
          </w:p>
        </w:tc>
        <w:tc>
          <w:tcPr>
            <w:tcW w:w="4193" w:type="pct"/>
          </w:tcPr>
          <w:p w14:paraId="02E9F0AE" w14:textId="3FA8B612" w:rsidR="00963BCC" w:rsidRPr="00B42AEB" w:rsidRDefault="00963BCC" w:rsidP="002D36F0">
            <w:pPr>
              <w:pStyle w:val="ListParagraph"/>
              <w:numPr>
                <w:ilvl w:val="0"/>
                <w:numId w:val="3"/>
              </w:numPr>
              <w:ind w:left="343" w:hanging="283"/>
              <w:rPr>
                <w:noProof/>
              </w:rPr>
            </w:pPr>
            <w:r>
              <w:rPr>
                <w:noProof/>
              </w:rPr>
              <w:t>tilbyde valgtilforordnede uddannelse i, hvordan man kan hjælpe personer med handicap i afstemningsprocessen</w:t>
            </w:r>
          </w:p>
          <w:p w14:paraId="63C2EC45" w14:textId="64D02444" w:rsidR="00963BCC" w:rsidRPr="00B42AEB" w:rsidRDefault="00963BCC" w:rsidP="002D36F0">
            <w:pPr>
              <w:pStyle w:val="ListParagraph"/>
              <w:numPr>
                <w:ilvl w:val="0"/>
                <w:numId w:val="3"/>
              </w:numPr>
              <w:ind w:left="343" w:hanging="283"/>
              <w:rPr>
                <w:noProof/>
              </w:rPr>
            </w:pPr>
            <w:r>
              <w:rPr>
                <w:noProof/>
              </w:rPr>
              <w:t>øge bevidstheden blandt valgmyndigheder og andre relevante myndigheder</w:t>
            </w:r>
          </w:p>
          <w:p w14:paraId="47EF0196" w14:textId="77777777" w:rsidR="00963BCC" w:rsidRPr="00B42AEB" w:rsidRDefault="00963BCC" w:rsidP="002D36F0">
            <w:pPr>
              <w:pStyle w:val="ListParagraph"/>
              <w:numPr>
                <w:ilvl w:val="0"/>
                <w:numId w:val="3"/>
              </w:numPr>
              <w:ind w:left="343" w:hanging="283"/>
              <w:rPr>
                <w:noProof/>
              </w:rPr>
            </w:pPr>
            <w:r>
              <w:rPr>
                <w:noProof/>
              </w:rPr>
              <w:t>formidle valgoplysninger i forskellige og tilgængelige former</w:t>
            </w:r>
          </w:p>
          <w:p w14:paraId="371CC543" w14:textId="77777777" w:rsidR="00963BCC" w:rsidRPr="00B42AEB" w:rsidRDefault="00963BCC" w:rsidP="002D36F0">
            <w:pPr>
              <w:pStyle w:val="ListParagraph"/>
              <w:numPr>
                <w:ilvl w:val="0"/>
                <w:numId w:val="3"/>
              </w:numPr>
              <w:ind w:left="343" w:hanging="283"/>
              <w:rPr>
                <w:noProof/>
              </w:rPr>
            </w:pPr>
            <w:r>
              <w:rPr>
                <w:noProof/>
              </w:rPr>
              <w:t>gøre valgdebatter og -arrangementer tilgængelige</w:t>
            </w:r>
          </w:p>
          <w:p w14:paraId="65C87926" w14:textId="465DB41E" w:rsidR="00963BCC" w:rsidRPr="00B42AEB" w:rsidRDefault="00963BCC" w:rsidP="002D36F0">
            <w:pPr>
              <w:pStyle w:val="ListParagraph"/>
              <w:numPr>
                <w:ilvl w:val="0"/>
                <w:numId w:val="3"/>
              </w:numPr>
              <w:ind w:left="343" w:hanging="283"/>
              <w:rPr>
                <w:noProof/>
              </w:rPr>
            </w:pPr>
            <w:r>
              <w:rPr>
                <w:noProof/>
              </w:rPr>
              <w:t>støtte adgangen til politisk reklame, herunder i samarbejde med organisationer, der repræsenterer personer med handicap, og tilbyde uddannelse til medieudbydere</w:t>
            </w:r>
          </w:p>
          <w:p w14:paraId="56DC9087" w14:textId="77777777" w:rsidR="00963BCC" w:rsidRPr="00B42AEB" w:rsidRDefault="00963BCC" w:rsidP="002D36F0">
            <w:pPr>
              <w:pStyle w:val="ListParagraph"/>
              <w:numPr>
                <w:ilvl w:val="0"/>
                <w:numId w:val="3"/>
              </w:numPr>
              <w:ind w:left="343" w:hanging="283"/>
              <w:rPr>
                <w:noProof/>
              </w:rPr>
            </w:pPr>
            <w:r>
              <w:rPr>
                <w:noProof/>
              </w:rPr>
              <w:t>støtte kandidater med handicap, herunder ved at stille tegnsprogstolke til rådighed, og afholde debatter i tilgængelige formater</w:t>
            </w:r>
          </w:p>
          <w:p w14:paraId="66A17032" w14:textId="13D3CC1A" w:rsidR="00963BCC" w:rsidRPr="00B42AEB" w:rsidRDefault="00963BCC" w:rsidP="002D36F0">
            <w:pPr>
              <w:pStyle w:val="ListParagraph"/>
              <w:numPr>
                <w:ilvl w:val="0"/>
                <w:numId w:val="3"/>
              </w:numPr>
              <w:ind w:left="343" w:hanging="283"/>
              <w:rPr>
                <w:noProof/>
              </w:rPr>
            </w:pPr>
            <w:r>
              <w:rPr>
                <w:noProof/>
              </w:rPr>
              <w:t>hjælpe personer med handicap med at deltage som valgforordnede, herunder ved at give adgang til tegnsprogstolkning</w:t>
            </w:r>
          </w:p>
          <w:p w14:paraId="65D7B626" w14:textId="3F49B5D2" w:rsidR="006A6D6D" w:rsidRPr="00B42AEB" w:rsidRDefault="006A6D6D" w:rsidP="002D36F0">
            <w:pPr>
              <w:pStyle w:val="ListParagraph"/>
              <w:numPr>
                <w:ilvl w:val="0"/>
                <w:numId w:val="3"/>
              </w:numPr>
              <w:ind w:left="343" w:hanging="283"/>
              <w:rPr>
                <w:noProof/>
              </w:rPr>
            </w:pPr>
            <w:r>
              <w:rPr>
                <w:noProof/>
              </w:rPr>
              <w:t>støtte vælgernes deltagelse, herunder ved at yde stemmebistand fra en person efter eget valg og gennemføre politikker for kø</w:t>
            </w:r>
          </w:p>
          <w:p w14:paraId="5A5A103E" w14:textId="77777777" w:rsidR="00963BCC" w:rsidRPr="00B42AEB" w:rsidRDefault="00963BCC" w:rsidP="002D36F0">
            <w:pPr>
              <w:pStyle w:val="ListParagraph"/>
              <w:numPr>
                <w:ilvl w:val="0"/>
                <w:numId w:val="3"/>
              </w:numPr>
              <w:ind w:left="343" w:hanging="283"/>
              <w:rPr>
                <w:noProof/>
              </w:rPr>
            </w:pPr>
            <w:r>
              <w:rPr>
                <w:noProof/>
              </w:rPr>
              <w:t>offentliggøre valgresultaterne i tilgængelige formater</w:t>
            </w:r>
          </w:p>
          <w:p w14:paraId="4C2E11CF" w14:textId="09D111DC" w:rsidR="00963BCC" w:rsidRPr="00B42AEB" w:rsidRDefault="00963BCC" w:rsidP="002D36F0">
            <w:pPr>
              <w:pStyle w:val="ListParagraph"/>
              <w:numPr>
                <w:ilvl w:val="0"/>
                <w:numId w:val="3"/>
              </w:numPr>
              <w:ind w:left="343" w:hanging="283"/>
              <w:rPr>
                <w:noProof/>
              </w:rPr>
            </w:pPr>
            <w:r>
              <w:rPr>
                <w:noProof/>
              </w:rPr>
              <w:t>sikre, at procedurerne for tvistbilæggelse i forbindelse med valg er tilgængelige for personer med handicap</w:t>
            </w:r>
          </w:p>
          <w:p w14:paraId="1E6E12A2" w14:textId="34A6CCDC" w:rsidR="00963BCC" w:rsidRPr="00B42AEB" w:rsidRDefault="00963BCC" w:rsidP="002D36F0">
            <w:pPr>
              <w:pStyle w:val="ListParagraph"/>
              <w:numPr>
                <w:ilvl w:val="0"/>
                <w:numId w:val="3"/>
              </w:numPr>
              <w:ind w:left="343" w:hanging="283"/>
              <w:rPr>
                <w:noProof/>
              </w:rPr>
            </w:pPr>
            <w:r>
              <w:rPr>
                <w:noProof/>
              </w:rPr>
              <w:t>støtte valgobservation af personer med handicap og overvåge adgangen til valg</w:t>
            </w:r>
          </w:p>
        </w:tc>
      </w:tr>
      <w:tr w:rsidR="00963BCC" w:rsidRPr="00B42AEB" w14:paraId="647AD5C5" w14:textId="77777777">
        <w:trPr>
          <w:trHeight w:val="699"/>
        </w:trPr>
        <w:tc>
          <w:tcPr>
            <w:tcW w:w="807" w:type="pct"/>
          </w:tcPr>
          <w:p w14:paraId="0EC9C91B" w14:textId="77777777" w:rsidR="00963BCC" w:rsidRPr="00B42AEB" w:rsidRDefault="00963BCC" w:rsidP="00B42AEB">
            <w:pPr>
              <w:rPr>
                <w:noProof/>
              </w:rPr>
            </w:pPr>
            <w:r>
              <w:rPr>
                <w:noProof/>
              </w:rPr>
              <w:t>Efter valget</w:t>
            </w:r>
          </w:p>
        </w:tc>
        <w:tc>
          <w:tcPr>
            <w:tcW w:w="4193" w:type="pct"/>
          </w:tcPr>
          <w:p w14:paraId="6E34D9B6" w14:textId="7E0DE6A4" w:rsidR="00963BCC" w:rsidRPr="00B42AEB" w:rsidRDefault="00963BCC" w:rsidP="002D36F0">
            <w:pPr>
              <w:pStyle w:val="ListParagraph"/>
              <w:numPr>
                <w:ilvl w:val="0"/>
                <w:numId w:val="3"/>
              </w:numPr>
              <w:ind w:left="343" w:hanging="283"/>
              <w:rPr>
                <w:noProof/>
              </w:rPr>
            </w:pPr>
            <w:r>
              <w:rPr>
                <w:noProof/>
              </w:rPr>
              <w:t>indsamle data om valgdeltagelse af personer med handicap</w:t>
            </w:r>
          </w:p>
          <w:p w14:paraId="7C911133" w14:textId="76560FCB" w:rsidR="00963BCC" w:rsidRPr="00B42AEB" w:rsidRDefault="00963BCC" w:rsidP="002D36F0">
            <w:pPr>
              <w:pStyle w:val="ListParagraph"/>
              <w:numPr>
                <w:ilvl w:val="0"/>
                <w:numId w:val="3"/>
              </w:numPr>
              <w:ind w:left="343" w:hanging="283"/>
              <w:rPr>
                <w:noProof/>
              </w:rPr>
            </w:pPr>
            <w:r>
              <w:rPr>
                <w:noProof/>
              </w:rPr>
              <w:t>evaluere adgangen til valg og inddrage organisationer, der repræsenterer personer med handicap, i en sådan evaluering</w:t>
            </w:r>
          </w:p>
          <w:p w14:paraId="19FAB318" w14:textId="77777777" w:rsidR="00963BCC" w:rsidRPr="00B42AEB" w:rsidRDefault="00963BCC" w:rsidP="002D36F0">
            <w:pPr>
              <w:pStyle w:val="ListParagraph"/>
              <w:numPr>
                <w:ilvl w:val="0"/>
                <w:numId w:val="3"/>
              </w:numPr>
              <w:ind w:left="343" w:hanging="283"/>
              <w:rPr>
                <w:noProof/>
              </w:rPr>
            </w:pPr>
            <w:r>
              <w:rPr>
                <w:noProof/>
              </w:rPr>
              <w:t>gennemgå retlige, institutionelle og administrative hindringer</w:t>
            </w:r>
          </w:p>
          <w:p w14:paraId="41B568B3" w14:textId="5EA8E671" w:rsidR="00963BCC" w:rsidRPr="00B42AEB" w:rsidRDefault="00963BCC" w:rsidP="002D36F0">
            <w:pPr>
              <w:pStyle w:val="ListParagraph"/>
              <w:numPr>
                <w:ilvl w:val="0"/>
                <w:numId w:val="3"/>
              </w:numPr>
              <w:ind w:left="343" w:hanging="283"/>
              <w:rPr>
                <w:noProof/>
              </w:rPr>
            </w:pPr>
            <w:r>
              <w:rPr>
                <w:noProof/>
              </w:rPr>
              <w:t>gennemgå valgwebsteders tilgængelighed, herunder i samarbejde med organisationer, der repræsenterer personer med handicap</w:t>
            </w:r>
          </w:p>
          <w:p w14:paraId="677E71B8" w14:textId="77777777" w:rsidR="00963BCC" w:rsidRPr="00B42AEB" w:rsidRDefault="00963BCC" w:rsidP="002D36F0">
            <w:pPr>
              <w:pStyle w:val="ListParagraph"/>
              <w:numPr>
                <w:ilvl w:val="0"/>
                <w:numId w:val="3"/>
              </w:numPr>
              <w:ind w:left="343" w:hanging="283"/>
              <w:rPr>
                <w:noProof/>
              </w:rPr>
            </w:pPr>
            <w:r>
              <w:rPr>
                <w:noProof/>
              </w:rPr>
              <w:t>offentliggøre resultaterne af evalueringen i tilgængelige formater</w:t>
            </w:r>
          </w:p>
          <w:p w14:paraId="7D079524" w14:textId="109D5518" w:rsidR="00963BCC" w:rsidRPr="00B42AEB" w:rsidRDefault="00963BCC" w:rsidP="002D36F0">
            <w:pPr>
              <w:pStyle w:val="ListParagraph"/>
              <w:numPr>
                <w:ilvl w:val="0"/>
                <w:numId w:val="3"/>
              </w:numPr>
              <w:ind w:left="343" w:hanging="283"/>
              <w:rPr>
                <w:noProof/>
              </w:rPr>
            </w:pPr>
            <w:r>
              <w:rPr>
                <w:noProof/>
              </w:rPr>
              <w:t>forenkle, automatisere og give adgang til de forskellige forhåndsregistreringsprocesser, herunder vælgerregistrering, hvordan man anmoder om tilpasning, og give personer med handicap adgang til de dokumenter, de har brug for</w:t>
            </w:r>
          </w:p>
          <w:p w14:paraId="78DD7FC0" w14:textId="7C062C83" w:rsidR="00963BCC" w:rsidRPr="00B42AEB" w:rsidRDefault="007239C5" w:rsidP="002D36F0">
            <w:pPr>
              <w:pStyle w:val="ListParagraph"/>
              <w:numPr>
                <w:ilvl w:val="0"/>
                <w:numId w:val="3"/>
              </w:numPr>
              <w:ind w:left="343" w:hanging="283"/>
              <w:rPr>
                <w:noProof/>
              </w:rPr>
            </w:pPr>
            <w:r>
              <w:rPr>
                <w:noProof/>
              </w:rPr>
              <w:t>styrke partnerskaber mellem valgmyndigheder, organisationer, der repræsenterer personer med handicap, og andre interessenter for at afhjælpe konstaterede mangler i forbindelse med valgmiljøets generelle tilgængelighed</w:t>
            </w:r>
          </w:p>
        </w:tc>
      </w:tr>
    </w:tbl>
    <w:p w14:paraId="039FA354" w14:textId="39DD1499" w:rsidR="00C05211" w:rsidRPr="00B42AEB" w:rsidRDefault="00164A0E" w:rsidP="006B02A7">
      <w:pPr>
        <w:pStyle w:val="Heading1"/>
        <w:spacing w:before="360" w:after="240" w:line="288" w:lineRule="auto"/>
        <w:rPr>
          <w:noProof/>
        </w:rPr>
      </w:pPr>
      <w:bookmarkStart w:id="88" w:name="_Toc148718604"/>
      <w:bookmarkStart w:id="89" w:name="_Toc158707812"/>
      <w:r>
        <w:rPr>
          <w:noProof/>
        </w:rPr>
        <w:t>Bilag 2 — Eksempler på tjekliste til vurdering af valgsteders tilgængelighed</w:t>
      </w:r>
      <w:bookmarkEnd w:id="88"/>
      <w:bookmarkEnd w:id="89"/>
    </w:p>
    <w:p w14:paraId="571EC246" w14:textId="1FD6D9E2" w:rsidR="00164A0E" w:rsidRPr="00B42AEB" w:rsidRDefault="00164A0E" w:rsidP="002D36F0">
      <w:pPr>
        <w:pStyle w:val="ListParagraph"/>
        <w:numPr>
          <w:ilvl w:val="0"/>
          <w:numId w:val="6"/>
        </w:numPr>
        <w:spacing w:after="240" w:line="288" w:lineRule="auto"/>
        <w:ind w:left="714" w:hanging="357"/>
        <w:rPr>
          <w:noProof/>
        </w:rPr>
      </w:pPr>
      <w:r>
        <w:rPr>
          <w:noProof/>
        </w:rPr>
        <w:t>Estland</w:t>
      </w:r>
    </w:p>
    <w:tbl>
      <w:tblPr>
        <w:tblStyle w:val="TableGrid"/>
        <w:tblW w:w="5000" w:type="pct"/>
        <w:tblLook w:val="04A0" w:firstRow="1" w:lastRow="0" w:firstColumn="1" w:lastColumn="0" w:noHBand="0" w:noVBand="1"/>
      </w:tblPr>
      <w:tblGrid>
        <w:gridCol w:w="7816"/>
        <w:gridCol w:w="654"/>
        <w:gridCol w:w="590"/>
      </w:tblGrid>
      <w:tr w:rsidR="002A5832" w:rsidRPr="00B42AEB" w14:paraId="7320CCF7" w14:textId="77777777" w:rsidTr="006F0581">
        <w:tc>
          <w:tcPr>
            <w:tcW w:w="4327" w:type="pct"/>
            <w:shd w:val="clear" w:color="auto" w:fill="D9D9D9" w:themeFill="background1" w:themeFillShade="D9"/>
            <w:hideMark/>
          </w:tcPr>
          <w:p w14:paraId="519DBF22" w14:textId="77777777" w:rsidR="00BC55E4" w:rsidRPr="00B87F34" w:rsidRDefault="00BC55E4" w:rsidP="00B42AEB">
            <w:pPr>
              <w:rPr>
                <w:b/>
                <w:noProof/>
              </w:rPr>
            </w:pPr>
            <w:r>
              <w:rPr>
                <w:b/>
                <w:noProof/>
              </w:rPr>
              <w:t>Vurderede kriterier</w:t>
            </w:r>
          </w:p>
        </w:tc>
        <w:tc>
          <w:tcPr>
            <w:tcW w:w="374" w:type="pct"/>
            <w:shd w:val="clear" w:color="auto" w:fill="D9D9D9" w:themeFill="background1" w:themeFillShade="D9"/>
            <w:hideMark/>
          </w:tcPr>
          <w:p w14:paraId="2BBA6F7E" w14:textId="77777777" w:rsidR="00BC55E4" w:rsidRPr="00B87F34" w:rsidRDefault="00BC55E4" w:rsidP="00B42AEB">
            <w:pPr>
              <w:rPr>
                <w:b/>
                <w:noProof/>
              </w:rPr>
            </w:pPr>
            <w:r>
              <w:rPr>
                <w:b/>
                <w:noProof/>
              </w:rPr>
              <w:t>Ja</w:t>
            </w:r>
          </w:p>
        </w:tc>
        <w:tc>
          <w:tcPr>
            <w:tcW w:w="299" w:type="pct"/>
            <w:shd w:val="clear" w:color="auto" w:fill="D9D9D9" w:themeFill="background1" w:themeFillShade="D9"/>
            <w:hideMark/>
          </w:tcPr>
          <w:p w14:paraId="2A53FD15" w14:textId="77777777" w:rsidR="00BC55E4" w:rsidRPr="00B87F34" w:rsidRDefault="00BC55E4" w:rsidP="00B42AEB">
            <w:pPr>
              <w:rPr>
                <w:b/>
                <w:noProof/>
              </w:rPr>
            </w:pPr>
            <w:r>
              <w:rPr>
                <w:b/>
                <w:noProof/>
              </w:rPr>
              <w:t>Nej</w:t>
            </w:r>
          </w:p>
        </w:tc>
      </w:tr>
      <w:tr w:rsidR="002A5832" w:rsidRPr="00B42AEB" w14:paraId="546C0A23" w14:textId="77777777" w:rsidTr="00B87F34">
        <w:tc>
          <w:tcPr>
            <w:tcW w:w="4327" w:type="pct"/>
            <w:hideMark/>
          </w:tcPr>
          <w:p w14:paraId="4C6424BA" w14:textId="77777777" w:rsidR="00BC55E4" w:rsidRPr="00B87F34" w:rsidRDefault="00BC55E4" w:rsidP="00B42AEB">
            <w:pPr>
              <w:rPr>
                <w:noProof/>
              </w:rPr>
            </w:pPr>
            <w:r>
              <w:rPr>
                <w:noProof/>
              </w:rPr>
              <w:t>Offentlig transport og parkering</w:t>
            </w:r>
          </w:p>
        </w:tc>
        <w:tc>
          <w:tcPr>
            <w:tcW w:w="374" w:type="pct"/>
          </w:tcPr>
          <w:p w14:paraId="38E1DD4B" w14:textId="77777777" w:rsidR="00BC55E4" w:rsidRPr="00B42AEB" w:rsidRDefault="00BC55E4" w:rsidP="00B42AEB">
            <w:pPr>
              <w:rPr>
                <w:noProof/>
              </w:rPr>
            </w:pPr>
          </w:p>
        </w:tc>
        <w:tc>
          <w:tcPr>
            <w:tcW w:w="299" w:type="pct"/>
          </w:tcPr>
          <w:p w14:paraId="4BF36B66" w14:textId="77777777" w:rsidR="00BC55E4" w:rsidRPr="00B42AEB" w:rsidRDefault="00BC55E4" w:rsidP="00B42AEB">
            <w:pPr>
              <w:rPr>
                <w:noProof/>
              </w:rPr>
            </w:pPr>
          </w:p>
        </w:tc>
      </w:tr>
      <w:tr w:rsidR="002A5832" w:rsidRPr="00B42AEB" w14:paraId="01818840" w14:textId="77777777" w:rsidTr="00B87F34">
        <w:tc>
          <w:tcPr>
            <w:tcW w:w="4327" w:type="pct"/>
            <w:hideMark/>
          </w:tcPr>
          <w:p w14:paraId="4FCDB1A3" w14:textId="2DCAA582" w:rsidR="00BC55E4" w:rsidRPr="00B87F34" w:rsidRDefault="00BC55E4" w:rsidP="00B42AEB">
            <w:pPr>
              <w:rPr>
                <w:noProof/>
              </w:rPr>
            </w:pPr>
            <w:r>
              <w:rPr>
                <w:noProof/>
              </w:rPr>
              <w:t>Den bygning, hvor valgstedet er beliggende, kan tilgås med offentlig transport</w:t>
            </w:r>
          </w:p>
        </w:tc>
        <w:tc>
          <w:tcPr>
            <w:tcW w:w="374" w:type="pct"/>
          </w:tcPr>
          <w:p w14:paraId="21249AA6" w14:textId="77777777" w:rsidR="00BC55E4" w:rsidRPr="00B42AEB" w:rsidRDefault="00BC55E4" w:rsidP="00B42AEB">
            <w:pPr>
              <w:rPr>
                <w:noProof/>
              </w:rPr>
            </w:pPr>
          </w:p>
        </w:tc>
        <w:tc>
          <w:tcPr>
            <w:tcW w:w="299" w:type="pct"/>
          </w:tcPr>
          <w:p w14:paraId="144DA361" w14:textId="77777777" w:rsidR="00BC55E4" w:rsidRPr="00B42AEB" w:rsidRDefault="00BC55E4" w:rsidP="00B42AEB">
            <w:pPr>
              <w:rPr>
                <w:noProof/>
              </w:rPr>
            </w:pPr>
          </w:p>
        </w:tc>
      </w:tr>
      <w:tr w:rsidR="002A5832" w:rsidRPr="00B42AEB" w14:paraId="04D0B76C" w14:textId="77777777" w:rsidTr="00B87F34">
        <w:tc>
          <w:tcPr>
            <w:tcW w:w="4327" w:type="pct"/>
            <w:hideMark/>
          </w:tcPr>
          <w:p w14:paraId="6154A1B7" w14:textId="13E68944" w:rsidR="00BC55E4" w:rsidRPr="00B87F34" w:rsidRDefault="00BC55E4" w:rsidP="00B42AEB">
            <w:pPr>
              <w:rPr>
                <w:noProof/>
              </w:rPr>
            </w:pPr>
            <w:r>
              <w:rPr>
                <w:noProof/>
              </w:rPr>
              <w:t>Bygningen har parkeringspladser til køretøjer for personer med handicap</w:t>
            </w:r>
          </w:p>
        </w:tc>
        <w:tc>
          <w:tcPr>
            <w:tcW w:w="374" w:type="pct"/>
          </w:tcPr>
          <w:p w14:paraId="06CCD89B" w14:textId="77777777" w:rsidR="00BC55E4" w:rsidRPr="00B42AEB" w:rsidRDefault="00BC55E4" w:rsidP="00B42AEB">
            <w:pPr>
              <w:rPr>
                <w:noProof/>
              </w:rPr>
            </w:pPr>
          </w:p>
        </w:tc>
        <w:tc>
          <w:tcPr>
            <w:tcW w:w="299" w:type="pct"/>
          </w:tcPr>
          <w:p w14:paraId="7B9E5931" w14:textId="77777777" w:rsidR="00BC55E4" w:rsidRPr="00B42AEB" w:rsidRDefault="00BC55E4" w:rsidP="00B42AEB">
            <w:pPr>
              <w:rPr>
                <w:noProof/>
              </w:rPr>
            </w:pPr>
          </w:p>
        </w:tc>
      </w:tr>
      <w:tr w:rsidR="002A5832" w:rsidRPr="00B42AEB" w14:paraId="5CDA8435" w14:textId="77777777" w:rsidTr="00B87F34">
        <w:tc>
          <w:tcPr>
            <w:tcW w:w="4327" w:type="pct"/>
            <w:hideMark/>
          </w:tcPr>
          <w:p w14:paraId="56195F35" w14:textId="7D39C859" w:rsidR="00BC55E4" w:rsidRPr="00B87F34" w:rsidRDefault="00BC55E4" w:rsidP="00B42AEB">
            <w:pPr>
              <w:rPr>
                <w:noProof/>
              </w:rPr>
            </w:pPr>
            <w:r>
              <w:rPr>
                <w:noProof/>
              </w:rPr>
              <w:t>Hindringsfri adgang fra parkeringsområdet til bygningens hovedindgang</w:t>
            </w:r>
          </w:p>
        </w:tc>
        <w:tc>
          <w:tcPr>
            <w:tcW w:w="374" w:type="pct"/>
          </w:tcPr>
          <w:p w14:paraId="26665E34" w14:textId="77777777" w:rsidR="00BC55E4" w:rsidRPr="00B42AEB" w:rsidRDefault="00BC55E4" w:rsidP="00B42AEB">
            <w:pPr>
              <w:rPr>
                <w:noProof/>
              </w:rPr>
            </w:pPr>
          </w:p>
        </w:tc>
        <w:tc>
          <w:tcPr>
            <w:tcW w:w="299" w:type="pct"/>
          </w:tcPr>
          <w:p w14:paraId="4038C496" w14:textId="77777777" w:rsidR="00BC55E4" w:rsidRPr="00B42AEB" w:rsidRDefault="00BC55E4" w:rsidP="00B42AEB">
            <w:pPr>
              <w:rPr>
                <w:noProof/>
              </w:rPr>
            </w:pPr>
          </w:p>
        </w:tc>
      </w:tr>
      <w:tr w:rsidR="002A5832" w:rsidRPr="00B42AEB" w14:paraId="2B19E677" w14:textId="77777777" w:rsidTr="00B87F34">
        <w:tc>
          <w:tcPr>
            <w:tcW w:w="4327" w:type="pct"/>
            <w:hideMark/>
          </w:tcPr>
          <w:p w14:paraId="009837D9" w14:textId="2CC7F47F" w:rsidR="00BC55E4" w:rsidRPr="00B87F34" w:rsidRDefault="00D001CE" w:rsidP="00B42AEB">
            <w:pPr>
              <w:rPr>
                <w:noProof/>
              </w:rPr>
            </w:pPr>
            <w:r>
              <w:rPr>
                <w:noProof/>
              </w:rPr>
              <w:t>Adgangsvej og indgang til bygningen</w:t>
            </w:r>
          </w:p>
        </w:tc>
        <w:tc>
          <w:tcPr>
            <w:tcW w:w="374" w:type="pct"/>
          </w:tcPr>
          <w:p w14:paraId="6AA3200D" w14:textId="77777777" w:rsidR="00BC55E4" w:rsidRPr="00B42AEB" w:rsidRDefault="00BC55E4" w:rsidP="00B42AEB">
            <w:pPr>
              <w:rPr>
                <w:noProof/>
              </w:rPr>
            </w:pPr>
          </w:p>
        </w:tc>
        <w:tc>
          <w:tcPr>
            <w:tcW w:w="299" w:type="pct"/>
          </w:tcPr>
          <w:p w14:paraId="0F11709D" w14:textId="77777777" w:rsidR="00BC55E4" w:rsidRPr="00B42AEB" w:rsidRDefault="00BC55E4" w:rsidP="00B42AEB">
            <w:pPr>
              <w:rPr>
                <w:noProof/>
              </w:rPr>
            </w:pPr>
          </w:p>
        </w:tc>
      </w:tr>
      <w:tr w:rsidR="002A5832" w:rsidRPr="00B42AEB" w14:paraId="31CA0AB9" w14:textId="77777777" w:rsidTr="00B87F34">
        <w:tc>
          <w:tcPr>
            <w:tcW w:w="4327" w:type="pct"/>
            <w:hideMark/>
          </w:tcPr>
          <w:p w14:paraId="1BAB3C3F" w14:textId="0224FDF7" w:rsidR="00BC55E4" w:rsidRPr="00B87F34" w:rsidRDefault="00BC55E4" w:rsidP="00B42AEB">
            <w:pPr>
              <w:rPr>
                <w:noProof/>
              </w:rPr>
            </w:pPr>
            <w:r>
              <w:rPr>
                <w:noProof/>
              </w:rPr>
              <w:t>Vejene til bygningen og hovedindgangen er skiltet</w:t>
            </w:r>
          </w:p>
        </w:tc>
        <w:tc>
          <w:tcPr>
            <w:tcW w:w="374" w:type="pct"/>
          </w:tcPr>
          <w:p w14:paraId="13330EA3" w14:textId="77777777" w:rsidR="00BC55E4" w:rsidRPr="00B42AEB" w:rsidRDefault="00BC55E4" w:rsidP="00B42AEB">
            <w:pPr>
              <w:rPr>
                <w:noProof/>
              </w:rPr>
            </w:pPr>
          </w:p>
        </w:tc>
        <w:tc>
          <w:tcPr>
            <w:tcW w:w="299" w:type="pct"/>
          </w:tcPr>
          <w:p w14:paraId="28C53D36" w14:textId="77777777" w:rsidR="00BC55E4" w:rsidRPr="00B42AEB" w:rsidRDefault="00BC55E4" w:rsidP="00B42AEB">
            <w:pPr>
              <w:rPr>
                <w:noProof/>
              </w:rPr>
            </w:pPr>
          </w:p>
        </w:tc>
      </w:tr>
      <w:tr w:rsidR="002A5832" w:rsidRPr="00B42AEB" w14:paraId="28284FBB" w14:textId="77777777" w:rsidTr="00B87F34">
        <w:tc>
          <w:tcPr>
            <w:tcW w:w="4327" w:type="pct"/>
            <w:hideMark/>
          </w:tcPr>
          <w:p w14:paraId="2F0A2756" w14:textId="77777777" w:rsidR="00BC55E4" w:rsidRPr="00B87F34" w:rsidRDefault="00BC55E4" w:rsidP="00B42AEB">
            <w:pPr>
              <w:rPr>
                <w:noProof/>
              </w:rPr>
            </w:pPr>
            <w:r>
              <w:rPr>
                <w:noProof/>
              </w:rPr>
              <w:t>Adgangen til bygningen er tilgængelig med en rampe</w:t>
            </w:r>
          </w:p>
        </w:tc>
        <w:tc>
          <w:tcPr>
            <w:tcW w:w="374" w:type="pct"/>
          </w:tcPr>
          <w:p w14:paraId="3393D6B3" w14:textId="77777777" w:rsidR="00BC55E4" w:rsidRPr="00B42AEB" w:rsidRDefault="00BC55E4" w:rsidP="00B42AEB">
            <w:pPr>
              <w:rPr>
                <w:noProof/>
              </w:rPr>
            </w:pPr>
          </w:p>
        </w:tc>
        <w:tc>
          <w:tcPr>
            <w:tcW w:w="299" w:type="pct"/>
          </w:tcPr>
          <w:p w14:paraId="49A05D4E" w14:textId="77777777" w:rsidR="00BC55E4" w:rsidRPr="00B42AEB" w:rsidRDefault="00BC55E4" w:rsidP="00B42AEB">
            <w:pPr>
              <w:rPr>
                <w:noProof/>
              </w:rPr>
            </w:pPr>
          </w:p>
        </w:tc>
      </w:tr>
      <w:tr w:rsidR="002A5832" w:rsidRPr="00B42AEB" w14:paraId="25F09E77" w14:textId="77777777" w:rsidTr="00B87F34">
        <w:tc>
          <w:tcPr>
            <w:tcW w:w="4327" w:type="pct"/>
            <w:hideMark/>
          </w:tcPr>
          <w:p w14:paraId="2D877CF8" w14:textId="77777777" w:rsidR="00BC55E4" w:rsidRPr="00B87F34" w:rsidRDefault="00BC55E4" w:rsidP="00B42AEB">
            <w:pPr>
              <w:rPr>
                <w:noProof/>
              </w:rPr>
            </w:pPr>
            <w:r>
              <w:rPr>
                <w:noProof/>
              </w:rPr>
              <w:t>Rampen har gelænder og en skridsikker overflade i plan</w:t>
            </w:r>
          </w:p>
        </w:tc>
        <w:tc>
          <w:tcPr>
            <w:tcW w:w="374" w:type="pct"/>
          </w:tcPr>
          <w:p w14:paraId="41D20D3C" w14:textId="77777777" w:rsidR="00BC55E4" w:rsidRPr="00B42AEB" w:rsidRDefault="00BC55E4" w:rsidP="00B42AEB">
            <w:pPr>
              <w:rPr>
                <w:noProof/>
              </w:rPr>
            </w:pPr>
          </w:p>
        </w:tc>
        <w:tc>
          <w:tcPr>
            <w:tcW w:w="299" w:type="pct"/>
          </w:tcPr>
          <w:p w14:paraId="32529A27" w14:textId="77777777" w:rsidR="00BC55E4" w:rsidRPr="00B42AEB" w:rsidRDefault="00BC55E4" w:rsidP="00B42AEB">
            <w:pPr>
              <w:rPr>
                <w:noProof/>
              </w:rPr>
            </w:pPr>
          </w:p>
        </w:tc>
      </w:tr>
      <w:tr w:rsidR="002A5832" w:rsidRPr="00B42AEB" w14:paraId="3288C107" w14:textId="77777777" w:rsidTr="00B87F34">
        <w:tc>
          <w:tcPr>
            <w:tcW w:w="4327" w:type="pct"/>
            <w:hideMark/>
          </w:tcPr>
          <w:p w14:paraId="1AFBFBF9" w14:textId="602FAAFF" w:rsidR="00BC55E4" w:rsidRPr="00B87F34" w:rsidRDefault="00BC55E4" w:rsidP="00B42AEB">
            <w:pPr>
              <w:rPr>
                <w:noProof/>
              </w:rPr>
            </w:pPr>
            <w:r>
              <w:rPr>
                <w:noProof/>
              </w:rPr>
              <w:t>Rampen har tilstrækkelig bredde (mindst 1,1 m)</w:t>
            </w:r>
          </w:p>
        </w:tc>
        <w:tc>
          <w:tcPr>
            <w:tcW w:w="374" w:type="pct"/>
          </w:tcPr>
          <w:p w14:paraId="4FFE3089" w14:textId="77777777" w:rsidR="00BC55E4" w:rsidRPr="00B42AEB" w:rsidRDefault="00BC55E4" w:rsidP="00B42AEB">
            <w:pPr>
              <w:rPr>
                <w:noProof/>
              </w:rPr>
            </w:pPr>
          </w:p>
        </w:tc>
        <w:tc>
          <w:tcPr>
            <w:tcW w:w="299" w:type="pct"/>
          </w:tcPr>
          <w:p w14:paraId="6598D0A2" w14:textId="77777777" w:rsidR="00BC55E4" w:rsidRPr="00B42AEB" w:rsidRDefault="00BC55E4" w:rsidP="00B42AEB">
            <w:pPr>
              <w:rPr>
                <w:noProof/>
              </w:rPr>
            </w:pPr>
          </w:p>
        </w:tc>
      </w:tr>
      <w:tr w:rsidR="002A5832" w:rsidRPr="00B42AEB" w14:paraId="0C9B2CA5" w14:textId="77777777" w:rsidTr="00B87F34">
        <w:tc>
          <w:tcPr>
            <w:tcW w:w="4327" w:type="pct"/>
            <w:hideMark/>
          </w:tcPr>
          <w:p w14:paraId="4361EBC8" w14:textId="77777777" w:rsidR="00BC55E4" w:rsidRPr="00B87F34" w:rsidRDefault="00BC55E4" w:rsidP="00B42AEB">
            <w:pPr>
              <w:rPr>
                <w:noProof/>
              </w:rPr>
            </w:pPr>
            <w:r>
              <w:rPr>
                <w:noProof/>
              </w:rPr>
              <w:t>Kørestolsbrugere kan krydse bygningens dørtærskel på egen hånd</w:t>
            </w:r>
          </w:p>
        </w:tc>
        <w:tc>
          <w:tcPr>
            <w:tcW w:w="374" w:type="pct"/>
          </w:tcPr>
          <w:p w14:paraId="1E9F2103" w14:textId="77777777" w:rsidR="00BC55E4" w:rsidRPr="00B42AEB" w:rsidRDefault="00BC55E4" w:rsidP="00B42AEB">
            <w:pPr>
              <w:rPr>
                <w:noProof/>
              </w:rPr>
            </w:pPr>
          </w:p>
        </w:tc>
        <w:tc>
          <w:tcPr>
            <w:tcW w:w="299" w:type="pct"/>
          </w:tcPr>
          <w:p w14:paraId="59C24342" w14:textId="77777777" w:rsidR="00BC55E4" w:rsidRPr="00B42AEB" w:rsidRDefault="00BC55E4" w:rsidP="00B42AEB">
            <w:pPr>
              <w:rPr>
                <w:noProof/>
              </w:rPr>
            </w:pPr>
          </w:p>
        </w:tc>
      </w:tr>
      <w:tr w:rsidR="002A5832" w:rsidRPr="00B42AEB" w14:paraId="26BBEBAB" w14:textId="77777777" w:rsidTr="00B87F34">
        <w:tc>
          <w:tcPr>
            <w:tcW w:w="4327" w:type="pct"/>
            <w:hideMark/>
          </w:tcPr>
          <w:p w14:paraId="380C7E79" w14:textId="77777777" w:rsidR="00BC55E4" w:rsidRPr="00B87F34" w:rsidRDefault="00BC55E4" w:rsidP="00B42AEB">
            <w:pPr>
              <w:rPr>
                <w:noProof/>
              </w:rPr>
            </w:pPr>
            <w:r>
              <w:rPr>
                <w:noProof/>
              </w:rPr>
              <w:t>Bygningens yderdør åbnes automatisk eller kan let åbnes</w:t>
            </w:r>
          </w:p>
        </w:tc>
        <w:tc>
          <w:tcPr>
            <w:tcW w:w="374" w:type="pct"/>
          </w:tcPr>
          <w:p w14:paraId="525CBB34" w14:textId="77777777" w:rsidR="00BC55E4" w:rsidRPr="00B42AEB" w:rsidRDefault="00BC55E4" w:rsidP="00B42AEB">
            <w:pPr>
              <w:rPr>
                <w:noProof/>
              </w:rPr>
            </w:pPr>
          </w:p>
        </w:tc>
        <w:tc>
          <w:tcPr>
            <w:tcW w:w="299" w:type="pct"/>
          </w:tcPr>
          <w:p w14:paraId="4A868C29" w14:textId="77777777" w:rsidR="00BC55E4" w:rsidRPr="00B42AEB" w:rsidRDefault="00BC55E4" w:rsidP="00B42AEB">
            <w:pPr>
              <w:rPr>
                <w:noProof/>
              </w:rPr>
            </w:pPr>
          </w:p>
        </w:tc>
      </w:tr>
      <w:tr w:rsidR="002A5832" w:rsidRPr="00B42AEB" w14:paraId="0431A794" w14:textId="77777777" w:rsidTr="00B87F34">
        <w:tc>
          <w:tcPr>
            <w:tcW w:w="4327" w:type="pct"/>
            <w:hideMark/>
          </w:tcPr>
          <w:p w14:paraId="124CD2BF" w14:textId="1CA71EC0" w:rsidR="00BC55E4" w:rsidRPr="00B87F34" w:rsidRDefault="001F0980" w:rsidP="00B42AEB">
            <w:pPr>
              <w:rPr>
                <w:noProof/>
              </w:rPr>
            </w:pPr>
            <w:r>
              <w:rPr>
                <w:noProof/>
              </w:rPr>
              <w:t>Yderdøren er åben, dvs. at døren ikke er låst eller ikke åbnes via en dørtelefon</w:t>
            </w:r>
          </w:p>
        </w:tc>
        <w:tc>
          <w:tcPr>
            <w:tcW w:w="374" w:type="pct"/>
          </w:tcPr>
          <w:p w14:paraId="283D91C6" w14:textId="77777777" w:rsidR="00BC55E4" w:rsidRPr="00B42AEB" w:rsidRDefault="00BC55E4" w:rsidP="00B42AEB">
            <w:pPr>
              <w:rPr>
                <w:noProof/>
              </w:rPr>
            </w:pPr>
          </w:p>
        </w:tc>
        <w:tc>
          <w:tcPr>
            <w:tcW w:w="299" w:type="pct"/>
          </w:tcPr>
          <w:p w14:paraId="5D0E2F19" w14:textId="77777777" w:rsidR="00BC55E4" w:rsidRPr="00B42AEB" w:rsidRDefault="00BC55E4" w:rsidP="00B42AEB">
            <w:pPr>
              <w:rPr>
                <w:noProof/>
              </w:rPr>
            </w:pPr>
          </w:p>
        </w:tc>
      </w:tr>
      <w:tr w:rsidR="002A5832" w:rsidRPr="00B42AEB" w14:paraId="16BD368E" w14:textId="77777777" w:rsidTr="00B87F34">
        <w:tc>
          <w:tcPr>
            <w:tcW w:w="4327" w:type="pct"/>
            <w:hideMark/>
          </w:tcPr>
          <w:p w14:paraId="071CAFCF" w14:textId="52535A21" w:rsidR="00BC55E4" w:rsidRPr="00B87F34" w:rsidRDefault="00002098" w:rsidP="00B42AEB">
            <w:pPr>
              <w:rPr>
                <w:noProof/>
              </w:rPr>
            </w:pPr>
            <w:r>
              <w:rPr>
                <w:noProof/>
              </w:rPr>
              <w:t>Adgangsvej til valgstedet i bygningen</w:t>
            </w:r>
          </w:p>
        </w:tc>
        <w:tc>
          <w:tcPr>
            <w:tcW w:w="374" w:type="pct"/>
          </w:tcPr>
          <w:p w14:paraId="72915989" w14:textId="77777777" w:rsidR="00BC55E4" w:rsidRPr="00B42AEB" w:rsidRDefault="00BC55E4" w:rsidP="00B42AEB">
            <w:pPr>
              <w:rPr>
                <w:noProof/>
              </w:rPr>
            </w:pPr>
          </w:p>
        </w:tc>
        <w:tc>
          <w:tcPr>
            <w:tcW w:w="299" w:type="pct"/>
          </w:tcPr>
          <w:p w14:paraId="4D24C598" w14:textId="77777777" w:rsidR="00BC55E4" w:rsidRPr="00B42AEB" w:rsidRDefault="00BC55E4" w:rsidP="00B42AEB">
            <w:pPr>
              <w:rPr>
                <w:noProof/>
              </w:rPr>
            </w:pPr>
          </w:p>
        </w:tc>
      </w:tr>
      <w:tr w:rsidR="002A5832" w:rsidRPr="00B42AEB" w14:paraId="0F038FF5" w14:textId="77777777" w:rsidTr="00B87F34">
        <w:tc>
          <w:tcPr>
            <w:tcW w:w="4327" w:type="pct"/>
            <w:hideMark/>
          </w:tcPr>
          <w:p w14:paraId="73E2B35C" w14:textId="77777777" w:rsidR="00BC55E4" w:rsidRPr="00B87F34" w:rsidRDefault="00BC55E4" w:rsidP="00B42AEB">
            <w:pPr>
              <w:rPr>
                <w:noProof/>
              </w:rPr>
            </w:pPr>
            <w:r>
              <w:rPr>
                <w:noProof/>
              </w:rPr>
              <w:t>Valgstedet ligger på samme etage som bygningens hovedindgang</w:t>
            </w:r>
          </w:p>
        </w:tc>
        <w:tc>
          <w:tcPr>
            <w:tcW w:w="374" w:type="pct"/>
          </w:tcPr>
          <w:p w14:paraId="5B07BF17" w14:textId="77777777" w:rsidR="00BC55E4" w:rsidRPr="00B42AEB" w:rsidRDefault="00BC55E4" w:rsidP="00B42AEB">
            <w:pPr>
              <w:rPr>
                <w:noProof/>
              </w:rPr>
            </w:pPr>
          </w:p>
        </w:tc>
        <w:tc>
          <w:tcPr>
            <w:tcW w:w="299" w:type="pct"/>
          </w:tcPr>
          <w:p w14:paraId="533ABA22" w14:textId="77777777" w:rsidR="00BC55E4" w:rsidRPr="00B42AEB" w:rsidRDefault="00BC55E4" w:rsidP="00B42AEB">
            <w:pPr>
              <w:rPr>
                <w:noProof/>
              </w:rPr>
            </w:pPr>
          </w:p>
        </w:tc>
      </w:tr>
      <w:tr w:rsidR="002A5832" w:rsidRPr="00B42AEB" w14:paraId="13A706B6" w14:textId="77777777" w:rsidTr="00B87F34">
        <w:tc>
          <w:tcPr>
            <w:tcW w:w="4327" w:type="pct"/>
            <w:hideMark/>
          </w:tcPr>
          <w:p w14:paraId="16B6692C" w14:textId="62B58E89" w:rsidR="00BC55E4" w:rsidRPr="00B87F34" w:rsidRDefault="00BC55E4" w:rsidP="00B42AEB">
            <w:pPr>
              <w:rPr>
                <w:noProof/>
              </w:rPr>
            </w:pPr>
            <w:r>
              <w:rPr>
                <w:noProof/>
              </w:rPr>
              <w:t xml:space="preserve">Valgstedet (hvis det ikke er på samme etage som hovedindgangen) er tilgængeligt med en elevator eller en rampe </w:t>
            </w:r>
          </w:p>
        </w:tc>
        <w:tc>
          <w:tcPr>
            <w:tcW w:w="374" w:type="pct"/>
          </w:tcPr>
          <w:p w14:paraId="6EED752E" w14:textId="77777777" w:rsidR="00BC55E4" w:rsidRPr="00B42AEB" w:rsidRDefault="00BC55E4" w:rsidP="00B42AEB">
            <w:pPr>
              <w:rPr>
                <w:noProof/>
              </w:rPr>
            </w:pPr>
          </w:p>
        </w:tc>
        <w:tc>
          <w:tcPr>
            <w:tcW w:w="299" w:type="pct"/>
          </w:tcPr>
          <w:p w14:paraId="26B54865" w14:textId="77777777" w:rsidR="00BC55E4" w:rsidRPr="00B42AEB" w:rsidRDefault="00BC55E4" w:rsidP="00B42AEB">
            <w:pPr>
              <w:rPr>
                <w:noProof/>
              </w:rPr>
            </w:pPr>
          </w:p>
        </w:tc>
      </w:tr>
      <w:tr w:rsidR="002A5832" w:rsidRPr="00B42AEB" w14:paraId="326D04DF" w14:textId="77777777" w:rsidTr="00B87F34">
        <w:tc>
          <w:tcPr>
            <w:tcW w:w="4327" w:type="pct"/>
            <w:hideMark/>
          </w:tcPr>
          <w:p w14:paraId="09B93A8E" w14:textId="6A2A02D8" w:rsidR="00BC55E4" w:rsidRPr="00B87F34" w:rsidRDefault="00BC55E4" w:rsidP="00B42AEB">
            <w:pPr>
              <w:rPr>
                <w:noProof/>
              </w:rPr>
            </w:pPr>
            <w:r>
              <w:rPr>
                <w:noProof/>
              </w:rPr>
              <w:t>Ruten fra hovedindgangen til valgstedet er tilstrækkelig bred (mindst 1,5 m)</w:t>
            </w:r>
          </w:p>
        </w:tc>
        <w:tc>
          <w:tcPr>
            <w:tcW w:w="374" w:type="pct"/>
          </w:tcPr>
          <w:p w14:paraId="2208032C" w14:textId="77777777" w:rsidR="00BC55E4" w:rsidRPr="00B42AEB" w:rsidRDefault="00BC55E4" w:rsidP="00B42AEB">
            <w:pPr>
              <w:rPr>
                <w:noProof/>
              </w:rPr>
            </w:pPr>
          </w:p>
        </w:tc>
        <w:tc>
          <w:tcPr>
            <w:tcW w:w="299" w:type="pct"/>
          </w:tcPr>
          <w:p w14:paraId="286E818F" w14:textId="77777777" w:rsidR="00BC55E4" w:rsidRPr="00B42AEB" w:rsidRDefault="00BC55E4" w:rsidP="00B42AEB">
            <w:pPr>
              <w:rPr>
                <w:noProof/>
              </w:rPr>
            </w:pPr>
          </w:p>
        </w:tc>
      </w:tr>
      <w:tr w:rsidR="002A5832" w:rsidRPr="00B42AEB" w14:paraId="1BD63A6C" w14:textId="77777777" w:rsidTr="00B87F34">
        <w:tc>
          <w:tcPr>
            <w:tcW w:w="4327" w:type="pct"/>
            <w:hideMark/>
          </w:tcPr>
          <w:p w14:paraId="1B60A226" w14:textId="133C2DF6" w:rsidR="00BC55E4" w:rsidRPr="00B87F34" w:rsidRDefault="00BC55E4" w:rsidP="00B42AEB">
            <w:pPr>
              <w:rPr>
                <w:noProof/>
              </w:rPr>
            </w:pPr>
            <w:r>
              <w:rPr>
                <w:noProof/>
              </w:rPr>
              <w:t>Adgangsvejen til valgstedet er fri for hindringer, herunder dørtærskler, som hindrer kørestolsadgang</w:t>
            </w:r>
          </w:p>
        </w:tc>
        <w:tc>
          <w:tcPr>
            <w:tcW w:w="374" w:type="pct"/>
          </w:tcPr>
          <w:p w14:paraId="65395C0D" w14:textId="77777777" w:rsidR="00BC55E4" w:rsidRPr="00B42AEB" w:rsidRDefault="00BC55E4" w:rsidP="00B42AEB">
            <w:pPr>
              <w:rPr>
                <w:noProof/>
              </w:rPr>
            </w:pPr>
          </w:p>
        </w:tc>
        <w:tc>
          <w:tcPr>
            <w:tcW w:w="299" w:type="pct"/>
          </w:tcPr>
          <w:p w14:paraId="648D4D2A" w14:textId="77777777" w:rsidR="00BC55E4" w:rsidRPr="00B42AEB" w:rsidRDefault="00BC55E4" w:rsidP="00B42AEB">
            <w:pPr>
              <w:rPr>
                <w:noProof/>
              </w:rPr>
            </w:pPr>
          </w:p>
        </w:tc>
      </w:tr>
      <w:tr w:rsidR="002A5832" w:rsidRPr="00B42AEB" w14:paraId="715CF196" w14:textId="77777777" w:rsidTr="00B87F34">
        <w:tc>
          <w:tcPr>
            <w:tcW w:w="4327" w:type="pct"/>
            <w:hideMark/>
          </w:tcPr>
          <w:p w14:paraId="048C05DF" w14:textId="77777777" w:rsidR="00BC55E4" w:rsidRPr="00B87F34" w:rsidRDefault="00BC55E4" w:rsidP="00B42AEB">
            <w:pPr>
              <w:rPr>
                <w:noProof/>
              </w:rPr>
            </w:pPr>
            <w:r>
              <w:rPr>
                <w:noProof/>
              </w:rPr>
              <w:t>Bygningens indvendige døre åbnes automatisk eller kan let åbnes</w:t>
            </w:r>
          </w:p>
        </w:tc>
        <w:tc>
          <w:tcPr>
            <w:tcW w:w="374" w:type="pct"/>
          </w:tcPr>
          <w:p w14:paraId="0AC9FE2D" w14:textId="77777777" w:rsidR="00BC55E4" w:rsidRPr="00B42AEB" w:rsidRDefault="00BC55E4" w:rsidP="00B42AEB">
            <w:pPr>
              <w:rPr>
                <w:noProof/>
              </w:rPr>
            </w:pPr>
          </w:p>
        </w:tc>
        <w:tc>
          <w:tcPr>
            <w:tcW w:w="299" w:type="pct"/>
          </w:tcPr>
          <w:p w14:paraId="0228C6BD" w14:textId="77777777" w:rsidR="00BC55E4" w:rsidRPr="00B42AEB" w:rsidRDefault="00BC55E4" w:rsidP="00B42AEB">
            <w:pPr>
              <w:rPr>
                <w:noProof/>
              </w:rPr>
            </w:pPr>
          </w:p>
        </w:tc>
      </w:tr>
      <w:tr w:rsidR="002A5832" w:rsidRPr="00B42AEB" w14:paraId="3CAC800D" w14:textId="77777777" w:rsidTr="00B87F34">
        <w:tc>
          <w:tcPr>
            <w:tcW w:w="4327" w:type="pct"/>
            <w:hideMark/>
          </w:tcPr>
          <w:p w14:paraId="15ACF8CA" w14:textId="06BBF011" w:rsidR="00BC55E4" w:rsidRPr="00B87F34" w:rsidRDefault="00BC55E4" w:rsidP="00B42AEB">
            <w:pPr>
              <w:rPr>
                <w:noProof/>
              </w:rPr>
            </w:pPr>
            <w:r>
              <w:rPr>
                <w:noProof/>
              </w:rPr>
              <w:t>Vejen til valgstedet er forsynet med skiltning</w:t>
            </w:r>
          </w:p>
        </w:tc>
        <w:tc>
          <w:tcPr>
            <w:tcW w:w="374" w:type="pct"/>
          </w:tcPr>
          <w:p w14:paraId="27D11A27" w14:textId="77777777" w:rsidR="00BC55E4" w:rsidRPr="00B42AEB" w:rsidRDefault="00BC55E4" w:rsidP="00B42AEB">
            <w:pPr>
              <w:rPr>
                <w:noProof/>
              </w:rPr>
            </w:pPr>
          </w:p>
        </w:tc>
        <w:tc>
          <w:tcPr>
            <w:tcW w:w="299" w:type="pct"/>
          </w:tcPr>
          <w:p w14:paraId="1BE5098F" w14:textId="77777777" w:rsidR="00BC55E4" w:rsidRPr="00B42AEB" w:rsidRDefault="00BC55E4" w:rsidP="00B42AEB">
            <w:pPr>
              <w:rPr>
                <w:noProof/>
              </w:rPr>
            </w:pPr>
          </w:p>
        </w:tc>
      </w:tr>
      <w:tr w:rsidR="002A5832" w:rsidRPr="00B42AEB" w14:paraId="1D4980E3" w14:textId="77777777" w:rsidTr="00B87F34">
        <w:tc>
          <w:tcPr>
            <w:tcW w:w="4327" w:type="pct"/>
            <w:hideMark/>
          </w:tcPr>
          <w:p w14:paraId="40B9490A" w14:textId="77777777" w:rsidR="00BC55E4" w:rsidRPr="00B87F34" w:rsidRDefault="00BC55E4" w:rsidP="00B42AEB">
            <w:pPr>
              <w:rPr>
                <w:noProof/>
              </w:rPr>
            </w:pPr>
            <w:r>
              <w:rPr>
                <w:noProof/>
              </w:rPr>
              <w:t>Bygningens indre lokaler har tilstrækkelig belysning</w:t>
            </w:r>
          </w:p>
        </w:tc>
        <w:tc>
          <w:tcPr>
            <w:tcW w:w="374" w:type="pct"/>
          </w:tcPr>
          <w:p w14:paraId="1F33E811" w14:textId="77777777" w:rsidR="00BC55E4" w:rsidRPr="00B42AEB" w:rsidRDefault="00BC55E4" w:rsidP="00B42AEB">
            <w:pPr>
              <w:rPr>
                <w:noProof/>
              </w:rPr>
            </w:pPr>
          </w:p>
        </w:tc>
        <w:tc>
          <w:tcPr>
            <w:tcW w:w="299" w:type="pct"/>
          </w:tcPr>
          <w:p w14:paraId="255A8914" w14:textId="77777777" w:rsidR="00BC55E4" w:rsidRPr="00B42AEB" w:rsidRDefault="00BC55E4" w:rsidP="00B42AEB">
            <w:pPr>
              <w:rPr>
                <w:noProof/>
              </w:rPr>
            </w:pPr>
          </w:p>
        </w:tc>
      </w:tr>
      <w:tr w:rsidR="002A5832" w:rsidRPr="00B42AEB" w14:paraId="18E73688" w14:textId="77777777" w:rsidTr="00B87F34">
        <w:tc>
          <w:tcPr>
            <w:tcW w:w="4327" w:type="pct"/>
            <w:hideMark/>
          </w:tcPr>
          <w:p w14:paraId="102F3A91" w14:textId="72F56A67" w:rsidR="00BC55E4" w:rsidRPr="00B87F34" w:rsidRDefault="00BC55E4" w:rsidP="00B42AEB">
            <w:pPr>
              <w:rPr>
                <w:noProof/>
              </w:rPr>
            </w:pPr>
            <w:r>
              <w:rPr>
                <w:noProof/>
              </w:rPr>
              <w:t xml:space="preserve">Bevægelse på valgstedet </w:t>
            </w:r>
          </w:p>
        </w:tc>
        <w:tc>
          <w:tcPr>
            <w:tcW w:w="374" w:type="pct"/>
          </w:tcPr>
          <w:p w14:paraId="7EE68C83" w14:textId="77777777" w:rsidR="00BC55E4" w:rsidRPr="00B42AEB" w:rsidRDefault="00BC55E4" w:rsidP="00B42AEB">
            <w:pPr>
              <w:rPr>
                <w:noProof/>
              </w:rPr>
            </w:pPr>
          </w:p>
        </w:tc>
        <w:tc>
          <w:tcPr>
            <w:tcW w:w="299" w:type="pct"/>
          </w:tcPr>
          <w:p w14:paraId="6DA97480" w14:textId="77777777" w:rsidR="00BC55E4" w:rsidRPr="00B42AEB" w:rsidRDefault="00BC55E4" w:rsidP="00B42AEB">
            <w:pPr>
              <w:rPr>
                <w:noProof/>
              </w:rPr>
            </w:pPr>
          </w:p>
        </w:tc>
      </w:tr>
      <w:tr w:rsidR="002A5832" w:rsidRPr="00B42AEB" w14:paraId="5F0AFCED" w14:textId="77777777" w:rsidTr="00B87F34">
        <w:tc>
          <w:tcPr>
            <w:tcW w:w="4327" w:type="pct"/>
            <w:hideMark/>
          </w:tcPr>
          <w:p w14:paraId="7923C5C3" w14:textId="4BFFF464" w:rsidR="00BC55E4" w:rsidRPr="00B87F34" w:rsidRDefault="00BC55E4" w:rsidP="00B42AEB">
            <w:pPr>
              <w:rPr>
                <w:noProof/>
              </w:rPr>
            </w:pPr>
            <w:r>
              <w:rPr>
                <w:noProof/>
              </w:rPr>
              <w:t xml:space="preserve">Der er tilstrækkelig plads til at benytte kørestole og andre mobilitetshjælpemidler på valgstedet </w:t>
            </w:r>
          </w:p>
        </w:tc>
        <w:tc>
          <w:tcPr>
            <w:tcW w:w="374" w:type="pct"/>
          </w:tcPr>
          <w:p w14:paraId="6C66B92E" w14:textId="77777777" w:rsidR="00BC55E4" w:rsidRPr="00B42AEB" w:rsidRDefault="00BC55E4" w:rsidP="00B42AEB">
            <w:pPr>
              <w:rPr>
                <w:noProof/>
              </w:rPr>
            </w:pPr>
          </w:p>
        </w:tc>
        <w:tc>
          <w:tcPr>
            <w:tcW w:w="299" w:type="pct"/>
          </w:tcPr>
          <w:p w14:paraId="3BDB16EB" w14:textId="77777777" w:rsidR="00BC55E4" w:rsidRPr="00B42AEB" w:rsidRDefault="00BC55E4" w:rsidP="00B42AEB">
            <w:pPr>
              <w:rPr>
                <w:noProof/>
              </w:rPr>
            </w:pPr>
          </w:p>
        </w:tc>
      </w:tr>
      <w:tr w:rsidR="002A5832" w:rsidRPr="00B42AEB" w14:paraId="6BED2DBF" w14:textId="77777777" w:rsidTr="00B87F34">
        <w:tc>
          <w:tcPr>
            <w:tcW w:w="4327" w:type="pct"/>
            <w:hideMark/>
          </w:tcPr>
          <w:p w14:paraId="4395FBD8" w14:textId="5B05C335" w:rsidR="00BC55E4" w:rsidRPr="00B87F34" w:rsidRDefault="00BC55E4" w:rsidP="00B42AEB">
            <w:pPr>
              <w:rPr>
                <w:noProof/>
              </w:rPr>
            </w:pPr>
            <w:r>
              <w:rPr>
                <w:noProof/>
              </w:rPr>
              <w:t>Valgstedet har pladser til vælgere, der har brug for at hvile sig</w:t>
            </w:r>
          </w:p>
        </w:tc>
        <w:tc>
          <w:tcPr>
            <w:tcW w:w="374" w:type="pct"/>
          </w:tcPr>
          <w:p w14:paraId="6BEB6EF3" w14:textId="77777777" w:rsidR="00BC55E4" w:rsidRPr="00B42AEB" w:rsidRDefault="00BC55E4" w:rsidP="00B42AEB">
            <w:pPr>
              <w:rPr>
                <w:noProof/>
              </w:rPr>
            </w:pPr>
          </w:p>
        </w:tc>
        <w:tc>
          <w:tcPr>
            <w:tcW w:w="299" w:type="pct"/>
          </w:tcPr>
          <w:p w14:paraId="420C462E" w14:textId="77777777" w:rsidR="00BC55E4" w:rsidRPr="00B42AEB" w:rsidRDefault="00BC55E4" w:rsidP="00B42AEB">
            <w:pPr>
              <w:rPr>
                <w:noProof/>
              </w:rPr>
            </w:pPr>
          </w:p>
        </w:tc>
      </w:tr>
      <w:tr w:rsidR="002A5832" w:rsidRPr="00B42AEB" w14:paraId="009CB280" w14:textId="77777777" w:rsidTr="00B87F34">
        <w:tc>
          <w:tcPr>
            <w:tcW w:w="4327" w:type="pct"/>
            <w:hideMark/>
          </w:tcPr>
          <w:p w14:paraId="0500ECD4" w14:textId="071EAB2A" w:rsidR="00BC55E4" w:rsidRPr="00B87F34" w:rsidRDefault="00BC55E4" w:rsidP="00B42AEB">
            <w:pPr>
              <w:rPr>
                <w:noProof/>
              </w:rPr>
            </w:pPr>
            <w:r>
              <w:rPr>
                <w:noProof/>
              </w:rPr>
              <w:t>Valgstedet har tilstrækkelig belysning</w:t>
            </w:r>
          </w:p>
        </w:tc>
        <w:tc>
          <w:tcPr>
            <w:tcW w:w="374" w:type="pct"/>
          </w:tcPr>
          <w:p w14:paraId="0F8A3EFC" w14:textId="77777777" w:rsidR="00BC55E4" w:rsidRPr="00B42AEB" w:rsidRDefault="00BC55E4" w:rsidP="00B42AEB">
            <w:pPr>
              <w:rPr>
                <w:noProof/>
              </w:rPr>
            </w:pPr>
          </w:p>
        </w:tc>
        <w:tc>
          <w:tcPr>
            <w:tcW w:w="299" w:type="pct"/>
          </w:tcPr>
          <w:p w14:paraId="459F0557" w14:textId="77777777" w:rsidR="00BC55E4" w:rsidRPr="00B42AEB" w:rsidRDefault="00BC55E4" w:rsidP="00B42AEB">
            <w:pPr>
              <w:rPr>
                <w:noProof/>
              </w:rPr>
            </w:pPr>
          </w:p>
        </w:tc>
      </w:tr>
    </w:tbl>
    <w:p w14:paraId="1E3C9A09" w14:textId="4E29200C" w:rsidR="001F288D" w:rsidRPr="00B42AEB" w:rsidRDefault="001F288D" w:rsidP="002D36F0">
      <w:pPr>
        <w:pStyle w:val="ListParagraph"/>
        <w:numPr>
          <w:ilvl w:val="0"/>
          <w:numId w:val="6"/>
        </w:numPr>
        <w:spacing w:before="360" w:after="240" w:line="288" w:lineRule="auto"/>
        <w:ind w:left="714" w:hanging="357"/>
        <w:rPr>
          <w:noProof/>
        </w:rPr>
      </w:pPr>
      <w:r>
        <w:rPr>
          <w:noProof/>
        </w:rPr>
        <w:t>Finland</w:t>
      </w:r>
      <w:r>
        <w:rPr>
          <w:rStyle w:val="FootnoteReference"/>
          <w:noProof/>
        </w:rPr>
        <w:t>(</w:t>
      </w:r>
      <w:r>
        <w:rPr>
          <w:rStyle w:val="FootnoteReference"/>
          <w:noProof/>
        </w:rPr>
        <w:footnoteReference w:id="97"/>
      </w:r>
      <w:r>
        <w:rPr>
          <w:rStyle w:val="FootnoteReference"/>
          <w:noProof/>
        </w:rPr>
        <w:t>))</w:t>
      </w:r>
    </w:p>
    <w:tbl>
      <w:tblPr>
        <w:tblStyle w:val="TableGrid"/>
        <w:tblW w:w="5000" w:type="pct"/>
        <w:tblLook w:val="04A0" w:firstRow="1" w:lastRow="0" w:firstColumn="1" w:lastColumn="0" w:noHBand="0" w:noVBand="1"/>
      </w:tblPr>
      <w:tblGrid>
        <w:gridCol w:w="7816"/>
        <w:gridCol w:w="654"/>
        <w:gridCol w:w="590"/>
      </w:tblGrid>
      <w:tr w:rsidR="00F44153" w:rsidRPr="006F0581" w14:paraId="21C567A7" w14:textId="77777777" w:rsidTr="006F0581">
        <w:trPr>
          <w:tblHeader/>
        </w:trPr>
        <w:tc>
          <w:tcPr>
            <w:tcW w:w="4327" w:type="pct"/>
            <w:shd w:val="clear" w:color="auto" w:fill="D9D9D9" w:themeFill="background1" w:themeFillShade="D9"/>
            <w:hideMark/>
          </w:tcPr>
          <w:p w14:paraId="38AD1709" w14:textId="5683682F" w:rsidR="00F44153" w:rsidRPr="006F0581" w:rsidRDefault="00F44153" w:rsidP="00B42AEB">
            <w:pPr>
              <w:rPr>
                <w:b/>
                <w:noProof/>
              </w:rPr>
            </w:pPr>
            <w:r>
              <w:rPr>
                <w:b/>
                <w:noProof/>
              </w:rPr>
              <w:t>Ankomst til valgstedet</w:t>
            </w:r>
          </w:p>
        </w:tc>
        <w:tc>
          <w:tcPr>
            <w:tcW w:w="374" w:type="pct"/>
            <w:shd w:val="clear" w:color="auto" w:fill="D9D9D9" w:themeFill="background1" w:themeFillShade="D9"/>
            <w:hideMark/>
          </w:tcPr>
          <w:p w14:paraId="63598557" w14:textId="77777777" w:rsidR="00F44153" w:rsidRPr="006F0581" w:rsidRDefault="00F44153" w:rsidP="00B42AEB">
            <w:pPr>
              <w:rPr>
                <w:b/>
                <w:noProof/>
              </w:rPr>
            </w:pPr>
            <w:r>
              <w:rPr>
                <w:b/>
                <w:noProof/>
              </w:rPr>
              <w:t>Ja</w:t>
            </w:r>
          </w:p>
        </w:tc>
        <w:tc>
          <w:tcPr>
            <w:tcW w:w="299" w:type="pct"/>
            <w:shd w:val="clear" w:color="auto" w:fill="D9D9D9" w:themeFill="background1" w:themeFillShade="D9"/>
            <w:hideMark/>
          </w:tcPr>
          <w:p w14:paraId="7C5D48F9" w14:textId="77777777" w:rsidR="00F44153" w:rsidRPr="006F0581" w:rsidRDefault="00F44153" w:rsidP="00B42AEB">
            <w:pPr>
              <w:rPr>
                <w:b/>
                <w:noProof/>
              </w:rPr>
            </w:pPr>
            <w:r>
              <w:rPr>
                <w:b/>
                <w:noProof/>
              </w:rPr>
              <w:t>Nej</w:t>
            </w:r>
          </w:p>
        </w:tc>
      </w:tr>
      <w:tr w:rsidR="00F44153" w:rsidRPr="00B42AEB" w14:paraId="0718D6EA" w14:textId="77777777" w:rsidTr="006F0581">
        <w:tc>
          <w:tcPr>
            <w:tcW w:w="4327" w:type="pct"/>
            <w:hideMark/>
          </w:tcPr>
          <w:p w14:paraId="2D263A6D" w14:textId="0B09D7A0" w:rsidR="00F44153" w:rsidRPr="006F0581" w:rsidRDefault="00F44153" w:rsidP="00B42AEB">
            <w:pPr>
              <w:rPr>
                <w:noProof/>
              </w:rPr>
            </w:pPr>
            <w:r>
              <w:rPr>
                <w:noProof/>
              </w:rPr>
              <w:t>Er valgstedet let tilgængeligt, og er der et offentligt transportstop tæt på valgstedet?</w:t>
            </w:r>
          </w:p>
        </w:tc>
        <w:tc>
          <w:tcPr>
            <w:tcW w:w="374" w:type="pct"/>
          </w:tcPr>
          <w:p w14:paraId="2E9C2963" w14:textId="77777777" w:rsidR="00F44153" w:rsidRPr="00B42AEB" w:rsidRDefault="00F44153" w:rsidP="00B42AEB">
            <w:pPr>
              <w:rPr>
                <w:noProof/>
              </w:rPr>
            </w:pPr>
          </w:p>
        </w:tc>
        <w:tc>
          <w:tcPr>
            <w:tcW w:w="299" w:type="pct"/>
          </w:tcPr>
          <w:p w14:paraId="37EC80E0" w14:textId="77777777" w:rsidR="00F44153" w:rsidRPr="00B42AEB" w:rsidRDefault="00F44153" w:rsidP="00B42AEB">
            <w:pPr>
              <w:rPr>
                <w:noProof/>
              </w:rPr>
            </w:pPr>
          </w:p>
        </w:tc>
      </w:tr>
      <w:tr w:rsidR="00F44153" w:rsidRPr="00B42AEB" w14:paraId="186B7A9B" w14:textId="77777777" w:rsidTr="006F0581">
        <w:tc>
          <w:tcPr>
            <w:tcW w:w="4327" w:type="pct"/>
            <w:hideMark/>
          </w:tcPr>
          <w:p w14:paraId="5EF971B3" w14:textId="0E2CA9EE" w:rsidR="00F44153" w:rsidRPr="006F0581" w:rsidRDefault="00F44153" w:rsidP="00B42AEB">
            <w:pPr>
              <w:rPr>
                <w:noProof/>
              </w:rPr>
            </w:pPr>
            <w:r>
              <w:rPr>
                <w:noProof/>
              </w:rPr>
              <w:t>Kan eskortekøretøjer (f.eks. taxaer for personer med handicap) komme tæt på indgangen?</w:t>
            </w:r>
          </w:p>
        </w:tc>
        <w:tc>
          <w:tcPr>
            <w:tcW w:w="374" w:type="pct"/>
          </w:tcPr>
          <w:p w14:paraId="228BBDB1" w14:textId="77777777" w:rsidR="00F44153" w:rsidRPr="00B42AEB" w:rsidRDefault="00F44153" w:rsidP="00B42AEB">
            <w:pPr>
              <w:rPr>
                <w:noProof/>
              </w:rPr>
            </w:pPr>
          </w:p>
        </w:tc>
        <w:tc>
          <w:tcPr>
            <w:tcW w:w="299" w:type="pct"/>
          </w:tcPr>
          <w:p w14:paraId="65F8E4B9" w14:textId="77777777" w:rsidR="00F44153" w:rsidRPr="00B42AEB" w:rsidRDefault="00F44153" w:rsidP="00B42AEB">
            <w:pPr>
              <w:rPr>
                <w:noProof/>
              </w:rPr>
            </w:pPr>
          </w:p>
        </w:tc>
      </w:tr>
      <w:tr w:rsidR="00F44153" w:rsidRPr="00B42AEB" w14:paraId="0FFA968C" w14:textId="77777777" w:rsidTr="006F0581">
        <w:tc>
          <w:tcPr>
            <w:tcW w:w="4327" w:type="pct"/>
            <w:hideMark/>
          </w:tcPr>
          <w:p w14:paraId="6E4B4746" w14:textId="044FD951" w:rsidR="00F44153" w:rsidRPr="006F0581" w:rsidRDefault="00F44153" w:rsidP="00B42AEB">
            <w:pPr>
              <w:rPr>
                <w:noProof/>
              </w:rPr>
            </w:pPr>
            <w:r>
              <w:rPr>
                <w:noProof/>
              </w:rPr>
              <w:t>Er der tilgængelige parkeringspladser i nærheden af valgstedet (bredde 3 600 mm og længde 5 000 mm)?</w:t>
            </w:r>
          </w:p>
        </w:tc>
        <w:tc>
          <w:tcPr>
            <w:tcW w:w="374" w:type="pct"/>
          </w:tcPr>
          <w:p w14:paraId="58FA46C2" w14:textId="77777777" w:rsidR="00F44153" w:rsidRPr="00B42AEB" w:rsidRDefault="00F44153" w:rsidP="00B42AEB">
            <w:pPr>
              <w:rPr>
                <w:noProof/>
              </w:rPr>
            </w:pPr>
          </w:p>
        </w:tc>
        <w:tc>
          <w:tcPr>
            <w:tcW w:w="299" w:type="pct"/>
          </w:tcPr>
          <w:p w14:paraId="147963E9" w14:textId="77777777" w:rsidR="00F44153" w:rsidRPr="00B42AEB" w:rsidRDefault="00F44153" w:rsidP="00B42AEB">
            <w:pPr>
              <w:rPr>
                <w:noProof/>
              </w:rPr>
            </w:pPr>
          </w:p>
        </w:tc>
      </w:tr>
      <w:tr w:rsidR="00F44153" w:rsidRPr="00B42AEB" w14:paraId="17378218" w14:textId="77777777" w:rsidTr="006F0581">
        <w:tc>
          <w:tcPr>
            <w:tcW w:w="4327" w:type="pct"/>
            <w:hideMark/>
          </w:tcPr>
          <w:p w14:paraId="1B6E357B" w14:textId="4A8C9FEA" w:rsidR="00F44153" w:rsidRPr="006F0581" w:rsidRDefault="00E4138A" w:rsidP="00B42AEB">
            <w:pPr>
              <w:rPr>
                <w:noProof/>
              </w:rPr>
            </w:pPr>
            <w:r>
              <w:rPr>
                <w:noProof/>
              </w:rPr>
              <w:t>Er ruten til indgangen skiltet?</w:t>
            </w:r>
          </w:p>
        </w:tc>
        <w:tc>
          <w:tcPr>
            <w:tcW w:w="374" w:type="pct"/>
          </w:tcPr>
          <w:p w14:paraId="6E066122" w14:textId="77777777" w:rsidR="00F44153" w:rsidRPr="00B42AEB" w:rsidRDefault="00F44153" w:rsidP="00B42AEB">
            <w:pPr>
              <w:rPr>
                <w:noProof/>
              </w:rPr>
            </w:pPr>
          </w:p>
        </w:tc>
        <w:tc>
          <w:tcPr>
            <w:tcW w:w="299" w:type="pct"/>
          </w:tcPr>
          <w:p w14:paraId="05C95110" w14:textId="77777777" w:rsidR="00F44153" w:rsidRPr="00B42AEB" w:rsidRDefault="00F44153" w:rsidP="00B42AEB">
            <w:pPr>
              <w:rPr>
                <w:noProof/>
              </w:rPr>
            </w:pPr>
          </w:p>
        </w:tc>
      </w:tr>
      <w:tr w:rsidR="00F44153" w:rsidRPr="00B42AEB" w14:paraId="56C19A72" w14:textId="77777777" w:rsidTr="006F0581">
        <w:tc>
          <w:tcPr>
            <w:tcW w:w="4327" w:type="pct"/>
          </w:tcPr>
          <w:p w14:paraId="47869DCC" w14:textId="5A1DF6A9" w:rsidR="00F44153" w:rsidRPr="006F0581" w:rsidRDefault="00E4138A" w:rsidP="00B42AEB">
            <w:pPr>
              <w:rPr>
                <w:noProof/>
              </w:rPr>
            </w:pPr>
            <w:r>
              <w:rPr>
                <w:noProof/>
              </w:rPr>
              <w:t>Er ruten til indgangen let at se, jævn og med hård, men ikke glat overflade?</w:t>
            </w:r>
          </w:p>
        </w:tc>
        <w:tc>
          <w:tcPr>
            <w:tcW w:w="374" w:type="pct"/>
          </w:tcPr>
          <w:p w14:paraId="1260751A" w14:textId="77777777" w:rsidR="00F44153" w:rsidRPr="00B42AEB" w:rsidRDefault="00F44153" w:rsidP="00B42AEB">
            <w:pPr>
              <w:rPr>
                <w:noProof/>
              </w:rPr>
            </w:pPr>
          </w:p>
        </w:tc>
        <w:tc>
          <w:tcPr>
            <w:tcW w:w="299" w:type="pct"/>
          </w:tcPr>
          <w:p w14:paraId="19791FB1" w14:textId="77777777" w:rsidR="00F44153" w:rsidRPr="00B42AEB" w:rsidRDefault="00F44153" w:rsidP="00B42AEB">
            <w:pPr>
              <w:rPr>
                <w:noProof/>
              </w:rPr>
            </w:pPr>
          </w:p>
        </w:tc>
      </w:tr>
      <w:tr w:rsidR="00F44153" w:rsidRPr="00B42AEB" w14:paraId="32AC6449" w14:textId="77777777" w:rsidTr="006F0581">
        <w:tc>
          <w:tcPr>
            <w:tcW w:w="4327" w:type="pct"/>
            <w:hideMark/>
          </w:tcPr>
          <w:p w14:paraId="5C4EFCC0" w14:textId="429B47CA" w:rsidR="00F44153" w:rsidRPr="006F0581" w:rsidRDefault="00E4138A" w:rsidP="00B42AEB">
            <w:pPr>
              <w:rPr>
                <w:noProof/>
              </w:rPr>
            </w:pPr>
            <w:r>
              <w:rPr>
                <w:noProof/>
              </w:rPr>
              <w:t>Har vejen ikke en hældning på over 5 % (1:20)?</w:t>
            </w:r>
          </w:p>
        </w:tc>
        <w:tc>
          <w:tcPr>
            <w:tcW w:w="374" w:type="pct"/>
          </w:tcPr>
          <w:p w14:paraId="5D433CD2" w14:textId="77777777" w:rsidR="00F44153" w:rsidRPr="00B42AEB" w:rsidRDefault="00F44153" w:rsidP="00B42AEB">
            <w:pPr>
              <w:rPr>
                <w:noProof/>
              </w:rPr>
            </w:pPr>
          </w:p>
        </w:tc>
        <w:tc>
          <w:tcPr>
            <w:tcW w:w="299" w:type="pct"/>
          </w:tcPr>
          <w:p w14:paraId="778133C7" w14:textId="77777777" w:rsidR="00F44153" w:rsidRPr="00B42AEB" w:rsidRDefault="00F44153" w:rsidP="00B42AEB">
            <w:pPr>
              <w:rPr>
                <w:noProof/>
              </w:rPr>
            </w:pPr>
          </w:p>
        </w:tc>
      </w:tr>
      <w:tr w:rsidR="00BF0133" w:rsidRPr="00B42AEB" w14:paraId="11D1FDF1" w14:textId="77777777" w:rsidTr="006F0581">
        <w:tc>
          <w:tcPr>
            <w:tcW w:w="4327" w:type="pct"/>
          </w:tcPr>
          <w:p w14:paraId="562E6705" w14:textId="5FD7F2E8" w:rsidR="00BF0133" w:rsidRPr="006F0581" w:rsidRDefault="00BF0133" w:rsidP="00B42AEB">
            <w:pPr>
              <w:rPr>
                <w:noProof/>
              </w:rPr>
            </w:pPr>
            <w:r>
              <w:rPr>
                <w:noProof/>
              </w:rPr>
              <w:t>Indgang</w:t>
            </w:r>
          </w:p>
        </w:tc>
        <w:tc>
          <w:tcPr>
            <w:tcW w:w="374" w:type="pct"/>
          </w:tcPr>
          <w:p w14:paraId="4D33069A" w14:textId="77777777" w:rsidR="00BF0133" w:rsidRPr="00B42AEB" w:rsidRDefault="00BF0133" w:rsidP="00B42AEB">
            <w:pPr>
              <w:rPr>
                <w:noProof/>
              </w:rPr>
            </w:pPr>
          </w:p>
        </w:tc>
        <w:tc>
          <w:tcPr>
            <w:tcW w:w="299" w:type="pct"/>
          </w:tcPr>
          <w:p w14:paraId="39912F57" w14:textId="77777777" w:rsidR="00BF0133" w:rsidRPr="00B42AEB" w:rsidRDefault="00BF0133" w:rsidP="00B42AEB">
            <w:pPr>
              <w:rPr>
                <w:noProof/>
              </w:rPr>
            </w:pPr>
          </w:p>
        </w:tc>
      </w:tr>
      <w:tr w:rsidR="00F44153" w:rsidRPr="00B42AEB" w14:paraId="6C30EDB8" w14:textId="77777777" w:rsidTr="006F0581">
        <w:tc>
          <w:tcPr>
            <w:tcW w:w="4327" w:type="pct"/>
            <w:hideMark/>
          </w:tcPr>
          <w:p w14:paraId="1A901C43" w14:textId="01DAD147" w:rsidR="00F44153" w:rsidRPr="006F0581" w:rsidRDefault="00BF0133" w:rsidP="00B42AEB">
            <w:pPr>
              <w:rPr>
                <w:noProof/>
              </w:rPr>
            </w:pPr>
            <w:r>
              <w:rPr>
                <w:noProof/>
              </w:rPr>
              <w:t>Er der tydelig skiltning af tilgængelige ruter på valgstedet?</w:t>
            </w:r>
          </w:p>
        </w:tc>
        <w:tc>
          <w:tcPr>
            <w:tcW w:w="374" w:type="pct"/>
          </w:tcPr>
          <w:p w14:paraId="259904B7" w14:textId="77777777" w:rsidR="00F44153" w:rsidRPr="00B42AEB" w:rsidRDefault="00F44153" w:rsidP="00B42AEB">
            <w:pPr>
              <w:rPr>
                <w:noProof/>
              </w:rPr>
            </w:pPr>
          </w:p>
        </w:tc>
        <w:tc>
          <w:tcPr>
            <w:tcW w:w="299" w:type="pct"/>
          </w:tcPr>
          <w:p w14:paraId="7A56BA2B" w14:textId="77777777" w:rsidR="00F44153" w:rsidRPr="00B42AEB" w:rsidRDefault="00F44153" w:rsidP="00B42AEB">
            <w:pPr>
              <w:rPr>
                <w:noProof/>
              </w:rPr>
            </w:pPr>
          </w:p>
        </w:tc>
      </w:tr>
      <w:tr w:rsidR="00F44153" w:rsidRPr="00B42AEB" w14:paraId="23B08F00" w14:textId="77777777" w:rsidTr="006F0581">
        <w:tc>
          <w:tcPr>
            <w:tcW w:w="4327" w:type="pct"/>
            <w:hideMark/>
          </w:tcPr>
          <w:p w14:paraId="2C1C8D7A" w14:textId="14D671DC" w:rsidR="00F44153" w:rsidRPr="006F0581" w:rsidRDefault="00BF0133" w:rsidP="00B42AEB">
            <w:pPr>
              <w:rPr>
                <w:noProof/>
              </w:rPr>
            </w:pPr>
            <w:r>
              <w:rPr>
                <w:noProof/>
              </w:rPr>
              <w:t>Er der en rampe med en hældning på op til 8 % og en bredde på mindst 900 mm langs indgangstrappen?</w:t>
            </w:r>
          </w:p>
        </w:tc>
        <w:tc>
          <w:tcPr>
            <w:tcW w:w="374" w:type="pct"/>
          </w:tcPr>
          <w:p w14:paraId="5E6C4EDF" w14:textId="77777777" w:rsidR="00F44153" w:rsidRPr="00B42AEB" w:rsidRDefault="00F44153" w:rsidP="00B42AEB">
            <w:pPr>
              <w:rPr>
                <w:noProof/>
              </w:rPr>
            </w:pPr>
          </w:p>
        </w:tc>
        <w:tc>
          <w:tcPr>
            <w:tcW w:w="299" w:type="pct"/>
          </w:tcPr>
          <w:p w14:paraId="7C1A9AC6" w14:textId="77777777" w:rsidR="00F44153" w:rsidRPr="00B42AEB" w:rsidRDefault="00F44153" w:rsidP="00B42AEB">
            <w:pPr>
              <w:rPr>
                <w:noProof/>
              </w:rPr>
            </w:pPr>
          </w:p>
        </w:tc>
      </w:tr>
      <w:tr w:rsidR="00002825" w:rsidRPr="00B42AEB" w14:paraId="20C77620" w14:textId="77777777" w:rsidTr="006F0581">
        <w:trPr>
          <w:trHeight w:val="325"/>
        </w:trPr>
        <w:tc>
          <w:tcPr>
            <w:tcW w:w="0" w:type="pct"/>
            <w:hideMark/>
          </w:tcPr>
          <w:p w14:paraId="476AAA39" w14:textId="76353995" w:rsidR="00F44153" w:rsidRPr="006F0581" w:rsidRDefault="00BF0133" w:rsidP="00B42AEB">
            <w:pPr>
              <w:rPr>
                <w:noProof/>
              </w:rPr>
            </w:pPr>
            <w:r>
              <w:rPr>
                <w:noProof/>
              </w:rPr>
              <w:t>Har trapper og ramper håndlister på begge sider?</w:t>
            </w:r>
          </w:p>
        </w:tc>
        <w:tc>
          <w:tcPr>
            <w:tcW w:w="0" w:type="pct"/>
          </w:tcPr>
          <w:p w14:paraId="62112186" w14:textId="77777777" w:rsidR="00F44153" w:rsidRPr="00B42AEB" w:rsidRDefault="00F44153" w:rsidP="00B42AEB">
            <w:pPr>
              <w:rPr>
                <w:noProof/>
              </w:rPr>
            </w:pPr>
          </w:p>
        </w:tc>
        <w:tc>
          <w:tcPr>
            <w:tcW w:w="0" w:type="pct"/>
          </w:tcPr>
          <w:p w14:paraId="46400332" w14:textId="77777777" w:rsidR="00F44153" w:rsidRPr="00B42AEB" w:rsidRDefault="00F44153" w:rsidP="00B42AEB">
            <w:pPr>
              <w:rPr>
                <w:noProof/>
              </w:rPr>
            </w:pPr>
          </w:p>
        </w:tc>
      </w:tr>
      <w:tr w:rsidR="00F44153" w:rsidRPr="00B42AEB" w14:paraId="0F1F4192" w14:textId="77777777" w:rsidTr="006F0581">
        <w:tc>
          <w:tcPr>
            <w:tcW w:w="4327" w:type="pct"/>
            <w:hideMark/>
          </w:tcPr>
          <w:p w14:paraId="1F0B5EC0" w14:textId="6DC40A92" w:rsidR="00F44153" w:rsidRPr="006F0581" w:rsidRDefault="00BF0133" w:rsidP="00B42AEB">
            <w:pPr>
              <w:rPr>
                <w:noProof/>
              </w:rPr>
            </w:pPr>
            <w:r>
              <w:rPr>
                <w:noProof/>
              </w:rPr>
              <w:t>Er der en platform foran den forreste dør på mindst 1 500 mm x 1 500 mm?</w:t>
            </w:r>
          </w:p>
        </w:tc>
        <w:tc>
          <w:tcPr>
            <w:tcW w:w="374" w:type="pct"/>
          </w:tcPr>
          <w:p w14:paraId="123EBD46" w14:textId="77777777" w:rsidR="00F44153" w:rsidRPr="00B42AEB" w:rsidRDefault="00F44153" w:rsidP="00B42AEB">
            <w:pPr>
              <w:rPr>
                <w:noProof/>
              </w:rPr>
            </w:pPr>
          </w:p>
        </w:tc>
        <w:tc>
          <w:tcPr>
            <w:tcW w:w="299" w:type="pct"/>
          </w:tcPr>
          <w:p w14:paraId="0BEFF1E3" w14:textId="77777777" w:rsidR="00F44153" w:rsidRPr="00B42AEB" w:rsidRDefault="00F44153" w:rsidP="00B42AEB">
            <w:pPr>
              <w:rPr>
                <w:noProof/>
              </w:rPr>
            </w:pPr>
          </w:p>
        </w:tc>
      </w:tr>
      <w:tr w:rsidR="00F44153" w:rsidRPr="00B42AEB" w14:paraId="11F2B2DA" w14:textId="77777777" w:rsidTr="006F0581">
        <w:tc>
          <w:tcPr>
            <w:tcW w:w="4327" w:type="pct"/>
            <w:hideMark/>
          </w:tcPr>
          <w:p w14:paraId="3D23490B" w14:textId="32792D1A" w:rsidR="00F44153" w:rsidRPr="006F0581" w:rsidRDefault="00BF0133" w:rsidP="00B42AEB">
            <w:pPr>
              <w:rPr>
                <w:noProof/>
              </w:rPr>
            </w:pPr>
            <w:r>
              <w:rPr>
                <w:noProof/>
              </w:rPr>
              <w:t>Er der mindst 400 mm frirum på fordørens åbningsside, som en kørestolsbruger har brug for ved åbning af døren?</w:t>
            </w:r>
          </w:p>
        </w:tc>
        <w:tc>
          <w:tcPr>
            <w:tcW w:w="374" w:type="pct"/>
          </w:tcPr>
          <w:p w14:paraId="0DB5FE05" w14:textId="77777777" w:rsidR="00F44153" w:rsidRPr="00B42AEB" w:rsidRDefault="00F44153" w:rsidP="00B42AEB">
            <w:pPr>
              <w:rPr>
                <w:noProof/>
              </w:rPr>
            </w:pPr>
          </w:p>
        </w:tc>
        <w:tc>
          <w:tcPr>
            <w:tcW w:w="299" w:type="pct"/>
          </w:tcPr>
          <w:p w14:paraId="19DEC32F" w14:textId="77777777" w:rsidR="00F44153" w:rsidRPr="00B42AEB" w:rsidRDefault="00F44153" w:rsidP="00B42AEB">
            <w:pPr>
              <w:rPr>
                <w:noProof/>
              </w:rPr>
            </w:pPr>
          </w:p>
        </w:tc>
      </w:tr>
      <w:tr w:rsidR="00F44153" w:rsidRPr="00B42AEB" w14:paraId="31551317" w14:textId="77777777" w:rsidTr="006F0581">
        <w:tc>
          <w:tcPr>
            <w:tcW w:w="4327" w:type="pct"/>
            <w:hideMark/>
          </w:tcPr>
          <w:p w14:paraId="26C40154" w14:textId="2B4FE10B" w:rsidR="00F44153" w:rsidRPr="006F0581" w:rsidRDefault="00BF0133" w:rsidP="00B42AEB">
            <w:pPr>
              <w:rPr>
                <w:noProof/>
              </w:rPr>
            </w:pPr>
            <w:r>
              <w:rPr>
                <w:noProof/>
              </w:rPr>
              <w:t>Er indgangsdørens bredde mindst 850 mm og højden af tærsklen højst 20 mm?</w:t>
            </w:r>
          </w:p>
        </w:tc>
        <w:tc>
          <w:tcPr>
            <w:tcW w:w="374" w:type="pct"/>
          </w:tcPr>
          <w:p w14:paraId="4873CCD4" w14:textId="77777777" w:rsidR="00F44153" w:rsidRPr="00B42AEB" w:rsidRDefault="00F44153" w:rsidP="00B42AEB">
            <w:pPr>
              <w:rPr>
                <w:noProof/>
              </w:rPr>
            </w:pPr>
          </w:p>
        </w:tc>
        <w:tc>
          <w:tcPr>
            <w:tcW w:w="299" w:type="pct"/>
          </w:tcPr>
          <w:p w14:paraId="1D85CEA3" w14:textId="77777777" w:rsidR="00F44153" w:rsidRPr="00B42AEB" w:rsidRDefault="00F44153" w:rsidP="00B42AEB">
            <w:pPr>
              <w:rPr>
                <w:noProof/>
              </w:rPr>
            </w:pPr>
          </w:p>
        </w:tc>
      </w:tr>
      <w:tr w:rsidR="00F44153" w:rsidRPr="00B42AEB" w14:paraId="2CB1C50D" w14:textId="77777777" w:rsidTr="006F0581">
        <w:tc>
          <w:tcPr>
            <w:tcW w:w="4327" w:type="pct"/>
            <w:hideMark/>
          </w:tcPr>
          <w:p w14:paraId="27CA24F6" w14:textId="3E85BA7B" w:rsidR="00F44153" w:rsidRPr="006F0581" w:rsidRDefault="00E833D1" w:rsidP="00B42AEB">
            <w:pPr>
              <w:rPr>
                <w:noProof/>
              </w:rPr>
            </w:pPr>
            <w:r>
              <w:rPr>
                <w:noProof/>
              </w:rPr>
              <w:t>Åbnes døren automatisk eller på anden måde (maksimal åbningskraft 10 N, dvs. 1 kg)?</w:t>
            </w:r>
          </w:p>
        </w:tc>
        <w:tc>
          <w:tcPr>
            <w:tcW w:w="374" w:type="pct"/>
          </w:tcPr>
          <w:p w14:paraId="10F8AF69" w14:textId="77777777" w:rsidR="00F44153" w:rsidRPr="00B42AEB" w:rsidRDefault="00F44153" w:rsidP="00B42AEB">
            <w:pPr>
              <w:rPr>
                <w:noProof/>
              </w:rPr>
            </w:pPr>
          </w:p>
        </w:tc>
        <w:tc>
          <w:tcPr>
            <w:tcW w:w="299" w:type="pct"/>
          </w:tcPr>
          <w:p w14:paraId="2F6E11E8" w14:textId="77777777" w:rsidR="00F44153" w:rsidRPr="00B42AEB" w:rsidRDefault="00F44153" w:rsidP="00B42AEB">
            <w:pPr>
              <w:rPr>
                <w:noProof/>
              </w:rPr>
            </w:pPr>
          </w:p>
        </w:tc>
      </w:tr>
      <w:tr w:rsidR="00F44153" w:rsidRPr="00B42AEB" w14:paraId="408D1CDE" w14:textId="77777777" w:rsidTr="006F0581">
        <w:tc>
          <w:tcPr>
            <w:tcW w:w="4327" w:type="pct"/>
            <w:hideMark/>
          </w:tcPr>
          <w:p w14:paraId="54D9793A" w14:textId="54DD07EC" w:rsidR="00F44153" w:rsidRPr="006F0581" w:rsidRDefault="00E833D1" w:rsidP="00B42AEB">
            <w:pPr>
              <w:rPr>
                <w:noProof/>
              </w:rPr>
            </w:pPr>
            <w:r>
              <w:rPr>
                <w:noProof/>
              </w:rPr>
              <w:t>Er der huller på højst 10 mm x 30 mm i dørmåtten eller -risten ved indgangen, og er planforskellen forårsaget af måtten eller risten højst 20 mm?</w:t>
            </w:r>
          </w:p>
        </w:tc>
        <w:tc>
          <w:tcPr>
            <w:tcW w:w="374" w:type="pct"/>
          </w:tcPr>
          <w:p w14:paraId="360C8B86" w14:textId="77777777" w:rsidR="00F44153" w:rsidRPr="00B42AEB" w:rsidRDefault="00F44153" w:rsidP="00B42AEB">
            <w:pPr>
              <w:rPr>
                <w:noProof/>
              </w:rPr>
            </w:pPr>
          </w:p>
        </w:tc>
        <w:tc>
          <w:tcPr>
            <w:tcW w:w="299" w:type="pct"/>
          </w:tcPr>
          <w:p w14:paraId="1A516B46" w14:textId="77777777" w:rsidR="00F44153" w:rsidRPr="00B42AEB" w:rsidRDefault="00F44153" w:rsidP="00B42AEB">
            <w:pPr>
              <w:rPr>
                <w:noProof/>
              </w:rPr>
            </w:pPr>
          </w:p>
        </w:tc>
      </w:tr>
      <w:tr w:rsidR="00F44153" w:rsidRPr="00B42AEB" w14:paraId="40963971" w14:textId="77777777" w:rsidTr="006F0581">
        <w:tc>
          <w:tcPr>
            <w:tcW w:w="4327" w:type="pct"/>
            <w:hideMark/>
          </w:tcPr>
          <w:p w14:paraId="00995295" w14:textId="7EA32C07" w:rsidR="00F44153" w:rsidRPr="006F0581" w:rsidRDefault="00E833D1" w:rsidP="00B42AEB">
            <w:pPr>
              <w:rPr>
                <w:noProof/>
              </w:rPr>
            </w:pPr>
            <w:r>
              <w:rPr>
                <w:noProof/>
              </w:rPr>
              <w:t>Er overdækningens dybde og bredde mindst 1 500 mm, hvis begge døre åbner udad væk fra vindfanget?</w:t>
            </w:r>
          </w:p>
        </w:tc>
        <w:tc>
          <w:tcPr>
            <w:tcW w:w="374" w:type="pct"/>
          </w:tcPr>
          <w:p w14:paraId="1501E11E" w14:textId="77777777" w:rsidR="00F44153" w:rsidRPr="00B42AEB" w:rsidRDefault="00F44153" w:rsidP="00B42AEB">
            <w:pPr>
              <w:rPr>
                <w:noProof/>
              </w:rPr>
            </w:pPr>
          </w:p>
        </w:tc>
        <w:tc>
          <w:tcPr>
            <w:tcW w:w="299" w:type="pct"/>
          </w:tcPr>
          <w:p w14:paraId="0425FE37" w14:textId="77777777" w:rsidR="00F44153" w:rsidRPr="00B42AEB" w:rsidRDefault="00F44153" w:rsidP="00B42AEB">
            <w:pPr>
              <w:rPr>
                <w:noProof/>
              </w:rPr>
            </w:pPr>
          </w:p>
        </w:tc>
      </w:tr>
      <w:tr w:rsidR="00F44153" w:rsidRPr="00B42AEB" w14:paraId="53312871" w14:textId="77777777" w:rsidTr="006F0581">
        <w:tc>
          <w:tcPr>
            <w:tcW w:w="4327" w:type="pct"/>
            <w:hideMark/>
          </w:tcPr>
          <w:p w14:paraId="5E2681BF" w14:textId="29F03161" w:rsidR="00F44153" w:rsidRPr="006F0581" w:rsidRDefault="00E833D1" w:rsidP="00B42AEB">
            <w:pPr>
              <w:rPr>
                <w:noProof/>
              </w:rPr>
            </w:pPr>
            <w:r>
              <w:rPr>
                <w:noProof/>
              </w:rPr>
              <w:t>Er vindfangets bredde mindst 1 500 mm og dybden mindst 2 300 mm, hvis en af dørene åbner indad i vindfanget?</w:t>
            </w:r>
          </w:p>
        </w:tc>
        <w:tc>
          <w:tcPr>
            <w:tcW w:w="374" w:type="pct"/>
          </w:tcPr>
          <w:p w14:paraId="064C6EE2" w14:textId="77777777" w:rsidR="00F44153" w:rsidRPr="00B42AEB" w:rsidRDefault="00F44153" w:rsidP="00B42AEB">
            <w:pPr>
              <w:rPr>
                <w:noProof/>
              </w:rPr>
            </w:pPr>
          </w:p>
        </w:tc>
        <w:tc>
          <w:tcPr>
            <w:tcW w:w="299" w:type="pct"/>
          </w:tcPr>
          <w:p w14:paraId="3D467632" w14:textId="77777777" w:rsidR="00F44153" w:rsidRPr="00B42AEB" w:rsidRDefault="00F44153" w:rsidP="00B42AEB">
            <w:pPr>
              <w:rPr>
                <w:noProof/>
              </w:rPr>
            </w:pPr>
          </w:p>
        </w:tc>
      </w:tr>
      <w:tr w:rsidR="00E833D1" w:rsidRPr="00B42AEB" w14:paraId="209CFC59" w14:textId="77777777" w:rsidTr="006F0581">
        <w:trPr>
          <w:trHeight w:val="371"/>
        </w:trPr>
        <w:tc>
          <w:tcPr>
            <w:tcW w:w="0" w:type="pct"/>
          </w:tcPr>
          <w:p w14:paraId="23FE2E1C" w14:textId="3751785A" w:rsidR="00E833D1" w:rsidRPr="006F0581" w:rsidRDefault="00E833D1" w:rsidP="00B42AEB">
            <w:pPr>
              <w:rPr>
                <w:noProof/>
              </w:rPr>
            </w:pPr>
            <w:r>
              <w:rPr>
                <w:noProof/>
              </w:rPr>
              <w:t>Valgsted</w:t>
            </w:r>
          </w:p>
        </w:tc>
        <w:tc>
          <w:tcPr>
            <w:tcW w:w="0" w:type="pct"/>
          </w:tcPr>
          <w:p w14:paraId="693BB439" w14:textId="77777777" w:rsidR="00E833D1" w:rsidRPr="00B42AEB" w:rsidRDefault="00E833D1" w:rsidP="00B42AEB">
            <w:pPr>
              <w:rPr>
                <w:noProof/>
              </w:rPr>
            </w:pPr>
          </w:p>
        </w:tc>
        <w:tc>
          <w:tcPr>
            <w:tcW w:w="0" w:type="pct"/>
          </w:tcPr>
          <w:p w14:paraId="327DD68F" w14:textId="77777777" w:rsidR="00E833D1" w:rsidRPr="00B42AEB" w:rsidRDefault="00E833D1" w:rsidP="00B42AEB">
            <w:pPr>
              <w:rPr>
                <w:noProof/>
              </w:rPr>
            </w:pPr>
          </w:p>
        </w:tc>
      </w:tr>
      <w:tr w:rsidR="00F44153" w:rsidRPr="00B42AEB" w14:paraId="012386BB" w14:textId="77777777" w:rsidTr="006F0581">
        <w:tc>
          <w:tcPr>
            <w:tcW w:w="4327" w:type="pct"/>
            <w:hideMark/>
          </w:tcPr>
          <w:p w14:paraId="1FE94D72" w14:textId="3D93F8B8" w:rsidR="00F44153" w:rsidRPr="006F0581" w:rsidRDefault="00E833D1" w:rsidP="00B42AEB">
            <w:pPr>
              <w:rPr>
                <w:noProof/>
              </w:rPr>
            </w:pPr>
            <w:r>
              <w:rPr>
                <w:noProof/>
              </w:rPr>
              <w:t>Har valgstedet mindst én stemmeboks, hvor man kan udfylde stemmesedlen siddende ved et bord?</w:t>
            </w:r>
          </w:p>
        </w:tc>
        <w:tc>
          <w:tcPr>
            <w:tcW w:w="374" w:type="pct"/>
          </w:tcPr>
          <w:p w14:paraId="544CD273" w14:textId="77777777" w:rsidR="00F44153" w:rsidRPr="00B42AEB" w:rsidRDefault="00F44153" w:rsidP="00B42AEB">
            <w:pPr>
              <w:rPr>
                <w:noProof/>
              </w:rPr>
            </w:pPr>
          </w:p>
        </w:tc>
        <w:tc>
          <w:tcPr>
            <w:tcW w:w="299" w:type="pct"/>
          </w:tcPr>
          <w:p w14:paraId="22325CEC" w14:textId="77777777" w:rsidR="00F44153" w:rsidRPr="00B42AEB" w:rsidRDefault="00F44153" w:rsidP="00B42AEB">
            <w:pPr>
              <w:rPr>
                <w:noProof/>
              </w:rPr>
            </w:pPr>
          </w:p>
        </w:tc>
      </w:tr>
      <w:tr w:rsidR="00F44153" w:rsidRPr="00B42AEB" w14:paraId="72F0E5DB" w14:textId="77777777" w:rsidTr="006F0581">
        <w:tc>
          <w:tcPr>
            <w:tcW w:w="4327" w:type="pct"/>
            <w:hideMark/>
          </w:tcPr>
          <w:p w14:paraId="4AF461DD" w14:textId="2D116014" w:rsidR="00F44153" w:rsidRPr="006F0581" w:rsidRDefault="00E833D1" w:rsidP="00B42AEB">
            <w:pPr>
              <w:rPr>
                <w:noProof/>
              </w:rPr>
            </w:pPr>
            <w:r>
              <w:rPr>
                <w:noProof/>
              </w:rPr>
              <w:t>Er der knærum under bordet (højde 750-800 mm) i stemmeboksen med en bredde på mindst 800 mm, en dybde på 600 mm og en højde på 670 mm?</w:t>
            </w:r>
          </w:p>
        </w:tc>
        <w:tc>
          <w:tcPr>
            <w:tcW w:w="374" w:type="pct"/>
          </w:tcPr>
          <w:p w14:paraId="1C5B4264" w14:textId="77777777" w:rsidR="00F44153" w:rsidRPr="00B42AEB" w:rsidRDefault="00F44153" w:rsidP="00B42AEB">
            <w:pPr>
              <w:rPr>
                <w:noProof/>
              </w:rPr>
            </w:pPr>
          </w:p>
        </w:tc>
        <w:tc>
          <w:tcPr>
            <w:tcW w:w="299" w:type="pct"/>
          </w:tcPr>
          <w:p w14:paraId="740EB2DE" w14:textId="77777777" w:rsidR="00F44153" w:rsidRPr="00B42AEB" w:rsidRDefault="00F44153" w:rsidP="00B42AEB">
            <w:pPr>
              <w:rPr>
                <w:noProof/>
              </w:rPr>
            </w:pPr>
          </w:p>
        </w:tc>
      </w:tr>
      <w:tr w:rsidR="00F44153" w:rsidRPr="00B42AEB" w14:paraId="758ECA7C" w14:textId="77777777" w:rsidTr="006F0581">
        <w:tc>
          <w:tcPr>
            <w:tcW w:w="4327" w:type="pct"/>
            <w:hideMark/>
          </w:tcPr>
          <w:p w14:paraId="1EAF0277" w14:textId="3E71AC6A" w:rsidR="00F44153" w:rsidRPr="006F0581" w:rsidRDefault="00E833D1" w:rsidP="00B42AEB">
            <w:pPr>
              <w:rPr>
                <w:noProof/>
              </w:rPr>
            </w:pPr>
            <w:r>
              <w:rPr>
                <w:noProof/>
              </w:rPr>
              <w:t>Eller er der borde på valgstedet, der kan justeres i højden?</w:t>
            </w:r>
          </w:p>
        </w:tc>
        <w:tc>
          <w:tcPr>
            <w:tcW w:w="374" w:type="pct"/>
          </w:tcPr>
          <w:p w14:paraId="3AFE451B" w14:textId="77777777" w:rsidR="00F44153" w:rsidRPr="00B42AEB" w:rsidRDefault="00F44153" w:rsidP="00B42AEB">
            <w:pPr>
              <w:rPr>
                <w:noProof/>
              </w:rPr>
            </w:pPr>
          </w:p>
        </w:tc>
        <w:tc>
          <w:tcPr>
            <w:tcW w:w="299" w:type="pct"/>
          </w:tcPr>
          <w:p w14:paraId="47ADE74A" w14:textId="77777777" w:rsidR="00F44153" w:rsidRPr="00B42AEB" w:rsidRDefault="00F44153" w:rsidP="00B42AEB">
            <w:pPr>
              <w:rPr>
                <w:noProof/>
              </w:rPr>
            </w:pPr>
          </w:p>
        </w:tc>
      </w:tr>
      <w:tr w:rsidR="00F44153" w:rsidRPr="00B42AEB" w14:paraId="4B7BB7DE" w14:textId="77777777" w:rsidTr="006F0581">
        <w:tc>
          <w:tcPr>
            <w:tcW w:w="4327" w:type="pct"/>
            <w:hideMark/>
          </w:tcPr>
          <w:p w14:paraId="01FAF7A1" w14:textId="58187C9E" w:rsidR="00F44153" w:rsidRPr="006F0581" w:rsidRDefault="00E833D1" w:rsidP="00B42AEB">
            <w:pPr>
              <w:rPr>
                <w:noProof/>
              </w:rPr>
            </w:pPr>
            <w:r>
              <w:rPr>
                <w:noProof/>
              </w:rPr>
              <w:t>Har stemmeboksene blændfri og tilstrækkelig (500-750 lux på skriveniveauet) lys?</w:t>
            </w:r>
          </w:p>
        </w:tc>
        <w:tc>
          <w:tcPr>
            <w:tcW w:w="374" w:type="pct"/>
          </w:tcPr>
          <w:p w14:paraId="13FA8347" w14:textId="77777777" w:rsidR="00F44153" w:rsidRPr="00B42AEB" w:rsidRDefault="00F44153" w:rsidP="00B42AEB">
            <w:pPr>
              <w:rPr>
                <w:noProof/>
              </w:rPr>
            </w:pPr>
          </w:p>
        </w:tc>
        <w:tc>
          <w:tcPr>
            <w:tcW w:w="299" w:type="pct"/>
          </w:tcPr>
          <w:p w14:paraId="0C8AFF95" w14:textId="77777777" w:rsidR="00F44153" w:rsidRPr="00B42AEB" w:rsidRDefault="00F44153" w:rsidP="00B42AEB">
            <w:pPr>
              <w:rPr>
                <w:noProof/>
              </w:rPr>
            </w:pPr>
          </w:p>
        </w:tc>
      </w:tr>
      <w:tr w:rsidR="00F44153" w:rsidRPr="00B42AEB" w14:paraId="4003DCA1" w14:textId="77777777" w:rsidTr="006F0581">
        <w:tc>
          <w:tcPr>
            <w:tcW w:w="4327" w:type="pct"/>
            <w:hideMark/>
          </w:tcPr>
          <w:p w14:paraId="64499716" w14:textId="055BCA95" w:rsidR="00F44153" w:rsidRPr="006F0581" w:rsidRDefault="00E833D1" w:rsidP="00B42AEB">
            <w:pPr>
              <w:rPr>
                <w:noProof/>
              </w:rPr>
            </w:pPr>
            <w:r>
              <w:rPr>
                <w:noProof/>
              </w:rPr>
              <w:t>Er der pladser på valgstedet, hvor vælgerne kan hvile, hvis de har brug for det?</w:t>
            </w:r>
          </w:p>
        </w:tc>
        <w:tc>
          <w:tcPr>
            <w:tcW w:w="374" w:type="pct"/>
          </w:tcPr>
          <w:p w14:paraId="76362638" w14:textId="77777777" w:rsidR="00F44153" w:rsidRPr="00B42AEB" w:rsidRDefault="00F44153" w:rsidP="00B42AEB">
            <w:pPr>
              <w:rPr>
                <w:noProof/>
              </w:rPr>
            </w:pPr>
          </w:p>
        </w:tc>
        <w:tc>
          <w:tcPr>
            <w:tcW w:w="299" w:type="pct"/>
          </w:tcPr>
          <w:p w14:paraId="16651C85" w14:textId="77777777" w:rsidR="00F44153" w:rsidRPr="00B42AEB" w:rsidRDefault="00F44153" w:rsidP="00B42AEB">
            <w:pPr>
              <w:rPr>
                <w:noProof/>
              </w:rPr>
            </w:pPr>
          </w:p>
        </w:tc>
      </w:tr>
      <w:tr w:rsidR="00F44153" w:rsidRPr="00B42AEB" w14:paraId="3285715C" w14:textId="77777777" w:rsidTr="006F0581">
        <w:tc>
          <w:tcPr>
            <w:tcW w:w="4327" w:type="pct"/>
          </w:tcPr>
          <w:p w14:paraId="6F33DCCF" w14:textId="745C4C03" w:rsidR="00F44153" w:rsidRPr="006F0581" w:rsidRDefault="00E833D1" w:rsidP="00B42AEB">
            <w:pPr>
              <w:rPr>
                <w:noProof/>
              </w:rPr>
            </w:pPr>
            <w:r>
              <w:rPr>
                <w:noProof/>
              </w:rPr>
              <w:t>Er der en valgtilforordnet både i forbindelse med stemmeafgivning på forhånd og på selve valgstedet?</w:t>
            </w:r>
          </w:p>
        </w:tc>
        <w:tc>
          <w:tcPr>
            <w:tcW w:w="374" w:type="pct"/>
          </w:tcPr>
          <w:p w14:paraId="33AAE69D" w14:textId="77777777" w:rsidR="00F44153" w:rsidRPr="00B42AEB" w:rsidRDefault="00F44153" w:rsidP="00B42AEB">
            <w:pPr>
              <w:rPr>
                <w:noProof/>
              </w:rPr>
            </w:pPr>
          </w:p>
        </w:tc>
        <w:tc>
          <w:tcPr>
            <w:tcW w:w="299" w:type="pct"/>
          </w:tcPr>
          <w:p w14:paraId="3E5DE0CA" w14:textId="77777777" w:rsidR="00F44153" w:rsidRPr="00B42AEB" w:rsidRDefault="00F44153" w:rsidP="00B42AEB">
            <w:pPr>
              <w:rPr>
                <w:noProof/>
              </w:rPr>
            </w:pPr>
          </w:p>
        </w:tc>
      </w:tr>
      <w:tr w:rsidR="00F44153" w:rsidRPr="00B42AEB" w14:paraId="26E577F8" w14:textId="77777777" w:rsidTr="006F0581">
        <w:tc>
          <w:tcPr>
            <w:tcW w:w="4327" w:type="pct"/>
            <w:hideMark/>
          </w:tcPr>
          <w:p w14:paraId="445AB74E" w14:textId="2D7762DD" w:rsidR="00F44153" w:rsidRPr="006F0581" w:rsidRDefault="00E833D1" w:rsidP="00B42AEB">
            <w:pPr>
              <w:rPr>
                <w:noProof/>
              </w:rPr>
            </w:pPr>
            <w:r>
              <w:rPr>
                <w:noProof/>
              </w:rPr>
              <w:t xml:space="preserve">Hvis der er brugere af hjælpemidler blandt de valgtilforordnede, skal valgstedet være udstyret med et tilgængeligt toilet. </w:t>
            </w:r>
          </w:p>
        </w:tc>
        <w:tc>
          <w:tcPr>
            <w:tcW w:w="374" w:type="pct"/>
          </w:tcPr>
          <w:p w14:paraId="6736FFDA" w14:textId="77777777" w:rsidR="00F44153" w:rsidRPr="00B42AEB" w:rsidRDefault="00F44153" w:rsidP="00B42AEB">
            <w:pPr>
              <w:rPr>
                <w:noProof/>
              </w:rPr>
            </w:pPr>
          </w:p>
        </w:tc>
        <w:tc>
          <w:tcPr>
            <w:tcW w:w="299" w:type="pct"/>
          </w:tcPr>
          <w:p w14:paraId="44024A34" w14:textId="77777777" w:rsidR="00F44153" w:rsidRPr="00B42AEB" w:rsidRDefault="00F44153" w:rsidP="00B42AEB">
            <w:pPr>
              <w:rPr>
                <w:noProof/>
              </w:rPr>
            </w:pPr>
          </w:p>
        </w:tc>
      </w:tr>
    </w:tbl>
    <w:p w14:paraId="79E69447" w14:textId="7A49A8A7" w:rsidR="007013F9" w:rsidRDefault="0081364D" w:rsidP="006F0581">
      <w:pPr>
        <w:pStyle w:val="Heading1"/>
        <w:spacing w:before="360" w:after="240" w:line="288" w:lineRule="auto"/>
        <w:rPr>
          <w:noProof/>
        </w:rPr>
      </w:pPr>
      <w:bookmarkStart w:id="90" w:name="_Toc158707813"/>
      <w:bookmarkStart w:id="91" w:name="_Toc148718605"/>
      <w:r>
        <w:rPr>
          <w:noProof/>
        </w:rPr>
        <w:t>Bilag 3 — Eksempel på generelle anbefalinger til valgtilforordnede</w:t>
      </w:r>
      <w:bookmarkEnd w:id="90"/>
      <w:r>
        <w:rPr>
          <w:noProof/>
        </w:rPr>
        <w:t xml:space="preserve"> </w:t>
      </w:r>
    </w:p>
    <w:p w14:paraId="76D7F94A" w14:textId="099A6671" w:rsidR="006F0581" w:rsidRPr="006F0581" w:rsidRDefault="006F0581" w:rsidP="006F0581">
      <w:pPr>
        <w:pBdr>
          <w:top w:val="single" w:sz="4" w:space="1" w:color="auto"/>
          <w:left w:val="single" w:sz="4" w:space="4" w:color="auto"/>
          <w:bottom w:val="single" w:sz="4" w:space="1" w:color="auto"/>
          <w:right w:val="single" w:sz="4" w:space="4" w:color="auto"/>
        </w:pBdr>
        <w:rPr>
          <w:noProof/>
        </w:rPr>
      </w:pPr>
      <w:r>
        <w:rPr>
          <w:noProof/>
        </w:rPr>
        <w:t xml:space="preserve">Spanien </w:t>
      </w:r>
      <w:r>
        <w:rPr>
          <w:noProof/>
        </w:rPr>
        <w:br/>
        <w:t xml:space="preserve">Som medlem af et valgsted skal du huske på, at personer med handicap er selvstændige og uafhængige og skal behandles som sådan. </w:t>
      </w:r>
      <w:r>
        <w:rPr>
          <w:noProof/>
        </w:rPr>
        <w:br/>
        <w:t xml:space="preserve">Du skal handle naturligt og respektfuldt. Gå ikke ud fra, at en person har brug for hjælp, blot fordi vedkommende har et handicap. Hvis miljøet er tilgængeligt, kan personer med handicap normalt klare sig uden problemer. </w:t>
      </w:r>
      <w:r>
        <w:rPr>
          <w:noProof/>
        </w:rPr>
        <w:br/>
        <w:t xml:space="preserve">Lad dig styre af sund fornuft og af princippet om lighed og ikke-forskelsbehandling. </w:t>
      </w:r>
      <w:r>
        <w:rPr>
          <w:noProof/>
        </w:rPr>
        <w:br/>
        <w:t xml:space="preserve">Spørg kun om din hjælp er nødvendig, hvis vælgeren med et handicap synes at have brug for det. Hvis den pågældende tager imod din hjælp, skal du spørge vedkommende, hvordan du specifikt kan hjælpe, inden du handler. </w:t>
      </w:r>
      <w:r>
        <w:rPr>
          <w:noProof/>
        </w:rPr>
        <w:br/>
        <w:t xml:space="preserve">Efter anmodning fra vælgere med handicap, og kun når de anmoder herom, kan administrationens repræsentant eller sikkerhedspersonalet ved indgangen til valgstedet ledsage dem til det pågældende valgsted. </w:t>
      </w:r>
      <w:r>
        <w:rPr>
          <w:noProof/>
        </w:rPr>
        <w:br/>
        <w:t xml:space="preserve">Når du kommunikerer med personer, der er hørehæmmede, skal du tale med dit ansigt vendt mod den hørehæmmede og ikke flytte hovedet. Tal ikke bagfra, sammenkrøbet eller når du skriver. Du skal ikke råbe, men bare tale normalt, i dit normale samtaletempo, uden at have noget i munden og uden at blokere dit ansigt. Brug om nødvendigt skrift, naturlige bevægelser eller tiltræk opmærksomhed med let berøring af armen. </w:t>
      </w:r>
      <w:r>
        <w:rPr>
          <w:noProof/>
        </w:rPr>
        <w:br/>
        <w:t xml:space="preserve">For synshæmmede vælgere kan du tilbyde din arm som støtte. Hvis det er tilfældet, skal du tilpasse dit tempo til deres og være opmærksom på omgivelserne, så de kan gå uden problemer. </w:t>
      </w:r>
      <w:r>
        <w:rPr>
          <w:noProof/>
        </w:rPr>
        <w:br/>
        <w:t xml:space="preserve">Førerhunde og hjælpehunde til personer med handicap vil altid få adgang, og de skal blive hos deres ejer og må ikke forstyrres eller distraheres. </w:t>
      </w:r>
      <w:r>
        <w:rPr>
          <w:noProof/>
        </w:rPr>
        <w:br/>
        <w:t>Tjek altid, at personen med et handicap har forstået, hvad du forsøger at kommunikere.</w:t>
      </w:r>
    </w:p>
    <w:p w14:paraId="29E14063" w14:textId="6C166660" w:rsidR="00BE3B24" w:rsidRPr="00B42AEB" w:rsidRDefault="00C52063" w:rsidP="006F0581">
      <w:pPr>
        <w:pStyle w:val="Heading1"/>
        <w:spacing w:before="360" w:after="240" w:line="288" w:lineRule="auto"/>
        <w:rPr>
          <w:b w:val="0"/>
          <w:noProof/>
        </w:rPr>
      </w:pPr>
      <w:bookmarkStart w:id="92" w:name="_Toc148718606"/>
      <w:bookmarkStart w:id="93" w:name="_Toc158707814"/>
      <w:bookmarkEnd w:id="91"/>
      <w:r>
        <w:rPr>
          <w:rStyle w:val="Heading1Char"/>
          <w:b/>
          <w:noProof/>
        </w:rPr>
        <w:t>Bilag 4 — Eksempel på, hvordan man giver adgang til valgstedets lokaler</w:t>
      </w:r>
      <w:bookmarkEnd w:id="92"/>
      <w:r>
        <w:rPr>
          <w:rStyle w:val="FootnoteReference"/>
          <w:b w:val="0"/>
          <w:noProof/>
        </w:rPr>
        <w:t>(</w:t>
      </w:r>
      <w:r>
        <w:rPr>
          <w:rStyle w:val="FootnoteReference"/>
          <w:b w:val="0"/>
          <w:noProof/>
        </w:rPr>
        <w:footnoteReference w:id="98"/>
      </w:r>
      <w:r>
        <w:rPr>
          <w:rStyle w:val="FootnoteReference"/>
          <w:b w:val="0"/>
          <w:noProof/>
        </w:rPr>
        <w:t>))</w:t>
      </w:r>
      <w:bookmarkEnd w:id="93"/>
      <w:r>
        <w:rPr>
          <w:rStyle w:val="Heading1Char"/>
          <w:b/>
          <w:noProof/>
        </w:rPr>
        <w:t xml:space="preserve"> </w:t>
      </w:r>
    </w:p>
    <w:p w14:paraId="1C4E8B15" w14:textId="4674C48A" w:rsidR="00E664D0" w:rsidRPr="00B42AEB" w:rsidRDefault="00873891" w:rsidP="00781D50">
      <w:pPr>
        <w:jc w:val="center"/>
        <w:rPr>
          <w:noProof/>
        </w:rPr>
      </w:pPr>
      <w:r>
        <w:rPr>
          <w:noProof/>
          <w:lang w:val="en-GB" w:eastAsia="en-GB"/>
        </w:rPr>
        <w:drawing>
          <wp:inline distT="0" distB="0" distL="0" distR="0" wp14:anchorId="2503C534" wp14:editId="20AEF476">
            <wp:extent cx="5467985" cy="3096260"/>
            <wp:effectExtent l="0" t="0" r="0" b="0"/>
            <wp:docPr id="3" name="Picture 3" descr="En tegning af et valgsted udvendigt med tilgængelige parkeringspladser og en r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Default="00781D50" w:rsidP="00781D50">
      <w:pPr>
        <w:rPr>
          <w:rStyle w:val="Heading1Char"/>
          <w:b w:val="0"/>
          <w:noProof/>
        </w:rPr>
      </w:pPr>
      <w:bookmarkStart w:id="94" w:name="_Toc148718607"/>
    </w:p>
    <w:p w14:paraId="71E42D52" w14:textId="212E6709" w:rsidR="00197ADE" w:rsidRPr="00B42AEB" w:rsidRDefault="003C179C" w:rsidP="006F0581">
      <w:pPr>
        <w:pStyle w:val="Heading1"/>
        <w:spacing w:before="360" w:after="240" w:line="288" w:lineRule="auto"/>
        <w:rPr>
          <w:rStyle w:val="Heading1Char"/>
          <w:b/>
          <w:noProof/>
        </w:rPr>
      </w:pPr>
      <w:bookmarkStart w:id="95" w:name="_Toc158707815"/>
      <w:r>
        <w:rPr>
          <w:rStyle w:val="Heading1Char"/>
          <w:b/>
          <w:noProof/>
        </w:rPr>
        <w:t>Bilag 5 — Eksempel på, hvordan man designer et tilgængeligt valgsted</w:t>
      </w:r>
      <w:bookmarkEnd w:id="94"/>
      <w:r>
        <w:rPr>
          <w:rStyle w:val="FootnoteReference"/>
          <w:b w:val="0"/>
          <w:noProof/>
        </w:rPr>
        <w:t>(</w:t>
      </w:r>
      <w:r>
        <w:rPr>
          <w:rStyle w:val="FootnoteReference"/>
          <w:b w:val="0"/>
          <w:noProof/>
        </w:rPr>
        <w:footnoteReference w:id="99"/>
      </w:r>
      <w:r>
        <w:rPr>
          <w:rStyle w:val="FootnoteReference"/>
          <w:b w:val="0"/>
          <w:noProof/>
        </w:rPr>
        <w:t>))</w:t>
      </w:r>
      <w:bookmarkEnd w:id="95"/>
      <w:r>
        <w:rPr>
          <w:rStyle w:val="Heading1Char"/>
          <w:b/>
          <w:noProof/>
        </w:rPr>
        <w:t xml:space="preserve"> </w:t>
      </w:r>
    </w:p>
    <w:p w14:paraId="067E17A7" w14:textId="19C76F08" w:rsidR="00B5593C" w:rsidRPr="00B42AEB" w:rsidRDefault="007013F9" w:rsidP="00B42AEB">
      <w:pPr>
        <w:rPr>
          <w:noProof/>
        </w:rPr>
      </w:pPr>
      <w:r>
        <w:rPr>
          <w:noProof/>
          <w:lang w:val="en-GB" w:eastAsia="en-GB"/>
        </w:rPr>
        <w:drawing>
          <wp:inline distT="0" distB="0" distL="0" distR="0" wp14:anchorId="12FB4D9E" wp14:editId="482AEEF0">
            <wp:extent cx="5015798" cy="3286664"/>
            <wp:effectExtent l="0" t="0" r="0" b="0"/>
            <wp:docPr id="4" name="Picture 4" descr="En tegning af et tilgængeligt stemmelokale med plads til kørestolsrotation og borde placeret i tilgængelige høj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0347F6E6" w:rsidR="00B5593C" w:rsidRPr="00B42AEB" w:rsidRDefault="00B5593C" w:rsidP="006F0581">
      <w:pPr>
        <w:pStyle w:val="Heading1"/>
        <w:spacing w:before="360" w:after="240" w:line="288" w:lineRule="auto"/>
        <w:rPr>
          <w:noProof/>
        </w:rPr>
      </w:pPr>
      <w:bookmarkStart w:id="96" w:name="_Toc148718608"/>
      <w:bookmarkStart w:id="97" w:name="_Toc158707816"/>
      <w:r>
        <w:rPr>
          <w:noProof/>
        </w:rPr>
        <w:t>Bilag 6 — Eksempler på tilpassede stemmebokse</w:t>
      </w:r>
      <w:r>
        <w:rPr>
          <w:rStyle w:val="FootnoteReference"/>
          <w:noProof/>
        </w:rPr>
        <w:t>(</w:t>
      </w:r>
      <w:r>
        <w:rPr>
          <w:rStyle w:val="FootnoteReference"/>
          <w:noProof/>
        </w:rPr>
        <w:footnoteReference w:id="100"/>
      </w:r>
      <w:r>
        <w:rPr>
          <w:rStyle w:val="FootnoteReference"/>
          <w:noProof/>
        </w:rPr>
        <w:t>))</w:t>
      </w:r>
      <w:bookmarkEnd w:id="96"/>
      <w:bookmarkEnd w:id="97"/>
      <w:r>
        <w:rPr>
          <w:noProof/>
        </w:rPr>
        <w:t xml:space="preserve"> </w:t>
      </w:r>
    </w:p>
    <w:p w14:paraId="13BBF62D" w14:textId="4BB5142B" w:rsidR="00044B98" w:rsidRPr="00B42AEB" w:rsidRDefault="00873891" w:rsidP="00B42AEB">
      <w:pPr>
        <w:rPr>
          <w:noProof/>
        </w:rPr>
      </w:pPr>
      <w:r>
        <w:rPr>
          <w:noProof/>
          <w:lang w:val="en-GB" w:eastAsia="en-GB"/>
        </w:rPr>
        <w:drawing>
          <wp:inline distT="0" distB="0" distL="0" distR="0" wp14:anchorId="4F74C57E" wp14:editId="35A4A861">
            <wp:extent cx="3625850" cy="3728720"/>
            <wp:effectExtent l="0" t="0" r="0" b="0"/>
            <wp:docPr id="5" name="Picture 5" descr="En tegning af en tilgængelig stemmeboks med plads til rotation på 150 cm. Den øverste overflade af hylden er placeret i en højde på mellem 80 og 85 cm. Højden på den nederste overflade af hylden er 75 cm. Hylden har en dybde på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B42AEB" w:rsidRDefault="00B42AEB" w:rsidP="00B42AEB">
      <w:pPr>
        <w:rPr>
          <w:noProof/>
        </w:rPr>
      </w:pPr>
      <w:r>
        <w:rPr>
          <w:noProof/>
          <w:lang w:val="en-GB" w:eastAsia="en-GB"/>
        </w:rPr>
        <w:drawing>
          <wp:inline distT="0" distB="0" distL="0" distR="0" wp14:anchorId="302B8989" wp14:editId="0CE5F0A8">
            <wp:extent cx="1428115" cy="1463040"/>
            <wp:effectExtent l="0" t="0" r="635" b="3810"/>
            <wp:docPr id="22" name="Picture 22" descr="En tegning af en stemmeboks, som er tilgængelig for kørestolsbrugere. Pladsen til rotation er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B42AEB" w:rsidRDefault="00B42AEB" w:rsidP="00B42AEB">
      <w:pPr>
        <w:rPr>
          <w:noProof/>
        </w:rPr>
      </w:pPr>
      <w:r>
        <w:rPr>
          <w:noProof/>
          <w:lang w:val="en-GB" w:eastAsia="en-GB"/>
        </w:rPr>
        <w:drawing>
          <wp:inline distT="0" distB="0" distL="0" distR="0" wp14:anchorId="3F24FEDE" wp14:editId="1593D6A9">
            <wp:extent cx="1466850" cy="1133475"/>
            <wp:effectExtent l="0" t="0" r="0" b="0"/>
            <wp:docPr id="26" name="Picture 26" descr="En tegning af en stemmeboks, som er tilgængelig for kørestolsbrugere. Højden på den nederste overflade af hylden er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B42AEB" w:rsidRDefault="001C0943" w:rsidP="006F0581">
      <w:pPr>
        <w:pStyle w:val="Heading1"/>
        <w:spacing w:before="360" w:after="240" w:line="288" w:lineRule="auto"/>
        <w:rPr>
          <w:noProof/>
        </w:rPr>
      </w:pPr>
      <w:bookmarkStart w:id="98" w:name="_Toc148718609"/>
      <w:bookmarkStart w:id="99" w:name="_Toc158707817"/>
      <w:r>
        <w:rPr>
          <w:noProof/>
        </w:rPr>
        <w:t>Bilag 7 — Handicapbegrebet anvendt af medlemsstaterne i forbindelse med valg</w:t>
      </w:r>
      <w:bookmarkEnd w:id="98"/>
      <w:bookmarkEnd w:id="99"/>
      <w:r>
        <w:rPr>
          <w:noProof/>
        </w:rPr>
        <w:t xml:space="preserve"> </w:t>
      </w:r>
    </w:p>
    <w:p w14:paraId="10F1BBD2" w14:textId="77777777" w:rsidR="001C0943" w:rsidRPr="00B42AEB" w:rsidRDefault="001C0943" w:rsidP="00B42AEB">
      <w:pPr>
        <w:rPr>
          <w:noProof/>
        </w:rPr>
      </w:pPr>
      <w:r>
        <w:rPr>
          <w:noProof/>
        </w:rPr>
        <w:t>Medlemsstaterne har forskellige tilgange til handicapbegrebet i forbindelse med valg. Dette hænger undertiden sammen med, hvordan de definerer, hvem der har ret til at stemme og stille op som kandidater ved valg, eller hvordan de definerer, hvem der er berettiget til at anvende særlige afstemningsordninger. Medlemsstaterne kan også henvise til handicap i andre sammenhænge, f.eks. sociale og grundlæggende rettigheder, som kan være relevante i forbindelse med valg.</w:t>
      </w:r>
    </w:p>
    <w:p w14:paraId="24BF2807" w14:textId="6D34AF97" w:rsidR="001C0943" w:rsidRPr="00B42AEB" w:rsidRDefault="001C0943" w:rsidP="00B42AEB">
      <w:pPr>
        <w:rPr>
          <w:noProof/>
        </w:rPr>
      </w:pPr>
      <w:r>
        <w:rPr>
          <w:noProof/>
        </w:rPr>
        <w:t>Flere medlemsstater anvender operationelle definitioner, der tager højde for vælgernes mulighed for at udøve deres stemmeret på egen hånd. Østrig definerer personer med handicap, som med rimelighed kan have brug for hjælp til at udfylde en officiel stemmeseddel, det være sig med hjælp fra en anden person eller visse hjælpemidler såsom skabeloner. Tjekkiet henviser til handicap som et af kriterierne for at yde bistand eller anden specifik støtte til vælgerne. Danmark nævner personer med handicap i forbindelse med forskellige stemmemuligheder for vælgere, der ikke er i stand til at stemme på valgstedet eller på det specifikke valgsted, de er tildelt. På samme måde tager Estland hensyn til vælgere, der ikke er i stand til at afgive deres stemme på en stemmeseddel eller på valgstedet på grund af et fysisk handicap. Spanien anvender en mere nuanceret tilgang, hvor der tages højde for forskellige typer handicap, enten fysiske (f.eks. høre- og synsnedsættelser) eller intellektuelle funktionsnedsættelser</w:t>
      </w:r>
      <w:r>
        <w:rPr>
          <w:rStyle w:val="FootnoteReference"/>
          <w:noProof/>
        </w:rPr>
        <w:t>(</w:t>
      </w:r>
      <w:r>
        <w:rPr>
          <w:rStyle w:val="FootnoteReference"/>
          <w:noProof/>
        </w:rPr>
        <w:footnoteReference w:id="101"/>
      </w:r>
      <w:r>
        <w:rPr>
          <w:rStyle w:val="FootnoteReference"/>
          <w:noProof/>
        </w:rPr>
        <w:t>))</w:t>
      </w:r>
      <w:r>
        <w:rPr>
          <w:noProof/>
        </w:rPr>
        <w:t>.</w:t>
      </w:r>
    </w:p>
    <w:p w14:paraId="546F6BFC" w14:textId="77777777" w:rsidR="001C0943" w:rsidRPr="00B42AEB" w:rsidRDefault="001C0943" w:rsidP="00B42AEB">
      <w:pPr>
        <w:rPr>
          <w:noProof/>
        </w:rPr>
      </w:pPr>
      <w:r>
        <w:rPr>
          <w:noProof/>
        </w:rPr>
        <w:t>For Kroatiens vedkommende er der kun behov for en vurdering af handicap (fysisk handicap såsom blindhed, synsnedsættelse, beskadigelse af overekstremiteterne eller andre former for funktionsnedsættelser, der forhindrer vælgeren i at stemme uafhængigt), hvis der sættes spørgsmålstegn ved en persons evne til at stemme uafhængigt.</w:t>
      </w:r>
    </w:p>
    <w:p w14:paraId="518E7B69" w14:textId="77777777" w:rsidR="001C0943" w:rsidRPr="00B42AEB" w:rsidRDefault="001C0943" w:rsidP="00B42AEB">
      <w:pPr>
        <w:rPr>
          <w:noProof/>
        </w:rPr>
      </w:pPr>
      <w:r>
        <w:rPr>
          <w:noProof/>
        </w:rPr>
        <w:t>Ungarn definerer vælgere med handicap som vælgere, der har væsentligt begrænsede eller ingen sensoriske evner, navnlig syn og hørelse, eller som har væsentligt begrænsede eller ingen bevægelsesmæssige evner eller mental kapacitet, eller som har betydeligt begrænsede kommunikationsevner, og dette stiller dem permanent ringere med hensyn til at deltage aktivt i samfundslivet.</w:t>
      </w:r>
    </w:p>
    <w:p w14:paraId="44FBED99" w14:textId="4416DEE6" w:rsidR="006B44F9" w:rsidRPr="00B42AEB" w:rsidRDefault="001C0943" w:rsidP="00B42AEB">
      <w:pPr>
        <w:rPr>
          <w:noProof/>
        </w:rPr>
      </w:pPr>
      <w:r>
        <w:rPr>
          <w:noProof/>
        </w:rPr>
        <w:t>Letland nævner vælgere med fysiske handicap, som ikke kan nå frem til valgstedet. Nederlandene nævner vælgere med et fysisk handicap i sit krav om at udstyre valgstederne på en måde, der sætter vælgere med et fysisk handicap i stand til selv at afgive deres stemme i så høj grad som muligt eller få hjælp fra et medlem af valgstedet.</w:t>
      </w:r>
    </w:p>
    <w:p w14:paraId="1F791EE6" w14:textId="3A1F556E" w:rsidR="00982700" w:rsidRDefault="001C0943" w:rsidP="00B42AEB">
      <w:pPr>
        <w:rPr>
          <w:noProof/>
        </w:rPr>
      </w:pPr>
      <w:r>
        <w:rPr>
          <w:noProof/>
        </w:rPr>
        <w:t>I Portugal er en person med handicap eller invaliditet for så vidt angår forpligtelsen til at yde prioriteret service til personer med handicap med hensyn til alle offentlige og private organisationer, der yder personlig service til offentligheden, juridisk defineret som en person, der på grund af medfødte eller erhvervede tab eller svækkelse af legemsfunktioner, herunder psykologiske funktioner, har særlige vanskeligheder, som i kombination med miljømæssige forhold begrænser eller hæmmer deres aktivitet og deltagelse på lige fod med andre personer, og som har en invaliditetsgrad på mindst 60 %, og som er anerkendt i en attest med flere formål</w:t>
      </w:r>
      <w:r>
        <w:rPr>
          <w:rStyle w:val="FootnoteReference"/>
          <w:noProof/>
        </w:rPr>
        <w:t>(</w:t>
      </w:r>
      <w:r>
        <w:rPr>
          <w:rStyle w:val="FootnoteReference"/>
          <w:noProof/>
        </w:rPr>
        <w:footnoteReference w:id="102"/>
      </w:r>
      <w:r>
        <w:rPr>
          <w:rStyle w:val="FootnoteReference"/>
          <w:noProof/>
        </w:rPr>
        <w:t>))</w:t>
      </w:r>
      <w:r>
        <w:rPr>
          <w:noProof/>
        </w:rPr>
        <w:t xml:space="preserve">. Portugal giver vælgere med handicap prioritet eller hjælp på valgstedet. En vælger, der lider af en åbenbar sygdom eller et fysisk handicap, og som på valgstedet ikke er i stand til at foretage de nødvendige skridt til afgive stemme, stemmer ledsaget af en anden vælger efter eget valg, som garanterer, at afstemningen er i overensstemmelse med vælgerens vilje, og som er bundet af absolut hemmeligholdelse. Hvis valgstedet finder, at sygdommen eller det fysiske handicap ikke er åbenlys, kræver det, at der ved afstemningen fremlægges en attest, der bekræfter, at det er umuligt at stemme, og som er udstedt af den læge, der udøver sundhedsmyndighed på kommunens område, og som bekræftes med den pågældende tjenestes segl. Med henblik herpå skal sundhedscentrene forblive åbne på valgdagen, mens valgstederne er åbne. Uden at dette berører valgstedets konklusioner om, hvorvidt afstemningen er antagelig, kan ethvert af dets medlemmer eller delegerede fra de politiske partier eller koalitioner registrere en skriftlig protest. Synshæmmede vælgere kan, hvis de ønsker det, anmode valgstedet om at give dem en stemmeseddel på punktskrift, der sætter dem i stand til selv at gennemføre de lovbestemte afstemningsprocedurer. Valglovgivningen kategoriserer kun personer med alvorlige psykosociale handicap, som er indlagt på psykiatriske institutioner, som ude af stand til at stemme, eller som er erklæret som sådan af et lægeråd. Personer, der åbenlyst udviser en alvorlig psykisk svækkelse, selv om de ikke er registreret som sådan, når de er indlagt på en psykiatrisk institution eller er erklæret som sådan af et lægeråd, og personer, der er frataget deres politiske rettigheder ved en endelig retsafgørelse, har ingen aktiv valgbarhed. </w:t>
      </w:r>
    </w:p>
    <w:p w14:paraId="62215551" w14:textId="0E9FB1EA" w:rsidR="001C0943" w:rsidRPr="00B42AEB" w:rsidRDefault="001C0943" w:rsidP="00B42AEB">
      <w:pPr>
        <w:rPr>
          <w:noProof/>
        </w:rPr>
      </w:pPr>
      <w:r>
        <w:rPr>
          <w:noProof/>
        </w:rPr>
        <w:t>Slovenien nævner en række handicap i sine valglove og fastsætter valgmulighederne for vælgerne.</w:t>
      </w:r>
    </w:p>
    <w:p w14:paraId="33D2ED07" w14:textId="5992C420" w:rsidR="001C0943" w:rsidRPr="00B42AEB" w:rsidRDefault="001C0943" w:rsidP="00B42AEB">
      <w:pPr>
        <w:rPr>
          <w:noProof/>
        </w:rPr>
      </w:pPr>
      <w:r>
        <w:rPr>
          <w:noProof/>
        </w:rPr>
        <w:t>Andre medlemsstater forbinder af forskellige årsager ikke udtrykket specifikt med valgdeltagelse og anvender generiske definitioner eller definitioner, der er fastsat til andre retlige formål. For Grækenlands vedkommende er dette knyttet til social sikring og landets kommende nationale handlingsplan for personer med handicap, handicapregistret og det digitale handicapkort. Frankrig anvender en bred definition af handicap, der defineres som enhver aktivitetsbegrænsning eller begrænsning af deltagelse i samfundslivet, som en person oplever i sine omgivelser som følge af en væsentlig, varig eller permanent svækkelse af en eller flere fysiske, sensoriske, mentale, kognitive eller psykiske funktioner, et multihandicap eller en invaliderende helbredstilstand. Irland anvender en definition i forbindelse med valg, der i vid udstrækning er hentet fra definitionen i FN's handicapkonvention, og angiver, at handicap betyder en væsentlig begrænsning af personens evne til at udøve et erhverv, en virksomhed eller en beskæftigelse i staten eller til at deltage i samfundslivet eller det kulturelle liv i staten på grund af langvarig fysisk, sensorisk, psykisk eller intellektuel funktionsnedsættelse.</w:t>
      </w:r>
    </w:p>
    <w:p w14:paraId="3DDBEEE6" w14:textId="6D8153C5" w:rsidR="001C0943" w:rsidRPr="00B42AEB" w:rsidRDefault="00C82E82" w:rsidP="00B42AEB">
      <w:pPr>
        <w:rPr>
          <w:noProof/>
        </w:rPr>
      </w:pPr>
      <w:r>
        <w:rPr>
          <w:noProof/>
        </w:rPr>
        <w:t>Litauen definerer handicap som en langvarig forværring af sundheden og deltagelsen i samfundslivet og et aktivitetsfald som følge af forstyrrelse af en persons kropsstruktur og funktioner og samspillet mellem negative miljømæssige forhold. Fra 2024 vil denne definition blive ændret, og handicap vil blive opfattet som en langvarig funktionel funktionsnedsættelse (medfødt og/eller erhvervet), som på grund af miljømæssige forhold forhindrer en person i at deltage fuldt ud og effektivt i samfundet på lige fod med andre personer. Luxembourg anvender definitionen i FN's handicapkonvention.</w:t>
      </w:r>
    </w:p>
    <w:p w14:paraId="3968C0BA" w14:textId="7DEFF79B" w:rsidR="001C0943" w:rsidRPr="00B42AEB" w:rsidRDefault="001C0943" w:rsidP="00B42AEB">
      <w:pPr>
        <w:rPr>
          <w:noProof/>
        </w:rPr>
      </w:pPr>
      <w:r>
        <w:rPr>
          <w:noProof/>
        </w:rPr>
        <w:t>I Rumænien er handicapbegrebet ikke medtaget i valglovgivningen som sådan, men i specifik lovgivning om rettigheder for personer med handicap. Den er baseret på FN's handicapkonvention, som definerer personer med handicap som personer, hvis sociale miljø ikke er tilpasset deres fysiske, sensoriske, psykiske, intellektuelle og/eller dermed forbundne funktionsnedsættelser og fuldstændigt forhindrer eller begrænser deres adgang med lige muligheder til samfundslivet, hvilket kræver beskyttelsesforanstaltninger til støtte for deres sociale integration og inklusion. Loven om præsidentvalg henviser også til personer med nedsat mobilitet, som omfatter personer med fysiske handicap, og som et kriterium for at kunne stemme på ethvert tilgængeligt valgsted.</w:t>
      </w:r>
    </w:p>
    <w:p w14:paraId="02B66AE1" w14:textId="79FAE0D4" w:rsidR="001C0943" w:rsidRPr="00B42AEB" w:rsidRDefault="001C0943" w:rsidP="00B42AEB">
      <w:pPr>
        <w:rPr>
          <w:noProof/>
        </w:rPr>
      </w:pPr>
      <w:r>
        <w:rPr>
          <w:noProof/>
        </w:rPr>
        <w:t>Belgien definerer ikke handicap eller sondrer mellem mentalt eller fysisk handicap. Tyskland har en retlig ramme, som danner grundlag for alle handicappolitikker. I Sverige er der ingen specifikke kriterier, der definerer, hvad der udgør et handicap, da forskellige former for handicap påvirker personer i forskellige situationer.</w:t>
      </w:r>
    </w:p>
    <w:p w14:paraId="3FB72687" w14:textId="28901808" w:rsidR="001C0943" w:rsidRPr="00B42AEB" w:rsidRDefault="001C0943" w:rsidP="006F0581">
      <w:pPr>
        <w:pStyle w:val="Heading1"/>
        <w:spacing w:before="360" w:after="240" w:line="288" w:lineRule="auto"/>
        <w:rPr>
          <w:noProof/>
        </w:rPr>
      </w:pPr>
      <w:bookmarkStart w:id="100" w:name="_Toc148718610"/>
      <w:bookmarkStart w:id="101" w:name="_Toc158707818"/>
      <w:r>
        <w:rPr>
          <w:noProof/>
        </w:rPr>
        <w:t>Bilag 8 — EU-retten og EU-standarder af relevans i forbindelse med valgtilgængelighed for personer med handicap</w:t>
      </w:r>
      <w:bookmarkEnd w:id="100"/>
      <w:bookmarkEnd w:id="101"/>
    </w:p>
    <w:p w14:paraId="704DF251" w14:textId="270B8263" w:rsidR="001C0943" w:rsidRPr="00B42AEB" w:rsidRDefault="001C0943" w:rsidP="00B42AEB">
      <w:pPr>
        <w:rPr>
          <w:noProof/>
        </w:rPr>
      </w:pPr>
      <w:r>
        <w:rPr>
          <w:noProof/>
        </w:rPr>
        <w:t>Direktiv (EU) 2019/882</w:t>
      </w:r>
      <w:r>
        <w:rPr>
          <w:rStyle w:val="FootnoteReference"/>
          <w:noProof/>
        </w:rPr>
        <w:t>(</w:t>
      </w:r>
      <w:r>
        <w:rPr>
          <w:rStyle w:val="FootnoteReference"/>
          <w:noProof/>
        </w:rPr>
        <w:footnoteReference w:id="103"/>
      </w:r>
      <w:r>
        <w:rPr>
          <w:rStyle w:val="FootnoteReference"/>
          <w:noProof/>
        </w:rPr>
        <w:t>))</w:t>
      </w:r>
      <w:r>
        <w:rPr>
          <w:noProof/>
        </w:rPr>
        <w:t xml:space="preserve"> (det europæiske tilgængelighedsdirektiv) om </w:t>
      </w:r>
      <w:r>
        <w:rPr>
          <w:b/>
          <w:noProof/>
        </w:rPr>
        <w:t>tilgængelighedskrav for produkter og tjenester</w:t>
      </w:r>
      <w:r>
        <w:rPr>
          <w:noProof/>
        </w:rPr>
        <w:t xml:space="preserve"> fremmer fuld og effektiv deltagelse på lige fod ved at forbedre adgangen til traditionelle produkter og tjenester, som gennem design eller tilpasning opfylder handicappedes specifikke behov. I bilag I til dette direktiv fastsættes de specifikke tilgængelighedskrav for produkter og tjenester. Bilag II indeholder eksempler på praktiske løsninger, der hjælper landene med at opfylde disse tilgængelighedskrav. Disse løsninger omfatter levering af oplysninger, brugergrænseflade og funktionalitetsdesign, emballage og brugsanvisning, levering af tjenester og specifikke tjenester, som også kan være nyttige med hensyn til at gøre e-afstemningsløsninger tilgængelige.</w:t>
      </w:r>
      <w:r>
        <w:rPr>
          <w:rStyle w:val="FootnoteReference"/>
          <w:noProof/>
        </w:rPr>
        <w:t>(</w:t>
      </w:r>
      <w:r>
        <w:rPr>
          <w:rStyle w:val="FootnoteReference"/>
          <w:noProof/>
        </w:rPr>
        <w:footnoteReference w:id="104"/>
      </w:r>
      <w:r>
        <w:rPr>
          <w:rStyle w:val="FootnoteReference"/>
          <w:noProof/>
        </w:rPr>
        <w:t>))</w:t>
      </w:r>
    </w:p>
    <w:p w14:paraId="7955EF21" w14:textId="77777777" w:rsidR="001C0943" w:rsidRPr="00B42AEB" w:rsidRDefault="001C0943" w:rsidP="00B42AEB">
      <w:pPr>
        <w:rPr>
          <w:noProof/>
        </w:rPr>
      </w:pPr>
      <w:r>
        <w:rPr>
          <w:noProof/>
        </w:rPr>
        <w:t>For produkter og tjenesteydelser, der ikke er omfattet af den europæiske tilgængelighedsdirektiv, vil det stadig bidrage til at forbedre tilgængeligheden i hele EU at følge disse tilgængelighedskrav.</w:t>
      </w:r>
    </w:p>
    <w:p w14:paraId="70C3BFCB" w14:textId="1285D600" w:rsidR="001C0943" w:rsidRPr="00B42AEB" w:rsidRDefault="001C0943" w:rsidP="00B42AEB">
      <w:pPr>
        <w:rPr>
          <w:noProof/>
        </w:rPr>
      </w:pPr>
      <w:r>
        <w:rPr>
          <w:noProof/>
        </w:rPr>
        <w:t xml:space="preserve">Europa-Parlamentets og Rådets </w:t>
      </w:r>
      <w:r>
        <w:rPr>
          <w:b/>
          <w:noProof/>
        </w:rPr>
        <w:t>direktiv 2014/24/EU</w:t>
      </w:r>
      <w:r>
        <w:rPr>
          <w:rStyle w:val="FootnoteReference"/>
          <w:noProof/>
        </w:rPr>
        <w:t>(</w:t>
      </w:r>
      <w:r>
        <w:rPr>
          <w:rStyle w:val="FootnoteReference"/>
          <w:noProof/>
        </w:rPr>
        <w:footnoteReference w:id="105"/>
      </w:r>
      <w:r>
        <w:rPr>
          <w:rStyle w:val="FootnoteReference"/>
          <w:noProof/>
        </w:rPr>
        <w:t>))</w:t>
      </w:r>
      <w:r>
        <w:rPr>
          <w:noProof/>
        </w:rPr>
        <w:t xml:space="preserve"> og </w:t>
      </w:r>
      <w:r>
        <w:rPr>
          <w:b/>
          <w:noProof/>
        </w:rPr>
        <w:t>2014/25/EU</w:t>
      </w:r>
      <w:r>
        <w:rPr>
          <w:rStyle w:val="FootnoteReference"/>
          <w:b/>
          <w:noProof/>
        </w:rPr>
        <w:t>(</w:t>
      </w:r>
      <w:r>
        <w:rPr>
          <w:noProof/>
        </w:rPr>
        <w:t xml:space="preserve"> (</w:t>
      </w:r>
      <w:hyperlink r:id="rId26" w:anchor="ntr23-L_2019151EN.01007001-E0023" w:history="1">
        <w:r>
          <w:rPr>
            <w:rStyle w:val="super"/>
            <w:noProof/>
            <w:vertAlign w:val="superscript"/>
          </w:rPr>
          <w:t>23</w:t>
        </w:r>
      </w:hyperlink>
      <w:r>
        <w:rPr>
          <w:rStyle w:val="Hyperlink"/>
          <w:noProof/>
          <w:u w:val="none"/>
          <w:vertAlign w:val="superscript"/>
        </w:rPr>
        <w:t xml:space="preserve">, </w:t>
      </w:r>
      <w:r>
        <w:rPr>
          <w:rStyle w:val="FootnoteReference"/>
          <w:noProof/>
        </w:rPr>
        <w:footnoteReference w:id="106"/>
      </w:r>
      <w:r>
        <w:rPr>
          <w:rStyle w:val="FootnoteReference"/>
          <w:noProof/>
        </w:rPr>
        <w:t>))</w:t>
      </w:r>
      <w:r>
        <w:rPr>
          <w:noProof/>
        </w:rPr>
        <w:t>) om offentlige udbud, der fastlægger procedurer for indgåelse af offentlige kontrakter og projektkonkurrencer for visse varer (varer), tjenesteydelser og bygge- og anlægsarbejder, fastsætter, at for alle indkøb, der er beregnet til at blive anvendt af offentligheden, uanset om det er offentligheden eller personale ved den ordregivende myndighed, skal de tekniske specifikationer (undtagen i behørigt begrundede tilfælde) følge tilgængelighedskriterierne for personer med handicap eller design for alle samtlige brugere. Disse direktiver kræver også, at når obligatoriske tilgængelighedskrav vedtages ved en EU-retsakt, skal de tekniske specifikationer overholde disse krav for så vidt angår adgang for personer med handicap og design for samtlige brugere.</w:t>
      </w:r>
    </w:p>
    <w:p w14:paraId="20A1C3DC" w14:textId="64187BBF" w:rsidR="001C0943" w:rsidRPr="00B42AEB" w:rsidRDefault="001C0943" w:rsidP="00B42AEB">
      <w:pPr>
        <w:rPr>
          <w:noProof/>
          <w:shd w:val="clear" w:color="auto" w:fill="FFFFFF"/>
        </w:rPr>
      </w:pPr>
      <w:r>
        <w:rPr>
          <w:b/>
          <w:noProof/>
        </w:rPr>
        <w:t>Direktiv (EU) 2016/2102</w:t>
      </w:r>
      <w:r>
        <w:rPr>
          <w:rStyle w:val="FootnoteReference"/>
          <w:b/>
          <w:noProof/>
        </w:rPr>
        <w:t>(</w:t>
      </w:r>
      <w:r>
        <w:rPr>
          <w:rStyle w:val="FootnoteReference"/>
          <w:noProof/>
        </w:rPr>
        <w:footnoteReference w:id="107"/>
      </w:r>
      <w:r>
        <w:rPr>
          <w:rStyle w:val="FootnoteReference"/>
          <w:noProof/>
        </w:rPr>
        <w:t>)</w:t>
      </w:r>
      <w:r>
        <w:rPr>
          <w:rStyle w:val="FootnoteReference"/>
          <w:b/>
          <w:noProof/>
        </w:rPr>
        <w:t>)</w:t>
      </w:r>
      <w:r>
        <w:rPr>
          <w:noProof/>
        </w:rPr>
        <w:t xml:space="preserve"> </w:t>
      </w:r>
      <w:r>
        <w:rPr>
          <w:b/>
          <w:bCs/>
          <w:noProof/>
        </w:rPr>
        <w:t>(direktivet om webtilgængelighed)</w:t>
      </w:r>
      <w:r>
        <w:rPr>
          <w:noProof/>
        </w:rPr>
        <w:t xml:space="preserve"> fastsætter tilgængelighedsprincipper for </w:t>
      </w:r>
      <w:r>
        <w:rPr>
          <w:noProof/>
          <w:shd w:val="clear" w:color="auto" w:fill="FFFFFF"/>
        </w:rPr>
        <w:t xml:space="preserve">websteder og mobilapplikationer, der drives af offentlige organer. Disse principper er: </w:t>
      </w:r>
    </w:p>
    <w:p w14:paraId="78E3A529" w14:textId="77777777" w:rsidR="001C0943" w:rsidRPr="00B42AEB" w:rsidRDefault="001C0943" w:rsidP="002D36F0">
      <w:pPr>
        <w:pStyle w:val="ListParagraph"/>
        <w:numPr>
          <w:ilvl w:val="0"/>
          <w:numId w:val="11"/>
        </w:numPr>
        <w:rPr>
          <w:noProof/>
        </w:rPr>
      </w:pPr>
      <w:r>
        <w:rPr>
          <w:noProof/>
        </w:rPr>
        <w:t xml:space="preserve">informations- og brugergrænsefladekomponenter skal kunne præsenteres for brugerne på måder, som de kan opfatte </w:t>
      </w:r>
    </w:p>
    <w:p w14:paraId="504418B8" w14:textId="77777777" w:rsidR="001C0943" w:rsidRPr="00B42AEB" w:rsidRDefault="001C0943" w:rsidP="002D36F0">
      <w:pPr>
        <w:pStyle w:val="ListParagraph"/>
        <w:numPr>
          <w:ilvl w:val="0"/>
          <w:numId w:val="11"/>
        </w:numPr>
        <w:rPr>
          <w:noProof/>
        </w:rPr>
      </w:pPr>
      <w:r>
        <w:rPr>
          <w:noProof/>
        </w:rPr>
        <w:t>anvendelighed, dvs. at brugergrænsefladekomponenter og navigation skal kunne anvendes</w:t>
      </w:r>
    </w:p>
    <w:p w14:paraId="5F752A60" w14:textId="77777777" w:rsidR="001C0943" w:rsidRPr="00B42AEB" w:rsidRDefault="001C0943" w:rsidP="002D36F0">
      <w:pPr>
        <w:pStyle w:val="ListParagraph"/>
        <w:numPr>
          <w:ilvl w:val="0"/>
          <w:numId w:val="11"/>
        </w:numPr>
        <w:rPr>
          <w:noProof/>
        </w:rPr>
      </w:pPr>
      <w:r>
        <w:rPr>
          <w:noProof/>
        </w:rPr>
        <w:t xml:space="preserve">forståelighed, dvs. at oplysninger og betjening af brugergrænsefladen skal være forståelig  </w:t>
      </w:r>
    </w:p>
    <w:p w14:paraId="28296E95" w14:textId="2A2308CD" w:rsidR="009D22C5" w:rsidRPr="00B42AEB" w:rsidRDefault="001C0943" w:rsidP="002D36F0">
      <w:pPr>
        <w:pStyle w:val="ListParagraph"/>
        <w:numPr>
          <w:ilvl w:val="0"/>
          <w:numId w:val="11"/>
        </w:numPr>
        <w:rPr>
          <w:noProof/>
        </w:rPr>
      </w:pPr>
      <w:r>
        <w:rPr>
          <w:noProof/>
        </w:rPr>
        <w:t xml:space="preserve">robusthed, dvs. at indhold skal være robust nok til at kunne fortolkes stabilt af en bred vifte af brugere, herunder kompenserende teknologier. </w:t>
      </w:r>
      <w:r>
        <w:rPr>
          <w:rStyle w:val="FootnoteReference"/>
          <w:noProof/>
        </w:rPr>
        <w:t>(</w:t>
      </w:r>
      <w:r>
        <w:rPr>
          <w:rStyle w:val="FootnoteReference"/>
          <w:noProof/>
        </w:rPr>
        <w:footnoteReference w:id="108"/>
      </w:r>
      <w:r>
        <w:rPr>
          <w:rStyle w:val="FootnoteReference"/>
          <w:noProof/>
        </w:rPr>
        <w:t>))</w:t>
      </w:r>
      <w:r>
        <w:rPr>
          <w:noProof/>
        </w:rPr>
        <w:t xml:space="preserve"> </w:t>
      </w:r>
    </w:p>
    <w:p w14:paraId="3E17BBF7" w14:textId="646CFCCF" w:rsidR="006B4EB8" w:rsidRPr="00B42AEB" w:rsidRDefault="006B4EB8" w:rsidP="00BD1AD5">
      <w:pPr>
        <w:rPr>
          <w:noProof/>
        </w:rPr>
      </w:pPr>
      <w:r>
        <w:rPr>
          <w:noProof/>
        </w:rPr>
        <w:t>Direktivet kræver også, at hvert websted og hver mobilapplikation indeholder en detaljeret, omfattende og klar tilgængelighedserklæring om, hvordan deres websteder og mobilapplikationer overholder dette direktiv.</w:t>
      </w:r>
      <w:r>
        <w:rPr>
          <w:noProof/>
          <w:vertAlign w:val="superscript"/>
        </w:rPr>
        <w:t>(</w:t>
      </w:r>
      <w:r>
        <w:rPr>
          <w:noProof/>
          <w:vertAlign w:val="superscript"/>
        </w:rPr>
        <w:footnoteReference w:id="109"/>
      </w:r>
      <w:r>
        <w:rPr>
          <w:noProof/>
          <w:vertAlign w:val="superscript"/>
        </w:rPr>
        <w:t xml:space="preserve">) </w:t>
      </w:r>
      <w:r>
        <w:rPr>
          <w:noProof/>
        </w:rPr>
        <w:t xml:space="preserve"> </w:t>
      </w:r>
    </w:p>
    <w:p w14:paraId="4B5BFCF7" w14:textId="77777777" w:rsidR="001C0943" w:rsidRPr="00B42AEB" w:rsidRDefault="001C0943" w:rsidP="00B42AEB">
      <w:pPr>
        <w:rPr>
          <w:noProof/>
        </w:rPr>
      </w:pPr>
      <w:r>
        <w:rPr>
          <w:noProof/>
        </w:rPr>
        <w:t>For mange medlemsstater betød vedtagelsen af direktivet, at der blev indført nye nationale love om webtilgængelighed. Uden direktivet ville tiltag på nationalt plan alene ikke have nået niveauet for webtilgængelighedsrelateret aktivitet, herunder bevidstgørelse i den offentlige sektor, som det fremgår af medlemsstaternes rapporter om overvågning af tilgængelighed.</w:t>
      </w:r>
      <w:r>
        <w:rPr>
          <w:noProof/>
          <w:shd w:val="clear" w:color="auto" w:fill="FFFFFF"/>
        </w:rPr>
        <w:t xml:space="preserve"> </w:t>
      </w:r>
      <w:r>
        <w:rPr>
          <w:noProof/>
        </w:rPr>
        <w:t>Gennemgangen af de teknologiske fremskridt viste, at automatiserede eller effektive og letanvendelige midler, der anvender kunstig intelligens og maskinlæring, i stigende grad anvendes i værktøjer, der giver digital adgang, hvilket forbedrer tilgængeligheden for visse typer indhold, der i øjeblikket ikke er omfattet af direktivets anvendelsesområde.</w:t>
      </w:r>
    </w:p>
    <w:p w14:paraId="23047A6E" w14:textId="20B5A477" w:rsidR="001C0943" w:rsidRPr="00B42AEB" w:rsidRDefault="001C0943" w:rsidP="00B42AEB">
      <w:pPr>
        <w:rPr>
          <w:noProof/>
          <w:shd w:val="clear" w:color="auto" w:fill="FFFFFF"/>
        </w:rPr>
      </w:pPr>
      <w:r>
        <w:rPr>
          <w:b/>
          <w:noProof/>
          <w:shd w:val="clear" w:color="auto" w:fill="FFFFFF"/>
        </w:rPr>
        <w:t>Direktiv 2010/13/EU</w:t>
      </w:r>
      <w:r>
        <w:rPr>
          <w:rStyle w:val="FootnoteReference"/>
          <w:b/>
          <w:noProof/>
          <w:shd w:val="clear" w:color="auto" w:fill="FFFFFF"/>
        </w:rPr>
        <w:t>(</w:t>
      </w:r>
      <w:r>
        <w:rPr>
          <w:rStyle w:val="FootnoteReference"/>
          <w:noProof/>
          <w:shd w:val="clear" w:color="auto" w:fill="FFFFFF"/>
        </w:rPr>
        <w:footnoteReference w:id="110"/>
      </w:r>
      <w:r>
        <w:rPr>
          <w:rStyle w:val="FootnoteReference"/>
          <w:noProof/>
          <w:shd w:val="clear" w:color="auto" w:fill="FFFFFF"/>
        </w:rPr>
        <w:t>)</w:t>
      </w:r>
      <w:r>
        <w:rPr>
          <w:rStyle w:val="FootnoteReference"/>
          <w:b/>
          <w:noProof/>
          <w:shd w:val="clear" w:color="auto" w:fill="FFFFFF"/>
        </w:rPr>
        <w:t>)</w:t>
      </w:r>
      <w:r>
        <w:rPr>
          <w:noProof/>
          <w:shd w:val="clear" w:color="auto" w:fill="FFFFFF"/>
        </w:rPr>
        <w:t xml:space="preserve"> anerkender, at retten for personer med handicap og ældre til at deltage og blive integreret i samfundslivet og det kulturelle liv i EU er forbundet med tilgængelige audiovisuelle medietjenester. Medlemsstaterne skal derfor uden unødig forsinkelse sikre, at medietjenesteudbydere under deres jurisdiktion aktivt gør indhold tilgængeligt for personer med handicap, navnlig personer med syns- eller hørehandicap. Medietjenesteudbydere skal opfylde tilgængelighedskravene gennem en progressiv og kontinuerlig proces, samtidig med at der tages hensyn til de praktiske og uundgåelige begrænsninger, der kan forhindre fuld tilgængelighed, såsom programmer eller begivenheder, der udsendes i realtid. </w:t>
      </w:r>
    </w:p>
    <w:p w14:paraId="7DD99A9C" w14:textId="33174B4A" w:rsidR="001C0943" w:rsidRPr="00B42AEB" w:rsidRDefault="001C0943" w:rsidP="00B42AEB">
      <w:pPr>
        <w:rPr>
          <w:noProof/>
          <w:shd w:val="clear" w:color="auto" w:fill="FFFFFF"/>
        </w:rPr>
      </w:pPr>
      <w:r>
        <w:rPr>
          <w:noProof/>
          <w:shd w:val="clear" w:color="auto" w:fill="FFFFFF"/>
        </w:rPr>
        <w:t>For at måle de fremskridt, som medietjenesteudbydere har gjort med hensyn til gradvist at gøre deres tjenester tilgængelige for syns- eller hørehæmmede, skal medlemsstaterne kræve, at medietjenesteudbydere, der er etableret på deres område, regelmæssigt rapporterer til de nationale tilsynsmyndigheder.</w:t>
      </w:r>
      <w:r>
        <w:rPr>
          <w:noProof/>
        </w:rPr>
        <w:t xml:space="preserve"> </w:t>
      </w:r>
      <w:r>
        <w:rPr>
          <w:noProof/>
          <w:shd w:val="clear" w:color="auto" w:fill="FFFFFF"/>
        </w:rPr>
        <w:t>Medlemsstaterne skal også tilskynde medietjenesteudbydere til at udarbejde handlingsplaner for tilgængelighed med henblik på løbende og gradvist at gøre deres tjenester mere tilgængelige for personer med handicap. Disse handlingsplaner skal meddeles de nationale tilsynsmyndigheder eller -organer. Hver medlemsstat skal også udpege ét enkelt offentligt tilgængeligt online kontaktpunk, der er lettilgængeligt, herunder for personer med handicap, for information og klager vedrørende ovennævnte tilgængelighedsspørgsmål.</w:t>
      </w:r>
    </w:p>
    <w:p w14:paraId="200D4BE8" w14:textId="21227D72" w:rsidR="001C0943" w:rsidRPr="00B42AEB" w:rsidRDefault="001C0943" w:rsidP="00B42AEB">
      <w:pPr>
        <w:rPr>
          <w:noProof/>
        </w:rPr>
      </w:pPr>
      <w:r>
        <w:rPr>
          <w:noProof/>
        </w:rPr>
        <w:t xml:space="preserve">Den </w:t>
      </w:r>
      <w:r>
        <w:rPr>
          <w:b/>
          <w:noProof/>
        </w:rPr>
        <w:t>europæiske standard EN 301 549</w:t>
      </w:r>
      <w:r>
        <w:rPr>
          <w:rStyle w:val="FootnoteReference"/>
          <w:noProof/>
        </w:rPr>
        <w:t>(</w:t>
      </w:r>
      <w:r>
        <w:rPr>
          <w:rStyle w:val="FootnoteReference"/>
          <w:noProof/>
        </w:rPr>
        <w:footnoteReference w:id="111"/>
      </w:r>
      <w:r>
        <w:rPr>
          <w:rStyle w:val="FootnoteReference"/>
          <w:noProof/>
        </w:rPr>
        <w:t>))</w:t>
      </w:r>
      <w:r>
        <w:rPr>
          <w:noProof/>
        </w:rPr>
        <w:t xml:space="preserve"> specificerer de funktionelle tilgængelighedskrav, der gælder for IKT-produkter og -tjenester, og indeholder en beskrivelse af testprocedurer og evalueringsmetoder for hvert tilgængelighedskrav i en form, der er egnet til brug i forbindelse med offentlige indkøb i Europa. Dette dokument er udformet til at blive anvendt sammen med webbaserede teknologier, ikke-webbaserede teknologier og hybrider, der anvender begge dele. Det omfatter software, hardware og tjenesteydelser. Det er udformet til brug for både leverandører og indkøbere, men forventes også at være til nytte for mange andre.</w:t>
      </w:r>
    </w:p>
    <w:p w14:paraId="3925D93A" w14:textId="72655D4A" w:rsidR="001C0943" w:rsidRPr="00B42AEB" w:rsidRDefault="001C0943" w:rsidP="00B42AEB">
      <w:pPr>
        <w:rPr>
          <w:noProof/>
        </w:rPr>
      </w:pPr>
      <w:r>
        <w:rPr>
          <w:noProof/>
        </w:rPr>
        <w:t xml:space="preserve">Den trækker i høj grad på </w:t>
      </w:r>
      <w:hyperlink r:id="rId27" w:history="1">
        <w:r>
          <w:rPr>
            <w:rStyle w:val="Hyperlink"/>
            <w:noProof/>
          </w:rPr>
          <w:t>Web Content Accessibility Guidelines v2.1</w:t>
        </w:r>
      </w:hyperlink>
      <w:r>
        <w:rPr>
          <w:noProof/>
        </w:rPr>
        <w:t xml:space="preserve">, offentliggjort af W3C og kendt som WCAG 2.1. Disse WCAG er internationalt anerkendte krav til produktion af webindhold. De anses for at være bedste praksis og anvendes meget bredt. Imidlertid </w:t>
      </w:r>
      <w:r>
        <w:rPr>
          <w:rStyle w:val="Strong"/>
          <w:noProof/>
        </w:rPr>
        <w:t>indeholder EN 301 549 v2.1.2 og v3.2.1 hver især krav, der ikke er en del af WCAG 2.1</w:t>
      </w:r>
      <w:r>
        <w:rPr>
          <w:noProof/>
        </w:rPr>
        <w:t>. En 301 549 indeholder også krav, der ikke er relevante for direktivet om webtilgængelighed, f.eks. tilgængelighedskrav til computerhardwaresystemer.</w:t>
      </w:r>
      <w:r>
        <w:rPr>
          <w:rStyle w:val="FootnoteReference"/>
          <w:noProof/>
        </w:rPr>
        <w:t>(</w:t>
      </w:r>
      <w:r>
        <w:rPr>
          <w:rStyle w:val="FootnoteReference"/>
          <w:noProof/>
        </w:rPr>
        <w:footnoteReference w:id="112"/>
      </w:r>
      <w:r>
        <w:rPr>
          <w:rStyle w:val="FootnoteReference"/>
          <w:noProof/>
        </w:rPr>
        <w:t>))</w:t>
      </w:r>
    </w:p>
    <w:p w14:paraId="7C0B46A8" w14:textId="2BBCB1C6" w:rsidR="001C0943" w:rsidRPr="00B42AEB" w:rsidRDefault="001C0943" w:rsidP="00B42AEB">
      <w:pPr>
        <w:rPr>
          <w:b/>
          <w:noProof/>
        </w:rPr>
      </w:pPr>
      <w:r>
        <w:rPr>
          <w:noProof/>
        </w:rPr>
        <w:t xml:space="preserve">Den </w:t>
      </w:r>
      <w:r>
        <w:rPr>
          <w:b/>
          <w:noProof/>
        </w:rPr>
        <w:t>europæiske standard EN 17210</w:t>
      </w:r>
      <w:r>
        <w:rPr>
          <w:rStyle w:val="FootnoteReference"/>
          <w:b/>
          <w:noProof/>
        </w:rPr>
        <w:t>(</w:t>
      </w:r>
      <w:r>
        <w:rPr>
          <w:rStyle w:val="FootnoteReference"/>
          <w:noProof/>
        </w:rPr>
        <w:footnoteReference w:id="113"/>
      </w:r>
      <w:r>
        <w:rPr>
          <w:rStyle w:val="FootnoteReference"/>
          <w:noProof/>
        </w:rPr>
        <w:t>)</w:t>
      </w:r>
      <w:r>
        <w:rPr>
          <w:rStyle w:val="FootnoteReference"/>
          <w:b/>
          <w:noProof/>
        </w:rPr>
        <w:t>)</w:t>
      </w:r>
      <w:r>
        <w:rPr>
          <w:noProof/>
        </w:rPr>
        <w:t xml:space="preserve"> om adgang til og anvendelighed af bebyggede omgivelser</w:t>
      </w:r>
      <w:r>
        <w:rPr>
          <w:noProof/>
          <w:shd w:val="clear" w:color="auto" w:fill="FFFFFF"/>
        </w:rPr>
        <w:t xml:space="preserve"> </w:t>
      </w:r>
      <w:r>
        <w:rPr>
          <w:noProof/>
        </w:rPr>
        <w:t>beskriver grundlæggende funktionelle minimumskrav og anbefalinger til et tilgængeligt og brugbart bebygget miljø. Den følger principperne om "design for alle"/"universelt design", som fremmer retfærdig og sikker anvendelse for en bred vifte af brugere, herunder personer med handicap. Disse krav og anbefalinger vedrørende funktionel tilgængelighed og brugbarhed er relevante for udformning, opførelse, renovering eller tilpasning og vedligeholdelse af bebyggede omgivelser, herunder udendørs fodgænger- og byområder.</w:t>
      </w:r>
    </w:p>
    <w:p w14:paraId="57A28AE6" w14:textId="77777777" w:rsidR="001C0943" w:rsidRPr="00B42AEB" w:rsidRDefault="001C0943" w:rsidP="00B42AEB">
      <w:pPr>
        <w:pStyle w:val="FRABodyText"/>
        <w:spacing w:after="120" w:line="288" w:lineRule="auto"/>
        <w:jc w:val="left"/>
        <w:rPr>
          <w:rFonts w:ascii="Arial" w:hAnsi="Arial" w:cs="Arial"/>
          <w:noProof/>
          <w:sz w:val="24"/>
        </w:rPr>
      </w:pPr>
      <w:r>
        <w:rPr>
          <w:rFonts w:ascii="Arial" w:hAnsi="Arial"/>
          <w:noProof/>
          <w:sz w:val="24"/>
        </w:rPr>
        <w:t>Yderligere referencedokumenter omfatter:</w:t>
      </w:r>
    </w:p>
    <w:p w14:paraId="11B77ABD" w14:textId="6B16B35E" w:rsidR="001C0943" w:rsidRPr="00B42AEB" w:rsidRDefault="00723583" w:rsidP="002D36F0">
      <w:pPr>
        <w:pStyle w:val="FRABodyText"/>
        <w:numPr>
          <w:ilvl w:val="0"/>
          <w:numId w:val="4"/>
        </w:numPr>
        <w:spacing w:after="120" w:line="288" w:lineRule="auto"/>
        <w:jc w:val="left"/>
        <w:rPr>
          <w:rFonts w:ascii="Arial" w:hAnsi="Arial" w:cs="Arial"/>
          <w:noProof/>
          <w:sz w:val="24"/>
        </w:rPr>
      </w:pPr>
      <w:hyperlink r:id="rId28" w:history="1">
        <w:r w:rsidR="00C32507">
          <w:rPr>
            <w:rStyle w:val="Hyperlink"/>
            <w:noProof/>
          </w:rPr>
          <w:t>Arbejdsdokument fra Kommissionens tjenestegrene, evaluering</w:t>
        </w:r>
      </w:hyperlink>
      <w:r w:rsidR="00C32507">
        <w:rPr>
          <w:noProof/>
        </w:rPr>
        <w:t xml:space="preserve">, </w:t>
      </w:r>
      <w:r w:rsidR="00C32507">
        <w:rPr>
          <w:rFonts w:ascii="Arial" w:hAnsi="Arial"/>
          <w:noProof/>
          <w:sz w:val="24"/>
        </w:rPr>
        <w:t>revision af anvendelsen af Europa-Parlamentets og Rådets direktiv (EU) 2016/2102 af 26. oktober 2016 om tilgængeligheden af offentlige organers websteder og mobilapplikationer (direktivet om webtilgængelighed</w:t>
      </w:r>
      <w:r w:rsidR="00C32507">
        <w:rPr>
          <w:noProof/>
        </w:rPr>
        <w:t>)</w:t>
      </w:r>
    </w:p>
    <w:p w14:paraId="46EC6EB0" w14:textId="5A5C1266" w:rsidR="001C0943" w:rsidRPr="00B83B51" w:rsidRDefault="00723583" w:rsidP="002D36F0">
      <w:pPr>
        <w:pStyle w:val="FRABodyText"/>
        <w:numPr>
          <w:ilvl w:val="0"/>
          <w:numId w:val="4"/>
        </w:numPr>
        <w:spacing w:after="120" w:line="288" w:lineRule="auto"/>
        <w:jc w:val="left"/>
        <w:rPr>
          <w:rFonts w:ascii="Arial" w:hAnsi="Arial" w:cs="Arial"/>
          <w:noProof/>
          <w:sz w:val="24"/>
          <w:lang w:val="en-US"/>
        </w:rPr>
      </w:pPr>
      <w:hyperlink r:id="rId29" w:history="1">
        <w:r w:rsidR="00C32507" w:rsidRPr="00B83B51">
          <w:rPr>
            <w:rStyle w:val="Hyperlink"/>
            <w:noProof/>
            <w:lang w:val="en-US"/>
          </w:rPr>
          <w:t>study underpinning the review of the application of the Web Accessibility Directive</w:t>
        </w:r>
      </w:hyperlink>
    </w:p>
    <w:p w14:paraId="775F4175" w14:textId="720500F5" w:rsidR="001C0943" w:rsidRPr="00B83B51" w:rsidRDefault="00723583" w:rsidP="002D36F0">
      <w:pPr>
        <w:pStyle w:val="FRABodyText"/>
        <w:numPr>
          <w:ilvl w:val="0"/>
          <w:numId w:val="4"/>
        </w:numPr>
        <w:spacing w:after="120" w:line="288" w:lineRule="auto"/>
        <w:jc w:val="left"/>
        <w:rPr>
          <w:rFonts w:ascii="Arial" w:hAnsi="Arial" w:cs="Arial"/>
          <w:noProof/>
          <w:sz w:val="24"/>
          <w:lang w:val="en-US"/>
        </w:rPr>
      </w:pPr>
      <w:hyperlink r:id="rId30" w:history="1">
        <w:r w:rsidR="00346220" w:rsidRPr="00B83B51">
          <w:rPr>
            <w:rStyle w:val="Hyperlink"/>
            <w:noProof/>
            <w:lang w:val="en-US"/>
          </w:rPr>
          <w:t>Det Europæiske Økonomiske og Sociale Udvalg</w:t>
        </w:r>
      </w:hyperlink>
      <w:r w:rsidR="00346220" w:rsidRPr="00B83B51">
        <w:rPr>
          <w:noProof/>
          <w:lang w:val="en-US"/>
        </w:rPr>
        <w:t xml:space="preserve">, </w:t>
      </w:r>
      <w:r w:rsidR="00346220" w:rsidRPr="00B83B51">
        <w:rPr>
          <w:rFonts w:ascii="Arial" w:hAnsi="Arial"/>
          <w:i/>
          <w:noProof/>
          <w:sz w:val="24"/>
          <w:lang w:val="en-US"/>
        </w:rPr>
        <w:t>The real right of persons with disabilities to vote in European Parliament elections</w:t>
      </w:r>
    </w:p>
    <w:p w14:paraId="1C5F1872" w14:textId="39142893" w:rsidR="001C0943" w:rsidRPr="00B83B51" w:rsidRDefault="00723583" w:rsidP="002D36F0">
      <w:pPr>
        <w:pStyle w:val="FRABodyText"/>
        <w:numPr>
          <w:ilvl w:val="0"/>
          <w:numId w:val="4"/>
        </w:numPr>
        <w:spacing w:after="120" w:line="288" w:lineRule="auto"/>
        <w:jc w:val="left"/>
        <w:rPr>
          <w:rFonts w:ascii="Arial" w:hAnsi="Arial" w:cs="Arial"/>
          <w:noProof/>
          <w:sz w:val="24"/>
          <w:lang w:val="en-US"/>
        </w:rPr>
      </w:pPr>
      <w:hyperlink r:id="rId31" w:history="1">
        <w:r w:rsidR="00C32507" w:rsidRPr="00B83B51">
          <w:rPr>
            <w:rStyle w:val="Hyperlink"/>
            <w:noProof/>
            <w:lang w:val="en-US"/>
          </w:rPr>
          <w:t>European Disability Forum Human Rights report on political participation of persons with disabilities</w:t>
        </w:r>
      </w:hyperlink>
    </w:p>
    <w:p w14:paraId="67DF9416" w14:textId="43C97C4E" w:rsidR="00CA27D9" w:rsidRPr="00B83B51" w:rsidRDefault="00723583" w:rsidP="002D36F0">
      <w:pPr>
        <w:pStyle w:val="FRABodyText"/>
        <w:numPr>
          <w:ilvl w:val="0"/>
          <w:numId w:val="4"/>
        </w:numPr>
        <w:spacing w:after="120" w:line="288" w:lineRule="auto"/>
        <w:jc w:val="left"/>
        <w:rPr>
          <w:rFonts w:ascii="Arial" w:hAnsi="Arial" w:cs="Arial"/>
          <w:noProof/>
          <w:sz w:val="24"/>
          <w:lang w:val="en-US"/>
        </w:rPr>
      </w:pPr>
      <w:hyperlink r:id="rId32" w:history="1">
        <w:r w:rsidR="00C32507" w:rsidRPr="00B83B51">
          <w:rPr>
            <w:rStyle w:val="Hyperlink"/>
            <w:noProof/>
            <w:lang w:val="en-US"/>
          </w:rPr>
          <w:t>AVA — Accessible Voting Awareness-Raising report</w:t>
        </w:r>
      </w:hyperlink>
      <w:r w:rsidR="00C32507" w:rsidRPr="00B83B51">
        <w:rPr>
          <w:rFonts w:ascii="Arial" w:hAnsi="Arial"/>
          <w:noProof/>
          <w:color w:val="333333"/>
          <w:sz w:val="24"/>
          <w:shd w:val="clear" w:color="auto" w:fill="FFFFFF"/>
          <w:lang w:val="en-US"/>
        </w:rPr>
        <w:t xml:space="preserve"> on the Accessibility of Elections for Blind and Partially Sighted Voters in Europe produced by the </w:t>
      </w:r>
      <w:r w:rsidR="00C32507" w:rsidRPr="00B83B51">
        <w:rPr>
          <w:rFonts w:ascii="Arial" w:hAnsi="Arial"/>
          <w:noProof/>
          <w:sz w:val="24"/>
          <w:lang w:val="en-US"/>
        </w:rPr>
        <w:t>European Blind Union</w:t>
      </w:r>
      <w:r w:rsidR="00C32507" w:rsidRPr="00B83B51">
        <w:rPr>
          <w:rFonts w:ascii="Arial" w:hAnsi="Arial"/>
          <w:noProof/>
          <w:color w:val="333333"/>
          <w:sz w:val="24"/>
          <w:shd w:val="clear" w:color="auto" w:fill="FFFFFF"/>
          <w:lang w:val="en-US"/>
        </w:rPr>
        <w:t>.</w:t>
      </w:r>
    </w:p>
    <w:p w14:paraId="47C15215" w14:textId="1795F06F" w:rsidR="001C0943" w:rsidRPr="00B42AEB" w:rsidRDefault="001C0943" w:rsidP="00B42AEB">
      <w:pPr>
        <w:pStyle w:val="Heading1"/>
        <w:rPr>
          <w:noProof/>
        </w:rPr>
      </w:pPr>
      <w:bookmarkStart w:id="102" w:name="_Toc148718611"/>
      <w:bookmarkStart w:id="103" w:name="_Toc158707819"/>
      <w:r>
        <w:rPr>
          <w:noProof/>
        </w:rPr>
        <w:t>Bilag 9 — Resultaterne af en fokusgruppe om valgtilgængelighed for personer med handicap afholdt af Kommissionen den 7. september 2023</w:t>
      </w:r>
      <w:bookmarkEnd w:id="102"/>
      <w:bookmarkEnd w:id="103"/>
    </w:p>
    <w:p w14:paraId="5E76C007" w14:textId="4502AB11" w:rsidR="001C0943" w:rsidRPr="00B42AEB" w:rsidRDefault="001C0943" w:rsidP="00B42AEB">
      <w:pPr>
        <w:rPr>
          <w:noProof/>
        </w:rPr>
      </w:pPr>
      <w:r>
        <w:rPr>
          <w:noProof/>
        </w:rPr>
        <w:t xml:space="preserve">Den 7. september 2023 nedsatte Kommissionen en fokusgruppe med interessenter, der arbejder med rettigheder for personer med handicap. </w:t>
      </w:r>
    </w:p>
    <w:p w14:paraId="0CB1A290" w14:textId="2051D0E8" w:rsidR="001C0943" w:rsidRPr="00B42AEB" w:rsidRDefault="001C0943" w:rsidP="00B42AEB">
      <w:pPr>
        <w:rPr>
          <w:noProof/>
        </w:rPr>
      </w:pPr>
      <w:r>
        <w:rPr>
          <w:noProof/>
        </w:rPr>
        <w:t xml:space="preserve">Der blev udtrykt bekymring over adgangen til valgprocessen for personer med intellektuelle funktionsnedsættelser og over de test, der gennemføres i denne forbindelse. Andre hindringer for tilgængeligheden, som blev nævnt, omfattede manglen på letlæselig information, manglen på eller utilstrækkelig støtte til kandidater med handicap og folkevalgte, herunder med hensyn til tegnsprogstolkning, utilstrækkelig uddannelse af valgtilforordnede i, hvordan man hjælper personer med handicap med at stemme, utilgængelige valgsteder, manglende transport til valgsteder og utilstrækkelige alternative muligheder for at afgive stemme end på valgstedet. </w:t>
      </w:r>
    </w:p>
    <w:p w14:paraId="15B635DF" w14:textId="77777777" w:rsidR="001C0943" w:rsidRPr="00B42AEB" w:rsidRDefault="001C0943" w:rsidP="00B42AEB">
      <w:pPr>
        <w:rPr>
          <w:noProof/>
        </w:rPr>
      </w:pPr>
      <w:r>
        <w:rPr>
          <w:noProof/>
        </w:rPr>
        <w:t xml:space="preserve">Nogle deltagere fremhævede, at den manglende bevidsthed om handicappedes rettigheder og tilgængelighed i valgprocesser kan føre til både holdningsmæssige og miljømæssige hindringer, hvilket kan påvirke politiske ændringer eller initiativer til at forbedre deltagelsesfrekvensen. Det blev nævnt, at den ringe bevidsthed skyldes flere spørgsmål, herunder manglende afstemningsdata med detaljerede oplysninger om handicap, manglende uddannelse af valgtilforordnede og lav grad af inddragelse af handicaporganisationer i reformen af valgpraksis. </w:t>
      </w:r>
    </w:p>
    <w:p w14:paraId="0A3D7166" w14:textId="3D2B7931" w:rsidR="001C0943" w:rsidRPr="00B42AEB" w:rsidRDefault="001C0943" w:rsidP="00B42AEB">
      <w:pPr>
        <w:rPr>
          <w:noProof/>
        </w:rPr>
      </w:pPr>
      <w:r>
        <w:rPr>
          <w:noProof/>
        </w:rPr>
        <w:t>Der blev henvist til miljømæssige hindringer, herunder manglende adgang til oplysninger og kommunikation om valg og politiske partier, utilgængelige valgsteder (både fysiske og på anden vis) og afstemningsmateriale, utilstrækkelige alternative og avancerede afstemningsmetoder, begrænset tilgængelighed af kompenserende teknologier og mangel på praktisk og økonomisk støtte til personer med handicap, både som vælgere og kandidater. Ingen medlemsstat yder særlig støtte til kandidater med handicap eller offentlige midler til at dække deres kampagneomkostninger. Dette placerer den finansielle og logistiske byrde, der er forbundet med tilgængelighed, på de potentielle kandidaters skuldre.</w:t>
      </w:r>
    </w:p>
    <w:p w14:paraId="486F628D" w14:textId="4E01E9C5" w:rsidR="00044B98" w:rsidRPr="00B42AEB" w:rsidRDefault="001C0943" w:rsidP="00B42AEB">
      <w:pPr>
        <w:rPr>
          <w:noProof/>
        </w:rPr>
      </w:pPr>
      <w:r>
        <w:rPr>
          <w:noProof/>
        </w:rPr>
        <w:t>Interessenterne nævnte også udfordringer i forbindelse med de sproglige behov, som personer med hørehandicap står over for i forbindelse med gennemførelsen af et mandat. Der kan foretages tilpasninger i rimeligt omfang, herunder tegnsprogstolkning, af politiske partier, nationale parlamenter og Europa-Parlamentet.</w:t>
      </w:r>
    </w:p>
    <w:p w14:paraId="76F4C8A7" w14:textId="2D2C020B" w:rsidR="00B83655" w:rsidRPr="00B42AEB" w:rsidRDefault="00B83655" w:rsidP="006F0581">
      <w:pPr>
        <w:pStyle w:val="Heading1"/>
        <w:spacing w:before="360" w:after="240" w:line="288" w:lineRule="auto"/>
        <w:rPr>
          <w:noProof/>
        </w:rPr>
      </w:pPr>
      <w:bookmarkStart w:id="104" w:name="_Toc158707820"/>
      <w:bookmarkStart w:id="105" w:name="_Toc148718612"/>
      <w:r>
        <w:rPr>
          <w:noProof/>
        </w:rPr>
        <w:t xml:space="preserve">Bilag 10 — Forekomst af hjælpemidler og tilgængelige stemmeurner og stemmebokse </w:t>
      </w:r>
      <w:r>
        <w:rPr>
          <w:rStyle w:val="FootnoteReference"/>
          <w:noProof/>
        </w:rPr>
        <w:t>(</w:t>
      </w:r>
      <w:r>
        <w:rPr>
          <w:rStyle w:val="FootnoteReference"/>
          <w:noProof/>
        </w:rPr>
        <w:footnoteReference w:id="114"/>
      </w:r>
      <w:r>
        <w:rPr>
          <w:rStyle w:val="FootnoteReference"/>
          <w:noProof/>
        </w:rPr>
        <w:t>))</w:t>
      </w:r>
      <w:bookmarkEnd w:id="104"/>
      <w:r>
        <w:rPr>
          <w:noProof/>
        </w:rPr>
        <w:t xml:space="preserve"> </w:t>
      </w:r>
      <w:bookmarkEnd w:id="105"/>
    </w:p>
    <w:tbl>
      <w:tblPr>
        <w:tblStyle w:val="TableGrid"/>
        <w:tblW w:w="4943" w:type="pct"/>
        <w:tblCellMar>
          <w:top w:w="113" w:type="dxa"/>
          <w:bottom w:w="113" w:type="dxa"/>
        </w:tblCellMar>
        <w:tblLook w:val="04A0" w:firstRow="1" w:lastRow="0" w:firstColumn="1" w:lastColumn="0" w:noHBand="0" w:noVBand="1"/>
      </w:tblPr>
      <w:tblGrid>
        <w:gridCol w:w="1724"/>
        <w:gridCol w:w="806"/>
        <w:gridCol w:w="897"/>
        <w:gridCol w:w="738"/>
        <w:gridCol w:w="665"/>
        <w:gridCol w:w="1035"/>
        <w:gridCol w:w="723"/>
        <w:gridCol w:w="979"/>
        <w:gridCol w:w="730"/>
        <w:gridCol w:w="660"/>
      </w:tblGrid>
      <w:tr w:rsidR="00346220" w:rsidRPr="00D56964" w14:paraId="6F21094C" w14:textId="77777777" w:rsidTr="00346220">
        <w:trPr>
          <w:trHeight w:val="2286"/>
          <w:tblHeader/>
        </w:trPr>
        <w:tc>
          <w:tcPr>
            <w:tcW w:w="866" w:type="pct"/>
            <w:shd w:val="clear" w:color="auto" w:fill="D9D9D9" w:themeFill="background1" w:themeFillShade="D9"/>
            <w:vAlign w:val="center"/>
          </w:tcPr>
          <w:p w14:paraId="27C2A9B4" w14:textId="118DC80D" w:rsidR="00B83655" w:rsidRPr="00D56964" w:rsidRDefault="000559FB" w:rsidP="00ED533D">
            <w:pPr>
              <w:pStyle w:val="Table"/>
              <w:jc w:val="left"/>
              <w:rPr>
                <w:rFonts w:ascii="Arial" w:hAnsi="Arial"/>
                <w:b/>
                <w:noProof/>
                <w:sz w:val="24"/>
              </w:rPr>
            </w:pPr>
            <w:r>
              <w:rPr>
                <w:rFonts w:ascii="Arial" w:hAnsi="Arial"/>
                <w:b/>
                <w:noProof/>
                <w:sz w:val="24"/>
              </w:rPr>
              <w:t>Medlemsstat</w:t>
            </w:r>
          </w:p>
        </w:tc>
        <w:tc>
          <w:tcPr>
            <w:tcW w:w="464" w:type="pct"/>
            <w:shd w:val="clear" w:color="auto" w:fill="D9D9D9" w:themeFill="background1" w:themeFillShade="D9"/>
            <w:textDirection w:val="btLr"/>
            <w:vAlign w:val="center"/>
          </w:tcPr>
          <w:p w14:paraId="71F51BC1" w14:textId="7CB4A0CA" w:rsidR="00B83655" w:rsidRPr="00D56964" w:rsidRDefault="00B83655" w:rsidP="006F0581">
            <w:pPr>
              <w:pStyle w:val="Table"/>
              <w:jc w:val="left"/>
              <w:rPr>
                <w:rFonts w:ascii="Arial" w:hAnsi="Arial"/>
                <w:b/>
                <w:noProof/>
                <w:sz w:val="24"/>
              </w:rPr>
            </w:pPr>
            <w:r>
              <w:rPr>
                <w:rFonts w:ascii="Arial" w:hAnsi="Arial"/>
                <w:b/>
                <w:noProof/>
                <w:sz w:val="24"/>
              </w:rPr>
              <w:t>Skabeloner</w:t>
            </w:r>
            <w:r>
              <w:rPr>
                <w:rStyle w:val="FootnoteReference"/>
                <w:b/>
                <w:noProof/>
              </w:rPr>
              <w:t>(</w:t>
            </w:r>
            <w:r>
              <w:rPr>
                <w:rStyle w:val="FootnoteReference"/>
                <w:b/>
                <w:noProof/>
              </w:rPr>
              <w:footnoteReference w:id="115"/>
            </w:r>
            <w:r>
              <w:rPr>
                <w:rStyle w:val="FootnoteReference"/>
                <w:b/>
                <w:noProof/>
              </w:rPr>
              <w:t>))</w:t>
            </w:r>
          </w:p>
        </w:tc>
        <w:tc>
          <w:tcPr>
            <w:tcW w:w="487" w:type="pct"/>
            <w:shd w:val="clear" w:color="auto" w:fill="D9D9D9" w:themeFill="background1" w:themeFillShade="D9"/>
            <w:textDirection w:val="btLr"/>
            <w:vAlign w:val="center"/>
          </w:tcPr>
          <w:p w14:paraId="6336B23F" w14:textId="578A9B6F" w:rsidR="00B83655" w:rsidRPr="00D56964" w:rsidRDefault="00B83655" w:rsidP="006F0581">
            <w:pPr>
              <w:pStyle w:val="Table"/>
              <w:jc w:val="left"/>
              <w:rPr>
                <w:rFonts w:ascii="Arial" w:hAnsi="Arial"/>
                <w:b/>
                <w:noProof/>
                <w:sz w:val="24"/>
              </w:rPr>
            </w:pPr>
            <w:r>
              <w:rPr>
                <w:rFonts w:ascii="Arial" w:hAnsi="Arial"/>
                <w:b/>
                <w:noProof/>
                <w:sz w:val="24"/>
              </w:rPr>
              <w:t>Forstørrelsesglas</w:t>
            </w:r>
            <w:r>
              <w:rPr>
                <w:rStyle w:val="FootnoteReference"/>
                <w:b/>
                <w:noProof/>
              </w:rPr>
              <w:t>(</w:t>
            </w:r>
            <w:r>
              <w:rPr>
                <w:rStyle w:val="FootnoteReference"/>
                <w:b/>
                <w:noProof/>
              </w:rPr>
              <w:footnoteReference w:id="116"/>
            </w:r>
            <w:r>
              <w:rPr>
                <w:rStyle w:val="FootnoteReference"/>
                <w:b/>
                <w:noProof/>
              </w:rPr>
              <w:t>))</w:t>
            </w:r>
          </w:p>
        </w:tc>
        <w:tc>
          <w:tcPr>
            <w:tcW w:w="426" w:type="pct"/>
            <w:shd w:val="clear" w:color="auto" w:fill="D9D9D9" w:themeFill="background1" w:themeFillShade="D9"/>
            <w:textDirection w:val="btLr"/>
            <w:vAlign w:val="center"/>
          </w:tcPr>
          <w:p w14:paraId="446113E5" w14:textId="5FB3B934" w:rsidR="00B83655" w:rsidRPr="00D56964" w:rsidRDefault="00B83655" w:rsidP="006F0581">
            <w:pPr>
              <w:pStyle w:val="Table"/>
              <w:jc w:val="left"/>
              <w:rPr>
                <w:rFonts w:ascii="Arial" w:hAnsi="Arial"/>
                <w:b/>
                <w:noProof/>
                <w:sz w:val="24"/>
              </w:rPr>
            </w:pPr>
            <w:r>
              <w:rPr>
                <w:rFonts w:ascii="Arial" w:hAnsi="Arial"/>
                <w:b/>
                <w:noProof/>
                <w:sz w:val="24"/>
              </w:rPr>
              <w:t>Tilstrækkelig belysning</w:t>
            </w:r>
            <w:r>
              <w:rPr>
                <w:rStyle w:val="FootnoteReference"/>
                <w:b/>
                <w:noProof/>
              </w:rPr>
              <w:t>(</w:t>
            </w:r>
            <w:r>
              <w:rPr>
                <w:rStyle w:val="FootnoteReference"/>
                <w:b/>
                <w:noProof/>
              </w:rPr>
              <w:footnoteReference w:id="117"/>
            </w:r>
            <w:r>
              <w:rPr>
                <w:rStyle w:val="FootnoteReference"/>
                <w:b/>
                <w:noProof/>
              </w:rPr>
              <w:t>))</w:t>
            </w:r>
          </w:p>
        </w:tc>
        <w:tc>
          <w:tcPr>
            <w:tcW w:w="385" w:type="pct"/>
            <w:shd w:val="clear" w:color="auto" w:fill="D9D9D9" w:themeFill="background1" w:themeFillShade="D9"/>
            <w:textDirection w:val="btLr"/>
            <w:vAlign w:val="center"/>
          </w:tcPr>
          <w:p w14:paraId="5B451F71" w14:textId="376975CA" w:rsidR="00B83655" w:rsidRPr="00D56964" w:rsidRDefault="00B83655" w:rsidP="006F0581">
            <w:pPr>
              <w:pStyle w:val="Table"/>
              <w:jc w:val="left"/>
              <w:rPr>
                <w:rFonts w:ascii="Arial" w:hAnsi="Arial"/>
                <w:b/>
                <w:noProof/>
                <w:sz w:val="24"/>
              </w:rPr>
            </w:pPr>
            <w:r>
              <w:rPr>
                <w:rFonts w:ascii="Arial" w:hAnsi="Arial"/>
                <w:b/>
                <w:noProof/>
                <w:sz w:val="24"/>
              </w:rPr>
              <w:t>Lydbeskrivelse</w:t>
            </w:r>
            <w:r>
              <w:rPr>
                <w:rStyle w:val="FootnoteReference"/>
                <w:b/>
                <w:noProof/>
              </w:rPr>
              <w:t>(</w:t>
            </w:r>
            <w:r>
              <w:rPr>
                <w:rStyle w:val="FootnoteReference"/>
                <w:b/>
                <w:noProof/>
              </w:rPr>
              <w:footnoteReference w:id="118"/>
            </w:r>
            <w:r>
              <w:rPr>
                <w:rStyle w:val="FootnoteReference"/>
                <w:b/>
                <w:noProof/>
              </w:rPr>
              <w:t>))</w:t>
            </w:r>
          </w:p>
        </w:tc>
        <w:tc>
          <w:tcPr>
            <w:tcW w:w="591" w:type="pct"/>
            <w:shd w:val="clear" w:color="auto" w:fill="D9D9D9" w:themeFill="background1" w:themeFillShade="D9"/>
            <w:textDirection w:val="btLr"/>
            <w:vAlign w:val="center"/>
          </w:tcPr>
          <w:p w14:paraId="05D4176F" w14:textId="77777777" w:rsidR="00B83655" w:rsidRPr="00D56964" w:rsidRDefault="00B83655" w:rsidP="006F0581">
            <w:pPr>
              <w:pStyle w:val="Table"/>
              <w:jc w:val="left"/>
              <w:rPr>
                <w:rFonts w:ascii="Arial" w:hAnsi="Arial"/>
                <w:b/>
                <w:noProof/>
                <w:sz w:val="24"/>
              </w:rPr>
            </w:pPr>
            <w:r>
              <w:rPr>
                <w:rFonts w:ascii="Arial" w:hAnsi="Arial"/>
                <w:b/>
                <w:noProof/>
                <w:sz w:val="24"/>
              </w:rPr>
              <w:t>Tegnsprog på valgstedet</w:t>
            </w:r>
          </w:p>
        </w:tc>
        <w:tc>
          <w:tcPr>
            <w:tcW w:w="417" w:type="pct"/>
            <w:shd w:val="clear" w:color="auto" w:fill="D9D9D9" w:themeFill="background1" w:themeFillShade="D9"/>
            <w:textDirection w:val="btLr"/>
            <w:vAlign w:val="center"/>
          </w:tcPr>
          <w:p w14:paraId="1F90EA0E" w14:textId="20F76569" w:rsidR="00B83655" w:rsidRPr="00D56964" w:rsidRDefault="00B83655" w:rsidP="00ED533D">
            <w:pPr>
              <w:pStyle w:val="Table"/>
              <w:jc w:val="left"/>
              <w:rPr>
                <w:rFonts w:ascii="Arial" w:hAnsi="Arial"/>
                <w:b/>
                <w:noProof/>
                <w:sz w:val="24"/>
              </w:rPr>
            </w:pPr>
            <w:r>
              <w:rPr>
                <w:rFonts w:ascii="Arial" w:hAnsi="Arial"/>
                <w:b/>
                <w:noProof/>
                <w:sz w:val="24"/>
              </w:rPr>
              <w:t>Store udskrifter</w:t>
            </w:r>
            <w:r>
              <w:rPr>
                <w:rStyle w:val="FootnoteReference"/>
                <w:b/>
                <w:noProof/>
              </w:rPr>
              <w:t>(</w:t>
            </w:r>
            <w:r>
              <w:rPr>
                <w:rStyle w:val="FootnoteReference"/>
                <w:b/>
                <w:noProof/>
              </w:rPr>
              <w:footnoteReference w:id="119"/>
            </w:r>
            <w:r>
              <w:rPr>
                <w:rStyle w:val="FootnoteReference"/>
                <w:b/>
                <w:noProof/>
              </w:rPr>
              <w:t>))</w:t>
            </w:r>
          </w:p>
        </w:tc>
        <w:tc>
          <w:tcPr>
            <w:tcW w:w="560" w:type="pct"/>
            <w:shd w:val="clear" w:color="auto" w:fill="D9D9D9" w:themeFill="background1" w:themeFillShade="D9"/>
            <w:textDirection w:val="btLr"/>
            <w:vAlign w:val="center"/>
          </w:tcPr>
          <w:p w14:paraId="156FD648" w14:textId="6B2AC5E4" w:rsidR="00B83655" w:rsidRPr="00D56964" w:rsidRDefault="00B83655" w:rsidP="006F0581">
            <w:pPr>
              <w:pStyle w:val="Table"/>
              <w:jc w:val="left"/>
              <w:rPr>
                <w:rFonts w:ascii="Arial" w:hAnsi="Arial"/>
                <w:b/>
                <w:noProof/>
                <w:sz w:val="24"/>
              </w:rPr>
            </w:pPr>
            <w:r>
              <w:rPr>
                <w:rFonts w:ascii="Arial" w:hAnsi="Arial"/>
                <w:b/>
                <w:noProof/>
                <w:sz w:val="24"/>
              </w:rPr>
              <w:t>Stemmesedler med punktskrift</w:t>
            </w:r>
            <w:r>
              <w:rPr>
                <w:rStyle w:val="FootnoteReference"/>
                <w:b/>
                <w:noProof/>
              </w:rPr>
              <w:t>(</w:t>
            </w:r>
            <w:r>
              <w:rPr>
                <w:rStyle w:val="FootnoteReference"/>
                <w:b/>
                <w:noProof/>
              </w:rPr>
              <w:footnoteReference w:id="120"/>
            </w:r>
            <w:r>
              <w:rPr>
                <w:rStyle w:val="FootnoteReference"/>
                <w:b/>
                <w:noProof/>
              </w:rPr>
              <w:t>))</w:t>
            </w:r>
          </w:p>
        </w:tc>
        <w:tc>
          <w:tcPr>
            <w:tcW w:w="421" w:type="pct"/>
            <w:shd w:val="clear" w:color="auto" w:fill="D9D9D9" w:themeFill="background1" w:themeFillShade="D9"/>
            <w:textDirection w:val="btLr"/>
            <w:vAlign w:val="center"/>
          </w:tcPr>
          <w:p w14:paraId="7E7C4EA9" w14:textId="74A9F558" w:rsidR="00B83655" w:rsidRPr="00D56964" w:rsidRDefault="00B83655" w:rsidP="006F0581">
            <w:pPr>
              <w:pStyle w:val="Table"/>
              <w:jc w:val="left"/>
              <w:rPr>
                <w:rFonts w:ascii="Arial" w:hAnsi="Arial"/>
                <w:b/>
                <w:noProof/>
                <w:sz w:val="24"/>
              </w:rPr>
            </w:pPr>
            <w:r>
              <w:rPr>
                <w:rFonts w:ascii="Arial" w:hAnsi="Arial"/>
                <w:b/>
                <w:noProof/>
                <w:sz w:val="24"/>
              </w:rPr>
              <w:t>Tilgængelige stemmebokse</w:t>
            </w:r>
            <w:r>
              <w:rPr>
                <w:rStyle w:val="FootnoteReference"/>
                <w:b/>
                <w:noProof/>
              </w:rPr>
              <w:t>(</w:t>
            </w:r>
            <w:r>
              <w:rPr>
                <w:rStyle w:val="FootnoteReference"/>
                <w:b/>
                <w:noProof/>
              </w:rPr>
              <w:footnoteReference w:id="121"/>
            </w:r>
            <w:r>
              <w:rPr>
                <w:rStyle w:val="FootnoteReference"/>
                <w:b/>
                <w:noProof/>
              </w:rPr>
              <w:t>))</w:t>
            </w:r>
          </w:p>
        </w:tc>
        <w:tc>
          <w:tcPr>
            <w:tcW w:w="382" w:type="pct"/>
            <w:shd w:val="clear" w:color="auto" w:fill="D9D9D9" w:themeFill="background1" w:themeFillShade="D9"/>
            <w:textDirection w:val="btLr"/>
            <w:vAlign w:val="center"/>
          </w:tcPr>
          <w:p w14:paraId="01E2A6AE" w14:textId="52BB3EC8" w:rsidR="00B83655" w:rsidRPr="00D56964" w:rsidRDefault="00B83655" w:rsidP="006F0581">
            <w:pPr>
              <w:pStyle w:val="Table"/>
              <w:jc w:val="left"/>
              <w:rPr>
                <w:rFonts w:ascii="Arial" w:hAnsi="Arial"/>
                <w:b/>
                <w:noProof/>
                <w:sz w:val="24"/>
              </w:rPr>
            </w:pPr>
            <w:r>
              <w:rPr>
                <w:rFonts w:ascii="Arial" w:hAnsi="Arial"/>
                <w:b/>
                <w:noProof/>
                <w:sz w:val="24"/>
              </w:rPr>
              <w:t>Tilgængelige stemmeurner</w:t>
            </w:r>
            <w:r>
              <w:rPr>
                <w:rStyle w:val="FootnoteReference"/>
                <w:b/>
                <w:noProof/>
              </w:rPr>
              <w:t>(</w:t>
            </w:r>
            <w:r>
              <w:rPr>
                <w:rStyle w:val="FootnoteReference"/>
                <w:b/>
                <w:noProof/>
              </w:rPr>
              <w:footnoteReference w:id="122"/>
            </w:r>
            <w:r>
              <w:rPr>
                <w:rStyle w:val="FootnoteReference"/>
                <w:b/>
                <w:noProof/>
              </w:rPr>
              <w:t>))</w:t>
            </w:r>
          </w:p>
        </w:tc>
      </w:tr>
      <w:tr w:rsidR="00346220" w:rsidRPr="00D56964" w14:paraId="75C49AFD" w14:textId="77777777" w:rsidTr="00346220">
        <w:trPr>
          <w:trHeight w:val="242"/>
        </w:trPr>
        <w:tc>
          <w:tcPr>
            <w:tcW w:w="866" w:type="pct"/>
          </w:tcPr>
          <w:p w14:paraId="616E8944" w14:textId="5C4C03FE" w:rsidR="00B83655" w:rsidRPr="00D56964" w:rsidRDefault="00B83655" w:rsidP="00B42AEB">
            <w:pPr>
              <w:pStyle w:val="Table"/>
              <w:rPr>
                <w:rFonts w:ascii="Arial" w:hAnsi="Arial"/>
                <w:noProof/>
                <w:sz w:val="24"/>
              </w:rPr>
            </w:pPr>
            <w:r>
              <w:rPr>
                <w:rFonts w:ascii="Arial" w:hAnsi="Arial"/>
                <w:noProof/>
                <w:sz w:val="24"/>
              </w:rPr>
              <w:t>Østrig</w:t>
            </w:r>
          </w:p>
        </w:tc>
        <w:tc>
          <w:tcPr>
            <w:tcW w:w="464" w:type="pct"/>
            <w:shd w:val="clear" w:color="auto" w:fill="E2EFD9" w:themeFill="accent6" w:themeFillTint="33"/>
          </w:tcPr>
          <w:p w14:paraId="6894F2C2" w14:textId="754A03A8" w:rsidR="00B83655" w:rsidRPr="00D56964" w:rsidRDefault="00D56964" w:rsidP="00B42AEB">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3531DC63" w14:textId="748F4781" w:rsidR="00B83655" w:rsidRPr="00D56964" w:rsidRDefault="00D56964" w:rsidP="00B42AEB">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54E0889F" w14:textId="1B010307" w:rsidR="00B83655" w:rsidRPr="00D56964" w:rsidRDefault="00D56964" w:rsidP="00B42AEB">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44E6209D" w14:textId="07DA37FA" w:rsidR="00B83655" w:rsidRPr="00D56964" w:rsidRDefault="00D56964" w:rsidP="00B42AEB">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4B7E139B" w14:textId="3DCDF727" w:rsidR="00B83655" w:rsidRPr="00D56964" w:rsidRDefault="00D56964" w:rsidP="00B42AEB">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3EC302B7" w14:textId="12FFFDD0" w:rsidR="00B83655" w:rsidRPr="00D56964" w:rsidRDefault="00D56964" w:rsidP="00B42AEB">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5A4C056A" w14:textId="2840E06B"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317892AB" w14:textId="2DD01B7A"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799F77D2" w14:textId="5198138C"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4620C669" w14:textId="77777777" w:rsidTr="00346220">
        <w:trPr>
          <w:trHeight w:val="242"/>
        </w:trPr>
        <w:tc>
          <w:tcPr>
            <w:tcW w:w="866" w:type="pct"/>
          </w:tcPr>
          <w:p w14:paraId="127AC4BD" w14:textId="77BC4391" w:rsidR="00B83655" w:rsidRPr="00D56964" w:rsidRDefault="00B83655" w:rsidP="00B42AEB">
            <w:pPr>
              <w:pStyle w:val="Table"/>
              <w:rPr>
                <w:rFonts w:ascii="Arial" w:hAnsi="Arial"/>
                <w:noProof/>
                <w:sz w:val="24"/>
              </w:rPr>
            </w:pPr>
            <w:r>
              <w:rPr>
                <w:rFonts w:ascii="Arial" w:hAnsi="Arial"/>
                <w:noProof/>
                <w:sz w:val="24"/>
              </w:rPr>
              <w:t>Belgien</w:t>
            </w:r>
          </w:p>
        </w:tc>
        <w:tc>
          <w:tcPr>
            <w:tcW w:w="464" w:type="pct"/>
            <w:shd w:val="clear" w:color="auto" w:fill="E2EFD9" w:themeFill="accent6" w:themeFillTint="33"/>
          </w:tcPr>
          <w:p w14:paraId="0ADA3EA3" w14:textId="7E6EBE2C" w:rsidR="00B83655" w:rsidRPr="00D56964" w:rsidRDefault="00D56964" w:rsidP="00B42AEB">
            <w:pPr>
              <w:pStyle w:val="Table"/>
              <w:rPr>
                <w:rFonts w:ascii="Arial" w:hAnsi="Arial"/>
                <w:noProof/>
                <w:sz w:val="24"/>
              </w:rPr>
            </w:pPr>
            <w:r>
              <w:rPr>
                <w:rFonts w:ascii="Arial" w:hAnsi="Arial"/>
                <w:noProof/>
                <w:sz w:val="24"/>
              </w:rPr>
              <w:t>Ja</w:t>
            </w:r>
          </w:p>
        </w:tc>
        <w:tc>
          <w:tcPr>
            <w:tcW w:w="487" w:type="pct"/>
            <w:shd w:val="clear" w:color="auto" w:fill="E2EFD9" w:themeFill="accent6" w:themeFillTint="33"/>
          </w:tcPr>
          <w:p w14:paraId="71A19AA0" w14:textId="21325DAD" w:rsidR="00B83655" w:rsidRPr="00D56964" w:rsidRDefault="00D56964" w:rsidP="00B42AEB">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5FB5DACB" w14:textId="567CE22B" w:rsidR="00B83655" w:rsidRPr="00D56964" w:rsidRDefault="00D56964" w:rsidP="00B42AEB">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5E978286" w14:textId="07DC6986" w:rsidR="00B83655" w:rsidRPr="00D56964" w:rsidRDefault="00D56964" w:rsidP="00B42AEB">
            <w:pPr>
              <w:pStyle w:val="Table"/>
              <w:rPr>
                <w:rFonts w:ascii="Arial" w:hAnsi="Arial"/>
                <w:noProof/>
                <w:sz w:val="24"/>
              </w:rPr>
            </w:pPr>
            <w:r>
              <w:rPr>
                <w:rFonts w:ascii="Arial" w:hAnsi="Arial"/>
                <w:noProof/>
                <w:sz w:val="24"/>
              </w:rPr>
              <w:t xml:space="preserve">Ja </w:t>
            </w:r>
          </w:p>
        </w:tc>
        <w:tc>
          <w:tcPr>
            <w:tcW w:w="591" w:type="pct"/>
            <w:shd w:val="clear" w:color="auto" w:fill="FFF2CC" w:themeFill="accent4" w:themeFillTint="33"/>
          </w:tcPr>
          <w:p w14:paraId="75773448" w14:textId="5DE9CFA5" w:rsidR="00B83655" w:rsidRPr="00D56964" w:rsidRDefault="00D56964" w:rsidP="00B42AEB">
            <w:pPr>
              <w:pStyle w:val="Table"/>
              <w:rPr>
                <w:rFonts w:ascii="Arial" w:hAnsi="Arial"/>
                <w:noProof/>
                <w:sz w:val="24"/>
              </w:rPr>
            </w:pPr>
            <w:r>
              <w:rPr>
                <w:rFonts w:ascii="Arial" w:hAnsi="Arial"/>
                <w:noProof/>
                <w:sz w:val="24"/>
              </w:rPr>
              <w:t>Nej</w:t>
            </w:r>
          </w:p>
        </w:tc>
        <w:tc>
          <w:tcPr>
            <w:tcW w:w="417" w:type="pct"/>
            <w:shd w:val="clear" w:color="auto" w:fill="E2EFD9" w:themeFill="accent6" w:themeFillTint="33"/>
          </w:tcPr>
          <w:p w14:paraId="791D93AE" w14:textId="1221D37B" w:rsidR="00B83655" w:rsidRPr="00D56964" w:rsidRDefault="00D56964" w:rsidP="00B42AEB">
            <w:pPr>
              <w:pStyle w:val="Table"/>
              <w:rPr>
                <w:rFonts w:ascii="Arial" w:hAnsi="Arial"/>
                <w:noProof/>
                <w:sz w:val="24"/>
              </w:rPr>
            </w:pPr>
            <w:r>
              <w:rPr>
                <w:rFonts w:ascii="Arial" w:hAnsi="Arial"/>
                <w:noProof/>
                <w:sz w:val="24"/>
              </w:rPr>
              <w:t>Ja</w:t>
            </w:r>
          </w:p>
        </w:tc>
        <w:tc>
          <w:tcPr>
            <w:tcW w:w="560" w:type="pct"/>
            <w:shd w:val="clear" w:color="auto" w:fill="FFF2CC" w:themeFill="accent4" w:themeFillTint="33"/>
          </w:tcPr>
          <w:p w14:paraId="7EB77F35" w14:textId="59991AD7"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6097FDFA" w14:textId="366DBF72"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41F7450C" w14:textId="2AD4CB52"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380FF5E9" w14:textId="77777777" w:rsidTr="00346220">
        <w:trPr>
          <w:trHeight w:val="242"/>
        </w:trPr>
        <w:tc>
          <w:tcPr>
            <w:tcW w:w="866" w:type="pct"/>
          </w:tcPr>
          <w:p w14:paraId="726876F1" w14:textId="00A909B6" w:rsidR="00B83655" w:rsidRPr="00D56964" w:rsidRDefault="00B83655" w:rsidP="00B42AEB">
            <w:pPr>
              <w:pStyle w:val="Table"/>
              <w:rPr>
                <w:rFonts w:ascii="Arial" w:hAnsi="Arial"/>
                <w:noProof/>
                <w:sz w:val="24"/>
              </w:rPr>
            </w:pPr>
            <w:r>
              <w:rPr>
                <w:rFonts w:ascii="Arial" w:hAnsi="Arial"/>
                <w:noProof/>
                <w:sz w:val="24"/>
              </w:rPr>
              <w:t>Bulgarien</w:t>
            </w:r>
          </w:p>
        </w:tc>
        <w:tc>
          <w:tcPr>
            <w:tcW w:w="464" w:type="pct"/>
            <w:shd w:val="clear" w:color="auto" w:fill="FFF2CC" w:themeFill="accent4" w:themeFillTint="33"/>
          </w:tcPr>
          <w:p w14:paraId="2CA802B9" w14:textId="755D8B7A" w:rsidR="00B83655" w:rsidRPr="00D56964" w:rsidRDefault="00D56964" w:rsidP="00B42AEB">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447D40C2" w14:textId="024E1350" w:rsidR="00B83655" w:rsidRPr="00D56964" w:rsidRDefault="00D56964" w:rsidP="00B42AEB">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142A2C3E" w14:textId="3F5C25FC" w:rsidR="00B83655" w:rsidRPr="00D56964" w:rsidRDefault="00D56964" w:rsidP="00B42AEB">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30F0113A" w14:textId="63258E39" w:rsidR="00B83655" w:rsidRPr="00D56964" w:rsidRDefault="00D56964" w:rsidP="00B42AEB">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04D1BB96" w14:textId="27C8E837" w:rsidR="00B83655" w:rsidRPr="00D56964" w:rsidRDefault="00D56964" w:rsidP="00B42AEB">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7D1610FA" w14:textId="3A88157F" w:rsidR="00B83655" w:rsidRPr="00D56964" w:rsidRDefault="00D56964" w:rsidP="00B42AEB">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52963C75" w14:textId="48F97D52"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689A353C" w14:textId="5AE474C4"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7EF92BBD" w14:textId="55001113"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44AAD7BA" w14:textId="77777777" w:rsidTr="00346220">
        <w:trPr>
          <w:trHeight w:val="70"/>
        </w:trPr>
        <w:tc>
          <w:tcPr>
            <w:tcW w:w="866" w:type="pct"/>
          </w:tcPr>
          <w:p w14:paraId="5759B60C" w14:textId="0E4E2131" w:rsidR="00B83655" w:rsidRPr="00D56964" w:rsidRDefault="00B83655" w:rsidP="00B42AEB">
            <w:pPr>
              <w:pStyle w:val="Table"/>
              <w:rPr>
                <w:rFonts w:ascii="Arial" w:hAnsi="Arial"/>
                <w:noProof/>
                <w:sz w:val="24"/>
              </w:rPr>
            </w:pPr>
            <w:r>
              <w:rPr>
                <w:rFonts w:ascii="Arial" w:hAnsi="Arial"/>
                <w:noProof/>
                <w:sz w:val="24"/>
              </w:rPr>
              <w:t>Cypern</w:t>
            </w:r>
          </w:p>
        </w:tc>
        <w:tc>
          <w:tcPr>
            <w:tcW w:w="464" w:type="pct"/>
            <w:shd w:val="clear" w:color="auto" w:fill="FFF2CC" w:themeFill="accent4" w:themeFillTint="33"/>
          </w:tcPr>
          <w:p w14:paraId="27A9D25D" w14:textId="6CDEA297" w:rsidR="00B83655" w:rsidRPr="00D56964" w:rsidRDefault="00D56964" w:rsidP="00B42AEB">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38F7F1C2" w14:textId="771442C8" w:rsidR="00B83655" w:rsidRPr="00D56964" w:rsidRDefault="00D56964" w:rsidP="00B42AEB">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1B026D41" w14:textId="085080E2" w:rsidR="00B83655" w:rsidRPr="00D56964" w:rsidRDefault="00D56964" w:rsidP="00B42AEB">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47261EEB" w14:textId="595F56E9" w:rsidR="00B83655" w:rsidRPr="00D56964" w:rsidRDefault="00D56964" w:rsidP="00B42AEB">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1C7D0214" w14:textId="4EE0D311" w:rsidR="00B83655" w:rsidRPr="00D56964" w:rsidRDefault="00D56964" w:rsidP="00B42AEB">
            <w:pPr>
              <w:pStyle w:val="Table"/>
              <w:rPr>
                <w:rFonts w:ascii="Arial" w:hAnsi="Arial"/>
                <w:noProof/>
                <w:sz w:val="24"/>
              </w:rPr>
            </w:pPr>
            <w:r>
              <w:rPr>
                <w:rFonts w:ascii="Arial" w:hAnsi="Arial"/>
                <w:noProof/>
                <w:sz w:val="24"/>
              </w:rPr>
              <w:t>Nej</w:t>
            </w:r>
          </w:p>
        </w:tc>
        <w:tc>
          <w:tcPr>
            <w:tcW w:w="417" w:type="pct"/>
            <w:shd w:val="clear" w:color="auto" w:fill="E2EFD9" w:themeFill="accent6" w:themeFillTint="33"/>
          </w:tcPr>
          <w:p w14:paraId="02C5718A" w14:textId="3F83EF6F" w:rsidR="00B83655" w:rsidRPr="00D56964" w:rsidRDefault="00D56964" w:rsidP="00B42AEB">
            <w:pPr>
              <w:pStyle w:val="Table"/>
              <w:rPr>
                <w:rFonts w:ascii="Arial" w:hAnsi="Arial"/>
                <w:noProof/>
                <w:sz w:val="24"/>
              </w:rPr>
            </w:pPr>
            <w:r>
              <w:rPr>
                <w:rFonts w:ascii="Arial" w:hAnsi="Arial"/>
                <w:noProof/>
                <w:sz w:val="24"/>
              </w:rPr>
              <w:t>Ja</w:t>
            </w:r>
          </w:p>
        </w:tc>
        <w:tc>
          <w:tcPr>
            <w:tcW w:w="560" w:type="pct"/>
            <w:shd w:val="clear" w:color="auto" w:fill="FFF2CC" w:themeFill="accent4" w:themeFillTint="33"/>
          </w:tcPr>
          <w:p w14:paraId="6BA17E6B" w14:textId="107ABF9A"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2D7BAD0F" w14:textId="6B6059C2"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7CAAEF4A" w14:textId="0A96C817"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0050C1FA" w14:textId="77777777" w:rsidTr="00346220">
        <w:trPr>
          <w:trHeight w:val="70"/>
        </w:trPr>
        <w:tc>
          <w:tcPr>
            <w:tcW w:w="866" w:type="pct"/>
          </w:tcPr>
          <w:p w14:paraId="6922DF7F" w14:textId="3A96A9FC" w:rsidR="00B83655" w:rsidRPr="00D56964" w:rsidRDefault="00ED533D" w:rsidP="00B42AEB">
            <w:pPr>
              <w:pStyle w:val="Table"/>
              <w:rPr>
                <w:rFonts w:ascii="Arial" w:hAnsi="Arial"/>
                <w:noProof/>
                <w:sz w:val="24"/>
              </w:rPr>
            </w:pPr>
            <w:r>
              <w:rPr>
                <w:rFonts w:ascii="Arial" w:hAnsi="Arial"/>
                <w:noProof/>
                <w:sz w:val="24"/>
              </w:rPr>
              <w:t>Tjekkiet</w:t>
            </w:r>
          </w:p>
        </w:tc>
        <w:tc>
          <w:tcPr>
            <w:tcW w:w="464" w:type="pct"/>
            <w:shd w:val="clear" w:color="auto" w:fill="FFF2CC" w:themeFill="accent4" w:themeFillTint="33"/>
          </w:tcPr>
          <w:p w14:paraId="79E4FEAC" w14:textId="585993C6" w:rsidR="00B83655" w:rsidRPr="00D56964" w:rsidRDefault="00D56964" w:rsidP="00B42AEB">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610B1022" w14:textId="78A0176E" w:rsidR="00B83655" w:rsidRPr="00D56964" w:rsidRDefault="00D56964" w:rsidP="00B42AEB">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0076C7BD" w14:textId="6442FEFC" w:rsidR="00B83655" w:rsidRPr="00D56964" w:rsidRDefault="00D56964" w:rsidP="00B42AEB">
            <w:pPr>
              <w:pStyle w:val="Table"/>
              <w:rPr>
                <w:rFonts w:ascii="Arial" w:hAnsi="Arial"/>
                <w:noProof/>
                <w:sz w:val="24"/>
              </w:rPr>
            </w:pPr>
            <w:r>
              <w:rPr>
                <w:rFonts w:ascii="Arial" w:hAnsi="Arial"/>
                <w:noProof/>
                <w:sz w:val="24"/>
              </w:rPr>
              <w:t>Nej</w:t>
            </w:r>
          </w:p>
        </w:tc>
        <w:tc>
          <w:tcPr>
            <w:tcW w:w="385" w:type="pct"/>
            <w:shd w:val="clear" w:color="auto" w:fill="E2EFD9" w:themeFill="accent6" w:themeFillTint="33"/>
          </w:tcPr>
          <w:p w14:paraId="67D959E7" w14:textId="2E5FA3E4" w:rsidR="00B83655" w:rsidRPr="00D56964" w:rsidRDefault="00D56964" w:rsidP="00B42AEB">
            <w:pPr>
              <w:pStyle w:val="Table"/>
              <w:rPr>
                <w:rFonts w:ascii="Arial" w:hAnsi="Arial"/>
                <w:noProof/>
                <w:sz w:val="24"/>
              </w:rPr>
            </w:pPr>
            <w:r>
              <w:rPr>
                <w:rFonts w:ascii="Arial" w:hAnsi="Arial"/>
                <w:noProof/>
                <w:sz w:val="24"/>
              </w:rPr>
              <w:t>Ja</w:t>
            </w:r>
          </w:p>
        </w:tc>
        <w:tc>
          <w:tcPr>
            <w:tcW w:w="591" w:type="pct"/>
            <w:shd w:val="clear" w:color="auto" w:fill="FFF2CC" w:themeFill="accent4" w:themeFillTint="33"/>
          </w:tcPr>
          <w:p w14:paraId="185ACE42" w14:textId="3580BE5D" w:rsidR="00B83655" w:rsidRPr="00D56964" w:rsidRDefault="00D56964" w:rsidP="00B42AEB">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6EA78906" w14:textId="4794BEE4" w:rsidR="00B83655" w:rsidRPr="00D56964" w:rsidRDefault="00D56964" w:rsidP="00B42AEB">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2C409D39" w14:textId="13D5605D"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45DC58DE" w14:textId="14472311"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314A093A" w14:textId="4358F835"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304B5F33" w14:textId="77777777" w:rsidTr="00346220">
        <w:trPr>
          <w:trHeight w:val="305"/>
        </w:trPr>
        <w:tc>
          <w:tcPr>
            <w:tcW w:w="866" w:type="pct"/>
          </w:tcPr>
          <w:p w14:paraId="352E475F" w14:textId="412DCC14" w:rsidR="00B83655" w:rsidRPr="00D56964" w:rsidRDefault="00ED533D" w:rsidP="00B42AEB">
            <w:pPr>
              <w:pStyle w:val="Table"/>
              <w:rPr>
                <w:rFonts w:ascii="Arial" w:hAnsi="Arial"/>
                <w:noProof/>
                <w:sz w:val="24"/>
              </w:rPr>
            </w:pPr>
            <w:r>
              <w:rPr>
                <w:rFonts w:ascii="Arial" w:hAnsi="Arial"/>
                <w:noProof/>
                <w:sz w:val="24"/>
              </w:rPr>
              <w:t>Tyskland</w:t>
            </w:r>
          </w:p>
        </w:tc>
        <w:tc>
          <w:tcPr>
            <w:tcW w:w="464" w:type="pct"/>
            <w:shd w:val="clear" w:color="auto" w:fill="E2EFD9" w:themeFill="accent6" w:themeFillTint="33"/>
          </w:tcPr>
          <w:p w14:paraId="4B74E027" w14:textId="1F76841C" w:rsidR="00B83655" w:rsidRPr="00D56964" w:rsidRDefault="00D56964" w:rsidP="00B42AEB">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5DC81BD2" w14:textId="246F5B38" w:rsidR="00B83655" w:rsidRPr="00D56964" w:rsidRDefault="00D56964" w:rsidP="00B42AEB">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60E03774" w14:textId="232FD6D0" w:rsidR="00B83655" w:rsidRPr="00D56964" w:rsidRDefault="00D56964" w:rsidP="00B42AEB">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14BC5A20" w14:textId="4B2A88F5" w:rsidR="00B83655" w:rsidRPr="00D56964" w:rsidRDefault="00D56964" w:rsidP="00B42AEB">
            <w:pPr>
              <w:pStyle w:val="Table"/>
              <w:rPr>
                <w:rFonts w:ascii="Arial" w:hAnsi="Arial"/>
                <w:noProof/>
                <w:sz w:val="24"/>
              </w:rPr>
            </w:pPr>
            <w:r>
              <w:rPr>
                <w:rFonts w:ascii="Arial" w:hAnsi="Arial"/>
                <w:noProof/>
                <w:sz w:val="24"/>
              </w:rPr>
              <w:t>Nej</w:t>
            </w:r>
          </w:p>
        </w:tc>
        <w:tc>
          <w:tcPr>
            <w:tcW w:w="591" w:type="pct"/>
            <w:shd w:val="clear" w:color="auto" w:fill="E2EFD9" w:themeFill="accent6" w:themeFillTint="33"/>
          </w:tcPr>
          <w:p w14:paraId="18DA3034" w14:textId="1BDE5531" w:rsidR="00B83655" w:rsidRPr="00D56964" w:rsidRDefault="00D56964" w:rsidP="00B42AEB">
            <w:pPr>
              <w:pStyle w:val="Table"/>
              <w:rPr>
                <w:rFonts w:ascii="Arial" w:hAnsi="Arial"/>
                <w:noProof/>
                <w:sz w:val="24"/>
              </w:rPr>
            </w:pPr>
            <w:r>
              <w:rPr>
                <w:rFonts w:ascii="Arial" w:hAnsi="Arial"/>
                <w:noProof/>
                <w:sz w:val="24"/>
              </w:rPr>
              <w:t>Ja</w:t>
            </w:r>
          </w:p>
        </w:tc>
        <w:tc>
          <w:tcPr>
            <w:tcW w:w="417" w:type="pct"/>
            <w:shd w:val="clear" w:color="auto" w:fill="FFF2CC" w:themeFill="accent4" w:themeFillTint="33"/>
          </w:tcPr>
          <w:p w14:paraId="057805AC" w14:textId="3D636539" w:rsidR="00B83655" w:rsidRPr="00D56964" w:rsidRDefault="00D56964" w:rsidP="00B42AEB">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687E5599" w14:textId="0E436E92"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51A6BEAD" w14:textId="5D3EE6DC"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04EDC280" w14:textId="090E019E"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508E220C" w14:textId="77777777" w:rsidTr="00346220">
        <w:trPr>
          <w:trHeight w:val="70"/>
        </w:trPr>
        <w:tc>
          <w:tcPr>
            <w:tcW w:w="866" w:type="pct"/>
          </w:tcPr>
          <w:p w14:paraId="568FF1EE" w14:textId="66D63A77" w:rsidR="00B83655" w:rsidRPr="00D56964" w:rsidRDefault="00ED533D" w:rsidP="00B42AEB">
            <w:pPr>
              <w:pStyle w:val="Table"/>
              <w:rPr>
                <w:rFonts w:ascii="Arial" w:hAnsi="Arial"/>
                <w:noProof/>
                <w:sz w:val="24"/>
              </w:rPr>
            </w:pPr>
            <w:r>
              <w:rPr>
                <w:rFonts w:ascii="Arial" w:hAnsi="Arial"/>
                <w:noProof/>
                <w:sz w:val="24"/>
              </w:rPr>
              <w:t>Danmark</w:t>
            </w:r>
          </w:p>
        </w:tc>
        <w:tc>
          <w:tcPr>
            <w:tcW w:w="464" w:type="pct"/>
            <w:shd w:val="clear" w:color="auto" w:fill="FFF2CC" w:themeFill="accent4" w:themeFillTint="33"/>
          </w:tcPr>
          <w:p w14:paraId="6B411F76" w14:textId="24EF85B7" w:rsidR="00B83655" w:rsidRPr="00D56964" w:rsidRDefault="00D56964" w:rsidP="00B42AEB">
            <w:pPr>
              <w:pStyle w:val="Table"/>
              <w:rPr>
                <w:rFonts w:ascii="Arial" w:hAnsi="Arial"/>
                <w:noProof/>
                <w:sz w:val="24"/>
              </w:rPr>
            </w:pPr>
            <w:r>
              <w:rPr>
                <w:rFonts w:ascii="Arial" w:hAnsi="Arial"/>
                <w:noProof/>
                <w:sz w:val="24"/>
              </w:rPr>
              <w:t>Nej</w:t>
            </w:r>
          </w:p>
        </w:tc>
        <w:tc>
          <w:tcPr>
            <w:tcW w:w="487" w:type="pct"/>
            <w:shd w:val="clear" w:color="auto" w:fill="E2EFD9" w:themeFill="accent6" w:themeFillTint="33"/>
          </w:tcPr>
          <w:p w14:paraId="3C60D034" w14:textId="0FFC4511" w:rsidR="00B83655" w:rsidRPr="00D56964" w:rsidRDefault="00D56964" w:rsidP="00B42AEB">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692028BD" w14:textId="7B20DBEC" w:rsidR="00B83655" w:rsidRPr="00D56964" w:rsidRDefault="00D56964" w:rsidP="00B42AEB">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11C7D04D" w14:textId="7FBBA05C" w:rsidR="00B83655" w:rsidRPr="00D56964" w:rsidRDefault="00D56964" w:rsidP="00B42AEB">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398ED431" w14:textId="1BF5BE95" w:rsidR="00B83655" w:rsidRPr="00D56964" w:rsidRDefault="00D56964" w:rsidP="00B42AEB">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376F3AD0" w14:textId="5053001F" w:rsidR="00B83655" w:rsidRPr="00D56964" w:rsidRDefault="00D56964" w:rsidP="00B42AEB">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412FFD54" w14:textId="6395E16A"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69164918" w14:textId="7B2E5A66"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16FF05CC" w14:textId="3D0CC485"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77B97E2A" w14:textId="77777777" w:rsidTr="00346220">
        <w:trPr>
          <w:trHeight w:val="154"/>
        </w:trPr>
        <w:tc>
          <w:tcPr>
            <w:tcW w:w="866" w:type="pct"/>
          </w:tcPr>
          <w:p w14:paraId="77BD1660" w14:textId="4E0CCA5F" w:rsidR="00B83655" w:rsidRPr="00D56964" w:rsidRDefault="00ED533D" w:rsidP="00B42AEB">
            <w:pPr>
              <w:pStyle w:val="Table"/>
              <w:rPr>
                <w:rFonts w:ascii="Arial" w:hAnsi="Arial"/>
                <w:noProof/>
                <w:sz w:val="24"/>
              </w:rPr>
            </w:pPr>
            <w:r>
              <w:rPr>
                <w:rFonts w:ascii="Arial" w:hAnsi="Arial"/>
                <w:noProof/>
                <w:sz w:val="24"/>
              </w:rPr>
              <w:t>Estland</w:t>
            </w:r>
          </w:p>
        </w:tc>
        <w:tc>
          <w:tcPr>
            <w:tcW w:w="464" w:type="pct"/>
            <w:shd w:val="clear" w:color="auto" w:fill="FFF2CC" w:themeFill="accent4" w:themeFillTint="33"/>
          </w:tcPr>
          <w:p w14:paraId="2C104FEC" w14:textId="71F1DDD5" w:rsidR="00B83655" w:rsidRPr="00D56964" w:rsidRDefault="00D56964" w:rsidP="00B42AEB">
            <w:pPr>
              <w:pStyle w:val="Table"/>
              <w:rPr>
                <w:rFonts w:ascii="Arial" w:hAnsi="Arial"/>
                <w:noProof/>
                <w:sz w:val="24"/>
              </w:rPr>
            </w:pPr>
            <w:r>
              <w:rPr>
                <w:rFonts w:ascii="Arial" w:hAnsi="Arial"/>
                <w:noProof/>
                <w:sz w:val="24"/>
              </w:rPr>
              <w:t>Nej</w:t>
            </w:r>
          </w:p>
        </w:tc>
        <w:tc>
          <w:tcPr>
            <w:tcW w:w="487" w:type="pct"/>
            <w:shd w:val="clear" w:color="auto" w:fill="E2EFD9" w:themeFill="accent6" w:themeFillTint="33"/>
          </w:tcPr>
          <w:p w14:paraId="08D6CBB5" w14:textId="6AB60417" w:rsidR="00B83655" w:rsidRPr="00D56964" w:rsidRDefault="00D56964" w:rsidP="00B42AEB">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3351905C" w14:textId="04414C04" w:rsidR="00B83655" w:rsidRPr="00D56964" w:rsidRDefault="00D56964" w:rsidP="00B42AEB">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5B1BD656" w14:textId="0FF8A35C" w:rsidR="00B83655" w:rsidRPr="00D56964" w:rsidRDefault="00D56964" w:rsidP="00B42AEB">
            <w:pPr>
              <w:pStyle w:val="Table"/>
              <w:rPr>
                <w:rFonts w:ascii="Arial" w:hAnsi="Arial"/>
                <w:noProof/>
                <w:sz w:val="24"/>
              </w:rPr>
            </w:pPr>
            <w:r>
              <w:rPr>
                <w:rFonts w:ascii="Arial" w:hAnsi="Arial"/>
                <w:noProof/>
                <w:sz w:val="24"/>
              </w:rPr>
              <w:t>Nej</w:t>
            </w:r>
          </w:p>
        </w:tc>
        <w:tc>
          <w:tcPr>
            <w:tcW w:w="591" w:type="pct"/>
            <w:shd w:val="clear" w:color="auto" w:fill="E2EFD9" w:themeFill="accent6" w:themeFillTint="33"/>
          </w:tcPr>
          <w:p w14:paraId="55FA94EE" w14:textId="2A03D4BF" w:rsidR="00B83655" w:rsidRPr="00D56964" w:rsidRDefault="00D56964" w:rsidP="00B42AEB">
            <w:pPr>
              <w:pStyle w:val="Table"/>
              <w:rPr>
                <w:rFonts w:ascii="Arial" w:hAnsi="Arial"/>
                <w:noProof/>
                <w:sz w:val="24"/>
              </w:rPr>
            </w:pPr>
            <w:r>
              <w:rPr>
                <w:rFonts w:ascii="Arial" w:hAnsi="Arial"/>
                <w:noProof/>
                <w:sz w:val="24"/>
              </w:rPr>
              <w:t>Ja</w:t>
            </w:r>
          </w:p>
        </w:tc>
        <w:tc>
          <w:tcPr>
            <w:tcW w:w="417" w:type="pct"/>
            <w:shd w:val="clear" w:color="auto" w:fill="FFF2CC" w:themeFill="accent4" w:themeFillTint="33"/>
          </w:tcPr>
          <w:p w14:paraId="093059B0" w14:textId="190A78A3" w:rsidR="00B83655" w:rsidRPr="00D56964" w:rsidRDefault="00D56964" w:rsidP="00B42AEB">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1EED65A5" w14:textId="660911E9"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146120F8" w14:textId="19100061"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D3A7C25" w14:textId="009B5B15"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6113D5DE" w14:textId="77777777" w:rsidTr="00346220">
        <w:trPr>
          <w:trHeight w:val="154"/>
        </w:trPr>
        <w:tc>
          <w:tcPr>
            <w:tcW w:w="866" w:type="pct"/>
          </w:tcPr>
          <w:p w14:paraId="222A12A9" w14:textId="1CF2149B" w:rsidR="00B83655" w:rsidRPr="00D56964" w:rsidRDefault="00ED533D" w:rsidP="00B42AEB">
            <w:pPr>
              <w:pStyle w:val="Table"/>
              <w:rPr>
                <w:rFonts w:ascii="Arial" w:hAnsi="Arial"/>
                <w:noProof/>
                <w:sz w:val="24"/>
              </w:rPr>
            </w:pPr>
            <w:r>
              <w:rPr>
                <w:rFonts w:ascii="Arial" w:hAnsi="Arial"/>
                <w:noProof/>
                <w:sz w:val="24"/>
              </w:rPr>
              <w:t>Grækenland</w:t>
            </w:r>
          </w:p>
        </w:tc>
        <w:tc>
          <w:tcPr>
            <w:tcW w:w="464" w:type="pct"/>
            <w:shd w:val="clear" w:color="auto" w:fill="FFF2CC" w:themeFill="accent4" w:themeFillTint="33"/>
          </w:tcPr>
          <w:p w14:paraId="431AAB8B" w14:textId="13AF6C05" w:rsidR="00B83655" w:rsidRPr="00D56964" w:rsidRDefault="00D56964" w:rsidP="00B42AEB">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7133DEA4" w14:textId="79930145" w:rsidR="00B83655" w:rsidRPr="00D56964" w:rsidRDefault="00D56964" w:rsidP="00B42AEB">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6DF1300A" w14:textId="217CD13B" w:rsidR="00B83655" w:rsidRPr="00D56964" w:rsidRDefault="00D56964" w:rsidP="00B42AEB">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58CCD037" w14:textId="07E273C1" w:rsidR="00B83655" w:rsidRPr="00D56964" w:rsidRDefault="00D56964" w:rsidP="00B42AEB">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445CAD11" w14:textId="5621C2E9" w:rsidR="00B83655" w:rsidRPr="00D56964" w:rsidRDefault="00D56964" w:rsidP="00B42AEB">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32682BE9" w14:textId="5F88F2FB" w:rsidR="00B83655" w:rsidRPr="00D56964" w:rsidRDefault="00D56964" w:rsidP="00B42AEB">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61694F1A" w14:textId="28C0AC60"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200C80E6" w14:textId="5A8B6CFB"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1AB9B2FA" w14:textId="173A7C95"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45DA51FF" w14:textId="77777777" w:rsidTr="00346220">
        <w:trPr>
          <w:trHeight w:val="154"/>
        </w:trPr>
        <w:tc>
          <w:tcPr>
            <w:tcW w:w="866" w:type="pct"/>
          </w:tcPr>
          <w:p w14:paraId="51009691" w14:textId="0EDCD72D" w:rsidR="001168CE" w:rsidRPr="00D56964" w:rsidRDefault="001168CE" w:rsidP="001168CE">
            <w:pPr>
              <w:pStyle w:val="Table"/>
              <w:rPr>
                <w:rFonts w:ascii="Arial" w:hAnsi="Arial"/>
                <w:noProof/>
                <w:sz w:val="24"/>
              </w:rPr>
            </w:pPr>
            <w:bookmarkStart w:id="106" w:name="_Hlk152587548"/>
            <w:r>
              <w:rPr>
                <w:rFonts w:ascii="Arial" w:hAnsi="Arial"/>
                <w:noProof/>
                <w:sz w:val="24"/>
              </w:rPr>
              <w:t>Spanien</w:t>
            </w:r>
          </w:p>
        </w:tc>
        <w:tc>
          <w:tcPr>
            <w:tcW w:w="464" w:type="pct"/>
            <w:shd w:val="clear" w:color="auto" w:fill="E2EFD9" w:themeFill="accent6" w:themeFillTint="33"/>
          </w:tcPr>
          <w:p w14:paraId="1E9D0841" w14:textId="1B5E7074" w:rsidR="001168CE" w:rsidRPr="00D56964" w:rsidRDefault="001168CE" w:rsidP="001168CE">
            <w:pPr>
              <w:pStyle w:val="Table"/>
              <w:rPr>
                <w:rFonts w:ascii="Arial" w:hAnsi="Arial"/>
                <w:noProof/>
                <w:sz w:val="24"/>
              </w:rPr>
            </w:pPr>
            <w:r>
              <w:rPr>
                <w:rFonts w:ascii="Arial" w:hAnsi="Arial"/>
                <w:noProof/>
                <w:sz w:val="24"/>
              </w:rPr>
              <w:t>Ja</w:t>
            </w:r>
          </w:p>
        </w:tc>
        <w:tc>
          <w:tcPr>
            <w:tcW w:w="487" w:type="pct"/>
            <w:shd w:val="clear" w:color="auto" w:fill="E2EFD9" w:themeFill="accent6" w:themeFillTint="33"/>
          </w:tcPr>
          <w:p w14:paraId="09525559" w14:textId="126992F4" w:rsidR="001168CE" w:rsidRPr="00D56964" w:rsidRDefault="001168CE" w:rsidP="001168CE">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36A0DF7F" w14:textId="33C95BC4" w:rsidR="001168CE" w:rsidRPr="00D56964" w:rsidRDefault="001168CE" w:rsidP="001168CE">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54AACC66" w14:textId="74D7B784" w:rsidR="001168CE" w:rsidRPr="00D56964" w:rsidRDefault="001168CE" w:rsidP="001168CE">
            <w:pPr>
              <w:pStyle w:val="Table"/>
              <w:rPr>
                <w:rFonts w:ascii="Arial" w:hAnsi="Arial"/>
                <w:noProof/>
                <w:sz w:val="24"/>
              </w:rPr>
            </w:pPr>
            <w:r>
              <w:rPr>
                <w:rFonts w:ascii="Arial" w:hAnsi="Arial"/>
                <w:noProof/>
                <w:sz w:val="24"/>
              </w:rPr>
              <w:t>Ja</w:t>
            </w:r>
          </w:p>
        </w:tc>
        <w:tc>
          <w:tcPr>
            <w:tcW w:w="591" w:type="pct"/>
            <w:shd w:val="clear" w:color="auto" w:fill="E2EFD9" w:themeFill="accent6" w:themeFillTint="33"/>
          </w:tcPr>
          <w:p w14:paraId="377046E9" w14:textId="5D69F896" w:rsidR="001168CE" w:rsidRPr="00D56964" w:rsidRDefault="001168CE" w:rsidP="001168CE">
            <w:pPr>
              <w:pStyle w:val="Table"/>
              <w:rPr>
                <w:rFonts w:ascii="Arial" w:hAnsi="Arial"/>
                <w:noProof/>
                <w:sz w:val="24"/>
              </w:rPr>
            </w:pPr>
            <w:r>
              <w:rPr>
                <w:rFonts w:ascii="Arial" w:hAnsi="Arial"/>
                <w:noProof/>
                <w:sz w:val="24"/>
              </w:rPr>
              <w:t>Ja</w:t>
            </w:r>
          </w:p>
        </w:tc>
        <w:tc>
          <w:tcPr>
            <w:tcW w:w="417" w:type="pct"/>
            <w:shd w:val="clear" w:color="auto" w:fill="FFF2CC" w:themeFill="accent4" w:themeFillTint="33"/>
          </w:tcPr>
          <w:p w14:paraId="695D3B06" w14:textId="5E981447" w:rsidR="001168CE" w:rsidRPr="00D56964" w:rsidRDefault="001168CE" w:rsidP="001168CE">
            <w:pPr>
              <w:pStyle w:val="Table"/>
              <w:rPr>
                <w:rFonts w:ascii="Arial" w:hAnsi="Arial"/>
                <w:noProof/>
                <w:sz w:val="24"/>
              </w:rPr>
            </w:pPr>
            <w:r>
              <w:rPr>
                <w:rFonts w:ascii="Arial" w:hAnsi="Arial"/>
                <w:noProof/>
                <w:sz w:val="24"/>
              </w:rPr>
              <w:t>Nej</w:t>
            </w:r>
          </w:p>
        </w:tc>
        <w:tc>
          <w:tcPr>
            <w:tcW w:w="560" w:type="pct"/>
            <w:shd w:val="clear" w:color="auto" w:fill="E2EFD9" w:themeFill="accent6" w:themeFillTint="33"/>
          </w:tcPr>
          <w:p w14:paraId="38AE41FA" w14:textId="5695324B" w:rsidR="001168CE" w:rsidRPr="00D56964" w:rsidRDefault="001168CE" w:rsidP="001168CE">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1025E3C6" w14:textId="76C70976"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189FCF24" w14:textId="6C625C25" w:rsidR="001168CE" w:rsidRPr="00D56964" w:rsidRDefault="001168CE" w:rsidP="001168CE">
            <w:pPr>
              <w:pStyle w:val="Table"/>
              <w:rPr>
                <w:rFonts w:ascii="Arial" w:hAnsi="Arial"/>
                <w:noProof/>
                <w:sz w:val="24"/>
              </w:rPr>
            </w:pPr>
            <w:r>
              <w:rPr>
                <w:rFonts w:ascii="Arial" w:hAnsi="Arial"/>
                <w:noProof/>
                <w:sz w:val="24"/>
              </w:rPr>
              <w:t>Ja</w:t>
            </w:r>
          </w:p>
        </w:tc>
      </w:tr>
      <w:bookmarkEnd w:id="106"/>
      <w:tr w:rsidR="00346220" w:rsidRPr="00D56964" w14:paraId="76153A3B" w14:textId="77777777" w:rsidTr="00346220">
        <w:trPr>
          <w:trHeight w:val="154"/>
        </w:trPr>
        <w:tc>
          <w:tcPr>
            <w:tcW w:w="866" w:type="pct"/>
          </w:tcPr>
          <w:p w14:paraId="63888D22" w14:textId="627291F0" w:rsidR="001168CE" w:rsidRPr="00D56964" w:rsidRDefault="001168CE" w:rsidP="001168CE">
            <w:pPr>
              <w:pStyle w:val="Table"/>
              <w:rPr>
                <w:rFonts w:ascii="Arial" w:hAnsi="Arial"/>
                <w:noProof/>
                <w:sz w:val="24"/>
              </w:rPr>
            </w:pPr>
            <w:r>
              <w:rPr>
                <w:rFonts w:ascii="Arial" w:hAnsi="Arial"/>
                <w:noProof/>
                <w:sz w:val="24"/>
              </w:rPr>
              <w:t>Finland</w:t>
            </w:r>
          </w:p>
        </w:tc>
        <w:tc>
          <w:tcPr>
            <w:tcW w:w="464" w:type="pct"/>
            <w:shd w:val="clear" w:color="auto" w:fill="E2EFD9" w:themeFill="accent6" w:themeFillTint="33"/>
          </w:tcPr>
          <w:p w14:paraId="089B47F7" w14:textId="0B70F4DD" w:rsidR="001168CE" w:rsidRPr="00D56964" w:rsidRDefault="001168CE" w:rsidP="001168CE">
            <w:pPr>
              <w:pStyle w:val="Table"/>
              <w:rPr>
                <w:rFonts w:ascii="Arial" w:hAnsi="Arial"/>
                <w:noProof/>
                <w:sz w:val="24"/>
              </w:rPr>
            </w:pPr>
            <w:r>
              <w:rPr>
                <w:rFonts w:ascii="Arial" w:hAnsi="Arial"/>
                <w:noProof/>
                <w:sz w:val="24"/>
              </w:rPr>
              <w:t>Ja</w:t>
            </w:r>
          </w:p>
        </w:tc>
        <w:tc>
          <w:tcPr>
            <w:tcW w:w="487" w:type="pct"/>
            <w:shd w:val="clear" w:color="auto" w:fill="E2EFD9" w:themeFill="accent6" w:themeFillTint="33"/>
          </w:tcPr>
          <w:p w14:paraId="482496D0" w14:textId="1FC6143F" w:rsidR="001168CE" w:rsidRPr="00D56964" w:rsidRDefault="001168CE" w:rsidP="001168CE">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3EBA795D" w14:textId="614C96B1" w:rsidR="001168CE" w:rsidRPr="00D56964" w:rsidRDefault="001168CE" w:rsidP="001168CE">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12CEA96C" w14:textId="68BA6643" w:rsidR="001168CE" w:rsidRPr="00D56964" w:rsidRDefault="001168CE" w:rsidP="001168CE">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1D465666" w14:textId="4BB08BB1" w:rsidR="001168CE" w:rsidRPr="00D56964" w:rsidRDefault="001168CE" w:rsidP="001168CE">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2E6D4971" w14:textId="48B706F1" w:rsidR="001168CE" w:rsidRPr="00D56964" w:rsidRDefault="001168CE" w:rsidP="001168CE">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31A74B58" w14:textId="7160C29E" w:rsidR="001168CE" w:rsidRPr="00D56964" w:rsidRDefault="001168CE" w:rsidP="001168CE">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7A0239E5" w14:textId="2F0648A2"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4273F89B" w14:textId="3FBCF405"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0F2F6156" w14:textId="77777777" w:rsidTr="00346220">
        <w:trPr>
          <w:trHeight w:val="154"/>
        </w:trPr>
        <w:tc>
          <w:tcPr>
            <w:tcW w:w="866" w:type="pct"/>
          </w:tcPr>
          <w:p w14:paraId="2767E72A" w14:textId="17E72207" w:rsidR="001168CE" w:rsidRPr="00D56964" w:rsidRDefault="001168CE" w:rsidP="001168CE">
            <w:pPr>
              <w:pStyle w:val="Table"/>
              <w:rPr>
                <w:rFonts w:ascii="Arial" w:hAnsi="Arial"/>
                <w:noProof/>
                <w:sz w:val="24"/>
              </w:rPr>
            </w:pPr>
            <w:r>
              <w:rPr>
                <w:rFonts w:ascii="Arial" w:hAnsi="Arial"/>
                <w:noProof/>
                <w:sz w:val="24"/>
              </w:rPr>
              <w:t>Frankrig</w:t>
            </w:r>
          </w:p>
        </w:tc>
        <w:tc>
          <w:tcPr>
            <w:tcW w:w="464" w:type="pct"/>
            <w:shd w:val="clear" w:color="auto" w:fill="FFF2CC" w:themeFill="accent4" w:themeFillTint="33"/>
          </w:tcPr>
          <w:p w14:paraId="581C084E" w14:textId="1B5150F4" w:rsidR="001168CE" w:rsidRPr="00D56964" w:rsidRDefault="001168CE" w:rsidP="001168CE">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46776E34" w14:textId="792D1B17" w:rsidR="001168CE" w:rsidRPr="00D56964" w:rsidRDefault="001168CE" w:rsidP="001168CE">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6ECBA0DF" w14:textId="09385FA2" w:rsidR="001168CE" w:rsidRPr="00D56964" w:rsidRDefault="001168CE" w:rsidP="001168CE">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14E77F01" w14:textId="3829BC1B" w:rsidR="001168CE" w:rsidRPr="00D56964" w:rsidRDefault="001168CE" w:rsidP="001168CE">
            <w:pPr>
              <w:pStyle w:val="Table"/>
              <w:rPr>
                <w:rFonts w:ascii="Arial" w:hAnsi="Arial"/>
                <w:noProof/>
                <w:sz w:val="24"/>
              </w:rPr>
            </w:pPr>
            <w:r>
              <w:rPr>
                <w:rFonts w:ascii="Arial" w:hAnsi="Arial"/>
                <w:noProof/>
                <w:sz w:val="24"/>
              </w:rPr>
              <w:t>Ja</w:t>
            </w:r>
          </w:p>
        </w:tc>
        <w:tc>
          <w:tcPr>
            <w:tcW w:w="591" w:type="pct"/>
            <w:shd w:val="clear" w:color="auto" w:fill="FFF2CC" w:themeFill="accent4" w:themeFillTint="33"/>
          </w:tcPr>
          <w:p w14:paraId="100003BC" w14:textId="76610847" w:rsidR="001168CE" w:rsidRPr="00D56964" w:rsidRDefault="001168CE" w:rsidP="001168CE">
            <w:pPr>
              <w:pStyle w:val="Table"/>
              <w:rPr>
                <w:rFonts w:ascii="Arial" w:hAnsi="Arial"/>
                <w:noProof/>
                <w:sz w:val="24"/>
              </w:rPr>
            </w:pPr>
            <w:r>
              <w:rPr>
                <w:rFonts w:ascii="Arial" w:hAnsi="Arial"/>
                <w:noProof/>
                <w:sz w:val="24"/>
              </w:rPr>
              <w:t>Nej</w:t>
            </w:r>
          </w:p>
        </w:tc>
        <w:tc>
          <w:tcPr>
            <w:tcW w:w="417" w:type="pct"/>
            <w:shd w:val="clear" w:color="auto" w:fill="E2EFD9" w:themeFill="accent6" w:themeFillTint="33"/>
          </w:tcPr>
          <w:p w14:paraId="6B9C09E1" w14:textId="0D036B23" w:rsidR="001168CE" w:rsidRPr="00D56964" w:rsidRDefault="001168CE" w:rsidP="001168CE">
            <w:pPr>
              <w:pStyle w:val="Table"/>
              <w:rPr>
                <w:rFonts w:ascii="Arial" w:hAnsi="Arial"/>
                <w:noProof/>
                <w:sz w:val="24"/>
              </w:rPr>
            </w:pPr>
            <w:r>
              <w:rPr>
                <w:rFonts w:ascii="Arial" w:hAnsi="Arial"/>
                <w:noProof/>
                <w:sz w:val="24"/>
              </w:rPr>
              <w:t>Ja</w:t>
            </w:r>
          </w:p>
        </w:tc>
        <w:tc>
          <w:tcPr>
            <w:tcW w:w="560" w:type="pct"/>
            <w:shd w:val="clear" w:color="auto" w:fill="FFF2CC" w:themeFill="accent4" w:themeFillTint="33"/>
          </w:tcPr>
          <w:p w14:paraId="5C33DA9F" w14:textId="01912D48" w:rsidR="001168CE" w:rsidRPr="00D56964" w:rsidRDefault="001168CE" w:rsidP="001168CE">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4C56F687" w14:textId="19DA1D6A"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3F3C810B" w14:textId="2D7B6BC2"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4F388F78" w14:textId="77777777" w:rsidTr="00346220">
        <w:trPr>
          <w:trHeight w:val="154"/>
        </w:trPr>
        <w:tc>
          <w:tcPr>
            <w:tcW w:w="866" w:type="pct"/>
          </w:tcPr>
          <w:p w14:paraId="27B5C7A8" w14:textId="401AF514" w:rsidR="001168CE" w:rsidRPr="00D56964" w:rsidRDefault="001168CE" w:rsidP="001168CE">
            <w:pPr>
              <w:pStyle w:val="Table"/>
              <w:rPr>
                <w:rFonts w:ascii="Arial" w:hAnsi="Arial"/>
                <w:noProof/>
                <w:sz w:val="24"/>
              </w:rPr>
            </w:pPr>
            <w:r>
              <w:rPr>
                <w:rFonts w:ascii="Arial" w:hAnsi="Arial"/>
                <w:noProof/>
                <w:sz w:val="24"/>
              </w:rPr>
              <w:t>Kroatien</w:t>
            </w:r>
          </w:p>
        </w:tc>
        <w:tc>
          <w:tcPr>
            <w:tcW w:w="464" w:type="pct"/>
            <w:shd w:val="clear" w:color="auto" w:fill="E2EFD9" w:themeFill="accent6" w:themeFillTint="33"/>
          </w:tcPr>
          <w:p w14:paraId="03B94057" w14:textId="58C0B0F0" w:rsidR="001168CE" w:rsidRPr="00D56964" w:rsidRDefault="001168CE" w:rsidP="001168CE">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74E607F1" w14:textId="6C81EA3C" w:rsidR="001168CE" w:rsidRPr="00D56964" w:rsidRDefault="001168CE" w:rsidP="001168CE">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37CBAD8D" w14:textId="7BB97ED5" w:rsidR="001168CE" w:rsidRPr="00D56964" w:rsidRDefault="001168CE" w:rsidP="001168CE">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1BCDBD96" w14:textId="3E0072E0" w:rsidR="001168CE" w:rsidRPr="00D56964" w:rsidRDefault="001168CE" w:rsidP="001168CE">
            <w:pPr>
              <w:pStyle w:val="Table"/>
              <w:rPr>
                <w:rFonts w:ascii="Arial" w:hAnsi="Arial"/>
                <w:noProof/>
                <w:sz w:val="24"/>
              </w:rPr>
            </w:pPr>
            <w:r>
              <w:rPr>
                <w:rFonts w:ascii="Arial" w:hAnsi="Arial"/>
                <w:noProof/>
                <w:sz w:val="24"/>
              </w:rPr>
              <w:t>Ja</w:t>
            </w:r>
          </w:p>
        </w:tc>
        <w:tc>
          <w:tcPr>
            <w:tcW w:w="591" w:type="pct"/>
            <w:shd w:val="clear" w:color="auto" w:fill="E2EFD9" w:themeFill="accent6" w:themeFillTint="33"/>
          </w:tcPr>
          <w:p w14:paraId="3EEEE248" w14:textId="70518566" w:rsidR="001168CE" w:rsidRPr="00D56964" w:rsidRDefault="001168CE" w:rsidP="001168CE">
            <w:pPr>
              <w:pStyle w:val="Table"/>
              <w:rPr>
                <w:rFonts w:ascii="Arial" w:hAnsi="Arial"/>
                <w:noProof/>
                <w:sz w:val="24"/>
              </w:rPr>
            </w:pPr>
            <w:r>
              <w:rPr>
                <w:rFonts w:ascii="Arial" w:hAnsi="Arial"/>
                <w:noProof/>
                <w:sz w:val="24"/>
              </w:rPr>
              <w:t>Ja</w:t>
            </w:r>
          </w:p>
        </w:tc>
        <w:tc>
          <w:tcPr>
            <w:tcW w:w="417" w:type="pct"/>
            <w:shd w:val="clear" w:color="auto" w:fill="FFF2CC" w:themeFill="accent4" w:themeFillTint="33"/>
          </w:tcPr>
          <w:p w14:paraId="6D6BC63C" w14:textId="67F98C50" w:rsidR="001168CE" w:rsidRPr="00D56964" w:rsidRDefault="001168CE" w:rsidP="001168CE">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5AA0E315" w14:textId="7A0CCE01" w:rsidR="001168CE" w:rsidRPr="00D56964" w:rsidRDefault="001168CE" w:rsidP="001168CE">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69347D0F" w14:textId="3F579F51"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1DAE9FE3" w14:textId="33DF90C9"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0CBA1BB1" w14:textId="77777777" w:rsidTr="00346220">
        <w:trPr>
          <w:trHeight w:val="154"/>
        </w:trPr>
        <w:tc>
          <w:tcPr>
            <w:tcW w:w="866" w:type="pct"/>
          </w:tcPr>
          <w:p w14:paraId="47E4DDCA" w14:textId="79F1DD7E" w:rsidR="001168CE" w:rsidRPr="00D56964" w:rsidRDefault="001168CE" w:rsidP="001168CE">
            <w:pPr>
              <w:pStyle w:val="Table"/>
              <w:rPr>
                <w:rFonts w:ascii="Arial" w:hAnsi="Arial"/>
                <w:noProof/>
                <w:sz w:val="24"/>
              </w:rPr>
            </w:pPr>
            <w:r>
              <w:rPr>
                <w:rFonts w:ascii="Arial" w:hAnsi="Arial"/>
                <w:noProof/>
                <w:sz w:val="24"/>
              </w:rPr>
              <w:t>Ungarn</w:t>
            </w:r>
          </w:p>
        </w:tc>
        <w:tc>
          <w:tcPr>
            <w:tcW w:w="464" w:type="pct"/>
            <w:shd w:val="clear" w:color="auto" w:fill="E2EFD9" w:themeFill="accent6" w:themeFillTint="33"/>
          </w:tcPr>
          <w:p w14:paraId="321D5724" w14:textId="139164AA" w:rsidR="001168CE" w:rsidRPr="00D56964" w:rsidRDefault="001168CE" w:rsidP="001168CE">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2AA4C1DE" w14:textId="5B7AA663" w:rsidR="001168CE" w:rsidRPr="00D56964" w:rsidRDefault="001168CE" w:rsidP="001168CE">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0DAE278F" w14:textId="4E7E066C" w:rsidR="001168CE" w:rsidRPr="00D56964" w:rsidRDefault="001168CE" w:rsidP="001168CE">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6D305E7B" w14:textId="6C85E0B7" w:rsidR="001168CE" w:rsidRPr="00D56964" w:rsidRDefault="001168CE" w:rsidP="001168CE">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73A58419" w14:textId="20C070E9" w:rsidR="001168CE" w:rsidRPr="00D56964" w:rsidRDefault="001168CE" w:rsidP="001168CE">
            <w:pPr>
              <w:pStyle w:val="Table"/>
              <w:rPr>
                <w:rFonts w:ascii="Arial" w:hAnsi="Arial"/>
                <w:noProof/>
                <w:sz w:val="24"/>
              </w:rPr>
            </w:pPr>
            <w:r>
              <w:rPr>
                <w:rFonts w:ascii="Arial" w:hAnsi="Arial"/>
                <w:noProof/>
                <w:sz w:val="24"/>
              </w:rPr>
              <w:t>Nej</w:t>
            </w:r>
          </w:p>
        </w:tc>
        <w:tc>
          <w:tcPr>
            <w:tcW w:w="417" w:type="pct"/>
            <w:shd w:val="clear" w:color="auto" w:fill="E2EFD9" w:themeFill="accent6" w:themeFillTint="33"/>
          </w:tcPr>
          <w:p w14:paraId="2FC9B72F" w14:textId="7407DC2C" w:rsidR="001168CE" w:rsidRPr="00D56964" w:rsidRDefault="001168CE" w:rsidP="001168CE">
            <w:pPr>
              <w:pStyle w:val="Table"/>
              <w:rPr>
                <w:rFonts w:ascii="Arial" w:hAnsi="Arial"/>
                <w:noProof/>
                <w:sz w:val="24"/>
              </w:rPr>
            </w:pPr>
            <w:r>
              <w:rPr>
                <w:rFonts w:ascii="Arial" w:hAnsi="Arial"/>
                <w:noProof/>
                <w:sz w:val="24"/>
              </w:rPr>
              <w:t>Ja</w:t>
            </w:r>
          </w:p>
        </w:tc>
        <w:tc>
          <w:tcPr>
            <w:tcW w:w="560" w:type="pct"/>
            <w:shd w:val="clear" w:color="auto" w:fill="E2EFD9" w:themeFill="accent6" w:themeFillTint="33"/>
          </w:tcPr>
          <w:p w14:paraId="6885428A" w14:textId="62351B65" w:rsidR="001168CE" w:rsidRPr="00D56964" w:rsidRDefault="001168CE" w:rsidP="001168CE">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5B569860" w14:textId="12C4E187"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24207876" w14:textId="507B8F36"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12A0A442" w14:textId="77777777" w:rsidTr="00346220">
        <w:trPr>
          <w:trHeight w:val="154"/>
        </w:trPr>
        <w:tc>
          <w:tcPr>
            <w:tcW w:w="866" w:type="pct"/>
          </w:tcPr>
          <w:p w14:paraId="5AC4FA17" w14:textId="3AD015D8" w:rsidR="001168CE" w:rsidRPr="00D56964" w:rsidRDefault="001168CE" w:rsidP="001168CE">
            <w:pPr>
              <w:pStyle w:val="Table"/>
              <w:rPr>
                <w:rFonts w:ascii="Arial" w:hAnsi="Arial"/>
                <w:noProof/>
                <w:sz w:val="24"/>
              </w:rPr>
            </w:pPr>
            <w:r>
              <w:rPr>
                <w:rFonts w:ascii="Arial" w:hAnsi="Arial"/>
                <w:noProof/>
                <w:sz w:val="24"/>
              </w:rPr>
              <w:t>Irland</w:t>
            </w:r>
          </w:p>
        </w:tc>
        <w:tc>
          <w:tcPr>
            <w:tcW w:w="464" w:type="pct"/>
            <w:shd w:val="clear" w:color="auto" w:fill="E2EFD9" w:themeFill="accent6" w:themeFillTint="33"/>
          </w:tcPr>
          <w:p w14:paraId="51BB2550" w14:textId="2769B5F0" w:rsidR="001168CE" w:rsidRPr="00D56964" w:rsidRDefault="001168CE" w:rsidP="001168CE">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1393498E" w14:textId="6B6535B6" w:rsidR="001168CE" w:rsidRPr="00D56964" w:rsidRDefault="001168CE" w:rsidP="001168CE">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147977BF" w14:textId="3F2E4DB8" w:rsidR="001168CE" w:rsidRPr="00D56964" w:rsidRDefault="001168CE" w:rsidP="001168CE">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12F3A5D8" w14:textId="03A5C0CA" w:rsidR="001168CE" w:rsidRPr="00D56964" w:rsidRDefault="001168CE" w:rsidP="001168CE">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282DFF93" w14:textId="58FEA4C1" w:rsidR="001168CE" w:rsidRPr="00D56964" w:rsidRDefault="001168CE" w:rsidP="001168CE">
            <w:pPr>
              <w:pStyle w:val="Table"/>
              <w:rPr>
                <w:rFonts w:ascii="Arial" w:hAnsi="Arial"/>
                <w:noProof/>
                <w:sz w:val="24"/>
              </w:rPr>
            </w:pPr>
            <w:r>
              <w:rPr>
                <w:rFonts w:ascii="Arial" w:hAnsi="Arial"/>
                <w:noProof/>
                <w:sz w:val="24"/>
              </w:rPr>
              <w:t>Nej</w:t>
            </w:r>
          </w:p>
        </w:tc>
        <w:tc>
          <w:tcPr>
            <w:tcW w:w="417" w:type="pct"/>
            <w:shd w:val="clear" w:color="auto" w:fill="E2EFD9" w:themeFill="accent6" w:themeFillTint="33"/>
          </w:tcPr>
          <w:p w14:paraId="07B27569" w14:textId="36E0B2EF" w:rsidR="001168CE" w:rsidRPr="00D56964" w:rsidRDefault="001168CE" w:rsidP="001168CE">
            <w:pPr>
              <w:pStyle w:val="Table"/>
              <w:rPr>
                <w:rFonts w:ascii="Arial" w:hAnsi="Arial"/>
                <w:noProof/>
                <w:sz w:val="24"/>
              </w:rPr>
            </w:pPr>
            <w:r>
              <w:rPr>
                <w:rFonts w:ascii="Arial" w:hAnsi="Arial"/>
                <w:noProof/>
                <w:sz w:val="24"/>
              </w:rPr>
              <w:t>Ja</w:t>
            </w:r>
          </w:p>
        </w:tc>
        <w:tc>
          <w:tcPr>
            <w:tcW w:w="560" w:type="pct"/>
            <w:shd w:val="clear" w:color="auto" w:fill="E2EFD9" w:themeFill="accent6" w:themeFillTint="33"/>
          </w:tcPr>
          <w:p w14:paraId="644EE9CD" w14:textId="7E613E5B" w:rsidR="001168CE" w:rsidRPr="00D56964" w:rsidRDefault="001168CE" w:rsidP="001168CE">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426C4134" w14:textId="2DFC0DC3"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4E0E38AA" w14:textId="19DFF7CD"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52DF6AC7" w14:textId="77777777" w:rsidTr="00346220">
        <w:trPr>
          <w:trHeight w:val="154"/>
        </w:trPr>
        <w:tc>
          <w:tcPr>
            <w:tcW w:w="866" w:type="pct"/>
          </w:tcPr>
          <w:p w14:paraId="37CA2AEE" w14:textId="4619EEA0" w:rsidR="001168CE" w:rsidRPr="00D56964" w:rsidRDefault="001168CE" w:rsidP="001168CE">
            <w:pPr>
              <w:pStyle w:val="Table"/>
              <w:rPr>
                <w:rFonts w:ascii="Arial" w:hAnsi="Arial"/>
                <w:noProof/>
                <w:sz w:val="24"/>
              </w:rPr>
            </w:pPr>
            <w:r>
              <w:rPr>
                <w:rFonts w:ascii="Arial" w:hAnsi="Arial"/>
                <w:noProof/>
                <w:sz w:val="24"/>
              </w:rPr>
              <w:t>Italien</w:t>
            </w:r>
          </w:p>
        </w:tc>
        <w:tc>
          <w:tcPr>
            <w:tcW w:w="464" w:type="pct"/>
            <w:shd w:val="clear" w:color="auto" w:fill="FFF2CC" w:themeFill="accent4" w:themeFillTint="33"/>
          </w:tcPr>
          <w:p w14:paraId="61DDB3B7" w14:textId="67CF951D" w:rsidR="001168CE" w:rsidRPr="00D56964" w:rsidRDefault="001168CE" w:rsidP="001168CE">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114469B8" w14:textId="6CB1F0CF" w:rsidR="001168CE" w:rsidRPr="00D56964" w:rsidRDefault="001168CE" w:rsidP="001168CE">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08988373" w14:textId="4927DD4E" w:rsidR="001168CE" w:rsidRPr="00D56964" w:rsidRDefault="001168CE" w:rsidP="001168CE">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5DF790D1" w14:textId="59036194" w:rsidR="001168CE" w:rsidRPr="00D56964" w:rsidRDefault="001168CE" w:rsidP="001168CE">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7D7B8B0C" w14:textId="6B53FE2B" w:rsidR="001168CE" w:rsidRPr="00D56964" w:rsidRDefault="001168CE" w:rsidP="001168CE">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0792457F" w14:textId="1A840D8B" w:rsidR="001168CE" w:rsidRPr="00D56964" w:rsidRDefault="001168CE" w:rsidP="001168CE">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1180CF9D" w14:textId="75BC5F14" w:rsidR="001168CE" w:rsidRPr="00D56964" w:rsidRDefault="001168CE" w:rsidP="001168CE">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15A96F89" w14:textId="1DDD93F3"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2028A8C6" w14:textId="7E0AB80C"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413D88A9" w14:textId="77777777" w:rsidTr="00346220">
        <w:trPr>
          <w:trHeight w:val="154"/>
        </w:trPr>
        <w:tc>
          <w:tcPr>
            <w:tcW w:w="866" w:type="pct"/>
          </w:tcPr>
          <w:p w14:paraId="60102CA2" w14:textId="51BA9F6F" w:rsidR="00C93552" w:rsidRPr="00D56964" w:rsidRDefault="00C93552" w:rsidP="00C93552">
            <w:pPr>
              <w:pStyle w:val="Table"/>
              <w:rPr>
                <w:rFonts w:ascii="Arial" w:hAnsi="Arial"/>
                <w:noProof/>
                <w:sz w:val="24"/>
              </w:rPr>
            </w:pPr>
            <w:r>
              <w:rPr>
                <w:rFonts w:ascii="Arial" w:hAnsi="Arial"/>
                <w:noProof/>
                <w:sz w:val="24"/>
              </w:rPr>
              <w:t>Litauen</w:t>
            </w:r>
          </w:p>
        </w:tc>
        <w:tc>
          <w:tcPr>
            <w:tcW w:w="464" w:type="pct"/>
            <w:shd w:val="clear" w:color="auto" w:fill="E2EFD9" w:themeFill="accent6" w:themeFillTint="33"/>
          </w:tcPr>
          <w:p w14:paraId="678D229C" w14:textId="47D0F3B8"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E2EFD9" w:themeFill="accent6" w:themeFillTint="33"/>
          </w:tcPr>
          <w:p w14:paraId="2C7599C2" w14:textId="6E7079EE" w:rsidR="00C93552" w:rsidRPr="00D56964" w:rsidRDefault="00C93552" w:rsidP="00C93552">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36986E36" w14:textId="3A835C37"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10C8D314" w14:textId="20C53E31" w:rsidR="00C93552" w:rsidRPr="00D56964" w:rsidRDefault="00C93552" w:rsidP="00C93552">
            <w:pPr>
              <w:pStyle w:val="Table"/>
              <w:rPr>
                <w:rFonts w:ascii="Arial" w:hAnsi="Arial"/>
                <w:noProof/>
                <w:sz w:val="24"/>
              </w:rPr>
            </w:pPr>
            <w:r>
              <w:rPr>
                <w:rFonts w:ascii="Arial" w:hAnsi="Arial"/>
                <w:noProof/>
                <w:sz w:val="24"/>
              </w:rPr>
              <w:t>Ja</w:t>
            </w:r>
          </w:p>
        </w:tc>
        <w:tc>
          <w:tcPr>
            <w:tcW w:w="591" w:type="pct"/>
            <w:shd w:val="clear" w:color="auto" w:fill="E2EFD9" w:themeFill="accent6" w:themeFillTint="33"/>
          </w:tcPr>
          <w:p w14:paraId="0356685B" w14:textId="082C10E1" w:rsidR="00C93552" w:rsidRPr="00D56964" w:rsidRDefault="00C93552" w:rsidP="00C93552">
            <w:pPr>
              <w:pStyle w:val="Table"/>
              <w:rPr>
                <w:rFonts w:ascii="Arial" w:hAnsi="Arial"/>
                <w:noProof/>
                <w:sz w:val="24"/>
              </w:rPr>
            </w:pPr>
            <w:r>
              <w:rPr>
                <w:rFonts w:ascii="Arial" w:hAnsi="Arial"/>
                <w:noProof/>
                <w:sz w:val="24"/>
              </w:rPr>
              <w:t>Ja</w:t>
            </w:r>
          </w:p>
        </w:tc>
        <w:tc>
          <w:tcPr>
            <w:tcW w:w="417" w:type="pct"/>
            <w:shd w:val="clear" w:color="auto" w:fill="FFF2CC" w:themeFill="accent4" w:themeFillTint="33"/>
          </w:tcPr>
          <w:p w14:paraId="24EE267B" w14:textId="331CEF6A"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5F46F1BB" w14:textId="36C43E31" w:rsidR="00C93552" w:rsidRPr="00D56964" w:rsidRDefault="00C93552" w:rsidP="00C93552">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3FB483DA" w14:textId="7A6B2302"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0B3311C6" w14:textId="3B3FDED9"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07F8AE1A" w14:textId="77777777" w:rsidTr="00346220">
        <w:trPr>
          <w:trHeight w:val="154"/>
        </w:trPr>
        <w:tc>
          <w:tcPr>
            <w:tcW w:w="866" w:type="pct"/>
          </w:tcPr>
          <w:p w14:paraId="70B089EB" w14:textId="08ACEDBF" w:rsidR="00C93552" w:rsidRPr="00D56964" w:rsidRDefault="00C93552" w:rsidP="00C93552">
            <w:pPr>
              <w:pStyle w:val="Table"/>
              <w:rPr>
                <w:rFonts w:ascii="Arial" w:hAnsi="Arial"/>
                <w:noProof/>
                <w:sz w:val="24"/>
              </w:rPr>
            </w:pPr>
            <w:r>
              <w:rPr>
                <w:rFonts w:ascii="Arial" w:hAnsi="Arial"/>
                <w:noProof/>
                <w:sz w:val="24"/>
              </w:rPr>
              <w:t>Luxembourg</w:t>
            </w:r>
          </w:p>
        </w:tc>
        <w:tc>
          <w:tcPr>
            <w:tcW w:w="464" w:type="pct"/>
            <w:shd w:val="clear" w:color="auto" w:fill="E2EFD9" w:themeFill="accent6" w:themeFillTint="33"/>
          </w:tcPr>
          <w:p w14:paraId="3FA7E3FF" w14:textId="03B556C4"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26E28F92" w14:textId="0635CB2C" w:rsidR="00C93552" w:rsidRPr="00D56964" w:rsidRDefault="00C93552" w:rsidP="00C93552">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5CAA9706" w14:textId="2ACF0256"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1770A9DB" w14:textId="5CC546DD" w:rsidR="00C93552" w:rsidRPr="00D56964" w:rsidRDefault="00C93552" w:rsidP="00C93552">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583106E1" w14:textId="0326AB4D"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6BE1DB26" w14:textId="26843A3B"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E2EFD9" w:themeFill="accent6" w:themeFillTint="33"/>
          </w:tcPr>
          <w:p w14:paraId="52A132D8" w14:textId="2FA629EA" w:rsidR="00C93552" w:rsidRPr="00D56964" w:rsidRDefault="00C93552" w:rsidP="00C93552">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0D2873FF" w14:textId="40553FD2"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3F6A3D9" w14:textId="02643DAE"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7281270B" w14:textId="77777777" w:rsidTr="00346220">
        <w:trPr>
          <w:trHeight w:val="154"/>
        </w:trPr>
        <w:tc>
          <w:tcPr>
            <w:tcW w:w="866" w:type="pct"/>
          </w:tcPr>
          <w:p w14:paraId="6A3BCEFE" w14:textId="54497F4E" w:rsidR="00C93552" w:rsidRPr="00D56964" w:rsidRDefault="00C93552" w:rsidP="00C93552">
            <w:pPr>
              <w:pStyle w:val="Table"/>
              <w:rPr>
                <w:rFonts w:ascii="Arial" w:hAnsi="Arial"/>
                <w:noProof/>
                <w:sz w:val="24"/>
              </w:rPr>
            </w:pPr>
            <w:r>
              <w:rPr>
                <w:rFonts w:ascii="Arial" w:hAnsi="Arial"/>
                <w:noProof/>
                <w:sz w:val="24"/>
              </w:rPr>
              <w:t>Letland</w:t>
            </w:r>
          </w:p>
        </w:tc>
        <w:tc>
          <w:tcPr>
            <w:tcW w:w="464" w:type="pct"/>
            <w:shd w:val="clear" w:color="auto" w:fill="FFF2CC" w:themeFill="accent4" w:themeFillTint="33"/>
          </w:tcPr>
          <w:p w14:paraId="1380E548" w14:textId="487B58CC" w:rsidR="00C93552" w:rsidRPr="00D56964" w:rsidRDefault="00C93552" w:rsidP="00C93552">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52E8AA0F" w14:textId="0D38EC7C" w:rsidR="00C93552" w:rsidRPr="00D56964" w:rsidRDefault="00C93552" w:rsidP="00C93552">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42D0F66A" w14:textId="19A7B17D" w:rsidR="00C93552" w:rsidRPr="00D56964" w:rsidRDefault="00C93552" w:rsidP="00C93552">
            <w:pPr>
              <w:pStyle w:val="Table"/>
              <w:rPr>
                <w:rFonts w:ascii="Arial" w:hAnsi="Arial"/>
                <w:noProof/>
                <w:sz w:val="24"/>
              </w:rPr>
            </w:pPr>
            <w:r>
              <w:rPr>
                <w:rFonts w:ascii="Arial" w:hAnsi="Arial"/>
                <w:noProof/>
                <w:sz w:val="24"/>
              </w:rPr>
              <w:t>Nej</w:t>
            </w:r>
          </w:p>
        </w:tc>
        <w:tc>
          <w:tcPr>
            <w:tcW w:w="385" w:type="pct"/>
            <w:shd w:val="clear" w:color="auto" w:fill="E2EFD9" w:themeFill="accent6" w:themeFillTint="33"/>
          </w:tcPr>
          <w:p w14:paraId="658A08BD" w14:textId="1F71F833" w:rsidR="00C93552" w:rsidRPr="00D56964" w:rsidRDefault="00C93552" w:rsidP="00C93552">
            <w:pPr>
              <w:pStyle w:val="Table"/>
              <w:rPr>
                <w:rFonts w:ascii="Arial" w:hAnsi="Arial"/>
                <w:noProof/>
                <w:sz w:val="24"/>
              </w:rPr>
            </w:pPr>
            <w:r>
              <w:rPr>
                <w:rFonts w:ascii="Arial" w:hAnsi="Arial"/>
                <w:noProof/>
                <w:sz w:val="24"/>
              </w:rPr>
              <w:t>Ja</w:t>
            </w:r>
          </w:p>
        </w:tc>
        <w:tc>
          <w:tcPr>
            <w:tcW w:w="591" w:type="pct"/>
            <w:shd w:val="clear" w:color="auto" w:fill="FFF2CC" w:themeFill="accent4" w:themeFillTint="33"/>
          </w:tcPr>
          <w:p w14:paraId="7B7E1864" w14:textId="2184024B"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2F7ABD73" w14:textId="4832237F"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12C2A7D7" w14:textId="7F285A18" w:rsidR="00C93552" w:rsidRPr="00D56964" w:rsidRDefault="00C93552" w:rsidP="00C93552">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50ADAC62" w14:textId="54A9F5CD"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31BB1E2B" w14:textId="2F054015"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1819B6C7" w14:textId="77777777" w:rsidTr="00346220">
        <w:trPr>
          <w:trHeight w:val="154"/>
        </w:trPr>
        <w:tc>
          <w:tcPr>
            <w:tcW w:w="866" w:type="pct"/>
          </w:tcPr>
          <w:p w14:paraId="5FC3BF84" w14:textId="6BE06DF5" w:rsidR="00C93552" w:rsidRPr="00D56964" w:rsidRDefault="00C93552" w:rsidP="00C93552">
            <w:pPr>
              <w:pStyle w:val="Table"/>
              <w:rPr>
                <w:rFonts w:ascii="Arial" w:hAnsi="Arial"/>
                <w:noProof/>
                <w:sz w:val="24"/>
              </w:rPr>
            </w:pPr>
            <w:r>
              <w:rPr>
                <w:rFonts w:ascii="Arial" w:hAnsi="Arial"/>
                <w:noProof/>
                <w:sz w:val="24"/>
              </w:rPr>
              <w:t>Malta</w:t>
            </w:r>
          </w:p>
        </w:tc>
        <w:tc>
          <w:tcPr>
            <w:tcW w:w="464" w:type="pct"/>
            <w:shd w:val="clear" w:color="auto" w:fill="E2EFD9" w:themeFill="accent6" w:themeFillTint="33"/>
          </w:tcPr>
          <w:p w14:paraId="739701CB" w14:textId="58C08BF1"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032CB698" w14:textId="2F638069" w:rsidR="00C93552" w:rsidRPr="00D56964" w:rsidRDefault="00C93552" w:rsidP="00C93552">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6565A3C8" w14:textId="4B392D8D"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07492334" w14:textId="5C64A8DC" w:rsidR="00C93552" w:rsidRPr="00D56964" w:rsidRDefault="00C93552" w:rsidP="00C93552">
            <w:pPr>
              <w:pStyle w:val="Table"/>
              <w:rPr>
                <w:rFonts w:ascii="Arial" w:hAnsi="Arial"/>
                <w:noProof/>
                <w:sz w:val="24"/>
              </w:rPr>
            </w:pPr>
            <w:r>
              <w:rPr>
                <w:rFonts w:ascii="Arial" w:hAnsi="Arial"/>
                <w:noProof/>
                <w:sz w:val="24"/>
              </w:rPr>
              <w:t>Ja</w:t>
            </w:r>
          </w:p>
        </w:tc>
        <w:tc>
          <w:tcPr>
            <w:tcW w:w="591" w:type="pct"/>
            <w:shd w:val="clear" w:color="auto" w:fill="FFF2CC" w:themeFill="accent4" w:themeFillTint="33"/>
          </w:tcPr>
          <w:p w14:paraId="1BD82975" w14:textId="5D43D6DD"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4EBB1D62" w14:textId="49DAF882"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E2EFD9" w:themeFill="accent6" w:themeFillTint="33"/>
          </w:tcPr>
          <w:p w14:paraId="7B63150F" w14:textId="7DE73CD9" w:rsidR="00C93552" w:rsidRPr="00D56964" w:rsidRDefault="00C93552" w:rsidP="00C93552">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232BE633" w14:textId="1354CAD4"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62AEED8" w14:textId="1205375A"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3E06C38B" w14:textId="77777777" w:rsidTr="00346220">
        <w:trPr>
          <w:trHeight w:val="154"/>
        </w:trPr>
        <w:tc>
          <w:tcPr>
            <w:tcW w:w="866" w:type="pct"/>
          </w:tcPr>
          <w:p w14:paraId="2D85AFC2" w14:textId="43911C5F" w:rsidR="00C93552" w:rsidRPr="00D56964" w:rsidRDefault="000F5E0B" w:rsidP="00C93552">
            <w:pPr>
              <w:pStyle w:val="Table"/>
              <w:rPr>
                <w:rFonts w:ascii="Arial" w:hAnsi="Arial"/>
                <w:noProof/>
                <w:sz w:val="24"/>
              </w:rPr>
            </w:pPr>
            <w:r>
              <w:rPr>
                <w:rFonts w:ascii="Arial" w:hAnsi="Arial"/>
                <w:noProof/>
                <w:sz w:val="24"/>
              </w:rPr>
              <w:t>Nederlandene</w:t>
            </w:r>
          </w:p>
        </w:tc>
        <w:tc>
          <w:tcPr>
            <w:tcW w:w="464" w:type="pct"/>
            <w:shd w:val="clear" w:color="auto" w:fill="E2EFD9" w:themeFill="accent6" w:themeFillTint="33"/>
          </w:tcPr>
          <w:p w14:paraId="7CB4798B" w14:textId="61051629"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E2EFD9" w:themeFill="accent6" w:themeFillTint="33"/>
          </w:tcPr>
          <w:p w14:paraId="32A7C20F" w14:textId="1E9D2054" w:rsidR="00C93552" w:rsidRPr="00D56964" w:rsidRDefault="00C93552" w:rsidP="00C93552">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68CC76F7" w14:textId="2080EC91"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06FCC072" w14:textId="70F810C4" w:rsidR="00C93552" w:rsidRPr="00D56964" w:rsidRDefault="00C93552" w:rsidP="00C93552">
            <w:pPr>
              <w:pStyle w:val="Table"/>
              <w:rPr>
                <w:rFonts w:ascii="Arial" w:hAnsi="Arial"/>
                <w:noProof/>
                <w:sz w:val="24"/>
              </w:rPr>
            </w:pPr>
            <w:r>
              <w:rPr>
                <w:rFonts w:ascii="Arial" w:hAnsi="Arial"/>
                <w:noProof/>
                <w:sz w:val="24"/>
              </w:rPr>
              <w:t>Nej</w:t>
            </w:r>
          </w:p>
        </w:tc>
        <w:tc>
          <w:tcPr>
            <w:tcW w:w="591" w:type="pct"/>
            <w:shd w:val="clear" w:color="auto" w:fill="E2EFD9" w:themeFill="accent6" w:themeFillTint="33"/>
          </w:tcPr>
          <w:p w14:paraId="296F794E" w14:textId="5ACB26ED" w:rsidR="00C93552" w:rsidRPr="00D56964" w:rsidRDefault="00C93552" w:rsidP="00C93552">
            <w:pPr>
              <w:pStyle w:val="Table"/>
              <w:rPr>
                <w:rFonts w:ascii="Arial" w:hAnsi="Arial"/>
                <w:noProof/>
                <w:sz w:val="24"/>
              </w:rPr>
            </w:pPr>
            <w:r>
              <w:rPr>
                <w:rFonts w:ascii="Arial" w:hAnsi="Arial"/>
                <w:noProof/>
                <w:sz w:val="24"/>
              </w:rPr>
              <w:t>Ja</w:t>
            </w:r>
          </w:p>
        </w:tc>
        <w:tc>
          <w:tcPr>
            <w:tcW w:w="417" w:type="pct"/>
            <w:shd w:val="clear" w:color="auto" w:fill="E2EFD9" w:themeFill="accent6" w:themeFillTint="33"/>
          </w:tcPr>
          <w:p w14:paraId="348D7F67" w14:textId="47956E11" w:rsidR="00C93552" w:rsidRPr="00D56964" w:rsidRDefault="00C93552" w:rsidP="00C93552">
            <w:pPr>
              <w:pStyle w:val="Table"/>
              <w:rPr>
                <w:rFonts w:ascii="Arial" w:hAnsi="Arial"/>
                <w:noProof/>
                <w:sz w:val="24"/>
              </w:rPr>
            </w:pPr>
            <w:r>
              <w:rPr>
                <w:rFonts w:ascii="Arial" w:hAnsi="Arial"/>
                <w:noProof/>
                <w:sz w:val="24"/>
              </w:rPr>
              <w:t>Ja</w:t>
            </w:r>
          </w:p>
        </w:tc>
        <w:tc>
          <w:tcPr>
            <w:tcW w:w="560" w:type="pct"/>
            <w:shd w:val="clear" w:color="auto" w:fill="FFF2CC" w:themeFill="accent4" w:themeFillTint="33"/>
          </w:tcPr>
          <w:p w14:paraId="335D52A2" w14:textId="09D93E69" w:rsidR="00C93552" w:rsidRPr="00D56964" w:rsidRDefault="00C93552" w:rsidP="00C93552">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1E37DDE1" w14:textId="52278D8E"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047D016" w14:textId="6EC956AE"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7E35379F" w14:textId="77777777" w:rsidTr="00346220">
        <w:trPr>
          <w:trHeight w:val="154"/>
        </w:trPr>
        <w:tc>
          <w:tcPr>
            <w:tcW w:w="866" w:type="pct"/>
          </w:tcPr>
          <w:p w14:paraId="24888663" w14:textId="5FE4CF58" w:rsidR="00C93552" w:rsidRPr="00D56964" w:rsidRDefault="00C93552" w:rsidP="00C93552">
            <w:pPr>
              <w:pStyle w:val="Table"/>
              <w:rPr>
                <w:rFonts w:ascii="Arial" w:hAnsi="Arial"/>
                <w:noProof/>
                <w:sz w:val="24"/>
              </w:rPr>
            </w:pPr>
            <w:r>
              <w:rPr>
                <w:rFonts w:ascii="Arial" w:hAnsi="Arial"/>
                <w:noProof/>
                <w:sz w:val="24"/>
              </w:rPr>
              <w:t>Polen</w:t>
            </w:r>
          </w:p>
        </w:tc>
        <w:tc>
          <w:tcPr>
            <w:tcW w:w="464" w:type="pct"/>
            <w:shd w:val="clear" w:color="auto" w:fill="E2EFD9" w:themeFill="accent6" w:themeFillTint="33"/>
          </w:tcPr>
          <w:p w14:paraId="2498441B" w14:textId="0EC76BDD"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007985DF" w14:textId="0F8F4C50" w:rsidR="00C93552" w:rsidRPr="00D56964" w:rsidRDefault="00C93552" w:rsidP="00C93552">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5111691E" w14:textId="71475BEE"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23FA8B14" w14:textId="558188AA" w:rsidR="00C93552" w:rsidRPr="00D56964" w:rsidRDefault="00C93552" w:rsidP="00C93552">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5DB641C6" w14:textId="6501E84E"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34063C05" w14:textId="6685D6EA"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6E3965A7" w14:textId="12C00359" w:rsidR="00C93552" w:rsidRPr="00D56964" w:rsidRDefault="00C93552" w:rsidP="00C93552">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2AFDAFB4" w14:textId="3A3F9554"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14A65EE" w14:textId="11EDC158"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6B4F1DA0" w14:textId="77777777" w:rsidTr="00346220">
        <w:trPr>
          <w:trHeight w:val="154"/>
        </w:trPr>
        <w:tc>
          <w:tcPr>
            <w:tcW w:w="866" w:type="pct"/>
          </w:tcPr>
          <w:p w14:paraId="5AA3B8A2" w14:textId="296FCE72" w:rsidR="00C93552" w:rsidRPr="00D56964" w:rsidRDefault="00C93552" w:rsidP="00C93552">
            <w:pPr>
              <w:pStyle w:val="Table"/>
              <w:rPr>
                <w:rFonts w:ascii="Arial" w:hAnsi="Arial"/>
                <w:noProof/>
                <w:sz w:val="24"/>
              </w:rPr>
            </w:pPr>
            <w:r>
              <w:rPr>
                <w:rFonts w:ascii="Arial" w:hAnsi="Arial"/>
                <w:noProof/>
                <w:sz w:val="24"/>
              </w:rPr>
              <w:t>Portugal</w:t>
            </w:r>
          </w:p>
        </w:tc>
        <w:tc>
          <w:tcPr>
            <w:tcW w:w="464" w:type="pct"/>
            <w:shd w:val="clear" w:color="auto" w:fill="E2EFD9" w:themeFill="accent6" w:themeFillTint="33"/>
          </w:tcPr>
          <w:p w14:paraId="55EF1204" w14:textId="69351AFC"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4F930443" w14:textId="0B68DA6C" w:rsidR="00C93552" w:rsidRPr="00D56964" w:rsidRDefault="00C93552" w:rsidP="00C93552">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56174BE4" w14:textId="448843FE" w:rsidR="00C93552" w:rsidRPr="00D56964" w:rsidRDefault="00C93552" w:rsidP="00C93552">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56C74397" w14:textId="72077876" w:rsidR="00C93552" w:rsidRPr="00D56964" w:rsidRDefault="00C93552" w:rsidP="00C93552">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3578E8EC" w14:textId="1528E05C"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7A8C833E" w14:textId="4EB0BE14"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E2EFD9" w:themeFill="accent6" w:themeFillTint="33"/>
          </w:tcPr>
          <w:p w14:paraId="7B93D5BC" w14:textId="36BE22F9" w:rsidR="00C93552" w:rsidRPr="00D56964" w:rsidRDefault="00C93552" w:rsidP="00C93552">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717B8302" w14:textId="231635A4"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2A5DCB5B" w14:textId="017FBB8A"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61E5BC20" w14:textId="77777777" w:rsidTr="00346220">
        <w:trPr>
          <w:trHeight w:val="154"/>
        </w:trPr>
        <w:tc>
          <w:tcPr>
            <w:tcW w:w="866" w:type="pct"/>
          </w:tcPr>
          <w:p w14:paraId="55306C79" w14:textId="364901CC" w:rsidR="00C93552" w:rsidRPr="00D56964" w:rsidRDefault="00C93552" w:rsidP="00C93552">
            <w:pPr>
              <w:pStyle w:val="Table"/>
              <w:rPr>
                <w:rFonts w:ascii="Arial" w:hAnsi="Arial"/>
                <w:noProof/>
                <w:sz w:val="24"/>
              </w:rPr>
            </w:pPr>
            <w:r>
              <w:rPr>
                <w:rFonts w:ascii="Arial" w:hAnsi="Arial"/>
                <w:noProof/>
                <w:sz w:val="24"/>
              </w:rPr>
              <w:t>Rumænien</w:t>
            </w:r>
          </w:p>
        </w:tc>
        <w:tc>
          <w:tcPr>
            <w:tcW w:w="464" w:type="pct"/>
            <w:shd w:val="clear" w:color="auto" w:fill="FFF2CC" w:themeFill="accent4" w:themeFillTint="33"/>
          </w:tcPr>
          <w:p w14:paraId="3DBE46C8" w14:textId="4FB25063" w:rsidR="00C93552" w:rsidRPr="00D56964" w:rsidRDefault="00C93552" w:rsidP="00C93552">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47AE44EA" w14:textId="7970060E" w:rsidR="00C93552" w:rsidRPr="00D56964" w:rsidRDefault="00C93552" w:rsidP="00C93552">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0396B22F" w14:textId="339E7FCA" w:rsidR="00C93552" w:rsidRPr="00D56964" w:rsidRDefault="00C93552" w:rsidP="00C93552">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473E5B23" w14:textId="285866E1" w:rsidR="00C93552" w:rsidRPr="00D56964" w:rsidRDefault="00C93552" w:rsidP="00C93552">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3E3B320B" w14:textId="6B1992AC"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7FFBB226" w14:textId="1FD21DDC"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75EE5A0E" w14:textId="057BE4EC" w:rsidR="00C93552" w:rsidRPr="00D56964" w:rsidRDefault="00C93552" w:rsidP="00C93552">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5401CDD6" w14:textId="6AB29A74"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442633B" w14:textId="7E170720"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5FF8B4D2" w14:textId="77777777" w:rsidTr="00346220">
        <w:trPr>
          <w:trHeight w:val="154"/>
        </w:trPr>
        <w:tc>
          <w:tcPr>
            <w:tcW w:w="866" w:type="pct"/>
          </w:tcPr>
          <w:p w14:paraId="456F14D5" w14:textId="19D489B1" w:rsidR="00C93552" w:rsidRPr="00D56964" w:rsidRDefault="00C93552" w:rsidP="00C93552">
            <w:pPr>
              <w:pStyle w:val="Table"/>
              <w:rPr>
                <w:rFonts w:ascii="Arial" w:hAnsi="Arial"/>
                <w:noProof/>
                <w:sz w:val="24"/>
              </w:rPr>
            </w:pPr>
            <w:r>
              <w:rPr>
                <w:rFonts w:ascii="Arial" w:hAnsi="Arial"/>
                <w:noProof/>
                <w:sz w:val="24"/>
              </w:rPr>
              <w:t>Sverige</w:t>
            </w:r>
          </w:p>
        </w:tc>
        <w:tc>
          <w:tcPr>
            <w:tcW w:w="464" w:type="pct"/>
            <w:shd w:val="clear" w:color="auto" w:fill="FFF2CC" w:themeFill="accent4" w:themeFillTint="33"/>
          </w:tcPr>
          <w:p w14:paraId="517EF6DC" w14:textId="7F7FFC3A" w:rsidR="00C93552" w:rsidRPr="00D56964" w:rsidRDefault="00C93552" w:rsidP="00C93552">
            <w:pPr>
              <w:pStyle w:val="Table"/>
              <w:rPr>
                <w:rFonts w:ascii="Arial" w:hAnsi="Arial"/>
                <w:noProof/>
                <w:sz w:val="24"/>
              </w:rPr>
            </w:pPr>
            <w:r>
              <w:rPr>
                <w:rFonts w:ascii="Arial" w:hAnsi="Arial"/>
                <w:noProof/>
                <w:sz w:val="24"/>
              </w:rPr>
              <w:t>Nej</w:t>
            </w:r>
          </w:p>
        </w:tc>
        <w:tc>
          <w:tcPr>
            <w:tcW w:w="487" w:type="pct"/>
            <w:shd w:val="clear" w:color="auto" w:fill="E2EFD9" w:themeFill="accent6" w:themeFillTint="33"/>
          </w:tcPr>
          <w:p w14:paraId="0ED13AB4" w14:textId="04285275" w:rsidR="00C93552" w:rsidRPr="00D56964" w:rsidRDefault="00C93552" w:rsidP="00C93552">
            <w:pPr>
              <w:pStyle w:val="Table"/>
              <w:rPr>
                <w:rFonts w:ascii="Arial" w:hAnsi="Arial"/>
                <w:noProof/>
                <w:sz w:val="24"/>
              </w:rPr>
            </w:pPr>
            <w:r>
              <w:rPr>
                <w:rFonts w:ascii="Arial" w:hAnsi="Arial"/>
                <w:noProof/>
                <w:sz w:val="24"/>
              </w:rPr>
              <w:t>Ja</w:t>
            </w:r>
            <w:r>
              <w:rPr>
                <w:rStyle w:val="FootnoteReference"/>
                <w:noProof/>
              </w:rPr>
              <w:t>(</w:t>
            </w:r>
            <w:r>
              <w:rPr>
                <w:rStyle w:val="FootnoteReference"/>
                <w:noProof/>
              </w:rPr>
              <w:footnoteReference w:id="123"/>
            </w:r>
            <w:r>
              <w:rPr>
                <w:rStyle w:val="FootnoteReference"/>
                <w:noProof/>
              </w:rPr>
              <w:t>))</w:t>
            </w:r>
          </w:p>
        </w:tc>
        <w:tc>
          <w:tcPr>
            <w:tcW w:w="426" w:type="pct"/>
            <w:shd w:val="clear" w:color="auto" w:fill="FFF2CC" w:themeFill="accent4" w:themeFillTint="33"/>
          </w:tcPr>
          <w:p w14:paraId="0BC5CAA2" w14:textId="447D128F" w:rsidR="00C93552" w:rsidRPr="00D56964" w:rsidRDefault="00C93552" w:rsidP="00C93552">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3DFB6804" w14:textId="18247E5E" w:rsidR="00C93552" w:rsidRPr="00D56964" w:rsidRDefault="00C93552" w:rsidP="00C93552">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70D24003" w14:textId="56E3ED77"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4CEE95C5" w14:textId="588704E5"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E2EFD9" w:themeFill="accent6" w:themeFillTint="33"/>
          </w:tcPr>
          <w:p w14:paraId="77F488F2" w14:textId="53EDD9F5" w:rsidR="00C93552" w:rsidRPr="00D56964" w:rsidRDefault="00C93552" w:rsidP="00C93552">
            <w:pPr>
              <w:pStyle w:val="Table"/>
              <w:rPr>
                <w:rFonts w:ascii="Arial" w:hAnsi="Arial"/>
                <w:noProof/>
                <w:sz w:val="24"/>
              </w:rPr>
            </w:pPr>
            <w:r>
              <w:rPr>
                <w:rFonts w:ascii="Arial" w:hAnsi="Arial"/>
                <w:noProof/>
                <w:sz w:val="24"/>
              </w:rPr>
              <w:t>Ja</w:t>
            </w:r>
            <w:r>
              <w:rPr>
                <w:rStyle w:val="FootnoteReference"/>
                <w:noProof/>
              </w:rPr>
              <w:t>(</w:t>
            </w:r>
            <w:r>
              <w:rPr>
                <w:rStyle w:val="FootnoteReference"/>
                <w:noProof/>
              </w:rPr>
              <w:footnoteReference w:id="124"/>
            </w:r>
            <w:r>
              <w:rPr>
                <w:rStyle w:val="FootnoteReference"/>
                <w:noProof/>
              </w:rPr>
              <w:t>))</w:t>
            </w:r>
          </w:p>
        </w:tc>
        <w:tc>
          <w:tcPr>
            <w:tcW w:w="421" w:type="pct"/>
            <w:shd w:val="clear" w:color="auto" w:fill="E2EFD9" w:themeFill="accent6" w:themeFillTint="33"/>
          </w:tcPr>
          <w:p w14:paraId="7B3698B5" w14:textId="5C54B0D6"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788D4E10" w14:textId="799F567B"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26339347" w14:textId="77777777" w:rsidTr="00346220">
        <w:trPr>
          <w:trHeight w:val="154"/>
        </w:trPr>
        <w:tc>
          <w:tcPr>
            <w:tcW w:w="866" w:type="pct"/>
          </w:tcPr>
          <w:p w14:paraId="633DC39D" w14:textId="3621BB80" w:rsidR="00C93552" w:rsidRPr="00D56964" w:rsidRDefault="00C93552" w:rsidP="00C93552">
            <w:pPr>
              <w:pStyle w:val="Table"/>
              <w:rPr>
                <w:rFonts w:ascii="Arial" w:hAnsi="Arial"/>
                <w:noProof/>
                <w:sz w:val="24"/>
              </w:rPr>
            </w:pPr>
            <w:r>
              <w:rPr>
                <w:rFonts w:ascii="Arial" w:hAnsi="Arial"/>
                <w:noProof/>
                <w:sz w:val="24"/>
              </w:rPr>
              <w:t>Slovenien</w:t>
            </w:r>
          </w:p>
        </w:tc>
        <w:tc>
          <w:tcPr>
            <w:tcW w:w="464" w:type="pct"/>
            <w:shd w:val="clear" w:color="auto" w:fill="E2EFD9" w:themeFill="accent6" w:themeFillTint="33"/>
          </w:tcPr>
          <w:p w14:paraId="53864A61" w14:textId="66FCDADF"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61E05E1A" w14:textId="29717D0F" w:rsidR="00C93552" w:rsidRPr="00D56964" w:rsidRDefault="00C93552" w:rsidP="00C93552">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7786F6BD" w14:textId="0D502409"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0FB4B510" w14:textId="40E82280" w:rsidR="00C93552" w:rsidRPr="00D56964" w:rsidRDefault="00C93552" w:rsidP="00C93552">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2292D8CB" w14:textId="69894BF7"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E2EFD9" w:themeFill="accent6" w:themeFillTint="33"/>
          </w:tcPr>
          <w:p w14:paraId="76939D23" w14:textId="0215B3D6" w:rsidR="00C93552" w:rsidRPr="00D56964" w:rsidRDefault="00C93552" w:rsidP="00C93552">
            <w:pPr>
              <w:pStyle w:val="Table"/>
              <w:rPr>
                <w:rFonts w:ascii="Arial" w:hAnsi="Arial"/>
                <w:noProof/>
                <w:sz w:val="24"/>
              </w:rPr>
            </w:pPr>
            <w:r>
              <w:rPr>
                <w:rFonts w:ascii="Arial" w:hAnsi="Arial"/>
                <w:noProof/>
                <w:sz w:val="24"/>
              </w:rPr>
              <w:t>Ja</w:t>
            </w:r>
          </w:p>
        </w:tc>
        <w:tc>
          <w:tcPr>
            <w:tcW w:w="560" w:type="pct"/>
            <w:shd w:val="clear" w:color="auto" w:fill="FFF2CC" w:themeFill="accent4" w:themeFillTint="33"/>
          </w:tcPr>
          <w:p w14:paraId="18004D2A" w14:textId="11A05A0F" w:rsidR="00C93552" w:rsidRPr="00D56964" w:rsidRDefault="00C93552" w:rsidP="00C93552">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5E9D0B10" w14:textId="531DE528"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49BE579A" w14:textId="6F5912FB"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0D57B21B" w14:textId="77777777" w:rsidTr="00346220">
        <w:trPr>
          <w:trHeight w:val="154"/>
        </w:trPr>
        <w:tc>
          <w:tcPr>
            <w:tcW w:w="866" w:type="pct"/>
          </w:tcPr>
          <w:p w14:paraId="23A5C696" w14:textId="76AC8089" w:rsidR="00C93552" w:rsidRPr="00D56964" w:rsidRDefault="00C93552" w:rsidP="00C93552">
            <w:pPr>
              <w:pStyle w:val="Table"/>
              <w:rPr>
                <w:rFonts w:ascii="Arial" w:hAnsi="Arial"/>
                <w:noProof/>
                <w:sz w:val="24"/>
              </w:rPr>
            </w:pPr>
            <w:r>
              <w:rPr>
                <w:rFonts w:ascii="Arial" w:hAnsi="Arial"/>
                <w:noProof/>
                <w:sz w:val="24"/>
              </w:rPr>
              <w:t>Slovakiet</w:t>
            </w:r>
          </w:p>
        </w:tc>
        <w:tc>
          <w:tcPr>
            <w:tcW w:w="464" w:type="pct"/>
            <w:shd w:val="clear" w:color="auto" w:fill="FFF2CC" w:themeFill="accent4" w:themeFillTint="33"/>
          </w:tcPr>
          <w:p w14:paraId="29C04062" w14:textId="079521C1" w:rsidR="00C93552" w:rsidRPr="00D56964" w:rsidRDefault="00C93552" w:rsidP="00C93552">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4F72CBEA" w14:textId="553308CD" w:rsidR="00C93552" w:rsidRPr="00D56964" w:rsidRDefault="00C93552" w:rsidP="00C93552">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0205A175" w14:textId="7B41A45A" w:rsidR="00C93552" w:rsidRPr="00D56964" w:rsidRDefault="00C93552" w:rsidP="00C93552">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2D0FC9FD" w14:textId="7ACE598F" w:rsidR="00C93552" w:rsidRPr="00D56964" w:rsidRDefault="00C93552" w:rsidP="00C93552">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51C4C980" w14:textId="3A180994"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05731523" w14:textId="3B6BD37E"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2AFE86D4" w14:textId="5844F095" w:rsidR="00C93552" w:rsidRPr="00D56964" w:rsidRDefault="00C93552" w:rsidP="00C93552">
            <w:pPr>
              <w:pStyle w:val="Table"/>
              <w:rPr>
                <w:rFonts w:ascii="Arial" w:hAnsi="Arial"/>
                <w:noProof/>
                <w:sz w:val="24"/>
              </w:rPr>
            </w:pPr>
            <w:r>
              <w:rPr>
                <w:rFonts w:ascii="Arial" w:hAnsi="Arial"/>
                <w:noProof/>
                <w:sz w:val="24"/>
              </w:rPr>
              <w:t xml:space="preserve">Nej </w:t>
            </w:r>
          </w:p>
        </w:tc>
        <w:tc>
          <w:tcPr>
            <w:tcW w:w="421" w:type="pct"/>
            <w:shd w:val="clear" w:color="auto" w:fill="E2EFD9" w:themeFill="accent6" w:themeFillTint="33"/>
          </w:tcPr>
          <w:p w14:paraId="018745D1" w14:textId="18A7A519"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3D8E0B63" w14:textId="1D454D71" w:rsidR="00C93552" w:rsidRPr="00D56964" w:rsidRDefault="00C93552" w:rsidP="00C93552">
            <w:pPr>
              <w:pStyle w:val="Table"/>
              <w:rPr>
                <w:rFonts w:ascii="Arial" w:hAnsi="Arial"/>
                <w:noProof/>
                <w:sz w:val="24"/>
              </w:rPr>
            </w:pPr>
            <w:r>
              <w:rPr>
                <w:rFonts w:ascii="Arial" w:hAnsi="Arial"/>
                <w:noProof/>
                <w:sz w:val="24"/>
              </w:rPr>
              <w:t>Ja</w:t>
            </w:r>
          </w:p>
        </w:tc>
      </w:tr>
    </w:tbl>
    <w:p w14:paraId="733EE204" w14:textId="5702A9E9" w:rsidR="00B83655" w:rsidRPr="00B42AEB" w:rsidRDefault="00B83655" w:rsidP="00ED533D">
      <w:pPr>
        <w:pStyle w:val="Heading1"/>
        <w:spacing w:before="360" w:after="240" w:line="288" w:lineRule="auto"/>
        <w:rPr>
          <w:noProof/>
        </w:rPr>
      </w:pPr>
      <w:bookmarkStart w:id="107" w:name="_Toc148718613"/>
      <w:bookmarkStart w:id="108" w:name="_Toc158707821"/>
      <w:r>
        <w:rPr>
          <w:noProof/>
        </w:rPr>
        <w:t>Bilag 11 — Supplerende afstemningsmuligheder for personer med handicap i EU's medlemsstater</w:t>
      </w:r>
      <w:r>
        <w:rPr>
          <w:rStyle w:val="FootnoteReference"/>
          <w:noProof/>
        </w:rPr>
        <w:t>(</w:t>
      </w:r>
      <w:r>
        <w:rPr>
          <w:rStyle w:val="FootnoteReference"/>
          <w:noProof/>
        </w:rPr>
        <w:footnoteReference w:id="125"/>
      </w:r>
      <w:r>
        <w:rPr>
          <w:rStyle w:val="FootnoteReference"/>
          <w:noProof/>
        </w:rPr>
        <w:t>))</w:t>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724"/>
        <w:gridCol w:w="1107"/>
        <w:gridCol w:w="821"/>
        <w:gridCol w:w="821"/>
        <w:gridCol w:w="821"/>
        <w:gridCol w:w="982"/>
        <w:gridCol w:w="982"/>
        <w:gridCol w:w="821"/>
        <w:gridCol w:w="981"/>
      </w:tblGrid>
      <w:tr w:rsidR="00346220" w:rsidRPr="00ED533D"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ED533D" w:rsidRDefault="00B83655" w:rsidP="00ED533D">
            <w:pPr>
              <w:pStyle w:val="Table"/>
              <w:jc w:val="left"/>
              <w:rPr>
                <w:rFonts w:ascii="Arial" w:hAnsi="Arial"/>
                <w:b/>
                <w:noProof/>
                <w:sz w:val="24"/>
              </w:rPr>
            </w:pPr>
            <w:r>
              <w:rPr>
                <w:rFonts w:ascii="Arial" w:hAnsi="Arial"/>
                <w:b/>
                <w:noProof/>
                <w:sz w:val="24"/>
              </w:rPr>
              <w:t>Land</w:t>
            </w:r>
          </w:p>
        </w:tc>
        <w:tc>
          <w:tcPr>
            <w:tcW w:w="623" w:type="pct"/>
            <w:shd w:val="clear" w:color="auto" w:fill="D9D9D9" w:themeFill="background1" w:themeFillShade="D9"/>
            <w:textDirection w:val="btLr"/>
            <w:vAlign w:val="center"/>
          </w:tcPr>
          <w:p w14:paraId="7E2FFCB4" w14:textId="70FD051F" w:rsidR="00B83655" w:rsidRPr="00ED533D" w:rsidRDefault="00B83655" w:rsidP="00ED533D">
            <w:pPr>
              <w:pStyle w:val="Table"/>
              <w:jc w:val="left"/>
              <w:rPr>
                <w:rFonts w:ascii="Arial" w:hAnsi="Arial"/>
                <w:b/>
                <w:noProof/>
                <w:sz w:val="24"/>
              </w:rPr>
            </w:pPr>
            <w:r>
              <w:rPr>
                <w:rFonts w:ascii="Arial" w:hAnsi="Arial"/>
                <w:b/>
                <w:noProof/>
                <w:sz w:val="24"/>
              </w:rPr>
              <w:t>Mobil afstemning</w:t>
            </w:r>
            <w:r>
              <w:rPr>
                <w:rStyle w:val="FootnoteReference"/>
                <w:b/>
                <w:noProof/>
              </w:rPr>
              <w:t>(</w:t>
            </w:r>
            <w:r>
              <w:rPr>
                <w:rStyle w:val="FootnoteReference"/>
                <w:b/>
                <w:noProof/>
              </w:rPr>
              <w:footnoteReference w:id="126"/>
            </w:r>
            <w:r>
              <w:rPr>
                <w:rStyle w:val="FootnoteReference"/>
                <w:b/>
                <w:noProof/>
              </w:rPr>
              <w:t>))</w:t>
            </w:r>
          </w:p>
        </w:tc>
        <w:tc>
          <w:tcPr>
            <w:tcW w:w="465" w:type="pct"/>
            <w:shd w:val="clear" w:color="auto" w:fill="D9D9D9" w:themeFill="background1" w:themeFillShade="D9"/>
            <w:textDirection w:val="btLr"/>
            <w:vAlign w:val="center"/>
          </w:tcPr>
          <w:p w14:paraId="11FE884B" w14:textId="765199BF" w:rsidR="00B83655" w:rsidRPr="00ED533D" w:rsidRDefault="00B83655" w:rsidP="00ED533D">
            <w:pPr>
              <w:pStyle w:val="Table"/>
              <w:jc w:val="left"/>
              <w:rPr>
                <w:rFonts w:ascii="Arial" w:hAnsi="Arial"/>
                <w:b/>
                <w:noProof/>
                <w:sz w:val="24"/>
              </w:rPr>
            </w:pPr>
            <w:r>
              <w:rPr>
                <w:rFonts w:ascii="Arial" w:hAnsi="Arial"/>
                <w:b/>
                <w:noProof/>
                <w:sz w:val="24"/>
              </w:rPr>
              <w:t>Fortovsafstemning</w:t>
            </w:r>
            <w:r>
              <w:rPr>
                <w:rStyle w:val="FootnoteReference"/>
                <w:b/>
                <w:noProof/>
              </w:rPr>
              <w:t>(</w:t>
            </w:r>
            <w:r>
              <w:rPr>
                <w:rStyle w:val="FootnoteReference"/>
                <w:b/>
                <w:noProof/>
              </w:rPr>
              <w:footnoteReference w:id="127"/>
            </w:r>
            <w:r>
              <w:rPr>
                <w:rStyle w:val="FootnoteReference"/>
                <w:b/>
                <w:noProof/>
              </w:rPr>
              <w:t>))</w:t>
            </w:r>
          </w:p>
        </w:tc>
        <w:tc>
          <w:tcPr>
            <w:tcW w:w="465" w:type="pct"/>
            <w:shd w:val="clear" w:color="auto" w:fill="D9D9D9" w:themeFill="background1" w:themeFillShade="D9"/>
            <w:textDirection w:val="btLr"/>
            <w:vAlign w:val="center"/>
          </w:tcPr>
          <w:p w14:paraId="6CBF654F" w14:textId="52D6D4D1" w:rsidR="00B83655" w:rsidRPr="00ED533D" w:rsidRDefault="00B83655" w:rsidP="00ED533D">
            <w:pPr>
              <w:pStyle w:val="Table"/>
              <w:jc w:val="left"/>
              <w:rPr>
                <w:rFonts w:ascii="Arial" w:hAnsi="Arial"/>
                <w:b/>
                <w:noProof/>
                <w:sz w:val="24"/>
              </w:rPr>
            </w:pPr>
            <w:r>
              <w:rPr>
                <w:rFonts w:ascii="Arial" w:hAnsi="Arial"/>
                <w:b/>
                <w:noProof/>
                <w:sz w:val="24"/>
              </w:rPr>
              <w:t>Valg af valgsteder</w:t>
            </w:r>
            <w:r>
              <w:rPr>
                <w:rStyle w:val="FootnoteReference"/>
                <w:b/>
                <w:noProof/>
              </w:rPr>
              <w:t>(</w:t>
            </w:r>
            <w:r>
              <w:rPr>
                <w:rStyle w:val="FootnoteReference"/>
                <w:b/>
                <w:noProof/>
              </w:rPr>
              <w:footnoteReference w:id="128"/>
            </w:r>
            <w:r>
              <w:rPr>
                <w:rStyle w:val="FootnoteReference"/>
                <w:b/>
                <w:noProof/>
              </w:rPr>
              <w:t>))</w:t>
            </w:r>
          </w:p>
        </w:tc>
        <w:tc>
          <w:tcPr>
            <w:tcW w:w="465" w:type="pct"/>
            <w:shd w:val="clear" w:color="auto" w:fill="D9D9D9" w:themeFill="background1" w:themeFillShade="D9"/>
            <w:textDirection w:val="btLr"/>
            <w:vAlign w:val="center"/>
          </w:tcPr>
          <w:p w14:paraId="059E6D28" w14:textId="6C9E90F7" w:rsidR="00B83655" w:rsidRPr="00ED533D" w:rsidRDefault="00B83655" w:rsidP="00ED533D">
            <w:pPr>
              <w:pStyle w:val="Table"/>
              <w:jc w:val="left"/>
              <w:rPr>
                <w:rFonts w:ascii="Arial" w:hAnsi="Arial"/>
                <w:b/>
                <w:noProof/>
                <w:sz w:val="24"/>
              </w:rPr>
            </w:pPr>
            <w:r>
              <w:rPr>
                <w:rFonts w:ascii="Arial" w:hAnsi="Arial"/>
                <w:b/>
                <w:noProof/>
                <w:sz w:val="24"/>
              </w:rPr>
              <w:t>Forhåndsafstemning</w:t>
            </w:r>
            <w:r>
              <w:rPr>
                <w:rStyle w:val="FootnoteReference"/>
                <w:b/>
                <w:noProof/>
              </w:rPr>
              <w:t>(</w:t>
            </w:r>
            <w:r>
              <w:rPr>
                <w:rStyle w:val="FootnoteReference"/>
                <w:b/>
                <w:noProof/>
              </w:rPr>
              <w:footnoteReference w:id="129"/>
            </w:r>
            <w:r>
              <w:rPr>
                <w:rStyle w:val="FootnoteReference"/>
                <w:b/>
                <w:noProof/>
              </w:rPr>
              <w:t>))</w:t>
            </w:r>
          </w:p>
        </w:tc>
        <w:tc>
          <w:tcPr>
            <w:tcW w:w="554" w:type="pct"/>
            <w:shd w:val="clear" w:color="auto" w:fill="D9D9D9" w:themeFill="background1" w:themeFillShade="D9"/>
            <w:textDirection w:val="btLr"/>
            <w:vAlign w:val="center"/>
          </w:tcPr>
          <w:p w14:paraId="29CE48E9" w14:textId="0A962F16" w:rsidR="00B83655" w:rsidRPr="00ED533D" w:rsidRDefault="00B83655" w:rsidP="00ED533D">
            <w:pPr>
              <w:pStyle w:val="Table"/>
              <w:jc w:val="left"/>
              <w:rPr>
                <w:rFonts w:ascii="Arial" w:hAnsi="Arial"/>
                <w:b/>
                <w:noProof/>
                <w:sz w:val="24"/>
              </w:rPr>
            </w:pPr>
            <w:r>
              <w:rPr>
                <w:rFonts w:ascii="Arial" w:hAnsi="Arial"/>
                <w:b/>
                <w:noProof/>
                <w:sz w:val="24"/>
              </w:rPr>
              <w:t>Brevstemme</w:t>
            </w:r>
            <w:r>
              <w:rPr>
                <w:rStyle w:val="FootnoteReference"/>
                <w:b/>
                <w:noProof/>
              </w:rPr>
              <w:t>(</w:t>
            </w:r>
            <w:r>
              <w:rPr>
                <w:rStyle w:val="FootnoteReference"/>
                <w:b/>
                <w:noProof/>
              </w:rPr>
              <w:footnoteReference w:id="130"/>
            </w:r>
            <w:r>
              <w:rPr>
                <w:rStyle w:val="FootnoteReference"/>
                <w:b/>
                <w:noProof/>
              </w:rPr>
              <w:t>))</w:t>
            </w:r>
          </w:p>
        </w:tc>
        <w:tc>
          <w:tcPr>
            <w:tcW w:w="554" w:type="pct"/>
            <w:shd w:val="clear" w:color="auto" w:fill="D9D9D9" w:themeFill="background1" w:themeFillShade="D9"/>
            <w:textDirection w:val="btLr"/>
            <w:vAlign w:val="center"/>
          </w:tcPr>
          <w:p w14:paraId="69CFE104" w14:textId="22AA1554" w:rsidR="00B83655" w:rsidRPr="00ED533D" w:rsidRDefault="00B83655" w:rsidP="00ED533D">
            <w:pPr>
              <w:pStyle w:val="Table"/>
              <w:jc w:val="left"/>
              <w:rPr>
                <w:rFonts w:ascii="Arial" w:hAnsi="Arial"/>
                <w:b/>
                <w:noProof/>
                <w:sz w:val="24"/>
              </w:rPr>
            </w:pPr>
            <w:r>
              <w:rPr>
                <w:rFonts w:ascii="Arial" w:hAnsi="Arial"/>
                <w:b/>
                <w:noProof/>
                <w:sz w:val="24"/>
              </w:rPr>
              <w:t>Assisteret afstemning</w:t>
            </w:r>
            <w:r>
              <w:rPr>
                <w:rStyle w:val="FootnoteReference"/>
                <w:b/>
                <w:noProof/>
              </w:rPr>
              <w:t>(</w:t>
            </w:r>
            <w:r>
              <w:rPr>
                <w:rStyle w:val="FootnoteReference"/>
                <w:b/>
                <w:noProof/>
              </w:rPr>
              <w:footnoteReference w:id="131"/>
            </w:r>
            <w:r>
              <w:rPr>
                <w:rStyle w:val="FootnoteReference"/>
                <w:b/>
                <w:noProof/>
              </w:rPr>
              <w:t>))</w:t>
            </w:r>
          </w:p>
        </w:tc>
        <w:tc>
          <w:tcPr>
            <w:tcW w:w="465" w:type="pct"/>
            <w:shd w:val="clear" w:color="auto" w:fill="D9D9D9" w:themeFill="background1" w:themeFillShade="D9"/>
            <w:textDirection w:val="btLr"/>
            <w:vAlign w:val="center"/>
          </w:tcPr>
          <w:p w14:paraId="66F85681" w14:textId="5B6EF822" w:rsidR="00B83655" w:rsidRPr="00ED533D" w:rsidRDefault="00B83655" w:rsidP="00ED533D">
            <w:pPr>
              <w:pStyle w:val="Table"/>
              <w:jc w:val="left"/>
              <w:rPr>
                <w:rFonts w:ascii="Arial" w:hAnsi="Arial"/>
                <w:b/>
                <w:noProof/>
                <w:sz w:val="24"/>
              </w:rPr>
            </w:pPr>
            <w:r>
              <w:rPr>
                <w:rFonts w:ascii="Arial" w:hAnsi="Arial"/>
                <w:b/>
                <w:noProof/>
                <w:sz w:val="24"/>
              </w:rPr>
              <w:t>Afstemning ved stedfortræder</w:t>
            </w:r>
            <w:r>
              <w:rPr>
                <w:rStyle w:val="FootnoteReference"/>
                <w:b/>
                <w:noProof/>
              </w:rPr>
              <w:t>(</w:t>
            </w:r>
            <w:r>
              <w:rPr>
                <w:rStyle w:val="FootnoteReference"/>
                <w:b/>
                <w:noProof/>
              </w:rPr>
              <w:footnoteReference w:id="132"/>
            </w:r>
            <w:r>
              <w:rPr>
                <w:rStyle w:val="FootnoteReference"/>
                <w:b/>
                <w:noProof/>
              </w:rPr>
              <w:t>))</w:t>
            </w:r>
          </w:p>
        </w:tc>
        <w:tc>
          <w:tcPr>
            <w:tcW w:w="554" w:type="pct"/>
            <w:shd w:val="clear" w:color="auto" w:fill="D9D9D9" w:themeFill="background1" w:themeFillShade="D9"/>
            <w:textDirection w:val="btLr"/>
            <w:vAlign w:val="center"/>
          </w:tcPr>
          <w:p w14:paraId="601B7CF6" w14:textId="26A23210" w:rsidR="00B83655" w:rsidRPr="00ED533D" w:rsidRDefault="00B83655" w:rsidP="00ED533D">
            <w:pPr>
              <w:pStyle w:val="Table"/>
              <w:jc w:val="left"/>
              <w:rPr>
                <w:rFonts w:ascii="Arial" w:hAnsi="Arial"/>
                <w:b/>
                <w:noProof/>
                <w:sz w:val="24"/>
              </w:rPr>
            </w:pPr>
            <w:r>
              <w:rPr>
                <w:rFonts w:ascii="Arial" w:hAnsi="Arial"/>
                <w:b/>
                <w:noProof/>
                <w:sz w:val="24"/>
              </w:rPr>
              <w:t>Stemmeafgivning via internettet</w:t>
            </w:r>
            <w:r>
              <w:rPr>
                <w:rStyle w:val="FootnoteReference"/>
                <w:b/>
                <w:noProof/>
              </w:rPr>
              <w:t>(</w:t>
            </w:r>
            <w:r>
              <w:rPr>
                <w:rStyle w:val="FootnoteReference"/>
                <w:b/>
                <w:noProof/>
              </w:rPr>
              <w:footnoteReference w:id="133"/>
            </w:r>
            <w:r>
              <w:rPr>
                <w:rStyle w:val="FootnoteReference"/>
                <w:b/>
                <w:noProof/>
              </w:rPr>
              <w:t>))</w:t>
            </w:r>
          </w:p>
        </w:tc>
      </w:tr>
      <w:tr w:rsidR="00346220" w:rsidRPr="00ED533D" w14:paraId="49A94E3D" w14:textId="77777777" w:rsidTr="00346220">
        <w:trPr>
          <w:trHeight w:val="242"/>
        </w:trPr>
        <w:tc>
          <w:tcPr>
            <w:tcW w:w="856" w:type="pct"/>
          </w:tcPr>
          <w:p w14:paraId="22998C7A" w14:textId="654D3496" w:rsidR="00B83655" w:rsidRPr="00D56964" w:rsidRDefault="00B83655" w:rsidP="00B42AEB">
            <w:pPr>
              <w:pStyle w:val="Table"/>
              <w:rPr>
                <w:rFonts w:ascii="Arial" w:hAnsi="Arial"/>
                <w:noProof/>
                <w:sz w:val="24"/>
              </w:rPr>
            </w:pPr>
            <w:r>
              <w:rPr>
                <w:rFonts w:ascii="Arial" w:hAnsi="Arial"/>
                <w:noProof/>
                <w:sz w:val="24"/>
              </w:rPr>
              <w:t>Østrig</w:t>
            </w:r>
          </w:p>
        </w:tc>
        <w:tc>
          <w:tcPr>
            <w:tcW w:w="623" w:type="pct"/>
            <w:shd w:val="clear" w:color="auto" w:fill="E2EFD9" w:themeFill="accent6" w:themeFillTint="33"/>
          </w:tcPr>
          <w:p w14:paraId="77AEF71D" w14:textId="09516621"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E4B08BA" w14:textId="71D571D3"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6F9A7E57" w14:textId="1253ACDF"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14EDC758" w14:textId="5CEB2CF7"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010538A4" w14:textId="51C0368C" w:rsidR="00B83655" w:rsidRPr="00D56964" w:rsidRDefault="00D56964" w:rsidP="00B42AEB">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405A8B7F" w14:textId="5D1C956C"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CA66F83" w14:textId="4AA2AE0C"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4810DADE" w14:textId="23AE3185" w:rsidR="00B83655" w:rsidRPr="00D56964" w:rsidRDefault="00D56964" w:rsidP="00B42AEB">
            <w:pPr>
              <w:pStyle w:val="Table"/>
              <w:rPr>
                <w:rFonts w:ascii="Arial" w:hAnsi="Arial"/>
                <w:noProof/>
                <w:sz w:val="24"/>
              </w:rPr>
            </w:pPr>
            <w:r>
              <w:rPr>
                <w:rFonts w:ascii="Arial" w:hAnsi="Arial"/>
                <w:noProof/>
                <w:sz w:val="24"/>
              </w:rPr>
              <w:t>Nej</w:t>
            </w:r>
          </w:p>
        </w:tc>
      </w:tr>
      <w:tr w:rsidR="00346220" w:rsidRPr="00ED533D" w14:paraId="11059DBD" w14:textId="77777777" w:rsidTr="00346220">
        <w:trPr>
          <w:trHeight w:val="242"/>
        </w:trPr>
        <w:tc>
          <w:tcPr>
            <w:tcW w:w="856" w:type="pct"/>
          </w:tcPr>
          <w:p w14:paraId="7F2B60F5" w14:textId="3A936484" w:rsidR="00B83655" w:rsidRPr="00D56964" w:rsidRDefault="00B83655" w:rsidP="00B42AEB">
            <w:pPr>
              <w:pStyle w:val="Table"/>
              <w:rPr>
                <w:rFonts w:ascii="Arial" w:hAnsi="Arial"/>
                <w:noProof/>
                <w:sz w:val="24"/>
              </w:rPr>
            </w:pPr>
            <w:r>
              <w:rPr>
                <w:rFonts w:ascii="Arial" w:hAnsi="Arial"/>
                <w:noProof/>
                <w:sz w:val="24"/>
              </w:rPr>
              <w:t>Belgien</w:t>
            </w:r>
          </w:p>
        </w:tc>
        <w:tc>
          <w:tcPr>
            <w:tcW w:w="623" w:type="pct"/>
            <w:shd w:val="clear" w:color="auto" w:fill="FFF2CC" w:themeFill="accent4" w:themeFillTint="33"/>
          </w:tcPr>
          <w:p w14:paraId="3E339F4D" w14:textId="7B9DCAC0"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5D731008" w14:textId="6E70DB18"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223AF28D" w14:textId="27B1068E"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A77D76D" w14:textId="5188B7B5"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72904005" w14:textId="1B65E51B" w:rsidR="00B83655" w:rsidRPr="00D56964" w:rsidRDefault="00D56964" w:rsidP="00B42AEB">
            <w:pPr>
              <w:pStyle w:val="Table"/>
              <w:rPr>
                <w:rFonts w:ascii="Arial" w:hAnsi="Arial"/>
                <w:noProof/>
                <w:sz w:val="24"/>
              </w:rPr>
            </w:pPr>
            <w:r>
              <w:rPr>
                <w:rFonts w:ascii="Arial" w:hAnsi="Arial"/>
                <w:noProof/>
                <w:sz w:val="24"/>
              </w:rPr>
              <w:t>Ja</w:t>
            </w:r>
            <w:r>
              <w:rPr>
                <w:rStyle w:val="FootnoteReference"/>
                <w:noProof/>
              </w:rPr>
              <w:t>(</w:t>
            </w:r>
            <w:r>
              <w:rPr>
                <w:rStyle w:val="FootnoteReference"/>
                <w:noProof/>
              </w:rPr>
              <w:footnoteReference w:id="134"/>
            </w:r>
            <w:r>
              <w:rPr>
                <w:rStyle w:val="FootnoteReference"/>
                <w:noProof/>
              </w:rPr>
              <w:t>))</w:t>
            </w:r>
          </w:p>
        </w:tc>
        <w:tc>
          <w:tcPr>
            <w:tcW w:w="554" w:type="pct"/>
            <w:shd w:val="clear" w:color="auto" w:fill="E2EFD9" w:themeFill="accent6" w:themeFillTint="33"/>
          </w:tcPr>
          <w:p w14:paraId="22F4EE56" w14:textId="271CB317"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29683016" w14:textId="4B51155B" w:rsidR="00B83655" w:rsidRPr="00D56964" w:rsidRDefault="00D56964" w:rsidP="00B42AEB">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1D09837A" w14:textId="66A6DF25" w:rsidR="00B83655" w:rsidRPr="00D56964" w:rsidRDefault="00D56964" w:rsidP="00B42AEB">
            <w:pPr>
              <w:pStyle w:val="Table"/>
              <w:rPr>
                <w:rFonts w:ascii="Arial" w:hAnsi="Arial"/>
                <w:noProof/>
                <w:sz w:val="24"/>
              </w:rPr>
            </w:pPr>
            <w:r>
              <w:rPr>
                <w:rFonts w:ascii="Arial" w:hAnsi="Arial"/>
                <w:noProof/>
                <w:sz w:val="24"/>
              </w:rPr>
              <w:t>Nej</w:t>
            </w:r>
          </w:p>
        </w:tc>
      </w:tr>
      <w:tr w:rsidR="00346220" w:rsidRPr="00ED533D" w14:paraId="49B401AE" w14:textId="77777777" w:rsidTr="00346220">
        <w:trPr>
          <w:trHeight w:val="242"/>
        </w:trPr>
        <w:tc>
          <w:tcPr>
            <w:tcW w:w="856" w:type="pct"/>
          </w:tcPr>
          <w:p w14:paraId="1F811AE7" w14:textId="28BEA2D3" w:rsidR="00B83655" w:rsidRPr="00D56964" w:rsidRDefault="00B83655" w:rsidP="00B42AEB">
            <w:pPr>
              <w:pStyle w:val="Table"/>
              <w:rPr>
                <w:rFonts w:ascii="Arial" w:hAnsi="Arial"/>
                <w:noProof/>
                <w:sz w:val="24"/>
              </w:rPr>
            </w:pPr>
            <w:r>
              <w:rPr>
                <w:rFonts w:ascii="Arial" w:hAnsi="Arial"/>
                <w:noProof/>
                <w:sz w:val="24"/>
              </w:rPr>
              <w:t>Bulgarien</w:t>
            </w:r>
          </w:p>
        </w:tc>
        <w:tc>
          <w:tcPr>
            <w:tcW w:w="623" w:type="pct"/>
            <w:shd w:val="clear" w:color="auto" w:fill="E2EFD9" w:themeFill="accent6" w:themeFillTint="33"/>
          </w:tcPr>
          <w:p w14:paraId="36F1CF15" w14:textId="0E54FBBA"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5A2372F" w14:textId="5A0A5134"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6B2C0F1E" w14:textId="435B0FE0"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144CD448" w14:textId="43E3A234"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627894A9" w14:textId="3EB60230"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46EC14AD" w14:textId="2CA4F2CF"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9E1FF4C" w14:textId="069F383E"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1E0BE745" w14:textId="3E16044B" w:rsidR="00B83655" w:rsidRPr="00D56964" w:rsidRDefault="00D56964" w:rsidP="00B42AEB">
            <w:pPr>
              <w:pStyle w:val="Table"/>
              <w:rPr>
                <w:rFonts w:ascii="Arial" w:hAnsi="Arial"/>
                <w:noProof/>
                <w:sz w:val="24"/>
              </w:rPr>
            </w:pPr>
            <w:r>
              <w:rPr>
                <w:rFonts w:ascii="Arial" w:hAnsi="Arial"/>
                <w:noProof/>
                <w:sz w:val="24"/>
              </w:rPr>
              <w:t>Nej</w:t>
            </w:r>
          </w:p>
        </w:tc>
      </w:tr>
      <w:tr w:rsidR="00346220" w:rsidRPr="00ED533D" w14:paraId="5F8F24B6" w14:textId="77777777" w:rsidTr="00346220">
        <w:trPr>
          <w:trHeight w:val="70"/>
        </w:trPr>
        <w:tc>
          <w:tcPr>
            <w:tcW w:w="856" w:type="pct"/>
          </w:tcPr>
          <w:p w14:paraId="19B15238" w14:textId="24C53319" w:rsidR="00B83655" w:rsidRPr="00D56964" w:rsidRDefault="00B83655" w:rsidP="00B42AEB">
            <w:pPr>
              <w:pStyle w:val="Table"/>
              <w:rPr>
                <w:rFonts w:ascii="Arial" w:hAnsi="Arial"/>
                <w:noProof/>
                <w:sz w:val="24"/>
              </w:rPr>
            </w:pPr>
            <w:r>
              <w:rPr>
                <w:rFonts w:ascii="Arial" w:hAnsi="Arial"/>
                <w:noProof/>
                <w:sz w:val="24"/>
              </w:rPr>
              <w:t>Cypern</w:t>
            </w:r>
          </w:p>
        </w:tc>
        <w:tc>
          <w:tcPr>
            <w:tcW w:w="623" w:type="pct"/>
            <w:shd w:val="clear" w:color="auto" w:fill="FFF2CC" w:themeFill="accent4" w:themeFillTint="33"/>
          </w:tcPr>
          <w:p w14:paraId="42ABF84C" w14:textId="7FCB7B71"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5A616029" w14:textId="397392D9"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64B2FBF4" w14:textId="112C1688"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4178B188" w14:textId="545073E1"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4E3F8BD7" w14:textId="4C98F56D"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76E4A459" w14:textId="5D1C6F22"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C81E417" w14:textId="2426FBD2"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5E1826A3" w14:textId="7A536269" w:rsidR="00B83655" w:rsidRPr="00D56964" w:rsidRDefault="00D56964" w:rsidP="00B42AEB">
            <w:pPr>
              <w:pStyle w:val="Table"/>
              <w:rPr>
                <w:rFonts w:ascii="Arial" w:hAnsi="Arial"/>
                <w:noProof/>
                <w:sz w:val="24"/>
              </w:rPr>
            </w:pPr>
            <w:r>
              <w:rPr>
                <w:rFonts w:ascii="Arial" w:hAnsi="Arial"/>
                <w:noProof/>
                <w:sz w:val="24"/>
              </w:rPr>
              <w:t>Nej</w:t>
            </w:r>
          </w:p>
        </w:tc>
      </w:tr>
      <w:tr w:rsidR="00346220" w:rsidRPr="00ED533D" w14:paraId="352D1E24" w14:textId="77777777" w:rsidTr="00346220">
        <w:trPr>
          <w:trHeight w:val="70"/>
        </w:trPr>
        <w:tc>
          <w:tcPr>
            <w:tcW w:w="856" w:type="pct"/>
          </w:tcPr>
          <w:p w14:paraId="118050BB" w14:textId="079E0F9A" w:rsidR="00B83655" w:rsidRPr="00D56964" w:rsidRDefault="00B83655" w:rsidP="00B42AEB">
            <w:pPr>
              <w:pStyle w:val="Table"/>
              <w:rPr>
                <w:rFonts w:ascii="Arial" w:hAnsi="Arial"/>
                <w:noProof/>
                <w:sz w:val="24"/>
              </w:rPr>
            </w:pPr>
            <w:r>
              <w:rPr>
                <w:rFonts w:ascii="Arial" w:hAnsi="Arial"/>
                <w:noProof/>
                <w:sz w:val="24"/>
              </w:rPr>
              <w:t>Tjekkiet</w:t>
            </w:r>
          </w:p>
        </w:tc>
        <w:tc>
          <w:tcPr>
            <w:tcW w:w="623" w:type="pct"/>
            <w:shd w:val="clear" w:color="auto" w:fill="E2EFD9" w:themeFill="accent6" w:themeFillTint="33"/>
          </w:tcPr>
          <w:p w14:paraId="02A5DE05" w14:textId="0851D1DE"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30430F41" w14:textId="2D9A3D3A"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17ACF541" w14:textId="53880FFD"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149716A" w14:textId="7169C452"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5990CF31" w14:textId="0FA165EC"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236962EB" w14:textId="426A1348"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1D049C3A" w14:textId="694E6CC7"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54EA2227" w14:textId="78188A22" w:rsidR="00B83655" w:rsidRPr="00D56964" w:rsidRDefault="00D56964" w:rsidP="00B42AEB">
            <w:pPr>
              <w:pStyle w:val="Table"/>
              <w:rPr>
                <w:rFonts w:ascii="Arial" w:hAnsi="Arial"/>
                <w:noProof/>
                <w:sz w:val="24"/>
              </w:rPr>
            </w:pPr>
            <w:r>
              <w:rPr>
                <w:rFonts w:ascii="Arial" w:hAnsi="Arial"/>
                <w:noProof/>
                <w:sz w:val="24"/>
              </w:rPr>
              <w:t>Nej</w:t>
            </w:r>
          </w:p>
        </w:tc>
      </w:tr>
      <w:tr w:rsidR="00346220" w:rsidRPr="00ED533D" w14:paraId="0C3D4126" w14:textId="77777777" w:rsidTr="00346220">
        <w:trPr>
          <w:trHeight w:val="70"/>
        </w:trPr>
        <w:tc>
          <w:tcPr>
            <w:tcW w:w="856" w:type="pct"/>
          </w:tcPr>
          <w:p w14:paraId="1EEA1B1B" w14:textId="13D2927B" w:rsidR="00B83655" w:rsidRPr="00D56964" w:rsidRDefault="00ED533D" w:rsidP="00B42AEB">
            <w:pPr>
              <w:pStyle w:val="Table"/>
              <w:rPr>
                <w:rFonts w:ascii="Arial" w:hAnsi="Arial"/>
                <w:noProof/>
                <w:sz w:val="24"/>
              </w:rPr>
            </w:pPr>
            <w:r>
              <w:rPr>
                <w:rFonts w:ascii="Arial" w:hAnsi="Arial"/>
                <w:noProof/>
                <w:sz w:val="24"/>
              </w:rPr>
              <w:t>Tyskland</w:t>
            </w:r>
          </w:p>
        </w:tc>
        <w:tc>
          <w:tcPr>
            <w:tcW w:w="623" w:type="pct"/>
            <w:shd w:val="clear" w:color="auto" w:fill="FFF2CC" w:themeFill="accent4" w:themeFillTint="33"/>
          </w:tcPr>
          <w:p w14:paraId="161E8DFD" w14:textId="7C2C7C2B"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2D39D8B6" w14:textId="2E847916"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1F3B81A1" w14:textId="152902E2"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8E8CA37" w14:textId="700B4D1C"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25A279D2" w14:textId="488AA40E" w:rsidR="00B83655" w:rsidRPr="00D56964" w:rsidRDefault="00D56964" w:rsidP="00B42AEB">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65283EF5" w14:textId="53E63EDB"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54043CC1" w14:textId="3DE9DCCD"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419BACB4" w14:textId="5B1E03A9" w:rsidR="00B83655" w:rsidRPr="00D56964" w:rsidRDefault="00D56964" w:rsidP="00B42AEB">
            <w:pPr>
              <w:pStyle w:val="Table"/>
              <w:rPr>
                <w:rFonts w:ascii="Arial" w:hAnsi="Arial"/>
                <w:noProof/>
                <w:sz w:val="24"/>
              </w:rPr>
            </w:pPr>
            <w:r>
              <w:rPr>
                <w:rFonts w:ascii="Arial" w:hAnsi="Arial"/>
                <w:noProof/>
                <w:sz w:val="24"/>
              </w:rPr>
              <w:t>Nej</w:t>
            </w:r>
          </w:p>
        </w:tc>
      </w:tr>
      <w:tr w:rsidR="00346220" w:rsidRPr="00ED533D" w14:paraId="6C1EF066" w14:textId="77777777" w:rsidTr="00346220">
        <w:trPr>
          <w:trHeight w:val="70"/>
        </w:trPr>
        <w:tc>
          <w:tcPr>
            <w:tcW w:w="856" w:type="pct"/>
          </w:tcPr>
          <w:p w14:paraId="24F8F46C" w14:textId="429F4773" w:rsidR="00B83655" w:rsidRPr="00D56964" w:rsidRDefault="00B83655" w:rsidP="00B42AEB">
            <w:pPr>
              <w:pStyle w:val="Table"/>
              <w:rPr>
                <w:rFonts w:ascii="Arial" w:hAnsi="Arial"/>
                <w:noProof/>
                <w:sz w:val="24"/>
              </w:rPr>
            </w:pPr>
            <w:r>
              <w:rPr>
                <w:rFonts w:ascii="Arial" w:hAnsi="Arial"/>
                <w:noProof/>
                <w:sz w:val="24"/>
              </w:rPr>
              <w:t>Danmark</w:t>
            </w:r>
          </w:p>
        </w:tc>
        <w:tc>
          <w:tcPr>
            <w:tcW w:w="623" w:type="pct"/>
            <w:shd w:val="clear" w:color="auto" w:fill="E2EFD9" w:themeFill="accent6" w:themeFillTint="33"/>
          </w:tcPr>
          <w:p w14:paraId="7DC58DC0" w14:textId="5F17EDEF"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1EDBF9A2" w14:textId="5CA6D8DC"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7804917E" w14:textId="5C860CEC"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624E8037" w14:textId="38C04877" w:rsidR="00B83655" w:rsidRPr="00D56964" w:rsidRDefault="00D56964" w:rsidP="00B42AEB">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7899981E" w14:textId="170F8DEE"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376DA472" w14:textId="3E24ACA9"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44A7279" w14:textId="75D624B7"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37164341" w14:textId="707263E4" w:rsidR="00B83655" w:rsidRPr="00D56964" w:rsidRDefault="00D56964" w:rsidP="00B42AEB">
            <w:pPr>
              <w:pStyle w:val="Table"/>
              <w:rPr>
                <w:rFonts w:ascii="Arial" w:hAnsi="Arial"/>
                <w:noProof/>
                <w:sz w:val="24"/>
              </w:rPr>
            </w:pPr>
            <w:r>
              <w:rPr>
                <w:rFonts w:ascii="Arial" w:hAnsi="Arial"/>
                <w:noProof/>
                <w:sz w:val="24"/>
              </w:rPr>
              <w:t>Nej</w:t>
            </w:r>
          </w:p>
        </w:tc>
      </w:tr>
      <w:tr w:rsidR="00346220" w:rsidRPr="00ED533D" w14:paraId="263A1622" w14:textId="77777777" w:rsidTr="00346220">
        <w:trPr>
          <w:trHeight w:val="154"/>
        </w:trPr>
        <w:tc>
          <w:tcPr>
            <w:tcW w:w="856" w:type="pct"/>
          </w:tcPr>
          <w:p w14:paraId="79F96672" w14:textId="1BD0F21A" w:rsidR="00B83655" w:rsidRPr="00D56964" w:rsidRDefault="00B83655" w:rsidP="00B42AEB">
            <w:pPr>
              <w:pStyle w:val="Table"/>
              <w:rPr>
                <w:rFonts w:ascii="Arial" w:hAnsi="Arial"/>
                <w:noProof/>
                <w:sz w:val="24"/>
              </w:rPr>
            </w:pPr>
            <w:r>
              <w:rPr>
                <w:rFonts w:ascii="Arial" w:hAnsi="Arial"/>
                <w:noProof/>
                <w:sz w:val="24"/>
              </w:rPr>
              <w:t>Estland</w:t>
            </w:r>
          </w:p>
        </w:tc>
        <w:tc>
          <w:tcPr>
            <w:tcW w:w="623" w:type="pct"/>
            <w:shd w:val="clear" w:color="auto" w:fill="E2EFD9" w:themeFill="accent6" w:themeFillTint="33"/>
          </w:tcPr>
          <w:p w14:paraId="6FDC2B1B" w14:textId="5554E9DD"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C6EA936" w14:textId="130F5A63"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6C5E66F0" w14:textId="554D1A66"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7C9FFBCC" w14:textId="6DCA1FE1" w:rsidR="00B83655" w:rsidRPr="00D56964" w:rsidRDefault="00D56964" w:rsidP="00B42AEB">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208BAFA1" w14:textId="7D72AA07"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29DD8A55" w14:textId="733CF718"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310A65D" w14:textId="031675CF"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20CAFC34" w14:textId="2C315FCB" w:rsidR="00B83655" w:rsidRPr="00D56964" w:rsidRDefault="00D56964" w:rsidP="00B42AEB">
            <w:pPr>
              <w:pStyle w:val="Table"/>
              <w:rPr>
                <w:rFonts w:ascii="Arial" w:hAnsi="Arial"/>
                <w:noProof/>
                <w:sz w:val="24"/>
              </w:rPr>
            </w:pPr>
            <w:r>
              <w:rPr>
                <w:rFonts w:ascii="Arial" w:hAnsi="Arial"/>
                <w:noProof/>
                <w:sz w:val="24"/>
              </w:rPr>
              <w:t>Ja</w:t>
            </w:r>
          </w:p>
        </w:tc>
      </w:tr>
      <w:tr w:rsidR="00346220" w:rsidRPr="00ED533D" w14:paraId="06965B5C" w14:textId="77777777" w:rsidTr="00346220">
        <w:trPr>
          <w:trHeight w:val="154"/>
        </w:trPr>
        <w:tc>
          <w:tcPr>
            <w:tcW w:w="856" w:type="pct"/>
          </w:tcPr>
          <w:p w14:paraId="1D6FD585" w14:textId="483B4FAB" w:rsidR="00B83655" w:rsidRPr="00D56964" w:rsidRDefault="00ED533D" w:rsidP="00B42AEB">
            <w:pPr>
              <w:pStyle w:val="Table"/>
              <w:rPr>
                <w:rFonts w:ascii="Arial" w:hAnsi="Arial"/>
                <w:noProof/>
                <w:sz w:val="24"/>
              </w:rPr>
            </w:pPr>
            <w:r>
              <w:rPr>
                <w:rFonts w:ascii="Arial" w:hAnsi="Arial"/>
                <w:noProof/>
                <w:sz w:val="24"/>
              </w:rPr>
              <w:t>Grækenland</w:t>
            </w:r>
          </w:p>
        </w:tc>
        <w:tc>
          <w:tcPr>
            <w:tcW w:w="623" w:type="pct"/>
            <w:shd w:val="clear" w:color="auto" w:fill="FFF2CC" w:themeFill="accent4" w:themeFillTint="33"/>
          </w:tcPr>
          <w:p w14:paraId="665F0783" w14:textId="4210E265"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66B00F45" w14:textId="0F78F4F6"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0B46AC60" w14:textId="56E0862C"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314F9E57" w14:textId="4972D9B8"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567A43AD" w14:textId="53A1BADE"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2B83160C" w14:textId="605E9DBD" w:rsidR="00B83655" w:rsidRPr="00D56964" w:rsidRDefault="00D56964" w:rsidP="00B42AEB">
            <w:pPr>
              <w:pStyle w:val="Table"/>
              <w:rPr>
                <w:rFonts w:ascii="Arial" w:hAnsi="Arial"/>
                <w:noProof/>
                <w:sz w:val="24"/>
              </w:rPr>
            </w:pPr>
            <w:r>
              <w:rPr>
                <w:rFonts w:ascii="Arial" w:hAnsi="Arial"/>
                <w:noProof/>
                <w:sz w:val="24"/>
              </w:rPr>
              <w:t>Ja</w:t>
            </w:r>
            <w:r>
              <w:rPr>
                <w:rStyle w:val="FootnoteReference"/>
                <w:noProof/>
              </w:rPr>
              <w:t>(</w:t>
            </w:r>
            <w:r>
              <w:rPr>
                <w:rStyle w:val="FootnoteReference"/>
                <w:noProof/>
              </w:rPr>
              <w:footnoteReference w:id="135"/>
            </w:r>
            <w:r>
              <w:rPr>
                <w:rStyle w:val="FootnoteReference"/>
                <w:noProof/>
              </w:rPr>
              <w:t>))</w:t>
            </w:r>
          </w:p>
        </w:tc>
        <w:tc>
          <w:tcPr>
            <w:tcW w:w="465" w:type="pct"/>
            <w:shd w:val="clear" w:color="auto" w:fill="FFF2CC" w:themeFill="accent4" w:themeFillTint="33"/>
          </w:tcPr>
          <w:p w14:paraId="5EF187CD" w14:textId="2C421ED2"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72F39B36" w14:textId="7F8CA57C" w:rsidR="00B83655" w:rsidRPr="00D56964" w:rsidRDefault="00D56964" w:rsidP="00B42AEB">
            <w:pPr>
              <w:pStyle w:val="Table"/>
              <w:rPr>
                <w:rFonts w:ascii="Arial" w:hAnsi="Arial"/>
                <w:noProof/>
                <w:sz w:val="24"/>
              </w:rPr>
            </w:pPr>
            <w:r>
              <w:rPr>
                <w:rFonts w:ascii="Arial" w:hAnsi="Arial"/>
                <w:noProof/>
                <w:sz w:val="24"/>
              </w:rPr>
              <w:t>Nej</w:t>
            </w:r>
          </w:p>
        </w:tc>
      </w:tr>
      <w:tr w:rsidR="00346220" w:rsidRPr="00ED533D" w14:paraId="1C1F370B" w14:textId="77777777" w:rsidTr="00346220">
        <w:trPr>
          <w:trHeight w:val="154"/>
        </w:trPr>
        <w:tc>
          <w:tcPr>
            <w:tcW w:w="856" w:type="pct"/>
          </w:tcPr>
          <w:p w14:paraId="513B8BE6" w14:textId="0741552F" w:rsidR="00203B22" w:rsidRPr="00D56964" w:rsidRDefault="00203B22" w:rsidP="00203B22">
            <w:pPr>
              <w:pStyle w:val="Table"/>
              <w:rPr>
                <w:rFonts w:ascii="Arial" w:hAnsi="Arial"/>
                <w:noProof/>
                <w:sz w:val="24"/>
              </w:rPr>
            </w:pPr>
            <w:r>
              <w:rPr>
                <w:rFonts w:ascii="Arial" w:hAnsi="Arial"/>
                <w:noProof/>
                <w:sz w:val="24"/>
              </w:rPr>
              <w:t>Spanien</w:t>
            </w:r>
          </w:p>
        </w:tc>
        <w:tc>
          <w:tcPr>
            <w:tcW w:w="623" w:type="pct"/>
            <w:shd w:val="clear" w:color="auto" w:fill="FFF2CC" w:themeFill="accent4" w:themeFillTint="33"/>
          </w:tcPr>
          <w:p w14:paraId="7472C839" w14:textId="2192A728" w:rsidR="00203B22" w:rsidRPr="00D56964" w:rsidRDefault="00203B22" w:rsidP="00203B22">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72783275" w14:textId="0C7BBB8E" w:rsidR="00203B22" w:rsidRPr="00D56964" w:rsidRDefault="00203B22" w:rsidP="00203B22">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834A72C" w14:textId="3CD20CA7" w:rsidR="00203B22" w:rsidRPr="00D56964" w:rsidRDefault="00203B22" w:rsidP="00203B22">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66FDEF6A" w14:textId="5C7A54F6" w:rsidR="00203B22" w:rsidRPr="00D56964" w:rsidRDefault="00203B22" w:rsidP="00203B22">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36D6AAB2" w14:textId="2B31ECC1" w:rsidR="00203B22" w:rsidRPr="00D56964" w:rsidRDefault="00203B22" w:rsidP="00203B22">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645F4BCC" w14:textId="0601B6B5" w:rsidR="00203B22" w:rsidRPr="00D56964" w:rsidRDefault="00203B22" w:rsidP="00203B22">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6EBC8D8" w14:textId="7715FE23" w:rsidR="00203B22" w:rsidRPr="00D56964" w:rsidRDefault="00203B22" w:rsidP="00203B22">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0E84EA5A" w14:textId="623CBACF" w:rsidR="00203B22" w:rsidRPr="00D56964" w:rsidRDefault="00203B22" w:rsidP="00203B22">
            <w:pPr>
              <w:pStyle w:val="Table"/>
              <w:rPr>
                <w:rFonts w:ascii="Arial" w:hAnsi="Arial"/>
                <w:noProof/>
                <w:sz w:val="24"/>
              </w:rPr>
            </w:pPr>
            <w:r>
              <w:rPr>
                <w:rFonts w:ascii="Arial" w:hAnsi="Arial"/>
                <w:noProof/>
                <w:sz w:val="24"/>
              </w:rPr>
              <w:t>Nej</w:t>
            </w:r>
          </w:p>
        </w:tc>
      </w:tr>
      <w:tr w:rsidR="00346220" w:rsidRPr="00ED533D" w14:paraId="3D39DC69" w14:textId="77777777" w:rsidTr="00346220">
        <w:trPr>
          <w:trHeight w:val="154"/>
        </w:trPr>
        <w:tc>
          <w:tcPr>
            <w:tcW w:w="856" w:type="pct"/>
          </w:tcPr>
          <w:p w14:paraId="748F6B3F" w14:textId="01658C95" w:rsidR="00203B22" w:rsidRPr="00D56964" w:rsidRDefault="00203B22" w:rsidP="00203B22">
            <w:pPr>
              <w:pStyle w:val="Table"/>
              <w:rPr>
                <w:rFonts w:ascii="Arial" w:hAnsi="Arial"/>
                <w:noProof/>
                <w:sz w:val="24"/>
              </w:rPr>
            </w:pPr>
            <w:r>
              <w:rPr>
                <w:rFonts w:ascii="Arial" w:hAnsi="Arial"/>
                <w:noProof/>
                <w:sz w:val="24"/>
              </w:rPr>
              <w:t>Finland</w:t>
            </w:r>
          </w:p>
        </w:tc>
        <w:tc>
          <w:tcPr>
            <w:tcW w:w="623" w:type="pct"/>
            <w:shd w:val="clear" w:color="auto" w:fill="E2EFD9" w:themeFill="accent6" w:themeFillTint="33"/>
          </w:tcPr>
          <w:p w14:paraId="3D125050" w14:textId="27027131" w:rsidR="00203B22" w:rsidRPr="00D56964" w:rsidRDefault="00203B22" w:rsidP="00203B22">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029FF3CB" w14:textId="2D8EF176" w:rsidR="00203B22" w:rsidRPr="00D56964" w:rsidRDefault="00203B22" w:rsidP="00203B22">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D586758" w14:textId="39D0818A" w:rsidR="00203B22" w:rsidRPr="00D56964" w:rsidRDefault="00203B22" w:rsidP="00203B22">
            <w:pPr>
              <w:pStyle w:val="Table"/>
              <w:rPr>
                <w:rFonts w:ascii="Arial" w:hAnsi="Arial"/>
                <w:noProof/>
                <w:sz w:val="24"/>
              </w:rPr>
            </w:pPr>
            <w:r>
              <w:rPr>
                <w:rFonts w:ascii="Arial" w:hAnsi="Arial"/>
                <w:noProof/>
                <w:sz w:val="24"/>
              </w:rPr>
              <w:t xml:space="preserve">Nej </w:t>
            </w:r>
          </w:p>
        </w:tc>
        <w:tc>
          <w:tcPr>
            <w:tcW w:w="465" w:type="pct"/>
            <w:shd w:val="clear" w:color="auto" w:fill="E2EFD9" w:themeFill="accent6" w:themeFillTint="33"/>
          </w:tcPr>
          <w:p w14:paraId="53818871" w14:textId="14AC8B13" w:rsidR="00203B22" w:rsidRPr="00D56964" w:rsidRDefault="00203B22" w:rsidP="00203B22">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2B5C2FFE" w14:textId="17A40BED" w:rsidR="00203B22" w:rsidRPr="00D56964" w:rsidRDefault="00203B22" w:rsidP="00203B22">
            <w:pPr>
              <w:pStyle w:val="Table"/>
              <w:rPr>
                <w:rFonts w:ascii="Arial" w:hAnsi="Arial"/>
                <w:noProof/>
                <w:sz w:val="24"/>
              </w:rPr>
            </w:pPr>
            <w:r>
              <w:rPr>
                <w:rFonts w:ascii="Arial" w:hAnsi="Arial"/>
                <w:noProof/>
                <w:sz w:val="24"/>
              </w:rPr>
              <w:t>Ja</w:t>
            </w:r>
            <w:r>
              <w:rPr>
                <w:rStyle w:val="FootnoteReference"/>
                <w:noProof/>
              </w:rPr>
              <w:t>(</w:t>
            </w:r>
            <w:r>
              <w:rPr>
                <w:rStyle w:val="FootnoteReference"/>
                <w:noProof/>
              </w:rPr>
              <w:footnoteReference w:id="136"/>
            </w:r>
            <w:r>
              <w:rPr>
                <w:rStyle w:val="FootnoteReference"/>
                <w:noProof/>
              </w:rPr>
              <w:t>))</w:t>
            </w:r>
          </w:p>
        </w:tc>
        <w:tc>
          <w:tcPr>
            <w:tcW w:w="554" w:type="pct"/>
            <w:shd w:val="clear" w:color="auto" w:fill="E2EFD9" w:themeFill="accent6" w:themeFillTint="33"/>
          </w:tcPr>
          <w:p w14:paraId="0AA9EE0E" w14:textId="31DA808D" w:rsidR="00203B22" w:rsidRPr="00D56964" w:rsidRDefault="00203B22" w:rsidP="00203B22">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41E4D34" w14:textId="017C6BBB" w:rsidR="00203B22" w:rsidRPr="00D56964" w:rsidRDefault="00203B22" w:rsidP="00203B22">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09848DA0" w14:textId="5EA26A9A" w:rsidR="00203B22" w:rsidRPr="00D56964" w:rsidRDefault="00203B22" w:rsidP="00203B22">
            <w:pPr>
              <w:pStyle w:val="Table"/>
              <w:rPr>
                <w:rFonts w:ascii="Arial" w:hAnsi="Arial"/>
                <w:noProof/>
                <w:sz w:val="24"/>
              </w:rPr>
            </w:pPr>
            <w:r>
              <w:rPr>
                <w:rFonts w:ascii="Arial" w:hAnsi="Arial"/>
                <w:noProof/>
                <w:sz w:val="24"/>
              </w:rPr>
              <w:t>Nej</w:t>
            </w:r>
          </w:p>
        </w:tc>
      </w:tr>
      <w:tr w:rsidR="00402EFD" w:rsidRPr="00ED533D" w14:paraId="6F204974" w14:textId="77777777" w:rsidTr="00C32507">
        <w:trPr>
          <w:trHeight w:val="154"/>
        </w:trPr>
        <w:tc>
          <w:tcPr>
            <w:tcW w:w="856" w:type="pct"/>
          </w:tcPr>
          <w:p w14:paraId="6FC98534" w14:textId="4261C7B5" w:rsidR="00402EFD" w:rsidRPr="00D56964" w:rsidRDefault="00402EFD" w:rsidP="00402EFD">
            <w:pPr>
              <w:pStyle w:val="Table"/>
              <w:rPr>
                <w:rFonts w:ascii="Arial" w:hAnsi="Arial"/>
                <w:noProof/>
                <w:sz w:val="24"/>
              </w:rPr>
            </w:pPr>
            <w:r>
              <w:rPr>
                <w:rFonts w:ascii="Arial" w:hAnsi="Arial"/>
                <w:noProof/>
                <w:sz w:val="24"/>
              </w:rPr>
              <w:t>Frankrig</w:t>
            </w:r>
          </w:p>
        </w:tc>
        <w:tc>
          <w:tcPr>
            <w:tcW w:w="623" w:type="pct"/>
            <w:shd w:val="clear" w:color="auto" w:fill="FFF2CC" w:themeFill="accent4" w:themeFillTint="33"/>
          </w:tcPr>
          <w:p w14:paraId="21080CA9" w14:textId="19AFE243"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4CDA711B" w14:textId="780460D9"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7331FE1C" w14:textId="5442C964"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5FEE6830" w14:textId="07D0C3DE"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581FE88E" w14:textId="12237CB4" w:rsidR="00402EFD" w:rsidRPr="00D56964" w:rsidRDefault="00402EFD" w:rsidP="00402EFD">
            <w:pPr>
              <w:pStyle w:val="Table"/>
              <w:rPr>
                <w:rFonts w:ascii="Arial" w:hAnsi="Arial"/>
                <w:noProof/>
                <w:sz w:val="24"/>
              </w:rPr>
            </w:pPr>
            <w:r>
              <w:rPr>
                <w:rFonts w:ascii="Arial" w:hAnsi="Arial"/>
                <w:noProof/>
                <w:sz w:val="24"/>
              </w:rPr>
              <w:t>Ja</w:t>
            </w:r>
            <w:r>
              <w:rPr>
                <w:rFonts w:ascii="Arial" w:hAnsi="Arial"/>
                <w:noProof/>
                <w:sz w:val="24"/>
                <w:vertAlign w:val="superscript"/>
              </w:rPr>
              <w:t>(</w:t>
            </w:r>
            <w:r>
              <w:rPr>
                <w:rStyle w:val="FootnoteReference"/>
                <w:noProof/>
              </w:rPr>
              <w:footnoteReference w:id="137"/>
            </w:r>
            <w:r>
              <w:rPr>
                <w:rFonts w:ascii="Arial" w:hAnsi="Arial"/>
                <w:noProof/>
                <w:sz w:val="24"/>
                <w:vertAlign w:val="superscript"/>
              </w:rPr>
              <w:t>)</w:t>
            </w:r>
          </w:p>
        </w:tc>
        <w:tc>
          <w:tcPr>
            <w:tcW w:w="554" w:type="pct"/>
            <w:shd w:val="clear" w:color="auto" w:fill="E2EFD9" w:themeFill="accent6" w:themeFillTint="33"/>
          </w:tcPr>
          <w:p w14:paraId="5B2977BC" w14:textId="758CF3EE"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60E35391" w14:textId="5E0D8DE6"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0C09CD93" w14:textId="3C745769" w:rsidR="00402EFD" w:rsidRPr="00D56964" w:rsidRDefault="00402EFD" w:rsidP="00402EFD">
            <w:pPr>
              <w:pStyle w:val="Table"/>
              <w:rPr>
                <w:rFonts w:ascii="Arial" w:hAnsi="Arial"/>
                <w:noProof/>
                <w:sz w:val="24"/>
              </w:rPr>
            </w:pPr>
            <w:r>
              <w:rPr>
                <w:rFonts w:ascii="Arial" w:hAnsi="Arial"/>
                <w:noProof/>
                <w:sz w:val="24"/>
              </w:rPr>
              <w:t>Ja</w:t>
            </w:r>
            <w:r>
              <w:rPr>
                <w:rStyle w:val="FootnoteReference"/>
                <w:noProof/>
              </w:rPr>
              <w:t>(</w:t>
            </w:r>
            <w:r>
              <w:rPr>
                <w:rStyle w:val="FootnoteReference"/>
                <w:noProof/>
              </w:rPr>
              <w:footnoteReference w:id="138"/>
            </w:r>
            <w:r>
              <w:rPr>
                <w:rStyle w:val="FootnoteReference"/>
                <w:noProof/>
              </w:rPr>
              <w:t>))</w:t>
            </w:r>
          </w:p>
        </w:tc>
      </w:tr>
      <w:tr w:rsidR="00402EFD" w:rsidRPr="00ED533D" w14:paraId="4DB9E644" w14:textId="77777777" w:rsidTr="00346220">
        <w:trPr>
          <w:trHeight w:val="154"/>
        </w:trPr>
        <w:tc>
          <w:tcPr>
            <w:tcW w:w="856" w:type="pct"/>
          </w:tcPr>
          <w:p w14:paraId="44AEEB2A" w14:textId="6B5509A3" w:rsidR="00402EFD" w:rsidRPr="00D56964" w:rsidRDefault="00402EFD" w:rsidP="00402EFD">
            <w:pPr>
              <w:pStyle w:val="Table"/>
              <w:rPr>
                <w:rFonts w:ascii="Arial" w:hAnsi="Arial"/>
                <w:noProof/>
                <w:sz w:val="24"/>
              </w:rPr>
            </w:pPr>
            <w:r>
              <w:rPr>
                <w:rFonts w:ascii="Arial" w:hAnsi="Arial"/>
                <w:noProof/>
                <w:sz w:val="24"/>
              </w:rPr>
              <w:t>Kroatien</w:t>
            </w:r>
          </w:p>
        </w:tc>
        <w:tc>
          <w:tcPr>
            <w:tcW w:w="623" w:type="pct"/>
            <w:shd w:val="clear" w:color="auto" w:fill="E2EFD9" w:themeFill="accent6" w:themeFillTint="33"/>
          </w:tcPr>
          <w:p w14:paraId="05808633" w14:textId="66E0CD15"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2EA90122" w14:textId="045F9A34"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249D4E71" w14:textId="55E32318"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41D71DC4" w14:textId="21B03C88"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749DC470" w14:textId="36C9E240"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6385ED87" w14:textId="6741A977"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23F6432A" w14:textId="765C82D9"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397B640C" w14:textId="75984683"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596C43C9" w14:textId="77777777" w:rsidTr="00346220">
        <w:trPr>
          <w:trHeight w:val="154"/>
        </w:trPr>
        <w:tc>
          <w:tcPr>
            <w:tcW w:w="856" w:type="pct"/>
          </w:tcPr>
          <w:p w14:paraId="6FC3AA99" w14:textId="04A6EB65" w:rsidR="00402EFD" w:rsidRPr="00D56964" w:rsidRDefault="00402EFD" w:rsidP="00402EFD">
            <w:pPr>
              <w:pStyle w:val="Table"/>
              <w:rPr>
                <w:rFonts w:ascii="Arial" w:hAnsi="Arial"/>
                <w:noProof/>
                <w:sz w:val="24"/>
              </w:rPr>
            </w:pPr>
            <w:r>
              <w:rPr>
                <w:rFonts w:ascii="Arial" w:hAnsi="Arial"/>
                <w:noProof/>
                <w:sz w:val="24"/>
              </w:rPr>
              <w:t>Ungarn</w:t>
            </w:r>
          </w:p>
        </w:tc>
        <w:tc>
          <w:tcPr>
            <w:tcW w:w="623" w:type="pct"/>
            <w:shd w:val="clear" w:color="auto" w:fill="E2EFD9" w:themeFill="accent6" w:themeFillTint="33"/>
          </w:tcPr>
          <w:p w14:paraId="40749F00" w14:textId="26E0A3F2"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5504A0BC" w14:textId="47CF946D"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2D972F0E" w14:textId="3ED306A5"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1BF4EF00" w14:textId="59C84C26"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1E818E58" w14:textId="22796195"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6B3E9A69" w14:textId="3B63AB58"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5BB6A32E" w14:textId="4605E981"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089F116D" w14:textId="6D77997D"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3304B66D" w14:textId="77777777" w:rsidTr="00346220">
        <w:trPr>
          <w:trHeight w:val="154"/>
        </w:trPr>
        <w:tc>
          <w:tcPr>
            <w:tcW w:w="856" w:type="pct"/>
          </w:tcPr>
          <w:p w14:paraId="297150E9" w14:textId="701D94BE" w:rsidR="00402EFD" w:rsidRPr="00D56964" w:rsidRDefault="00402EFD" w:rsidP="00402EFD">
            <w:pPr>
              <w:pStyle w:val="Table"/>
              <w:rPr>
                <w:rFonts w:ascii="Arial" w:hAnsi="Arial"/>
                <w:noProof/>
                <w:sz w:val="24"/>
              </w:rPr>
            </w:pPr>
            <w:r>
              <w:rPr>
                <w:rFonts w:ascii="Arial" w:hAnsi="Arial"/>
                <w:noProof/>
                <w:sz w:val="24"/>
              </w:rPr>
              <w:t>Irland</w:t>
            </w:r>
          </w:p>
        </w:tc>
        <w:tc>
          <w:tcPr>
            <w:tcW w:w="623" w:type="pct"/>
            <w:shd w:val="clear" w:color="auto" w:fill="E2EFD9" w:themeFill="accent6" w:themeFillTint="33"/>
          </w:tcPr>
          <w:p w14:paraId="7B39BAC8" w14:textId="1E012D28"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0BF7713" w14:textId="0EDC84B8"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7C480DCF" w14:textId="38FB8B4B"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346AC6A" w14:textId="69DB34C2"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79516633" w14:textId="2E0EDF07"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42CAB0EE" w14:textId="035A34C3"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4F284C8" w14:textId="739045ED"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16DCE332" w14:textId="6A1A1632"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3FE8324F" w14:textId="77777777" w:rsidTr="00346220">
        <w:trPr>
          <w:trHeight w:val="154"/>
        </w:trPr>
        <w:tc>
          <w:tcPr>
            <w:tcW w:w="856" w:type="pct"/>
          </w:tcPr>
          <w:p w14:paraId="56D75574" w14:textId="04BA1568" w:rsidR="00402EFD" w:rsidRPr="00D56964" w:rsidRDefault="00402EFD" w:rsidP="00402EFD">
            <w:pPr>
              <w:pStyle w:val="Table"/>
              <w:rPr>
                <w:rFonts w:ascii="Arial" w:hAnsi="Arial"/>
                <w:noProof/>
                <w:sz w:val="24"/>
              </w:rPr>
            </w:pPr>
            <w:r>
              <w:rPr>
                <w:rFonts w:ascii="Arial" w:hAnsi="Arial"/>
                <w:noProof/>
                <w:sz w:val="24"/>
              </w:rPr>
              <w:t>Italien</w:t>
            </w:r>
          </w:p>
        </w:tc>
        <w:tc>
          <w:tcPr>
            <w:tcW w:w="623" w:type="pct"/>
            <w:shd w:val="clear" w:color="auto" w:fill="E2EFD9" w:themeFill="accent6" w:themeFillTint="33"/>
          </w:tcPr>
          <w:p w14:paraId="1DF62586" w14:textId="309F7A8C"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70A4C1E" w14:textId="763F27B0"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3116C47C" w14:textId="689D7BF4"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517C9B9E" w14:textId="5FA2059A"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346ADCAF" w14:textId="3CE52454"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02A0E8B7" w14:textId="7FBEC448"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20C5E5D" w14:textId="0FEE7A52"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5F8D043B" w14:textId="44784DCD"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3EB2859E" w14:textId="77777777" w:rsidTr="00346220">
        <w:trPr>
          <w:trHeight w:val="154"/>
        </w:trPr>
        <w:tc>
          <w:tcPr>
            <w:tcW w:w="856" w:type="pct"/>
          </w:tcPr>
          <w:p w14:paraId="49DEE999" w14:textId="04579E57" w:rsidR="00402EFD" w:rsidRPr="00D56964" w:rsidRDefault="00402EFD" w:rsidP="00402EFD">
            <w:pPr>
              <w:pStyle w:val="Table"/>
              <w:rPr>
                <w:rFonts w:ascii="Arial" w:hAnsi="Arial"/>
                <w:noProof/>
                <w:sz w:val="24"/>
              </w:rPr>
            </w:pPr>
            <w:r>
              <w:rPr>
                <w:rFonts w:ascii="Arial" w:hAnsi="Arial"/>
                <w:noProof/>
                <w:sz w:val="24"/>
              </w:rPr>
              <w:t>Litauen</w:t>
            </w:r>
          </w:p>
        </w:tc>
        <w:tc>
          <w:tcPr>
            <w:tcW w:w="623" w:type="pct"/>
            <w:shd w:val="clear" w:color="auto" w:fill="E2EFD9" w:themeFill="accent6" w:themeFillTint="33"/>
          </w:tcPr>
          <w:p w14:paraId="07B477D0" w14:textId="5922ED95"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1652940" w14:textId="7892C5F9"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10EC490E" w14:textId="4AD269D2"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53BB5887" w14:textId="7EAEC086"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554026F5" w14:textId="1D92ED6B" w:rsidR="00402EFD" w:rsidRPr="00D56964" w:rsidRDefault="00402EFD" w:rsidP="00402EFD">
            <w:pPr>
              <w:pStyle w:val="Table"/>
              <w:rPr>
                <w:rFonts w:ascii="Arial" w:hAnsi="Arial"/>
                <w:noProof/>
                <w:sz w:val="24"/>
              </w:rPr>
            </w:pPr>
            <w:r>
              <w:rPr>
                <w:rFonts w:ascii="Arial" w:hAnsi="Arial"/>
                <w:noProof/>
                <w:sz w:val="24"/>
              </w:rPr>
              <w:t>Ja</w:t>
            </w:r>
            <w:r>
              <w:rPr>
                <w:rStyle w:val="FootnoteReference"/>
                <w:noProof/>
              </w:rPr>
              <w:t>(</w:t>
            </w:r>
            <w:r>
              <w:rPr>
                <w:rStyle w:val="FootnoteReference"/>
                <w:noProof/>
              </w:rPr>
              <w:footnoteReference w:id="139"/>
            </w:r>
            <w:r>
              <w:rPr>
                <w:rStyle w:val="FootnoteReference"/>
                <w:noProof/>
              </w:rPr>
              <w:t>))</w:t>
            </w:r>
          </w:p>
        </w:tc>
        <w:tc>
          <w:tcPr>
            <w:tcW w:w="554" w:type="pct"/>
            <w:shd w:val="clear" w:color="auto" w:fill="E2EFD9" w:themeFill="accent6" w:themeFillTint="33"/>
          </w:tcPr>
          <w:p w14:paraId="19235EC5" w14:textId="579E3389"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CF77644" w14:textId="735A4067"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3C811294" w14:textId="1C12C659"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5507836D" w14:textId="77777777" w:rsidTr="00346220">
        <w:trPr>
          <w:trHeight w:val="154"/>
        </w:trPr>
        <w:tc>
          <w:tcPr>
            <w:tcW w:w="856" w:type="pct"/>
          </w:tcPr>
          <w:p w14:paraId="61BCCDAC" w14:textId="053FB862" w:rsidR="00402EFD" w:rsidRPr="00D56964" w:rsidRDefault="00402EFD" w:rsidP="00402EFD">
            <w:pPr>
              <w:pStyle w:val="Table"/>
              <w:rPr>
                <w:rFonts w:ascii="Arial" w:hAnsi="Arial"/>
                <w:noProof/>
                <w:sz w:val="24"/>
              </w:rPr>
            </w:pPr>
            <w:r>
              <w:rPr>
                <w:rFonts w:ascii="Arial" w:hAnsi="Arial"/>
                <w:noProof/>
                <w:sz w:val="24"/>
              </w:rPr>
              <w:t>Luxembourg</w:t>
            </w:r>
          </w:p>
        </w:tc>
        <w:tc>
          <w:tcPr>
            <w:tcW w:w="623" w:type="pct"/>
            <w:shd w:val="clear" w:color="auto" w:fill="FFF2CC" w:themeFill="accent4" w:themeFillTint="33"/>
          </w:tcPr>
          <w:p w14:paraId="232B2012" w14:textId="7297A9B9"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487A0B2F" w14:textId="07BB876C"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0D0BF034" w14:textId="11DD33F0"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1E0AC479" w14:textId="7B3CDABE"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1E2017AC" w14:textId="17E292BE"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5038E06C" w14:textId="0BD28C96"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1067F41" w14:textId="7853F08A"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614CA94B" w14:textId="76898ED9"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40390455" w14:textId="77777777" w:rsidTr="00346220">
        <w:trPr>
          <w:trHeight w:val="154"/>
        </w:trPr>
        <w:tc>
          <w:tcPr>
            <w:tcW w:w="856" w:type="pct"/>
          </w:tcPr>
          <w:p w14:paraId="1C49DCFE" w14:textId="1C0B99BE" w:rsidR="00402EFD" w:rsidRPr="00D56964" w:rsidRDefault="00402EFD" w:rsidP="00402EFD">
            <w:pPr>
              <w:pStyle w:val="Table"/>
              <w:rPr>
                <w:rFonts w:ascii="Arial" w:hAnsi="Arial"/>
                <w:noProof/>
                <w:sz w:val="24"/>
              </w:rPr>
            </w:pPr>
            <w:r>
              <w:rPr>
                <w:rFonts w:ascii="Arial" w:hAnsi="Arial"/>
                <w:noProof/>
                <w:sz w:val="24"/>
              </w:rPr>
              <w:t>Letland</w:t>
            </w:r>
          </w:p>
        </w:tc>
        <w:tc>
          <w:tcPr>
            <w:tcW w:w="623" w:type="pct"/>
            <w:shd w:val="clear" w:color="auto" w:fill="E2EFD9" w:themeFill="accent6" w:themeFillTint="33"/>
          </w:tcPr>
          <w:p w14:paraId="58AFC16E" w14:textId="5F80E7AD"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99C8BE6" w14:textId="4CF2A830"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35AFE8D2" w14:textId="3A3BF4C8"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38839A34" w14:textId="5C13C330"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2BBF9588" w14:textId="53E87874"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6FD857AC" w14:textId="4D06323D"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59A85672" w14:textId="7FD6CA45"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2A094216" w14:textId="11090BFD"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6423EF05" w14:textId="77777777" w:rsidTr="00346220">
        <w:trPr>
          <w:trHeight w:val="154"/>
        </w:trPr>
        <w:tc>
          <w:tcPr>
            <w:tcW w:w="856" w:type="pct"/>
          </w:tcPr>
          <w:p w14:paraId="66680F83" w14:textId="4F4B94D5" w:rsidR="00402EFD" w:rsidRPr="00D56964" w:rsidRDefault="00402EFD" w:rsidP="00402EFD">
            <w:pPr>
              <w:pStyle w:val="Table"/>
              <w:rPr>
                <w:rFonts w:ascii="Arial" w:hAnsi="Arial"/>
                <w:noProof/>
                <w:sz w:val="24"/>
              </w:rPr>
            </w:pPr>
            <w:r>
              <w:rPr>
                <w:rFonts w:ascii="Arial" w:hAnsi="Arial"/>
                <w:noProof/>
                <w:sz w:val="24"/>
              </w:rPr>
              <w:t>Malta</w:t>
            </w:r>
          </w:p>
        </w:tc>
        <w:tc>
          <w:tcPr>
            <w:tcW w:w="623" w:type="pct"/>
            <w:shd w:val="clear" w:color="auto" w:fill="FFF2CC" w:themeFill="accent4" w:themeFillTint="33"/>
          </w:tcPr>
          <w:p w14:paraId="4127FE3D" w14:textId="42614F80"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36514859" w14:textId="1B11A806"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67513E2B" w14:textId="19B0CDAA"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32CAEE89" w14:textId="0EDBECD1"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2E2DBB5D" w14:textId="4D162C11"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2B799E1A" w14:textId="36F03DFC" w:rsidR="00402EFD" w:rsidRPr="00D56964" w:rsidRDefault="00402EFD" w:rsidP="00402EFD">
            <w:pPr>
              <w:pStyle w:val="Table"/>
              <w:rPr>
                <w:rFonts w:ascii="Arial" w:hAnsi="Arial"/>
                <w:noProof/>
                <w:sz w:val="24"/>
              </w:rPr>
            </w:pPr>
            <w:r>
              <w:rPr>
                <w:rFonts w:ascii="Arial" w:hAnsi="Arial"/>
                <w:noProof/>
                <w:sz w:val="24"/>
              </w:rPr>
              <w:t>Ja</w:t>
            </w:r>
            <w:r>
              <w:rPr>
                <w:rStyle w:val="FootnoteReference"/>
                <w:noProof/>
              </w:rPr>
              <w:t>(</w:t>
            </w:r>
            <w:r>
              <w:rPr>
                <w:rStyle w:val="FootnoteReference"/>
                <w:noProof/>
              </w:rPr>
              <w:footnoteReference w:id="140"/>
            </w:r>
            <w:r>
              <w:rPr>
                <w:rStyle w:val="FootnoteReference"/>
                <w:noProof/>
              </w:rPr>
              <w:t>))</w:t>
            </w:r>
          </w:p>
        </w:tc>
        <w:tc>
          <w:tcPr>
            <w:tcW w:w="465" w:type="pct"/>
            <w:shd w:val="clear" w:color="auto" w:fill="FFF2CC" w:themeFill="accent4" w:themeFillTint="33"/>
          </w:tcPr>
          <w:p w14:paraId="73B31193" w14:textId="7169083A"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37B63534" w14:textId="361FC0E3"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1354224D" w14:textId="77777777" w:rsidTr="00346220">
        <w:trPr>
          <w:trHeight w:val="154"/>
        </w:trPr>
        <w:tc>
          <w:tcPr>
            <w:tcW w:w="856" w:type="pct"/>
          </w:tcPr>
          <w:p w14:paraId="51957891" w14:textId="528DC603" w:rsidR="00402EFD" w:rsidRPr="00D56964" w:rsidRDefault="00402EFD" w:rsidP="00402EFD">
            <w:pPr>
              <w:pStyle w:val="Table"/>
              <w:rPr>
                <w:rFonts w:ascii="Arial" w:hAnsi="Arial"/>
                <w:noProof/>
                <w:sz w:val="24"/>
              </w:rPr>
            </w:pPr>
            <w:r>
              <w:rPr>
                <w:rFonts w:ascii="Arial" w:hAnsi="Arial"/>
                <w:noProof/>
                <w:sz w:val="24"/>
              </w:rPr>
              <w:t>Nederlandene</w:t>
            </w:r>
          </w:p>
        </w:tc>
        <w:tc>
          <w:tcPr>
            <w:tcW w:w="623" w:type="pct"/>
            <w:shd w:val="clear" w:color="auto" w:fill="FFF2CC" w:themeFill="accent4" w:themeFillTint="33"/>
          </w:tcPr>
          <w:p w14:paraId="6E3F4623" w14:textId="481F41D7"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0C72A966" w14:textId="71EBF4D1"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25D96B20" w14:textId="26CD4B49"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20EF5F87" w14:textId="3E0375A7"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1A307AAA" w14:textId="1E93FCE9"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50DE7D36" w14:textId="7707C311"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027655F7" w14:textId="687C15E2"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10CC93F0" w14:textId="5889A555"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18F04CE1" w14:textId="77777777" w:rsidTr="00346220">
        <w:trPr>
          <w:trHeight w:val="154"/>
        </w:trPr>
        <w:tc>
          <w:tcPr>
            <w:tcW w:w="856" w:type="pct"/>
          </w:tcPr>
          <w:p w14:paraId="1DB4B2BA" w14:textId="382A6AEC" w:rsidR="00402EFD" w:rsidRPr="00D56964" w:rsidRDefault="00402EFD" w:rsidP="00402EFD">
            <w:pPr>
              <w:pStyle w:val="Table"/>
              <w:rPr>
                <w:rFonts w:ascii="Arial" w:hAnsi="Arial"/>
                <w:noProof/>
                <w:sz w:val="24"/>
              </w:rPr>
            </w:pPr>
            <w:r>
              <w:rPr>
                <w:rFonts w:ascii="Arial" w:hAnsi="Arial"/>
                <w:noProof/>
                <w:sz w:val="24"/>
              </w:rPr>
              <w:t>Polen</w:t>
            </w:r>
          </w:p>
        </w:tc>
        <w:tc>
          <w:tcPr>
            <w:tcW w:w="623" w:type="pct"/>
            <w:shd w:val="clear" w:color="auto" w:fill="FFF2CC" w:themeFill="accent4" w:themeFillTint="33"/>
          </w:tcPr>
          <w:p w14:paraId="38393960" w14:textId="7E56471B"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065AED5F" w14:textId="5537FF86"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695112A7" w14:textId="3AE1DFFB"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64572E6" w14:textId="5AD08B0C"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1155C06B" w14:textId="57E58B67"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21C37AB3" w14:textId="58A48B48"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6346F6D9" w14:textId="420431AF"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3478CA29" w14:textId="1791AE3E"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092720B1" w14:textId="77777777" w:rsidTr="00346220">
        <w:trPr>
          <w:trHeight w:val="154"/>
        </w:trPr>
        <w:tc>
          <w:tcPr>
            <w:tcW w:w="856" w:type="pct"/>
          </w:tcPr>
          <w:p w14:paraId="55C2203D" w14:textId="7B43ED4D" w:rsidR="00402EFD" w:rsidRPr="00D56964" w:rsidRDefault="00402EFD" w:rsidP="00402EFD">
            <w:pPr>
              <w:pStyle w:val="Table"/>
              <w:rPr>
                <w:rFonts w:ascii="Arial" w:hAnsi="Arial"/>
                <w:noProof/>
                <w:sz w:val="24"/>
              </w:rPr>
            </w:pPr>
            <w:r>
              <w:rPr>
                <w:rFonts w:ascii="Arial" w:hAnsi="Arial"/>
                <w:noProof/>
                <w:sz w:val="24"/>
              </w:rPr>
              <w:t>Portugal</w:t>
            </w:r>
          </w:p>
        </w:tc>
        <w:tc>
          <w:tcPr>
            <w:tcW w:w="623" w:type="pct"/>
            <w:shd w:val="clear" w:color="auto" w:fill="E2EFD9" w:themeFill="accent6" w:themeFillTint="33"/>
          </w:tcPr>
          <w:p w14:paraId="135BAF76" w14:textId="3F47EED2"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F66F98A" w14:textId="180E44BC"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6C7FFB65" w14:textId="31094A2A"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04DC50D9" w14:textId="6B33E3E6"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131651C0" w14:textId="5831359E"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5A4B0013" w14:textId="5BC5B87C"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A4EC421" w14:textId="03E03E8A"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0AC6D6B2" w14:textId="45759DDC"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157F85AF" w14:textId="77777777" w:rsidTr="00346220">
        <w:trPr>
          <w:trHeight w:val="154"/>
        </w:trPr>
        <w:tc>
          <w:tcPr>
            <w:tcW w:w="856" w:type="pct"/>
          </w:tcPr>
          <w:p w14:paraId="3D1DD85A" w14:textId="5B6B812B" w:rsidR="00402EFD" w:rsidRPr="00D56964" w:rsidRDefault="00402EFD" w:rsidP="00402EFD">
            <w:pPr>
              <w:pStyle w:val="Table"/>
              <w:rPr>
                <w:rFonts w:ascii="Arial" w:hAnsi="Arial"/>
                <w:noProof/>
                <w:sz w:val="24"/>
              </w:rPr>
            </w:pPr>
            <w:r>
              <w:rPr>
                <w:rFonts w:ascii="Arial" w:hAnsi="Arial"/>
                <w:noProof/>
                <w:sz w:val="24"/>
              </w:rPr>
              <w:t>Rumænien</w:t>
            </w:r>
          </w:p>
        </w:tc>
        <w:tc>
          <w:tcPr>
            <w:tcW w:w="623" w:type="pct"/>
            <w:shd w:val="clear" w:color="auto" w:fill="E2EFD9" w:themeFill="accent6" w:themeFillTint="33"/>
          </w:tcPr>
          <w:p w14:paraId="3D01DB6C" w14:textId="70C68FD4"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B4B9933" w14:textId="4B7D60D6"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6E4100A2" w14:textId="74C52604"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EC22F27" w14:textId="1AA6E4CE"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0A97BF04" w14:textId="1188FD90" w:rsidR="00402EFD" w:rsidRPr="00D56964" w:rsidRDefault="00402EFD" w:rsidP="00402EFD">
            <w:pPr>
              <w:pStyle w:val="Table"/>
              <w:rPr>
                <w:rFonts w:ascii="Arial" w:hAnsi="Arial"/>
                <w:noProof/>
                <w:sz w:val="24"/>
              </w:rPr>
            </w:pPr>
            <w:r>
              <w:rPr>
                <w:rFonts w:ascii="Arial" w:hAnsi="Arial"/>
                <w:noProof/>
                <w:sz w:val="24"/>
              </w:rPr>
              <w:t>Ja</w:t>
            </w:r>
            <w:r>
              <w:rPr>
                <w:rStyle w:val="FootnoteReference"/>
                <w:noProof/>
              </w:rPr>
              <w:t>(</w:t>
            </w:r>
            <w:r>
              <w:rPr>
                <w:rStyle w:val="FootnoteReference"/>
                <w:noProof/>
              </w:rPr>
              <w:footnoteReference w:id="141"/>
            </w:r>
            <w:r>
              <w:rPr>
                <w:rStyle w:val="FootnoteReference"/>
                <w:noProof/>
              </w:rPr>
              <w:t>))</w:t>
            </w:r>
          </w:p>
        </w:tc>
        <w:tc>
          <w:tcPr>
            <w:tcW w:w="554" w:type="pct"/>
            <w:shd w:val="clear" w:color="auto" w:fill="E2EFD9" w:themeFill="accent6" w:themeFillTint="33"/>
          </w:tcPr>
          <w:p w14:paraId="7A87B9BE" w14:textId="08409A7A"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3ED9E31" w14:textId="30E49D83"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0DDA947F" w14:textId="1477D9F3" w:rsidR="00402EFD" w:rsidRPr="00D56964" w:rsidRDefault="00402EFD" w:rsidP="00402EFD">
            <w:pPr>
              <w:pStyle w:val="Table"/>
              <w:rPr>
                <w:rFonts w:ascii="Arial" w:hAnsi="Arial"/>
                <w:noProof/>
                <w:sz w:val="24"/>
              </w:rPr>
            </w:pPr>
            <w:r>
              <w:rPr>
                <w:rFonts w:ascii="Arial" w:hAnsi="Arial"/>
                <w:noProof/>
                <w:sz w:val="24"/>
              </w:rPr>
              <w:t>Nej</w:t>
            </w:r>
          </w:p>
        </w:tc>
      </w:tr>
      <w:tr w:rsidR="00402EFD" w:rsidRPr="00D56964" w14:paraId="1B87D2BB" w14:textId="77777777" w:rsidTr="00346220">
        <w:trPr>
          <w:trHeight w:val="154"/>
        </w:trPr>
        <w:tc>
          <w:tcPr>
            <w:tcW w:w="856" w:type="pct"/>
          </w:tcPr>
          <w:p w14:paraId="5838513B" w14:textId="47C3C2C8" w:rsidR="00402EFD" w:rsidRPr="00D56964" w:rsidRDefault="00402EFD" w:rsidP="00402EFD">
            <w:pPr>
              <w:pStyle w:val="Table"/>
              <w:rPr>
                <w:rFonts w:ascii="Arial" w:hAnsi="Arial"/>
                <w:noProof/>
                <w:sz w:val="24"/>
              </w:rPr>
            </w:pPr>
            <w:r>
              <w:rPr>
                <w:rFonts w:ascii="Arial" w:hAnsi="Arial"/>
                <w:noProof/>
                <w:sz w:val="24"/>
              </w:rPr>
              <w:t>Sverige</w:t>
            </w:r>
          </w:p>
        </w:tc>
        <w:tc>
          <w:tcPr>
            <w:tcW w:w="623" w:type="pct"/>
            <w:shd w:val="clear" w:color="auto" w:fill="E2EFD9" w:themeFill="accent6" w:themeFillTint="33"/>
          </w:tcPr>
          <w:p w14:paraId="0391294B" w14:textId="22474F34"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72E9C216" w14:textId="00A425E1"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CC7CDC4" w14:textId="3BABDBA1"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682D90C6" w14:textId="29FD5C0B"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3717DB17" w14:textId="6D051E04" w:rsidR="00402EFD" w:rsidRPr="00D56964" w:rsidRDefault="00402EFD" w:rsidP="00402EFD">
            <w:pPr>
              <w:pStyle w:val="Table"/>
              <w:rPr>
                <w:rFonts w:ascii="Arial" w:hAnsi="Arial"/>
                <w:noProof/>
                <w:sz w:val="24"/>
              </w:rPr>
            </w:pPr>
            <w:r>
              <w:rPr>
                <w:rFonts w:ascii="Arial" w:hAnsi="Arial"/>
                <w:noProof/>
                <w:sz w:val="24"/>
              </w:rPr>
              <w:t>Ja</w:t>
            </w:r>
            <w:r>
              <w:rPr>
                <w:rStyle w:val="FootnoteReference"/>
                <w:noProof/>
              </w:rPr>
              <w:t>(</w:t>
            </w:r>
            <w:r>
              <w:rPr>
                <w:rStyle w:val="FootnoteReference"/>
                <w:noProof/>
              </w:rPr>
              <w:footnoteReference w:id="142"/>
            </w:r>
            <w:r>
              <w:rPr>
                <w:rStyle w:val="FootnoteReference"/>
                <w:noProof/>
              </w:rPr>
              <w:t>))</w:t>
            </w:r>
          </w:p>
        </w:tc>
        <w:tc>
          <w:tcPr>
            <w:tcW w:w="554" w:type="pct"/>
            <w:shd w:val="clear" w:color="auto" w:fill="E2EFD9" w:themeFill="accent6" w:themeFillTint="33"/>
          </w:tcPr>
          <w:p w14:paraId="293CCF0F" w14:textId="7C9ED621"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1CE033CA" w14:textId="62E28668"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602F8ED8" w14:textId="13A1346F" w:rsidR="00402EFD" w:rsidRPr="00D56964" w:rsidRDefault="00402EFD" w:rsidP="00402EFD">
            <w:pPr>
              <w:pStyle w:val="Table"/>
              <w:rPr>
                <w:rFonts w:ascii="Arial" w:hAnsi="Arial"/>
                <w:noProof/>
                <w:sz w:val="24"/>
              </w:rPr>
            </w:pPr>
            <w:r>
              <w:rPr>
                <w:rFonts w:ascii="Arial" w:hAnsi="Arial"/>
                <w:noProof/>
                <w:sz w:val="24"/>
              </w:rPr>
              <w:t>Nej</w:t>
            </w:r>
          </w:p>
        </w:tc>
      </w:tr>
      <w:tr w:rsidR="00402EFD" w:rsidRPr="00D56964" w14:paraId="21B5EF6B" w14:textId="77777777" w:rsidTr="00346220">
        <w:trPr>
          <w:trHeight w:val="154"/>
        </w:trPr>
        <w:tc>
          <w:tcPr>
            <w:tcW w:w="856" w:type="pct"/>
          </w:tcPr>
          <w:p w14:paraId="44AC16BE" w14:textId="05AD6153" w:rsidR="00402EFD" w:rsidRPr="00D56964" w:rsidRDefault="00402EFD" w:rsidP="00402EFD">
            <w:pPr>
              <w:pStyle w:val="Table"/>
              <w:rPr>
                <w:rFonts w:ascii="Arial" w:hAnsi="Arial"/>
                <w:noProof/>
                <w:sz w:val="24"/>
              </w:rPr>
            </w:pPr>
            <w:r>
              <w:rPr>
                <w:rFonts w:ascii="Arial" w:hAnsi="Arial"/>
                <w:noProof/>
                <w:sz w:val="24"/>
              </w:rPr>
              <w:t>Slovenien</w:t>
            </w:r>
          </w:p>
        </w:tc>
        <w:tc>
          <w:tcPr>
            <w:tcW w:w="623" w:type="pct"/>
            <w:shd w:val="clear" w:color="auto" w:fill="E2EFD9" w:themeFill="accent6" w:themeFillTint="33"/>
          </w:tcPr>
          <w:p w14:paraId="18F14374" w14:textId="094E9C55"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7AB5771A" w14:textId="7591E417"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1EA728F8" w14:textId="00A5BC2F"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0DDB63C6" w14:textId="02998773"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348F66D1" w14:textId="0352D988"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7C682921" w14:textId="0D3E2B57"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2FEC296" w14:textId="086CFEE4"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427BC80A" w14:textId="05DF2503" w:rsidR="00402EFD" w:rsidRPr="00D56964" w:rsidRDefault="00402EFD" w:rsidP="00402EFD">
            <w:pPr>
              <w:pStyle w:val="Table"/>
              <w:rPr>
                <w:rFonts w:ascii="Arial" w:hAnsi="Arial"/>
                <w:noProof/>
                <w:sz w:val="24"/>
              </w:rPr>
            </w:pPr>
            <w:r>
              <w:rPr>
                <w:rFonts w:ascii="Arial" w:hAnsi="Arial"/>
                <w:noProof/>
                <w:sz w:val="24"/>
              </w:rPr>
              <w:t>Nej</w:t>
            </w:r>
          </w:p>
        </w:tc>
      </w:tr>
      <w:tr w:rsidR="00402EFD" w:rsidRPr="00D56964" w14:paraId="7BFD7BDF" w14:textId="77777777" w:rsidTr="00346220">
        <w:trPr>
          <w:trHeight w:val="154"/>
        </w:trPr>
        <w:tc>
          <w:tcPr>
            <w:tcW w:w="856" w:type="pct"/>
          </w:tcPr>
          <w:p w14:paraId="5BAE8FCC" w14:textId="50653F1E" w:rsidR="00402EFD" w:rsidRPr="00D56964" w:rsidRDefault="00402EFD" w:rsidP="00402EFD">
            <w:pPr>
              <w:pStyle w:val="Table"/>
              <w:rPr>
                <w:rFonts w:ascii="Arial" w:hAnsi="Arial"/>
                <w:noProof/>
                <w:sz w:val="24"/>
              </w:rPr>
            </w:pPr>
            <w:r>
              <w:rPr>
                <w:rFonts w:ascii="Arial" w:hAnsi="Arial"/>
                <w:noProof/>
                <w:sz w:val="24"/>
              </w:rPr>
              <w:t>Slovakiet</w:t>
            </w:r>
          </w:p>
        </w:tc>
        <w:tc>
          <w:tcPr>
            <w:tcW w:w="623" w:type="pct"/>
            <w:shd w:val="clear" w:color="auto" w:fill="E2EFD9" w:themeFill="accent6" w:themeFillTint="33"/>
          </w:tcPr>
          <w:p w14:paraId="52CF5A3A" w14:textId="2490B41D"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7C54A18" w14:textId="5AA7899A"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66B8718E" w14:textId="5402B5A6"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CE931B9" w14:textId="62B38811"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29255795" w14:textId="3E23DEBA"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189DACA6" w14:textId="1565A69D"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3F514A6" w14:textId="680EB79D"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1C2614ED" w14:textId="788A2F48" w:rsidR="00402EFD" w:rsidRPr="00D56964" w:rsidRDefault="00402EFD" w:rsidP="00402EFD">
            <w:pPr>
              <w:pStyle w:val="Table"/>
              <w:rPr>
                <w:rFonts w:ascii="Arial" w:hAnsi="Arial"/>
                <w:noProof/>
                <w:sz w:val="24"/>
              </w:rPr>
            </w:pPr>
            <w:r>
              <w:rPr>
                <w:rFonts w:ascii="Arial" w:hAnsi="Arial"/>
                <w:noProof/>
                <w:sz w:val="24"/>
              </w:rPr>
              <w:t>Nej</w:t>
            </w:r>
          </w:p>
        </w:tc>
      </w:tr>
    </w:tbl>
    <w:p w14:paraId="56CE4BE4" w14:textId="6DCB6C32" w:rsidR="00552F78" w:rsidRPr="00B42AEB" w:rsidRDefault="00552F78" w:rsidP="00ED533D">
      <w:pPr>
        <w:rPr>
          <w:noProof/>
        </w:rPr>
      </w:pPr>
    </w:p>
    <w:sectPr w:rsidR="00552F78" w:rsidRPr="00B42AEB"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separator/>
      </w:r>
    </w:p>
  </w:endnote>
  <w:endnote w:type="continuationSeparator" w:id="0">
    <w:p w14:paraId="1D11D629" w14:textId="77777777" w:rsidR="00346220" w:rsidRPr="00365B62" w:rsidRDefault="00346220" w:rsidP="00B42AEB">
      <w:r>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633190" w14:textId="2F0B230F" w:rsidR="00723583" w:rsidRPr="00723583" w:rsidRDefault="00723583" w:rsidP="00723583">
    <w:pPr>
      <w:pStyle w:val="FooterCoverPage"/>
      <w:rPr>
        <w:rFonts w:ascii="Arial" w:hAnsi="Arial" w:cs="Arial"/>
        <w:b/>
        <w:sz w:val="48"/>
      </w:rPr>
    </w:pPr>
    <w:r w:rsidRPr="00723583">
      <w:rPr>
        <w:rFonts w:ascii="Arial" w:hAnsi="Arial" w:cs="Arial"/>
        <w:b/>
        <w:sz w:val="48"/>
      </w:rPr>
      <w:t>DA</w:t>
    </w:r>
    <w:r w:rsidRPr="00723583">
      <w:rPr>
        <w:rFonts w:ascii="Arial" w:hAnsi="Arial" w:cs="Arial"/>
        <w:b/>
        <w:sz w:val="48"/>
      </w:rPr>
      <w:tab/>
    </w:r>
    <w:r w:rsidRPr="00723583">
      <w:rPr>
        <w:rFonts w:ascii="Arial" w:hAnsi="Arial" w:cs="Arial"/>
        <w:b/>
        <w:sz w:val="48"/>
      </w:rPr>
      <w:tab/>
    </w:r>
    <w:r w:rsidRPr="00723583">
      <w:tab/>
    </w:r>
    <w:r w:rsidRPr="00723583">
      <w:rPr>
        <w:rFonts w:ascii="Arial" w:hAnsi="Arial" w:cs="Arial"/>
        <w:b/>
        <w:sz w:val="48"/>
      </w:rPr>
      <w:t>DA</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64AAF2" w14:textId="274DE5FA" w:rsidR="00723583" w:rsidRPr="00723583" w:rsidRDefault="00723583" w:rsidP="00723583">
    <w:pPr>
      <w:pStyle w:val="FooterCoverPage"/>
      <w:rPr>
        <w:rFonts w:ascii="Arial" w:hAnsi="Arial" w:cs="Arial"/>
        <w:b/>
        <w:sz w:val="48"/>
      </w:rPr>
    </w:pPr>
    <w:r w:rsidRPr="00723583">
      <w:rPr>
        <w:rFonts w:ascii="Arial" w:hAnsi="Arial" w:cs="Arial"/>
        <w:b/>
        <w:sz w:val="48"/>
      </w:rPr>
      <w:t>DA</w:t>
    </w:r>
    <w:r w:rsidRPr="00723583">
      <w:rPr>
        <w:rFonts w:ascii="Arial" w:hAnsi="Arial" w:cs="Arial"/>
        <w:b/>
        <w:sz w:val="48"/>
      </w:rPr>
      <w:tab/>
    </w:r>
    <w:r w:rsidRPr="00723583">
      <w:rPr>
        <w:rFonts w:ascii="Arial" w:hAnsi="Arial" w:cs="Arial"/>
        <w:b/>
        <w:sz w:val="48"/>
      </w:rPr>
      <w:tab/>
    </w:r>
    <w:r w:rsidRPr="00723583">
      <w:tab/>
    </w:r>
    <w:r w:rsidRPr="00723583">
      <w:rPr>
        <w:rFonts w:ascii="Arial" w:hAnsi="Arial" w:cs="Arial"/>
        <w:b/>
        <w:sz w:val="48"/>
      </w:rPr>
      <w:t>DA</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35C536" w14:textId="77777777" w:rsidR="00723583" w:rsidRPr="00723583" w:rsidRDefault="00723583" w:rsidP="00723583">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6BF1AC8F"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723583">
          <w:rPr>
            <w:noProof/>
            <w:sz w:val="20"/>
          </w:rPr>
          <w:t>5</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separator/>
      </w:r>
    </w:p>
  </w:footnote>
  <w:footnote w:type="continuationSeparator" w:id="0">
    <w:p w14:paraId="45F6DDAA" w14:textId="77777777" w:rsidR="00346220" w:rsidRPr="00365B62" w:rsidRDefault="00346220" w:rsidP="00B42AEB">
      <w:r>
        <w:continuationSeparator/>
      </w:r>
    </w:p>
  </w:footnote>
  <w:footnote w:type="continuationNotice" w:id="1">
    <w:p w14:paraId="3BE8650C" w14:textId="77777777" w:rsidR="00346220" w:rsidRPr="00365B62" w:rsidRDefault="00346220" w:rsidP="00B42AEB"/>
  </w:footnote>
  <w:footnote w:id="2">
    <w:p w14:paraId="50404DE2" w14:textId="7673D0B1"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1" w:history="1">
        <w:r>
          <w:rPr>
            <w:rStyle w:val="Hyperlink"/>
            <w:sz w:val="20"/>
          </w:rPr>
          <w:t>Politiske retningslinjer for den næste Europa-Kommission 2019-2024</w:t>
        </w:r>
      </w:hyperlink>
      <w:r>
        <w:rPr>
          <w:rFonts w:ascii="Arial" w:hAnsi="Arial"/>
        </w:rPr>
        <w:t xml:space="preserve">. </w:t>
      </w:r>
    </w:p>
  </w:footnote>
  <w:footnote w:id="3">
    <w:p w14:paraId="5C3E2BAB" w14:textId="064171A2" w:rsidR="00EE2BB3" w:rsidRPr="006B02A7" w:rsidRDefault="00EE2BB3" w:rsidP="0034629E">
      <w:pPr>
        <w:pStyle w:val="FootnoteText"/>
        <w:spacing w:after="60" w:line="264" w:lineRule="auto"/>
        <w:ind w:left="142" w:hanging="142"/>
        <w:jc w:val="left"/>
        <w:rPr>
          <w:rFonts w:ascii="Arial" w:hAnsi="Arial" w:cs="Arial"/>
        </w:rPr>
      </w:pPr>
      <w:r>
        <w:rPr>
          <w:rStyle w:val="FootnoteReference"/>
          <w:rFonts w:eastAsiaTheme="majorEastAsia"/>
          <w:sz w:val="20"/>
        </w:rPr>
        <w:footnoteRef/>
      </w:r>
      <w:r>
        <w:rPr>
          <w:rFonts w:ascii="Arial" w:hAnsi="Arial"/>
        </w:rPr>
        <w:t xml:space="preserve"> </w:t>
      </w:r>
      <w:hyperlink r:id="rId2" w:history="1">
        <w:r>
          <w:rPr>
            <w:rStyle w:val="Hyperlink"/>
            <w:sz w:val="20"/>
          </w:rPr>
          <w:t>Statistikker |</w:t>
        </w:r>
      </w:hyperlink>
      <w:hyperlink r:id="rId3" w:history="1">
        <w:r>
          <w:rPr>
            <w:rStyle w:val="Hyperlink"/>
            <w:sz w:val="20"/>
          </w:rPr>
          <w:t xml:space="preserve"> Eurostat (europa.eu)</w:t>
        </w:r>
      </w:hyperlink>
      <w:r>
        <w:t>.</w:t>
      </w:r>
    </w:p>
  </w:footnote>
  <w:footnote w:id="4">
    <w:p w14:paraId="5E0E730A" w14:textId="541A0532"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4" w:history="1">
        <w:r>
          <w:rPr>
            <w:rStyle w:val="Hyperlink"/>
            <w:sz w:val="20"/>
          </w:rPr>
          <w:t>Rapport om valget til Europa-Parlamentet i 2019</w:t>
        </w:r>
      </w:hyperlink>
      <w:r>
        <w:t>.</w:t>
      </w:r>
    </w:p>
  </w:footnote>
  <w:footnote w:id="5">
    <w:p w14:paraId="111C1331"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Kommissionens rapport henviser også til rapporten fra Det Europæiske Økonomiske og Sociale Udvalg, ifølge hvilken det anslås, at 800 000 EU-borgere fra 16 medlemsstater kan være blevet frataget retten til at deltage i valget til Europa-Parlamentet i 2019.</w:t>
      </w:r>
    </w:p>
  </w:footnote>
  <w:footnote w:id="6">
    <w:p w14:paraId="355B1A66" w14:textId="3F8F17D8"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Læs mere om </w:t>
      </w:r>
      <w:hyperlink r:id="rId5" w:history="1">
        <w:r>
          <w:rPr>
            <w:rStyle w:val="Hyperlink"/>
            <w:sz w:val="20"/>
          </w:rPr>
          <w:t>det europæiske valgsamarbejdsnetværk</w:t>
        </w:r>
      </w:hyperlink>
      <w:r>
        <w:rPr>
          <w:rFonts w:ascii="Arial" w:hAnsi="Arial"/>
        </w:rPr>
        <w:t>.</w:t>
      </w:r>
    </w:p>
  </w:footnote>
  <w:footnote w:id="7">
    <w:p w14:paraId="1E8931A9" w14:textId="2682723A"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6" w:history="1">
        <w:r>
          <w:rPr>
            <w:rStyle w:val="Hyperlink"/>
            <w:sz w:val="20"/>
          </w:rPr>
          <w:t>Europa-Parlamentets lovgivningsmæssige beslutning af 3. maj 2022 om forslag til Rådets forordning om almindelige direkte valg af medlemmerne af Europa-Parlamentet, om ophævelse af Rådets afgørelse (76/787/ECSC, EØF, Euratom) og akten om almindelige direkte valg af medlemmerne af Europa-Parlamentet knyttet til denne afgørelse</w:t>
        </w:r>
      </w:hyperlink>
      <w:r>
        <w:t xml:space="preserve"> </w:t>
      </w:r>
      <w:r>
        <w:rPr>
          <w:rFonts w:ascii="Arial" w:hAnsi="Arial"/>
        </w:rPr>
        <w:t>(2020/2220(INL) — 2022/0902 (APP)).</w:t>
      </w:r>
    </w:p>
  </w:footnote>
  <w:footnote w:id="8">
    <w:p w14:paraId="7705D86C"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Parlamentet opfordrede også "til at give borgere med handicap størst mulig adgang til valg, herunder i det omfang, det er relevant, oplysninger om stemmeafgivelse og vælgerregistrering, valgsteder, stemmebokse og afstemningsanordninger samt stemmesedler; anbefaler, at der indføres passende foranstaltninger, der er tilpasset deres nationale stemmeprocedurer, for at gøre det lettere at stemme for borgere med handicap, f.eks. mulighed for selv at vælge valgsteder, lukkede valgsteder på vigtige placeringer og brug af støtteteknologier, -formater og -teknikker såsom blindskrift, stor skrift, audiobaseret information, taktile stencils, letlæselig information og kommunikation via tegnsprog; opfordrer medlemsstaterne til at give personer med handicap mulighed for at stemme med hjælp fra en person efter eget valg, når det er nødvendigt og på deres anmodning."</w:t>
      </w:r>
    </w:p>
  </w:footnote>
  <w:footnote w:id="9">
    <w:p w14:paraId="3D35A96A" w14:textId="43028870" w:rsidR="00EE2BB3" w:rsidRPr="006B02A7" w:rsidRDefault="00EE2BB3" w:rsidP="0034629E">
      <w:pPr>
        <w:pStyle w:val="FootnoteText"/>
        <w:spacing w:after="60" w:line="264" w:lineRule="auto"/>
        <w:ind w:left="154" w:hanging="154"/>
        <w:jc w:val="left"/>
        <w:rPr>
          <w:rFonts w:ascii="Arial" w:hAnsi="Arial" w:cs="Arial"/>
        </w:rPr>
      </w:pPr>
      <w:r>
        <w:rPr>
          <w:rStyle w:val="FootnoteReference"/>
          <w:sz w:val="20"/>
        </w:rPr>
        <w:footnoteRef/>
      </w:r>
      <w:r>
        <w:rPr>
          <w:rFonts w:ascii="Arial" w:hAnsi="Arial"/>
        </w:rPr>
        <w:t xml:space="preserve"> </w:t>
      </w:r>
      <w:hyperlink r:id="rId7" w:history="1">
        <w:r>
          <w:rPr>
            <w:rStyle w:val="Hyperlink"/>
            <w:sz w:val="20"/>
          </w:rPr>
          <w:t>Europa-Parlamentets beslutning af 13. december 2022 om vejen til lige rettigheder for personer med handicap</w:t>
        </w:r>
      </w:hyperlink>
      <w:r>
        <w:t xml:space="preserve"> (</w:t>
      </w:r>
      <w:r>
        <w:rPr>
          <w:rFonts w:ascii="Arial" w:hAnsi="Arial"/>
        </w:rPr>
        <w:t>2022/2026(INI)).</w:t>
      </w:r>
    </w:p>
  </w:footnote>
  <w:footnote w:id="10">
    <w:p w14:paraId="6375D8AA"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I beslutningen understreges endvidere behovet for at sikre retten til at stemme uafhængigt og i hemmelighed, at personer med handicap har lige muligheder for at føre valgkampagne og at valgstederne er tilgængelige for personer med handicap. Europæiske, nationale, regionale og lokale politiske partier skal sikre, at personer med handicap er bedre repræsenteret på valglisterne. De udpegede valgmyndigheder i medlemsstaterne blev opfordret til at indsamle data om valgstedernes tilgængelighed, herunder oplysninger om, hvorvidt de er tilpasset personer med handicaps behov, og til at aflægge rapport herom til Kommissionen, Rådet og Europa-Parlamentet senest et år efter afholdelsen af et valg til Europa-Parlamentet.</w:t>
      </w:r>
    </w:p>
  </w:footnote>
  <w:footnote w:id="11">
    <w:p w14:paraId="16568EE6" w14:textId="4A60DF9E" w:rsidR="00EE2BB3" w:rsidRPr="006B02A7" w:rsidRDefault="00EE2BB3" w:rsidP="0034629E">
      <w:pPr>
        <w:spacing w:after="60" w:line="264" w:lineRule="auto"/>
        <w:ind w:left="196" w:hanging="196"/>
        <w:rPr>
          <w:sz w:val="20"/>
        </w:rPr>
      </w:pPr>
      <w:r>
        <w:rPr>
          <w:rStyle w:val="FootnoteReference"/>
          <w:sz w:val="20"/>
        </w:rPr>
        <w:footnoteRef/>
      </w:r>
      <w:r>
        <w:rPr>
          <w:sz w:val="20"/>
        </w:rPr>
        <w:t xml:space="preserve"> </w:t>
      </w:r>
      <w:hyperlink r:id="rId8" w:history="1">
        <w:r>
          <w:rPr>
            <w:rStyle w:val="Hyperlink"/>
            <w:sz w:val="20"/>
            <w:shd w:val="clear" w:color="auto" w:fill="FFFFFF"/>
          </w:rPr>
          <w:t>Europa-Parlamentets lovgivningsmæssige beslutning af 14. februar 2023 om forslag til Rådets direktiv om fastsættelse af de nærmere regler for valgret og valgbarhed ved kommunale valg for unionsborgere, der har bopæl i en medlemsstat, hvor de ikke er statsborgere (omarbejdning)</w:t>
        </w:r>
      </w:hyperlink>
      <w:r>
        <w:rPr>
          <w:sz w:val="20"/>
          <w:shd w:val="clear" w:color="auto" w:fill="FFFFFF"/>
        </w:rPr>
        <w:t xml:space="preserve"> (COM(2021) 0733 —C9-0022/2022 — 2021/0373(CNS)) </w:t>
      </w:r>
      <w:r>
        <w:rPr>
          <w:sz w:val="20"/>
        </w:rPr>
        <w:t xml:space="preserve">og </w:t>
      </w:r>
      <w:hyperlink r:id="rId9" w:history="1">
        <w:r>
          <w:rPr>
            <w:rStyle w:val="Hyperlink"/>
            <w:sz w:val="20"/>
          </w:rPr>
          <w:t>Europa-Parlamentets lovgivningsmæssige beslutning af 14. februar 2023 om forslag til Rådets direktiv om fastsættelse af de nærmere regler for valgret og valgbarhed ved valg til Europa-Parlamentet for unionsborgere, der har bopæl i en medlemsstat, hvor de ikke er statsborgere (omarbejdning)</w:t>
        </w:r>
      </w:hyperlink>
      <w:r>
        <w:rPr>
          <w:sz w:val="20"/>
        </w:rPr>
        <w:t xml:space="preserve"> (COM(2021) 0732 — C9-0021/2022 — 2021/0372(CNS)).</w:t>
      </w:r>
    </w:p>
  </w:footnote>
  <w:footnote w:id="12">
    <w:p w14:paraId="2CBD2C11" w14:textId="0546226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10" w:history="1">
        <w:r>
          <w:rPr>
            <w:rStyle w:val="Hyperlink"/>
            <w:sz w:val="20"/>
          </w:rPr>
          <w:t>Det Europæiske Økonomiske og Sociale Udvalgs informationsrapport — Reel ret for personer med handicap til at stemme ved valg til Europa-Parlamentet</w:t>
        </w:r>
      </w:hyperlink>
      <w:r>
        <w:rPr>
          <w:rFonts w:ascii="Arial" w:hAnsi="Arial"/>
        </w:rPr>
        <w:t>.</w:t>
      </w:r>
    </w:p>
  </w:footnote>
  <w:footnote w:id="13">
    <w:p w14:paraId="4B10AA50"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Eksempler på bedste praksis, der nævnes i rapporten, omfatter mobile stemmeurner til personer med handicap (Bulgarien),</w:t>
      </w:r>
    </w:p>
    <w:p w14:paraId="596296A7" w14:textId="6EA2E86A" w:rsidR="00EE2BB3" w:rsidRPr="006B02A7" w:rsidRDefault="00EE2BB3" w:rsidP="002D36F0">
      <w:pPr>
        <w:pStyle w:val="FootnoteText"/>
        <w:numPr>
          <w:ilvl w:val="0"/>
          <w:numId w:val="7"/>
        </w:numPr>
        <w:spacing w:after="60" w:line="264" w:lineRule="auto"/>
        <w:jc w:val="left"/>
        <w:rPr>
          <w:rFonts w:ascii="Arial" w:hAnsi="Arial" w:cs="Arial"/>
        </w:rPr>
      </w:pPr>
      <w:r>
        <w:rPr>
          <w:rFonts w:ascii="Arial" w:hAnsi="Arial"/>
        </w:rPr>
        <w:t>målrettet informationsmateriale udarbejdet i almindeligt sprog og blindskrift (videoer, brochurer) til støtte for specifikke grupper på forskellige sprog (Belgien), forsøgsprojekt om selvstændig elektronisk stemmeafgivning for synshæmmede (Belgien), tilgængelige valgsteder og stemmeurner på hospitaler, plejehjem eller lignende institutioner (Irland),</w:t>
      </w:r>
    </w:p>
    <w:p w14:paraId="363A6B78" w14:textId="7ABB1547" w:rsidR="00EE2BB3" w:rsidRPr="006B02A7" w:rsidRDefault="00D45A6D" w:rsidP="002D36F0">
      <w:pPr>
        <w:pStyle w:val="FootnoteText"/>
        <w:numPr>
          <w:ilvl w:val="0"/>
          <w:numId w:val="7"/>
        </w:numPr>
        <w:spacing w:after="60" w:line="264" w:lineRule="auto"/>
        <w:jc w:val="left"/>
        <w:rPr>
          <w:rFonts w:ascii="Arial" w:hAnsi="Arial" w:cs="Arial"/>
        </w:rPr>
      </w:pPr>
      <w:r>
        <w:rPr>
          <w:rFonts w:ascii="Arial" w:hAnsi="Arial"/>
        </w:rPr>
        <w:t>stemmesedler på punktskrift (Slovakiet), forskning i de hindringer, som politikere med handicap står over for, og hvilke foranstaltninger der skal træffes, for at de kan deltage og udføre deres opgaver (Nederlandene).</w:t>
      </w:r>
    </w:p>
  </w:footnote>
  <w:footnote w:id="14">
    <w:p w14:paraId="29BD9682" w14:textId="1A7406FE"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w:t>
      </w:r>
      <w:hyperlink r:id="rId11" w:history="1">
        <w:r>
          <w:rPr>
            <w:rStyle w:val="Hyperlink"/>
            <w:sz w:val="20"/>
          </w:rPr>
          <w:t>Afsluttende bemærkninger til Den Europæiske Unions indledende rapport,</w:t>
        </w:r>
      </w:hyperlink>
      <w:r>
        <w:rPr>
          <w:rFonts w:ascii="Arial" w:hAnsi="Arial"/>
        </w:rPr>
        <w:t xml:space="preserve"> som komitéen vedtog på sit 14. møde i Genève i 2015. Se også</w:t>
      </w:r>
      <w:r>
        <w:t xml:space="preserve"> </w:t>
      </w:r>
      <w:hyperlink r:id="rId12" w:history="1">
        <w:r>
          <w:rPr>
            <w:rStyle w:val="Hyperlink"/>
            <w:sz w:val="20"/>
          </w:rPr>
          <w:t>rapporten fra 2023 fra FN's særlige rapportør om rettigheder for personer med handicap</w:t>
        </w:r>
      </w:hyperlink>
      <w:r>
        <w:t>.</w:t>
      </w:r>
    </w:p>
  </w:footnote>
  <w:footnote w:id="15">
    <w:p w14:paraId="774A36C8" w14:textId="0314A362"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w:t>
      </w:r>
      <w:hyperlink r:id="rId13" w:history="1">
        <w:r>
          <w:rPr>
            <w:rStyle w:val="Hyperlink"/>
            <w:sz w:val="20"/>
          </w:rPr>
          <w:t>En Union med lige muligheder:</w:t>
        </w:r>
      </w:hyperlink>
      <w:r w:rsidR="00E91BE1">
        <w:rPr>
          <w:rStyle w:val="Hyperlink"/>
          <w:sz w:val="20"/>
        </w:rPr>
        <w:t xml:space="preserve"> </w:t>
      </w:r>
      <w:hyperlink r:id="rId14" w:history="1">
        <w:r>
          <w:rPr>
            <w:rStyle w:val="Hyperlink"/>
            <w:sz w:val="20"/>
          </w:rPr>
          <w:t>Strategi for rettigheder for personer med handicap 2021-2030</w:t>
        </w:r>
      </w:hyperlink>
      <w:r>
        <w:rPr>
          <w:rFonts w:ascii="Arial" w:hAnsi="Arial"/>
        </w:rPr>
        <w:t>.</w:t>
      </w:r>
    </w:p>
  </w:footnote>
  <w:footnote w:id="16">
    <w:p w14:paraId="7D6E94BC" w14:textId="77777777" w:rsidR="00EE2BB3" w:rsidRPr="006B02A7" w:rsidRDefault="00EE2BB3" w:rsidP="0034629E">
      <w:pPr>
        <w:pStyle w:val="FootnoteText"/>
        <w:spacing w:after="60" w:line="264" w:lineRule="auto"/>
        <w:ind w:left="238" w:hanging="238"/>
        <w:jc w:val="left"/>
        <w:rPr>
          <w:rFonts w:ascii="Arial" w:hAnsi="Arial" w:cs="Arial"/>
        </w:rPr>
      </w:pPr>
      <w:r>
        <w:rPr>
          <w:rStyle w:val="FootnoteReference"/>
          <w:sz w:val="20"/>
        </w:rPr>
        <w:footnoteRef/>
      </w:r>
      <w:r>
        <w:rPr>
          <w:rFonts w:ascii="Arial" w:hAnsi="Arial"/>
        </w:rPr>
        <w:t xml:space="preserve"> Den 25. november 2021 fremlagde Kommissionen en pakke af foranstaltninger til styrkelse af demokratiet og beskyttelse af valgenes integritet. Pakken omfattede en meddelelse, hvori Kommissionen gav tilsagn om, at den vil fortsætte arbejdet i det europæiske valgsamarbejdsnetværk med henblik på at lette og forbedre alle EU-borgeres mulighed for at udøve deres stemmeret, herunder ved at støtte udveksling af bedste praksis og gensidig bistand for at sikre frie og retfærdige valg og ved at fastsætte fælles referencer for god praksis for specifikke faser af valgperioden. Den forpligtede sig til at afholde et arrangement på højt plan om valg i anden halvdel af 2023 og til at samle forskellige myndigheder i forbindelse med valg for at tackle de udfordringer, der behandles i pakken.</w:t>
      </w:r>
    </w:p>
  </w:footnote>
  <w:footnote w:id="17">
    <w:p w14:paraId="37EB63C2" w14:textId="77777777" w:rsidR="00EE2BB3" w:rsidRPr="006B02A7" w:rsidRDefault="00EE2BB3" w:rsidP="0034629E">
      <w:pPr>
        <w:pStyle w:val="FootnoteText"/>
        <w:spacing w:after="0" w:line="264" w:lineRule="auto"/>
        <w:jc w:val="left"/>
        <w:rPr>
          <w:rFonts w:ascii="Arial" w:hAnsi="Arial" w:cs="Arial"/>
        </w:rPr>
      </w:pPr>
      <w:r>
        <w:rPr>
          <w:rStyle w:val="FootnoteReference"/>
          <w:sz w:val="20"/>
        </w:rPr>
        <w:footnoteRef/>
      </w:r>
      <w:r>
        <w:rPr>
          <w:rFonts w:ascii="Arial" w:hAnsi="Arial"/>
        </w:rPr>
        <w:t xml:space="preserve"> Som eksempler på projekter kan nævnes:</w:t>
      </w:r>
    </w:p>
    <w:p w14:paraId="5C5EEDA7" w14:textId="70DA326C" w:rsidR="00EE2BB3" w:rsidRPr="00B83B51" w:rsidRDefault="00723583" w:rsidP="002D36F0">
      <w:pPr>
        <w:pStyle w:val="FootnoteText"/>
        <w:numPr>
          <w:ilvl w:val="0"/>
          <w:numId w:val="8"/>
        </w:numPr>
        <w:spacing w:after="0" w:line="264" w:lineRule="auto"/>
        <w:jc w:val="left"/>
        <w:rPr>
          <w:rFonts w:ascii="Arial" w:hAnsi="Arial" w:cs="Arial"/>
          <w:lang w:val="en-US"/>
        </w:rPr>
      </w:pPr>
      <w:hyperlink r:id="rId15" w:history="1">
        <w:r w:rsidR="00C32507" w:rsidRPr="00B83B51">
          <w:rPr>
            <w:rStyle w:val="Hyperlink"/>
            <w:sz w:val="20"/>
            <w:lang w:val="en-US"/>
          </w:rPr>
          <w:t>The Future is Ours:</w:t>
        </w:r>
      </w:hyperlink>
      <w:hyperlink r:id="rId16" w:history="1">
        <w:r w:rsidR="00C32507" w:rsidRPr="00B83B51">
          <w:rPr>
            <w:rStyle w:val="Hyperlink"/>
            <w:sz w:val="20"/>
            <w:lang w:val="en-US"/>
          </w:rPr>
          <w:t xml:space="preserve"> Persons with Disabilities Rebuild Democracy</w:t>
        </w:r>
      </w:hyperlink>
      <w:r w:rsidR="00C32507" w:rsidRPr="00B83B51">
        <w:rPr>
          <w:rFonts w:ascii="Arial" w:hAnsi="Arial"/>
          <w:lang w:val="en-US"/>
        </w:rPr>
        <w:t xml:space="preserve">. </w:t>
      </w:r>
    </w:p>
    <w:p w14:paraId="40D01A40" w14:textId="4143486F" w:rsidR="00EE2BB3" w:rsidRPr="00B83B51" w:rsidRDefault="00723583" w:rsidP="002D36F0">
      <w:pPr>
        <w:pStyle w:val="FootnoteText"/>
        <w:numPr>
          <w:ilvl w:val="0"/>
          <w:numId w:val="8"/>
        </w:numPr>
        <w:spacing w:after="60" w:line="264" w:lineRule="auto"/>
        <w:jc w:val="left"/>
        <w:rPr>
          <w:rFonts w:ascii="Arial" w:hAnsi="Arial" w:cs="Arial"/>
          <w:lang w:val="en-US"/>
        </w:rPr>
      </w:pPr>
      <w:hyperlink r:id="rId17" w:history="1">
        <w:r w:rsidR="00C32507" w:rsidRPr="00B83B51">
          <w:rPr>
            <w:rStyle w:val="Hyperlink"/>
            <w:sz w:val="20"/>
            <w:lang w:val="en-US"/>
          </w:rPr>
          <w:t>Ambitions.</w:t>
        </w:r>
      </w:hyperlink>
      <w:hyperlink r:id="rId18" w:history="1">
        <w:r w:rsidR="00C32507" w:rsidRPr="00B83B51">
          <w:rPr>
            <w:rStyle w:val="Hyperlink"/>
            <w:sz w:val="20"/>
            <w:lang w:val="en-US"/>
          </w:rPr>
          <w:t xml:space="preserve"> Rights.</w:t>
        </w:r>
      </w:hyperlink>
      <w:hyperlink r:id="rId19" w:history="1">
        <w:r w:rsidR="00C32507" w:rsidRPr="00B83B51">
          <w:rPr>
            <w:rStyle w:val="Hyperlink"/>
            <w:sz w:val="20"/>
            <w:lang w:val="en-US"/>
          </w:rPr>
          <w:t xml:space="preserve"> Belonging.</w:t>
        </w:r>
      </w:hyperlink>
      <w:hyperlink r:id="rId20" w:history="1">
        <w:r w:rsidR="00C32507" w:rsidRPr="00B83B51">
          <w:rPr>
            <w:rStyle w:val="Hyperlink"/>
            <w:sz w:val="20"/>
            <w:lang w:val="en-US"/>
          </w:rPr>
          <w:t xml:space="preserve"> Keys to inclusion of people with intellectual disabilities</w:t>
        </w:r>
      </w:hyperlink>
      <w:r w:rsidR="00C32507" w:rsidRPr="00B83B51">
        <w:rPr>
          <w:rFonts w:ascii="Arial" w:hAnsi="Arial"/>
          <w:lang w:val="en-US"/>
        </w:rPr>
        <w:t>.</w:t>
      </w:r>
    </w:p>
  </w:footnote>
  <w:footnote w:id="18">
    <w:p w14:paraId="0DC0F278" w14:textId="20ADC077"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I 2010 offentliggjorde FRA rapporten om retten til politisk deltagelse for personer med mentale sundhedsproblemer og personer med intellektuelle funktionsnedsættelser</w:t>
      </w:r>
      <w:r>
        <w:t>.</w:t>
      </w:r>
      <w:r>
        <w:rPr>
          <w:rFonts w:ascii="Arial" w:hAnsi="Arial"/>
        </w:rPr>
        <w:t xml:space="preserve"> I 2014 udviklede og udfyldte agenturet menneskerettighedsindikatorer om retten til politisk deltagelse for personer med handicap. Desuden offentliggjorde FRA fem infografikker for at bidrage til at øge bevidstheden om stemmeretten for personer med handicap blandt nøgleaktører. Et dokument, der blev offentliggjort i 2019, indeholder en analyse af de retlige reformer i medlemsstaterne siden 2014.</w:t>
      </w:r>
    </w:p>
  </w:footnote>
  <w:footnote w:id="19">
    <w:p w14:paraId="37C9A58C" w14:textId="77777777"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Den 24. januar 2022 drøftede medlemsstaterne foranstaltninger til at øge valgstedernes fysiske tilgængelighed, støtte på stedet, valghjælpemidler og alternative afstemningsprocedurer</w:t>
      </w:r>
      <w:r>
        <w:t>.</w:t>
      </w:r>
      <w:r>
        <w:rPr>
          <w:rFonts w:ascii="Arial" w:hAnsi="Arial"/>
        </w:rPr>
        <w:t xml:space="preserve"> Den 21. september 2022 fremlagde en repræsentant for Det Europæiske Handicapforum sin rapport fra 2022 fra Det Europæiske Handicapforum om handicappede personers politiske deltagelse. Den 12. juni 2023 fremlagde Det Europæiske Handicapforum et EU-finansieret projekt, der har til formål at øge andelen af personer med handicap, der deltager i valget til Europa-Parlamentet i 2024.</w:t>
      </w:r>
    </w:p>
  </w:footnote>
  <w:footnote w:id="20">
    <w:p w14:paraId="00EAF4BC" w14:textId="453A75A9" w:rsidR="00EE2BB3" w:rsidRPr="006B02A7" w:rsidRDefault="00EE2BB3" w:rsidP="0034629E">
      <w:pPr>
        <w:spacing w:after="60" w:line="264" w:lineRule="auto"/>
        <w:rPr>
          <w:sz w:val="20"/>
        </w:rPr>
      </w:pPr>
      <w:r>
        <w:rPr>
          <w:rStyle w:val="FootnoteReference"/>
          <w:sz w:val="20"/>
        </w:rPr>
        <w:footnoteRef/>
      </w:r>
      <w:r>
        <w:rPr>
          <w:sz w:val="20"/>
        </w:rPr>
        <w:t xml:space="preserve"> </w:t>
      </w:r>
      <w:hyperlink r:id="rId21" w:history="1">
        <w:r>
          <w:rPr>
            <w:rStyle w:val="Hyperlink"/>
            <w:sz w:val="20"/>
          </w:rPr>
          <w:t>Undersøgelse om valgdeltagelse af personer med handicap</w:t>
        </w:r>
      </w:hyperlink>
      <w:r>
        <w:rPr>
          <w:rStyle w:val="Hyperlink"/>
          <w:sz w:val="20"/>
        </w:rPr>
        <w:t>.</w:t>
      </w:r>
      <w:r>
        <w:rPr>
          <w:sz w:val="20"/>
        </w:rPr>
        <w:t xml:space="preserve"> </w:t>
      </w:r>
    </w:p>
  </w:footnote>
  <w:footnote w:id="21">
    <w:p w14:paraId="219429CE" w14:textId="46A36B3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2" w:history="1">
        <w:r>
          <w:rPr>
            <w:rStyle w:val="Hyperlink"/>
            <w:sz w:val="20"/>
          </w:rPr>
          <w:t>Undersøgelse om politisk deltagelse af personer med handicap</w:t>
        </w:r>
      </w:hyperlink>
      <w:r>
        <w:rPr>
          <w:rFonts w:ascii="Arial" w:hAnsi="Arial"/>
        </w:rPr>
        <w:t>.</w:t>
      </w:r>
    </w:p>
  </w:footnote>
  <w:footnote w:id="22">
    <w:p w14:paraId="7DF72F28" w14:textId="3218909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3" w:history="1">
        <w:r>
          <w:rPr>
            <w:rStyle w:val="Hyperlink"/>
            <w:sz w:val="20"/>
          </w:rPr>
          <w:t>Undersøgelse om valgdeltagelse af personer med handicap.</w:t>
        </w:r>
      </w:hyperlink>
      <w:hyperlink r:id="rId24" w:history="1">
        <w:r>
          <w:rPr>
            <w:rStyle w:val="Hyperlink"/>
            <w:sz w:val="20"/>
          </w:rPr>
          <w:t xml:space="preserve"> Ajourføring af 2018-rapporten</w:t>
        </w:r>
      </w:hyperlink>
      <w:r>
        <w:rPr>
          <w:rFonts w:ascii="Arial" w:hAnsi="Arial"/>
        </w:rPr>
        <w:t xml:space="preserve">. </w:t>
      </w:r>
    </w:p>
  </w:footnote>
  <w:footnote w:id="23">
    <w:p w14:paraId="5EE3A416" w14:textId="61524881" w:rsidR="00EE2BB3" w:rsidRPr="006B02A7" w:rsidRDefault="00EE2BB3" w:rsidP="0034629E">
      <w:pPr>
        <w:spacing w:after="60" w:line="264" w:lineRule="auto"/>
        <w:ind w:left="224" w:hanging="224"/>
        <w:rPr>
          <w:sz w:val="20"/>
        </w:rPr>
      </w:pPr>
      <w:r>
        <w:rPr>
          <w:rStyle w:val="FootnoteReference"/>
          <w:sz w:val="20"/>
        </w:rPr>
        <w:footnoteRef/>
      </w:r>
      <w:r>
        <w:rPr>
          <w:sz w:val="20"/>
        </w:rPr>
        <w:t xml:space="preserve"> Der blev afholdt møder med Det Europæiske Handicapforum (EDF) om politisk deltagelse af personer med handicap den 16. maj og den 10. juni 2022 samt den 18. april og den 2. maj 2023. EDF deltog i mødet i det europæiske valgsamarbejdsnetværk den 21. september 2022. Der blev afholdt møder med repræsentanter for Organización Nacional de Ciegos Españoles den 10. november 2022 (kommissær Dalli), den 25. november 2022 (GD JUST) og den 7. februar 2023 (GD JUST). Der blev afholdt et ad hoc-møde i handicapplatformen den 17. november 2023.</w:t>
      </w:r>
    </w:p>
  </w:footnote>
  <w:footnote w:id="24">
    <w:p w14:paraId="35737F8A" w14:textId="074B558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25" w:history="1">
        <w:r>
          <w:rPr>
            <w:rStyle w:val="Hyperlink"/>
            <w:sz w:val="20"/>
          </w:rPr>
          <w:t>Handlingsplan for europæisk demokrati</w:t>
        </w:r>
      </w:hyperlink>
      <w:r>
        <w:rPr>
          <w:rFonts w:ascii="Arial" w:hAnsi="Arial"/>
        </w:rPr>
        <w:t xml:space="preserve">. </w:t>
      </w:r>
    </w:p>
  </w:footnote>
  <w:footnote w:id="25">
    <w:p w14:paraId="038F8F69" w14:textId="5A45178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6" w:history="1">
        <w:r>
          <w:rPr>
            <w:rStyle w:val="Hyperlink"/>
            <w:sz w:val="20"/>
          </w:rPr>
          <w:t>Kompendium om e-afstemning og anden IKT-praksis</w:t>
        </w:r>
      </w:hyperlink>
      <w:r>
        <w:rPr>
          <w:rStyle w:val="Hyperlink"/>
          <w:sz w:val="20"/>
        </w:rPr>
        <w:t>.</w:t>
      </w:r>
      <w:r>
        <w:rPr>
          <w:rFonts w:ascii="Arial" w:hAnsi="Arial"/>
        </w:rPr>
        <w:t xml:space="preserve"> </w:t>
      </w:r>
    </w:p>
  </w:footnote>
  <w:footnote w:id="26">
    <w:p w14:paraId="1789BE97" w14:textId="2058BBB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7" w:history="1">
        <w:r>
          <w:rPr>
            <w:rStyle w:val="Hyperlink"/>
            <w:sz w:val="20"/>
          </w:rPr>
          <w:t>Undersøgelse om politisk deltagelse af personer med handicap</w:t>
        </w:r>
      </w:hyperlink>
      <w:r>
        <w:t>.</w:t>
      </w:r>
      <w:r>
        <w:rPr>
          <w:rFonts w:ascii="Arial" w:hAnsi="Arial"/>
        </w:rPr>
        <w:t xml:space="preserve"> </w:t>
      </w:r>
    </w:p>
  </w:footnote>
  <w:footnote w:id="27">
    <w:p w14:paraId="308DDD5D" w14:textId="7ABA2B3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8" w:history="1">
        <w:r>
          <w:rPr>
            <w:rStyle w:val="Hyperlink"/>
            <w:sz w:val="20"/>
          </w:rPr>
          <w:t>Undersøgelse om valgdeltagelse af personer med handicap</w:t>
        </w:r>
      </w:hyperlink>
      <w:r>
        <w:rPr>
          <w:rFonts w:ascii="Arial" w:hAnsi="Arial"/>
        </w:rPr>
        <w:t xml:space="preserve">.  </w:t>
      </w:r>
    </w:p>
  </w:footnote>
  <w:footnote w:id="28">
    <w:p w14:paraId="05F11ABC" w14:textId="3E25BF91"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rPr>
        <w:footnoteRef/>
      </w:r>
      <w:r>
        <w:rPr>
          <w:rFonts w:ascii="Arial" w:hAnsi="Arial"/>
        </w:rPr>
        <w:t xml:space="preserve"> </w:t>
      </w:r>
      <w:hyperlink r:id="rId29" w:history="1">
        <w:r>
          <w:rPr>
            <w:rStyle w:val="Hyperlink"/>
            <w:sz w:val="20"/>
          </w:rPr>
          <w:t>Konventionen oprettede komitéen for rettigheder for personer med handicap, som er et uafhængigt organ, der fører tilsyn med anvendelsen af denne traktat</w:t>
        </w:r>
      </w:hyperlink>
      <w:r>
        <w:rPr>
          <w:rFonts w:ascii="Arial" w:hAnsi="Arial"/>
        </w:rPr>
        <w:t>.</w:t>
      </w:r>
    </w:p>
  </w:footnote>
  <w:footnote w:id="29">
    <w:p w14:paraId="2B8C82C2" w14:textId="6DEFDA2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30" w:history="1">
        <w:r>
          <w:rPr>
            <w:rStyle w:val="Hyperlink"/>
            <w:sz w:val="20"/>
          </w:rPr>
          <w:t xml:space="preserve">C-356/12, </w:t>
        </w:r>
        <w:r>
          <w:rPr>
            <w:rStyle w:val="Hyperlink"/>
            <w:i/>
            <w:sz w:val="20"/>
          </w:rPr>
          <w:t>Glatzel</w:t>
        </w:r>
      </w:hyperlink>
      <w:r>
        <w:t>.</w:t>
      </w:r>
    </w:p>
  </w:footnote>
  <w:footnote w:id="30">
    <w:p w14:paraId="360C4538" w14:textId="74779BD3" w:rsidR="00EE2BB3" w:rsidRPr="006B02A7" w:rsidRDefault="00EE2BB3" w:rsidP="0034629E">
      <w:pPr>
        <w:pStyle w:val="FootnoteText"/>
        <w:spacing w:after="60" w:line="264" w:lineRule="auto"/>
        <w:ind w:left="168" w:hanging="168"/>
        <w:jc w:val="left"/>
        <w:rPr>
          <w:rFonts w:ascii="Arial" w:hAnsi="Arial" w:cs="Arial"/>
        </w:rPr>
      </w:pPr>
      <w:r>
        <w:rPr>
          <w:rStyle w:val="FootnoteReference"/>
          <w:sz w:val="20"/>
        </w:rPr>
        <w:footnoteRef/>
      </w:r>
      <w:r>
        <w:rPr>
          <w:rFonts w:ascii="Arial" w:hAnsi="Arial"/>
        </w:rPr>
        <w:t xml:space="preserve"> </w:t>
      </w:r>
      <w:hyperlink r:id="rId31" w:history="1">
        <w:r>
          <w:rPr>
            <w:rStyle w:val="Hyperlink"/>
            <w:sz w:val="20"/>
          </w:rPr>
          <w:t>Akten om almindelige direkte valg af medlemmerne af Europa-Parlamentet.</w:t>
        </w:r>
      </w:hyperlink>
      <w:hyperlink r:id="rId32" w:history="1">
        <w:r>
          <w:rPr>
            <w:rStyle w:val="Hyperlink"/>
            <w:sz w:val="20"/>
          </w:rPr>
          <w:t xml:space="preserve"> Konsolideret tekst</w:t>
        </w:r>
      </w:hyperlink>
      <w:r>
        <w:rPr>
          <w:rFonts w:ascii="Arial" w:hAnsi="Arial"/>
        </w:rPr>
        <w:t>.</w:t>
      </w:r>
    </w:p>
  </w:footnote>
  <w:footnote w:id="31">
    <w:p w14:paraId="7419373E" w14:textId="5D50E334" w:rsidR="00EE2BB3" w:rsidRPr="006B1A12" w:rsidRDefault="00EE2BB3" w:rsidP="0034629E">
      <w:pPr>
        <w:pStyle w:val="FootnoteText"/>
        <w:spacing w:after="60" w:line="264" w:lineRule="auto"/>
        <w:ind w:left="224" w:hanging="224"/>
        <w:jc w:val="left"/>
        <w:rPr>
          <w:rFonts w:ascii="Arial" w:hAnsi="Arial" w:cs="Arial"/>
        </w:rPr>
      </w:pPr>
      <w:r>
        <w:rPr>
          <w:rStyle w:val="FootnoteReference"/>
          <w:rFonts w:eastAsiaTheme="majorEastAsia"/>
          <w:sz w:val="20"/>
        </w:rPr>
        <w:footnoteRef/>
      </w:r>
      <w:r>
        <w:rPr>
          <w:rFonts w:ascii="Arial" w:hAnsi="Arial"/>
        </w:rPr>
        <w:t xml:space="preserve"> </w:t>
      </w:r>
      <w:hyperlink r:id="rId33" w:history="1">
        <w:r>
          <w:rPr>
            <w:rStyle w:val="Hyperlink"/>
            <w:sz w:val="20"/>
          </w:rPr>
          <w:t>Forslag til RÅDETS FORORDNING om almindelige direkte valg af medlemmerne af Europa-Parlamentet og om ophævelse af Rådets afgørelse 76/787/ECSC, EØF, Euratom og akten om almindelige direkte valg af medlemmerne af Europa-Parlamentet knyttet til nævnte afgørelse</w:t>
        </w:r>
      </w:hyperlink>
      <w:r>
        <w:t>.</w:t>
      </w:r>
    </w:p>
  </w:footnote>
  <w:footnote w:id="32">
    <w:p w14:paraId="5E04927E" w14:textId="77777777"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"Enhver unionsborger, der er fyldt 16 år, </w:t>
      </w:r>
      <w:r>
        <w:rPr>
          <w:rFonts w:ascii="Arial" w:hAnsi="Arial"/>
          <w:b/>
        </w:rPr>
        <w:t>herunder personer med handicap uanset deres rets- og handleevne,</w:t>
      </w:r>
      <w:r>
        <w:rPr>
          <w:rFonts w:ascii="Arial" w:hAnsi="Arial"/>
        </w:rPr>
        <w:t xml:space="preserve"> har ret til at stemme ved valg til Europa-Parlamentet, uden at dette berører eksisterende forfatningsmæssige bestemmelser om fastsættelse af en minimumsalder på 18 eller 17 år".</w:t>
      </w:r>
    </w:p>
  </w:footnote>
  <w:footnote w:id="33">
    <w:p w14:paraId="4F8990C0" w14:textId="77777777" w:rsidR="00EE2BB3" w:rsidRPr="006B02A7" w:rsidRDefault="00EE2BB3" w:rsidP="0034629E">
      <w:pPr>
        <w:spacing w:after="60" w:line="264" w:lineRule="auto"/>
        <w:ind w:left="224" w:hanging="224"/>
        <w:rPr>
          <w:sz w:val="20"/>
        </w:rPr>
      </w:pPr>
      <w:r>
        <w:rPr>
          <w:sz w:val="20"/>
          <w:vertAlign w:val="superscript"/>
        </w:rPr>
        <w:footnoteRef/>
      </w:r>
      <w:r>
        <w:rPr>
          <w:sz w:val="20"/>
        </w:rPr>
        <w:t xml:space="preserve"> Som følge heraf skal enhver begrænsning være i overensstemmelse med artikel 52 i EU's charter om grundlæggende rettigheder og navnlig være fastlagt i lovgivningen og respektere disse rettigheders og friheders væsentligste indhold</w:t>
      </w:r>
      <w:r>
        <w:t>.</w:t>
      </w:r>
      <w:r>
        <w:rPr>
          <w:sz w:val="20"/>
        </w:rPr>
        <w:t xml:space="preserve"> Desuden kan der kun indføres begrænsninger, såfremt disse er nødvendige og faktisk svarer til mål af almen interesse, der er anerkendt af EU, eller et behov for beskyttelse af andres rettigheder og friheder, under iagttagelse af proportionalitetsprincippet.</w:t>
      </w:r>
    </w:p>
  </w:footnote>
  <w:footnote w:id="34">
    <w:p w14:paraId="0FEA642A" w14:textId="02357169"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w:t>
      </w:r>
      <w:hyperlink r:id="rId34" w:history="1">
        <w:r>
          <w:rPr>
            <w:rStyle w:val="Hyperlink"/>
            <w:sz w:val="20"/>
          </w:rPr>
          <w:t>Rådets direktiv 93/109/EF af 6. december 1993 om fastsættelse af de nærmere regler for valgret og valgbarhed ved valg til Europa-Parlamentet for unionsborgere, der har bopæl i en medlemsstat, hvor de ikke er statsborgere.</w:t>
        </w:r>
      </w:hyperlink>
      <w:hyperlink r:id="rId35" w:history="1">
        <w:r>
          <w:rPr>
            <w:rStyle w:val="Hyperlink"/>
            <w:sz w:val="20"/>
          </w:rPr>
          <w:t xml:space="preserve"> Konsolideret tekst</w:t>
        </w:r>
      </w:hyperlink>
      <w:r>
        <w:rPr>
          <w:rFonts w:ascii="Arial" w:hAnsi="Arial"/>
        </w:rPr>
        <w:t>.</w:t>
      </w:r>
    </w:p>
  </w:footnote>
  <w:footnote w:id="35">
    <w:p w14:paraId="0E4480A2" w14:textId="7196C0D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36" w:history="1">
        <w:r>
          <w:rPr>
            <w:rStyle w:val="Hyperlink"/>
            <w:sz w:val="20"/>
          </w:rPr>
          <w:t>Rådets direktiv 94/80/EF af 19. december 1994 om fastsættelse af de nærmere regler for valgret og valgbarhed ved kommunale valg for unionsborgere, der har bopæl i en medlemsstat, hvor de ikke er statsborgere.</w:t>
        </w:r>
      </w:hyperlink>
      <w:hyperlink r:id="rId37" w:history="1">
        <w:r>
          <w:rPr>
            <w:rStyle w:val="Hyperlink"/>
            <w:sz w:val="20"/>
          </w:rPr>
          <w:t xml:space="preserve"> Konsolideret tekst</w:t>
        </w:r>
      </w:hyperlink>
      <w:r>
        <w:rPr>
          <w:rFonts w:ascii="Arial" w:hAnsi="Arial"/>
        </w:rPr>
        <w:t>.</w:t>
      </w:r>
    </w:p>
  </w:footnote>
  <w:footnote w:id="36">
    <w:p w14:paraId="47E5915D" w14:textId="52121C8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38" w:history="1">
        <w:r>
          <w:rPr>
            <w:rStyle w:val="Hyperlink"/>
            <w:sz w:val="20"/>
          </w:rPr>
          <w:t>Demokrati og valgrettigheder (europa.eu)</w:t>
        </w:r>
      </w:hyperlink>
      <w:r>
        <w:t>.</w:t>
      </w:r>
    </w:p>
  </w:footnote>
  <w:footnote w:id="37">
    <w:p w14:paraId="52EE9B9A" w14:textId="6D57FDF6" w:rsidR="00EE2BB3" w:rsidRPr="006B02A7" w:rsidRDefault="00EE2BB3" w:rsidP="0034629E">
      <w:pPr>
        <w:spacing w:after="60" w:line="264" w:lineRule="auto"/>
        <w:ind w:left="196" w:hanging="196"/>
        <w:rPr>
          <w:sz w:val="20"/>
        </w:rPr>
      </w:pPr>
      <w:r>
        <w:rPr>
          <w:rStyle w:val="FootnoteReference"/>
          <w:sz w:val="20"/>
        </w:rPr>
        <w:footnoteRef/>
      </w:r>
      <w:r>
        <w:rPr>
          <w:sz w:val="20"/>
        </w:rPr>
        <w:t xml:space="preserve"> </w:t>
      </w:r>
      <w:hyperlink r:id="rId39" w:history="1">
        <w:r>
          <w:rPr>
            <w:rStyle w:val="Hyperlink"/>
            <w:sz w:val="20"/>
          </w:rPr>
          <w:t>Forslag til Europa-Parlamentets og Rådets forordning om gennemsigtighed og målretning i forbindelse med politisk reklame</w:t>
        </w:r>
      </w:hyperlink>
      <w:r>
        <w:t>.</w:t>
      </w:r>
      <w:r>
        <w:rPr>
          <w:sz w:val="20"/>
        </w:rPr>
        <w:t xml:space="preserve"> </w:t>
      </w:r>
    </w:p>
  </w:footnote>
  <w:footnote w:id="38">
    <w:p w14:paraId="15FD588E" w14:textId="57B9A4BB"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0" w:history="1">
        <w:r>
          <w:rPr>
            <w:rStyle w:val="Hyperlink"/>
            <w:sz w:val="20"/>
          </w:rPr>
          <w:t>Europa-Parlamentets og Rådets direktiv (EU) 2019/882 af 17. april 2019 om tilgængelighedskrav til produkter og tjenester</w:t>
        </w:r>
      </w:hyperlink>
      <w:r>
        <w:t>.</w:t>
      </w:r>
      <w:r>
        <w:rPr>
          <w:rFonts w:ascii="Arial" w:hAnsi="Arial"/>
        </w:rPr>
        <w:t xml:space="preserve"> </w:t>
      </w:r>
    </w:p>
  </w:footnote>
  <w:footnote w:id="39">
    <w:p w14:paraId="1458CD8C" w14:textId="10FC0946"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1" w:history="1">
        <w:r>
          <w:rPr>
            <w:rStyle w:val="Hyperlink"/>
            <w:sz w:val="20"/>
          </w:rPr>
          <w:t>Europa-Parlamentets og Rådets direktiv 2014/24/EU af 26. februar 2014 om offentlige udbud og om ophævelse af direktiv 2004/18/EF</w:t>
        </w:r>
      </w:hyperlink>
      <w:r>
        <w:rPr>
          <w:rStyle w:val="Hyperlink"/>
          <w:sz w:val="20"/>
        </w:rPr>
        <w:t>.</w:t>
      </w:r>
      <w:r>
        <w:rPr>
          <w:rFonts w:ascii="Arial" w:hAnsi="Arial"/>
        </w:rPr>
        <w:t xml:space="preserve"> </w:t>
      </w:r>
    </w:p>
  </w:footnote>
  <w:footnote w:id="40">
    <w:p w14:paraId="0734FE8D" w14:textId="2AD34AC1"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2" w:history="1">
        <w:r>
          <w:rPr>
            <w:rStyle w:val="Hyperlink"/>
            <w:sz w:val="20"/>
          </w:rPr>
          <w:t>Europa-Parlamentets og Rådets direktiv 2014/25/EU af 26. februar 2014 om fremgangsmåderne ved indgåelse af kontrakter inden for vand- og energiforsyning, transport samt posttjenester og om ophævelse af direktiv 2004/17/EF</w:t>
        </w:r>
      </w:hyperlink>
      <w:r>
        <w:t>.</w:t>
      </w:r>
    </w:p>
  </w:footnote>
  <w:footnote w:id="41">
    <w:p w14:paraId="212121F0" w14:textId="7F8D9409"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3" w:history="1">
        <w:r>
          <w:rPr>
            <w:rStyle w:val="Hyperlink"/>
            <w:sz w:val="20"/>
          </w:rPr>
          <w:t>Europa-Parlamentets og Rådets direktiv (EU) 2016/2102 af 26. oktober 2016 om tilgængeligheden af offentlige organers websteder og mobilapplikationer</w:t>
        </w:r>
      </w:hyperlink>
      <w:r>
        <w:t>.</w:t>
      </w:r>
    </w:p>
  </w:footnote>
  <w:footnote w:id="42">
    <w:p w14:paraId="2114E3F0" w14:textId="36855486"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44" w:history="1">
        <w:r>
          <w:rPr>
            <w:rStyle w:val="Hyperlink"/>
            <w:sz w:val="20"/>
          </w:rPr>
          <w:t>Europa-Parlamentets og Rådets direktiv 2010/13/EU af 10. marts 2010 om samordning af visse love og administrative bestemmelser i medlemsstaterne om udbud af audiovisuelle medietjenester (direktiv om audiovisuelle medietjenester)</w:t>
        </w:r>
      </w:hyperlink>
      <w:r>
        <w:t>.</w:t>
      </w:r>
      <w:r>
        <w:rPr>
          <w:rFonts w:ascii="Arial" w:hAnsi="Arial"/>
        </w:rPr>
        <w:t xml:space="preserve"> </w:t>
      </w:r>
    </w:p>
  </w:footnote>
  <w:footnote w:id="43">
    <w:p w14:paraId="31B6330F" w14:textId="77B8DA87"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45" w:history="1">
        <w:r>
          <w:rPr>
            <w:rStyle w:val="Hyperlink"/>
            <w:sz w:val="20"/>
          </w:rPr>
          <w:t>Forslag til Europa-Parlamentets og Rådets direktiv om indførelse af EU-handicapkortet og EU-parkeringskortet for personer med handicap</w:t>
        </w:r>
      </w:hyperlink>
      <w:r>
        <w:t>.</w:t>
      </w:r>
      <w:r>
        <w:rPr>
          <w:rFonts w:ascii="Arial" w:hAnsi="Arial"/>
        </w:rPr>
        <w:t xml:space="preserve"> EU-Domstolen har behandlet begrebet/definitionen af handicap i flere tilfælde, f.eks.: sag C-13/05, Chacón Navas mod Eurest Colectividades SA, ECLI:EU:C:2006:456, sag C-303/06, Coleman mod Attridge Law, ECLI:EU:C:2008:415, forenede sager C-335/11 og C-337/11, HK Danmark som mandatar for Jette Ring mod Dansk almennyttigt Boligselskab og HK Danmark som mandatar for Lone Skouboe Werge mod Dansk Arbejdsgiverforening som mandatar for Pro Display A/S (Ring og Skouboe Werge), ECLI:EU:C:2013:222, sag C-363/12, Z mod A Government department, The Board of Management of a community school, ECLI:EU:C:2014:159, sag C-354/13, FOA som mandatar for Karsten Kaltoft, ECLI:EU:C:2014:2463, sag C-395/15, Daouidi mod Bootes Plus SL m.fl., ECLI:EU:C:2016:917, sag C-270/16, Ruiz Conejero, ECLI:EU:C:2018:17 og sag C-406/15, Milkova, ECLI:EU:C:2017:198.</w:t>
      </w:r>
    </w:p>
  </w:footnote>
  <w:footnote w:id="44">
    <w:p w14:paraId="1B7D4E8C" w14:textId="745FCEC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6" w:history="1">
        <w:r>
          <w:rPr>
            <w:rStyle w:val="Hyperlink"/>
            <w:sz w:val="20"/>
          </w:rPr>
          <w:t>Den europæiske menneskerettighedskonvention (coe.int)</w:t>
        </w:r>
      </w:hyperlink>
      <w:r>
        <w:t>.</w:t>
      </w:r>
    </w:p>
  </w:footnote>
  <w:footnote w:id="45">
    <w:p w14:paraId="2952C560" w14:textId="2621C29A" w:rsidR="00EE2BB3" w:rsidRPr="00B83B51" w:rsidRDefault="00EE2BB3" w:rsidP="0034629E">
      <w:pPr>
        <w:pStyle w:val="FootnoteText"/>
        <w:spacing w:after="60" w:line="264" w:lineRule="auto"/>
        <w:jc w:val="left"/>
        <w:rPr>
          <w:rFonts w:ascii="Arial" w:hAnsi="Arial" w:cs="Arial"/>
          <w:lang w:val="en-US"/>
        </w:rPr>
      </w:pPr>
      <w:r>
        <w:rPr>
          <w:rStyle w:val="FootnoteReference"/>
          <w:sz w:val="20"/>
        </w:rPr>
        <w:footnoteRef/>
      </w:r>
      <w:r w:rsidRPr="00B83B51">
        <w:rPr>
          <w:rFonts w:ascii="Arial" w:hAnsi="Arial"/>
          <w:lang w:val="en-US"/>
        </w:rPr>
        <w:t xml:space="preserve"> </w:t>
      </w:r>
      <w:hyperlink r:id="rId47" w:history="1">
        <w:r w:rsidRPr="00B83B51">
          <w:rPr>
            <w:rStyle w:val="Hyperlink"/>
            <w:sz w:val="20"/>
            <w:lang w:val="en-US"/>
          </w:rPr>
          <w:t>The political rights of persons with disabilities:</w:t>
        </w:r>
      </w:hyperlink>
      <w:hyperlink r:id="rId48" w:history="1">
        <w:r w:rsidRPr="00B83B51">
          <w:rPr>
            <w:rStyle w:val="Hyperlink"/>
            <w:sz w:val="20"/>
            <w:lang w:val="en-US"/>
          </w:rPr>
          <w:t xml:space="preserve"> a democratic issue</w:t>
        </w:r>
      </w:hyperlink>
      <w:r w:rsidRPr="00B83B51">
        <w:rPr>
          <w:rFonts w:ascii="Arial" w:hAnsi="Arial"/>
          <w:lang w:val="en-US"/>
        </w:rPr>
        <w:t>.</w:t>
      </w:r>
    </w:p>
  </w:footnote>
  <w:footnote w:id="46">
    <w:p w14:paraId="7774CE87" w14:textId="0CE0FDA3"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9" w:anchor="{%22itemid%22:[%22001-98800%22]}" w:history="1">
        <w:r>
          <w:rPr>
            <w:rStyle w:val="Hyperlink"/>
            <w:sz w:val="20"/>
          </w:rPr>
          <w:t>Sag Alajos Kiss mod Ungarn</w:t>
        </w:r>
      </w:hyperlink>
      <w:r>
        <w:rPr>
          <w:rFonts w:ascii="Arial" w:hAnsi="Arial"/>
        </w:rPr>
        <w:t>.</w:t>
      </w:r>
    </w:p>
  </w:footnote>
  <w:footnote w:id="47">
    <w:p w14:paraId="4FB2B478" w14:textId="33AB90E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0" w:anchor="{%22itemid%22:[%22001-215603%22]}" w:history="1">
        <w:r>
          <w:rPr>
            <w:rStyle w:val="Hyperlink"/>
            <w:sz w:val="20"/>
          </w:rPr>
          <w:t>Sag Anatoliy Marinov mod Bulgarien</w:t>
        </w:r>
      </w:hyperlink>
      <w:r>
        <w:rPr>
          <w:rFonts w:ascii="Arial" w:hAnsi="Arial"/>
        </w:rPr>
        <w:t>.</w:t>
      </w:r>
    </w:p>
  </w:footnote>
  <w:footnote w:id="48">
    <w:p w14:paraId="172C72AC" w14:textId="4611D7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1" w:anchor="{%22itemid%22:[%22001-207667%22]}" w:history="1">
        <w:r>
          <w:rPr>
            <w:rStyle w:val="Hyperlink"/>
            <w:sz w:val="20"/>
          </w:rPr>
          <w:t>Sag Strøbye og Rosenlind mod Danmark</w:t>
        </w:r>
      </w:hyperlink>
      <w:r>
        <w:rPr>
          <w:rFonts w:ascii="Arial" w:hAnsi="Arial"/>
        </w:rPr>
        <w:t>.</w:t>
      </w:r>
    </w:p>
  </w:footnote>
  <w:footnote w:id="49">
    <w:p w14:paraId="449369E1" w14:textId="05705BB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2" w:anchor="{%22itemid%22:[%22001-210089%22]}" w:history="1">
        <w:r>
          <w:rPr>
            <w:rStyle w:val="Hyperlink"/>
            <w:sz w:val="20"/>
          </w:rPr>
          <w:t>Sag Caamaño Valle mod Spanien</w:t>
        </w:r>
      </w:hyperlink>
      <w:r>
        <w:rPr>
          <w:rFonts w:ascii="Arial" w:hAnsi="Arial"/>
        </w:rPr>
        <w:t>.</w:t>
      </w:r>
    </w:p>
  </w:footnote>
  <w:footnote w:id="50">
    <w:p w14:paraId="6CB71C3A" w14:textId="32ACFD1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3" w:anchor="{%22itemid%22:[%22001-75427%22]}" w:history="1">
        <w:r>
          <w:rPr>
            <w:rStyle w:val="Hyperlink"/>
            <w:sz w:val="20"/>
          </w:rPr>
          <w:t>Sag Mółka mod Polen, 2006</w:t>
        </w:r>
      </w:hyperlink>
      <w:r>
        <w:rPr>
          <w:rStyle w:val="Hyperlink"/>
          <w:sz w:val="20"/>
          <w:u w:val="none"/>
        </w:rPr>
        <w:t>.</w:t>
      </w:r>
    </w:p>
  </w:footnote>
  <w:footnote w:id="51">
    <w:p w14:paraId="37514EAF" w14:textId="6217B1C9"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4" w:history="1">
        <w:r>
          <w:rPr>
            <w:rStyle w:val="Hyperlink"/>
            <w:sz w:val="20"/>
          </w:rPr>
          <w:t>Revideret fortolkningserklæring til kodeksen for god praksis i valgspørgsmål om valgdeltagelse af personer med handicap</w:t>
        </w:r>
      </w:hyperlink>
      <w:r>
        <w:rPr>
          <w:rFonts w:ascii="Arial" w:hAnsi="Arial"/>
        </w:rPr>
        <w:t>.</w:t>
      </w:r>
    </w:p>
  </w:footnote>
  <w:footnote w:id="52">
    <w:p w14:paraId="6D0DFAD8" w14:textId="56A1DDFD"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Yderligere oplysninger findes i Organisationen for Sikkerhed og Samarbejde i Europas (OSCE) artikel</w:t>
      </w:r>
      <w:r w:rsidR="00E91BE1">
        <w:rPr>
          <w:rFonts w:ascii="Arial" w:hAnsi="Arial"/>
        </w:rPr>
        <w:t xml:space="preserve"> </w:t>
      </w:r>
      <w:hyperlink r:id="rId55" w:history="1">
        <w:r>
          <w:rPr>
            <w:rStyle w:val="Hyperlink"/>
            <w:sz w:val="20"/>
          </w:rPr>
          <w:t>"Elections"</w:t>
        </w:r>
      </w:hyperlink>
      <w:r>
        <w:rPr>
          <w:rFonts w:ascii="Arial" w:hAnsi="Arial"/>
        </w:rPr>
        <w:t>.</w:t>
      </w:r>
    </w:p>
  </w:footnote>
  <w:footnote w:id="53">
    <w:p w14:paraId="53749B8D" w14:textId="39F1733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6" w:history="1">
        <w:r>
          <w:rPr>
            <w:rStyle w:val="Hyperlink"/>
            <w:sz w:val="20"/>
          </w:rPr>
          <w:t>Strategia națională „O Românie echitabilă”, 2022-2027 — Autoritatea Naţională pentru Protecția Drepturilor Persoanelor cu Dizabilități (gov.ro)</w:t>
        </w:r>
      </w:hyperlink>
      <w:r>
        <w:rPr>
          <w:rFonts w:ascii="Arial" w:hAnsi="Arial"/>
        </w:rPr>
        <w:t>.</w:t>
      </w:r>
    </w:p>
  </w:footnote>
  <w:footnote w:id="54">
    <w:p w14:paraId="0FB02EE1" w14:textId="7EDD419E" w:rsidR="00EE2BB3" w:rsidRPr="00B83B51" w:rsidRDefault="00EE2BB3" w:rsidP="0034629E">
      <w:pPr>
        <w:pStyle w:val="FootnoteText"/>
        <w:spacing w:after="60" w:line="264" w:lineRule="auto"/>
        <w:jc w:val="left"/>
        <w:rPr>
          <w:rFonts w:ascii="Arial" w:hAnsi="Arial" w:cs="Arial"/>
          <w:lang w:val="en-US"/>
        </w:rPr>
      </w:pPr>
      <w:r>
        <w:rPr>
          <w:rStyle w:val="FootnoteReference"/>
          <w:sz w:val="20"/>
        </w:rPr>
        <w:footnoteRef/>
      </w:r>
      <w:r w:rsidRPr="00B83B51">
        <w:rPr>
          <w:rStyle w:val="FootnoteReference"/>
          <w:sz w:val="20"/>
          <w:lang w:val="en-US"/>
        </w:rPr>
        <w:t xml:space="preserve"> </w:t>
      </w:r>
      <w:r w:rsidRPr="00B83B51">
        <w:rPr>
          <w:rStyle w:val="FootnoteReference"/>
          <w:sz w:val="20"/>
          <w:vertAlign w:val="baseline"/>
          <w:lang w:val="en-US"/>
        </w:rPr>
        <w:t>Se f.eks.</w:t>
      </w:r>
      <w:r w:rsidRPr="00B83B51">
        <w:rPr>
          <w:rFonts w:ascii="Arial" w:hAnsi="Arial"/>
          <w:lang w:val="en-US"/>
        </w:rPr>
        <w:t xml:space="preserve"> </w:t>
      </w:r>
      <w:hyperlink r:id="rId57" w:history="1">
        <w:r w:rsidRPr="00B83B51">
          <w:rPr>
            <w:rStyle w:val="Hyperlink"/>
            <w:sz w:val="20"/>
            <w:lang w:val="en-US"/>
          </w:rPr>
          <w:t>Yle broadcasts municipal election debate in 'Easy Finnish'</w:t>
        </w:r>
      </w:hyperlink>
      <w:r w:rsidRPr="00B83B51">
        <w:rPr>
          <w:rFonts w:ascii="Arial" w:hAnsi="Arial"/>
          <w:lang w:val="en-US"/>
        </w:rPr>
        <w:t>.</w:t>
      </w:r>
    </w:p>
  </w:footnote>
  <w:footnote w:id="55">
    <w:p w14:paraId="5A689CB4" w14:textId="72680C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8" w:history="1">
        <w:r>
          <w:rPr>
            <w:rStyle w:val="Hyperlink"/>
            <w:sz w:val="20"/>
          </w:rPr>
          <w:t>Irlands lovfæstede uafhængige valgkommission</w:t>
        </w:r>
      </w:hyperlink>
      <w:r>
        <w:t>.</w:t>
      </w:r>
    </w:p>
  </w:footnote>
  <w:footnote w:id="56">
    <w:p w14:paraId="5C129B4B" w14:textId="633F644B"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9" w:history="1">
        <w:r>
          <w:rPr>
            <w:rStyle w:val="Hyperlink"/>
            <w:sz w:val="20"/>
          </w:rPr>
          <w:t>Handicappedes rettigheder ved valget til Europa-Parlamentet (Dree)</w:t>
        </w:r>
      </w:hyperlink>
      <w:r>
        <w:t>.</w:t>
      </w:r>
    </w:p>
  </w:footnote>
  <w:footnote w:id="57">
    <w:p w14:paraId="3FAAE41A" w14:textId="1330BAB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0" w:history="1">
        <w:r>
          <w:rPr>
            <w:rStyle w:val="Hyperlink"/>
            <w:sz w:val="20"/>
          </w:rPr>
          <w:t>Udarbejdelse af vellykkede kampagner for mere tilgængelige valg (inclusion-europe.eu</w:t>
        </w:r>
      </w:hyperlink>
      <w:r>
        <w:t>).</w:t>
      </w:r>
    </w:p>
  </w:footnote>
  <w:footnote w:id="58">
    <w:p w14:paraId="72C76E2B" w14:textId="0149167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1" w:history="1">
        <w:r>
          <w:rPr>
            <w:rStyle w:val="Hyperlink"/>
            <w:sz w:val="20"/>
          </w:rPr>
          <w:t>Anbefalinger om tilgængelige valg i Europa</w:t>
        </w:r>
      </w:hyperlink>
      <w:r>
        <w:rPr>
          <w:rFonts w:ascii="Arial" w:hAnsi="Arial"/>
        </w:rPr>
        <w:t>.</w:t>
      </w:r>
    </w:p>
  </w:footnote>
  <w:footnote w:id="59">
    <w:p w14:paraId="66B7E8A4" w14:textId="0805AA72"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2" w:history="1">
        <w:r>
          <w:rPr>
            <w:rStyle w:val="Hyperlink"/>
            <w:sz w:val="20"/>
          </w:rPr>
          <w:t>God praksis for tilgængelige valg i Europa</w:t>
        </w:r>
      </w:hyperlink>
      <w:r>
        <w:rPr>
          <w:rFonts w:ascii="Arial" w:hAnsi="Arial"/>
        </w:rPr>
        <w:t>.</w:t>
      </w:r>
    </w:p>
  </w:footnote>
  <w:footnote w:id="60">
    <w:p w14:paraId="1E692DCD" w14:textId="5D397C59" w:rsidR="00EE2BB3" w:rsidRPr="00B83B51" w:rsidRDefault="00EE2BB3" w:rsidP="0034629E">
      <w:pPr>
        <w:pStyle w:val="FootnoteText"/>
        <w:spacing w:after="60" w:line="264" w:lineRule="auto"/>
        <w:jc w:val="left"/>
        <w:rPr>
          <w:rFonts w:ascii="Arial" w:hAnsi="Arial" w:cs="Arial"/>
          <w:color w:val="002060"/>
          <w:lang w:val="en-US"/>
        </w:rPr>
      </w:pPr>
      <w:r>
        <w:rPr>
          <w:rStyle w:val="FootnoteReference"/>
          <w:sz w:val="20"/>
        </w:rPr>
        <w:footnoteRef/>
      </w:r>
      <w:r w:rsidRPr="00B83B51">
        <w:rPr>
          <w:rFonts w:ascii="Arial" w:hAnsi="Arial"/>
          <w:lang w:val="en-US"/>
        </w:rPr>
        <w:t xml:space="preserve"> </w:t>
      </w:r>
      <w:hyperlink r:id="rId63" w:history="1">
        <w:r w:rsidRPr="00B83B51">
          <w:rPr>
            <w:rStyle w:val="Hyperlink"/>
            <w:sz w:val="20"/>
            <w:lang w:val="en-US"/>
          </w:rPr>
          <w:t>ONCE-webstedet</w:t>
        </w:r>
      </w:hyperlink>
      <w:r w:rsidRPr="00B83B51">
        <w:rPr>
          <w:rFonts w:ascii="Arial" w:hAnsi="Arial"/>
          <w:lang w:val="en-US"/>
        </w:rPr>
        <w:t>.</w:t>
      </w:r>
    </w:p>
  </w:footnote>
  <w:footnote w:id="61">
    <w:p w14:paraId="168F3D8E" w14:textId="20AB7795" w:rsidR="00EE2BB3" w:rsidRPr="00B83B51" w:rsidRDefault="00EE2BB3" w:rsidP="0034629E">
      <w:pPr>
        <w:pStyle w:val="FootnoteText"/>
        <w:spacing w:after="60" w:line="264" w:lineRule="auto"/>
        <w:jc w:val="left"/>
        <w:rPr>
          <w:rFonts w:ascii="Arial" w:hAnsi="Arial" w:cs="Arial"/>
          <w:lang w:val="en-US"/>
        </w:rPr>
      </w:pPr>
      <w:r>
        <w:rPr>
          <w:rStyle w:val="FootnoteReference"/>
          <w:sz w:val="20"/>
        </w:rPr>
        <w:footnoteRef/>
      </w:r>
      <w:r w:rsidRPr="00B83B51">
        <w:rPr>
          <w:rFonts w:ascii="Arial" w:hAnsi="Arial"/>
          <w:lang w:val="en-US"/>
        </w:rPr>
        <w:t xml:space="preserve"> </w:t>
      </w:r>
      <w:hyperlink r:id="rId64" w:history="1">
        <w:r w:rsidRPr="00B83B51">
          <w:rPr>
            <w:rStyle w:val="Hyperlink"/>
            <w:sz w:val="20"/>
            <w:lang w:val="en-US"/>
          </w:rPr>
          <w:t>Accessibility</w:t>
        </w:r>
      </w:hyperlink>
      <w:r w:rsidRPr="00B83B51">
        <w:rPr>
          <w:rFonts w:ascii="Arial" w:hAnsi="Arial"/>
          <w:lang w:val="en-US"/>
        </w:rPr>
        <w:t xml:space="preserve">. Elecciones Generales Julio 2023.  </w:t>
      </w:r>
    </w:p>
  </w:footnote>
  <w:footnote w:id="62">
    <w:p w14:paraId="2142C31E" w14:textId="1ACE1525" w:rsidR="0034629E" w:rsidRPr="00B83B51" w:rsidRDefault="0034629E" w:rsidP="0034629E">
      <w:pPr>
        <w:pStyle w:val="FootnoteText"/>
        <w:spacing w:after="60" w:line="264" w:lineRule="auto"/>
        <w:jc w:val="left"/>
        <w:rPr>
          <w:rFonts w:ascii="Arial" w:hAnsi="Arial" w:cs="Arial"/>
          <w:lang w:val="en-US"/>
        </w:rPr>
      </w:pPr>
      <w:r>
        <w:rPr>
          <w:rStyle w:val="FootnoteReference"/>
          <w:sz w:val="20"/>
        </w:rPr>
        <w:footnoteRef/>
      </w:r>
      <w:r w:rsidRPr="00B83B51">
        <w:rPr>
          <w:rFonts w:ascii="Arial" w:hAnsi="Arial"/>
          <w:lang w:val="en-US"/>
        </w:rPr>
        <w:t xml:space="preserve"> 28</w:t>
      </w:r>
      <w:r w:rsidR="00E91BE1">
        <w:rPr>
          <w:rFonts w:ascii="Arial" w:hAnsi="Arial"/>
          <w:lang w:val="en-US"/>
        </w:rPr>
        <w:t>.</w:t>
      </w:r>
      <w:r w:rsidRPr="00B83B51">
        <w:rPr>
          <w:rFonts w:ascii="Arial" w:hAnsi="Arial"/>
          <w:lang w:val="en-US"/>
        </w:rPr>
        <w:t> maj 2023.</w:t>
      </w:r>
    </w:p>
  </w:footnote>
  <w:footnote w:id="63">
    <w:p w14:paraId="46DD268D" w14:textId="4217523E" w:rsidR="00EE2BB3" w:rsidRPr="00B83B51" w:rsidRDefault="00EE2BB3" w:rsidP="0034629E">
      <w:pPr>
        <w:pStyle w:val="FootnoteText"/>
        <w:spacing w:after="60" w:line="264" w:lineRule="auto"/>
        <w:rPr>
          <w:rFonts w:ascii="Arial" w:hAnsi="Arial" w:cs="Arial"/>
          <w:lang w:val="en-US"/>
        </w:rPr>
      </w:pPr>
      <w:r>
        <w:rPr>
          <w:rStyle w:val="FootnoteReference"/>
          <w:sz w:val="20"/>
        </w:rPr>
        <w:footnoteRef/>
      </w:r>
      <w:r w:rsidRPr="00B83B51">
        <w:rPr>
          <w:rFonts w:ascii="Arial" w:hAnsi="Arial"/>
          <w:lang w:val="en-US"/>
        </w:rPr>
        <w:t xml:space="preserve"> </w:t>
      </w:r>
      <w:hyperlink r:id="rId65" w:history="1">
        <w:r w:rsidRPr="00B83B51">
          <w:rPr>
            <w:rStyle w:val="Hyperlink"/>
            <w:sz w:val="20"/>
            <w:lang w:val="en-US"/>
          </w:rPr>
          <w:t>Guía para señalizar los colegios electorales</w:t>
        </w:r>
      </w:hyperlink>
      <w:r w:rsidRPr="00B83B51">
        <w:rPr>
          <w:rFonts w:ascii="Arial" w:hAnsi="Arial"/>
          <w:lang w:val="en-US"/>
        </w:rPr>
        <w:t xml:space="preserve">. </w:t>
      </w:r>
    </w:p>
  </w:footnote>
  <w:footnote w:id="64">
    <w:p w14:paraId="4F47FDCE" w14:textId="485E8D5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F.eks. i Belgien, Estland, Kroatien, Cypern, Danmark, Irland, Litauen, Portugal, Rumænien, Spanien og Sverige.</w:t>
      </w:r>
    </w:p>
  </w:footnote>
  <w:footnote w:id="65">
    <w:p w14:paraId="5FDC8244" w14:textId="5FC9C2F5" w:rsidR="00EE2BB3" w:rsidRPr="00B83B51" w:rsidRDefault="00EE2BB3" w:rsidP="0034629E">
      <w:pPr>
        <w:pStyle w:val="FootnoteText"/>
        <w:spacing w:after="60" w:line="264" w:lineRule="auto"/>
        <w:jc w:val="left"/>
        <w:rPr>
          <w:rFonts w:ascii="Arial" w:hAnsi="Arial" w:cs="Arial"/>
          <w:lang w:val="en-US"/>
        </w:rPr>
      </w:pPr>
      <w:r>
        <w:rPr>
          <w:rStyle w:val="FootnoteReference"/>
          <w:sz w:val="20"/>
        </w:rPr>
        <w:footnoteRef/>
      </w:r>
      <w:r w:rsidRPr="00B83B51">
        <w:rPr>
          <w:rFonts w:ascii="Arial" w:hAnsi="Arial"/>
          <w:lang w:val="en-US"/>
        </w:rPr>
        <w:t xml:space="preserve"> </w:t>
      </w:r>
      <w:hyperlink r:id="rId66" w:history="1">
        <w:r w:rsidRPr="00B83B51">
          <w:rPr>
            <w:rStyle w:val="Hyperlink"/>
            <w:sz w:val="20"/>
            <w:lang w:val="en-US"/>
          </w:rPr>
          <w:t>Accessible and inclusive elections in the Netherlands</w:t>
        </w:r>
      </w:hyperlink>
      <w:r w:rsidRPr="00B83B51">
        <w:rPr>
          <w:rFonts w:ascii="Arial" w:hAnsi="Arial"/>
          <w:lang w:val="en-US"/>
        </w:rPr>
        <w:t>.</w:t>
      </w:r>
    </w:p>
  </w:footnote>
  <w:footnote w:id="66">
    <w:p w14:paraId="5AF32945"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Der kan anmodes om disse tjenester fra områdevalgbestyrelsen skriftligt og senest syv dage efter meddelelsen om deres udnævnelse.</w:t>
      </w:r>
    </w:p>
  </w:footnote>
  <w:footnote w:id="67">
    <w:p w14:paraId="4DC31D77" w14:textId="21F23D68" w:rsidR="00EE2BB3" w:rsidRPr="00B83B51" w:rsidRDefault="00EE2BB3" w:rsidP="0034629E">
      <w:pPr>
        <w:pStyle w:val="FootnoteText"/>
        <w:spacing w:after="60" w:line="264" w:lineRule="auto"/>
        <w:jc w:val="left"/>
        <w:rPr>
          <w:rFonts w:ascii="Arial" w:hAnsi="Arial" w:cs="Arial"/>
          <w:lang w:val="en-US"/>
        </w:rPr>
      </w:pPr>
      <w:r>
        <w:rPr>
          <w:rStyle w:val="FootnoteReference"/>
          <w:sz w:val="20"/>
        </w:rPr>
        <w:footnoteRef/>
      </w:r>
      <w:r w:rsidRPr="00B83B51">
        <w:rPr>
          <w:rFonts w:ascii="Arial" w:hAnsi="Arial"/>
          <w:lang w:val="en-US"/>
        </w:rPr>
        <w:t xml:space="preserve"> </w:t>
      </w:r>
      <w:hyperlink r:id="rId67" w:history="1">
        <w:r w:rsidRPr="00B83B51">
          <w:rPr>
            <w:rStyle w:val="Hyperlink"/>
            <w:sz w:val="20"/>
            <w:lang w:val="en-US"/>
          </w:rPr>
          <w:t>WCAG 2 Overview of the Web Accessibility Initiative (WAI) - W3C</w:t>
        </w:r>
      </w:hyperlink>
      <w:r w:rsidRPr="00B83B51">
        <w:rPr>
          <w:rFonts w:ascii="Arial" w:hAnsi="Arial"/>
          <w:lang w:val="en-US"/>
        </w:rPr>
        <w:t>.</w:t>
      </w:r>
    </w:p>
  </w:footnote>
  <w:footnote w:id="68">
    <w:p w14:paraId="7378D3BC" w14:textId="655CBE4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8" w:history="1">
        <w:r>
          <w:rPr>
            <w:rStyle w:val="Hyperlink"/>
            <w:sz w:val="20"/>
          </w:rPr>
          <w:t>Guide de mise en image de la Langue des signes française</w:t>
        </w:r>
      </w:hyperlink>
      <w:r>
        <w:rPr>
          <w:rFonts w:ascii="Arial" w:hAnsi="Arial"/>
        </w:rPr>
        <w:t>.</w:t>
      </w:r>
    </w:p>
  </w:footnote>
  <w:footnote w:id="69">
    <w:p w14:paraId="12CA5256" w14:textId="30EB57D1" w:rsidR="00EE2BB3" w:rsidRPr="00B83B51" w:rsidRDefault="00EE2BB3" w:rsidP="0034629E">
      <w:pPr>
        <w:pStyle w:val="FootnoteText"/>
        <w:spacing w:after="60" w:line="264" w:lineRule="auto"/>
        <w:jc w:val="left"/>
        <w:rPr>
          <w:rFonts w:ascii="Arial" w:hAnsi="Arial" w:cs="Arial"/>
          <w:lang w:val="en-US"/>
        </w:rPr>
      </w:pPr>
      <w:r>
        <w:rPr>
          <w:rStyle w:val="FootnoteReference"/>
          <w:sz w:val="20"/>
        </w:rPr>
        <w:footnoteRef/>
      </w:r>
      <w:r w:rsidRPr="00B83B51">
        <w:rPr>
          <w:rFonts w:ascii="Arial" w:hAnsi="Arial"/>
          <w:lang w:val="en-US"/>
        </w:rPr>
        <w:t xml:space="preserve"> </w:t>
      </w:r>
      <w:hyperlink r:id="rId69" w:history="1">
        <w:r w:rsidRPr="00B83B51">
          <w:rPr>
            <w:rStyle w:val="Hyperlink"/>
            <w:sz w:val="20"/>
            <w:lang w:val="en-US"/>
          </w:rPr>
          <w:t>Présidentielle 2022:</w:t>
        </w:r>
      </w:hyperlink>
      <w:hyperlink r:id="rId70" w:history="1">
        <w:r w:rsidRPr="00B83B51">
          <w:rPr>
            <w:rStyle w:val="Hyperlink"/>
            <w:sz w:val="20"/>
            <w:lang w:val="en-US"/>
          </w:rPr>
          <w:t xml:space="preserve"> comment l'Arcom renforce l'accessibilité de la campagne électorale</w:t>
        </w:r>
      </w:hyperlink>
      <w:r w:rsidRPr="00B83B51">
        <w:rPr>
          <w:rFonts w:ascii="Arial" w:hAnsi="Arial"/>
          <w:lang w:val="en-US"/>
        </w:rPr>
        <w:t>.</w:t>
      </w:r>
    </w:p>
  </w:footnote>
  <w:footnote w:id="70">
    <w:p w14:paraId="05BD2DDA" w14:textId="31D5B1ED" w:rsidR="00EE2BB3" w:rsidRPr="00B83B51" w:rsidRDefault="00EE2BB3" w:rsidP="0034629E">
      <w:pPr>
        <w:pStyle w:val="FootnoteText"/>
        <w:spacing w:after="60" w:line="264" w:lineRule="auto"/>
        <w:jc w:val="left"/>
        <w:rPr>
          <w:rFonts w:ascii="Arial" w:hAnsi="Arial" w:cs="Arial"/>
          <w:lang w:val="en-US"/>
        </w:rPr>
      </w:pPr>
      <w:r>
        <w:rPr>
          <w:rStyle w:val="FootnoteReference"/>
          <w:sz w:val="20"/>
        </w:rPr>
        <w:footnoteRef/>
      </w:r>
      <w:r w:rsidRPr="00B83B51">
        <w:rPr>
          <w:rFonts w:ascii="Arial" w:hAnsi="Arial"/>
          <w:lang w:val="en-US"/>
        </w:rPr>
        <w:t xml:space="preserve"> </w:t>
      </w:r>
      <w:hyperlink r:id="rId71" w:history="1">
        <w:r w:rsidRPr="00B83B51">
          <w:rPr>
            <w:rStyle w:val="Hyperlink"/>
            <w:sz w:val="20"/>
            <w:lang w:val="en-US"/>
          </w:rPr>
          <w:t>Autorité de régulation de la communication audiovisuelle et numérique</w:t>
        </w:r>
      </w:hyperlink>
      <w:r w:rsidRPr="00B83B51">
        <w:rPr>
          <w:rFonts w:ascii="Arial" w:hAnsi="Arial"/>
          <w:lang w:val="en-US"/>
        </w:rPr>
        <w:t>.</w:t>
      </w:r>
    </w:p>
  </w:footnote>
  <w:footnote w:id="71">
    <w:p w14:paraId="0804A282" w14:textId="4B699F4C"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sidRPr="00B83B51">
        <w:rPr>
          <w:rFonts w:ascii="Arial" w:hAnsi="Arial"/>
          <w:lang w:val="en-US"/>
        </w:rPr>
        <w:t xml:space="preserve"> </w:t>
      </w:r>
      <w:hyperlink r:id="rId72" w:history="1">
        <w:r w:rsidRPr="00B83B51">
          <w:rPr>
            <w:rStyle w:val="Hyperlink"/>
            <w:sz w:val="20"/>
            <w:lang w:val="en-US"/>
          </w:rPr>
          <w:t>Le vote des personnes en situation de handicap:</w:t>
        </w:r>
      </w:hyperlink>
      <w:hyperlink r:id="rId73" w:history="1">
        <w:r w:rsidRPr="00B83B51">
          <w:rPr>
            <w:rStyle w:val="Hyperlink"/>
            <w:sz w:val="20"/>
            <w:lang w:val="en-US"/>
          </w:rPr>
          <w:t xml:space="preserve"> l’accessibilité des opérations de vote.</w:t>
        </w:r>
      </w:hyperlink>
      <w:hyperlink r:id="rId74" w:history="1">
        <w:r w:rsidRPr="00B83B51">
          <w:rPr>
            <w:rStyle w:val="Hyperlink"/>
            <w:sz w:val="20"/>
            <w:lang w:val="en-US"/>
          </w:rPr>
          <w:t xml:space="preserve"> </w:t>
        </w:r>
        <w:r>
          <w:rPr>
            <w:rStyle w:val="Hyperlink"/>
            <w:sz w:val="20"/>
          </w:rPr>
          <w:t>Les élections en France</w:t>
        </w:r>
      </w:hyperlink>
      <w:r>
        <w:rPr>
          <w:rFonts w:ascii="Arial" w:hAnsi="Arial"/>
        </w:rPr>
        <w:t>.</w:t>
      </w:r>
    </w:p>
  </w:footnote>
  <w:footnote w:id="72">
    <w:p w14:paraId="4B1A0D6F" w14:textId="5A6E669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Webstedet </w:t>
      </w:r>
      <w:hyperlink r:id="rId75" w:history="1">
        <w:r>
          <w:rPr>
            <w:rStyle w:val="Hyperlink"/>
            <w:sz w:val="20"/>
          </w:rPr>
          <w:t>Alle stembureaus i Nederland</w:t>
        </w:r>
      </w:hyperlink>
      <w:r>
        <w:t xml:space="preserve"> </w:t>
      </w:r>
      <w:r>
        <w:rPr>
          <w:rFonts w:ascii="Arial" w:hAnsi="Arial"/>
        </w:rPr>
        <w:t>indeholder oplysninger om valgstedernes beliggenhed og om, i hvilket omfang de er (særligt) tilgængelige.</w:t>
      </w:r>
    </w:p>
  </w:footnote>
  <w:footnote w:id="73">
    <w:p w14:paraId="64BFD0A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RGAA: référentiel général d'amélioration de l'accessibilité, décret No 2009-546 du 14 mai 2009 modifié en septembre 2019.</w:t>
      </w:r>
    </w:p>
  </w:footnote>
  <w:footnote w:id="74">
    <w:p w14:paraId="6156A8F8" w14:textId="26BD242D"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76" w:history="1">
        <w:r>
          <w:rPr>
            <w:rStyle w:val="Hyperlink"/>
            <w:sz w:val="20"/>
          </w:rPr>
          <w:t>Le vote des personnes en situation de handicap:</w:t>
        </w:r>
      </w:hyperlink>
      <w:hyperlink r:id="rId77" w:history="1">
        <w:r>
          <w:rPr>
            <w:rStyle w:val="Hyperlink"/>
            <w:sz w:val="20"/>
          </w:rPr>
          <w:t xml:space="preserve"> l’accessibilité des opérations de vote.</w:t>
        </w:r>
      </w:hyperlink>
      <w:hyperlink r:id="rId78" w:history="1">
        <w:r>
          <w:rPr>
            <w:rStyle w:val="Hyperlink"/>
            <w:sz w:val="20"/>
          </w:rPr>
          <w:t xml:space="preserve"> Les élections en France</w:t>
        </w:r>
      </w:hyperlink>
      <w:r>
        <w:rPr>
          <w:rStyle w:val="Hyperlink"/>
          <w:sz w:val="20"/>
        </w:rPr>
        <w:t>.</w:t>
      </w:r>
    </w:p>
  </w:footnote>
  <w:footnote w:id="75">
    <w:p w14:paraId="6BE980DB" w14:textId="1645B12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79" w:history="1">
        <w:r>
          <w:rPr>
            <w:rStyle w:val="Hyperlink"/>
            <w:sz w:val="20"/>
          </w:rPr>
          <w:t>Certifikatoverrækkelse — den tyske forening for blinde og synshæmmede</w:t>
        </w:r>
      </w:hyperlink>
      <w:r>
        <w:t>.</w:t>
      </w:r>
    </w:p>
  </w:footnote>
  <w:footnote w:id="76">
    <w:p w14:paraId="563003C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Ved folketingsvalg.</w:t>
      </w:r>
    </w:p>
  </w:footnote>
  <w:footnote w:id="77">
    <w:p w14:paraId="210C9A61"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Belgien, Bulgarien, Danmark, Estland, Frankrig, Finland, Grækenland, Irland, Italien, Letland, Litauen, Luxembourg, Nederlandene, Polen, Portugal, Rumænien, Spanien, Sverige, Slovenien, Tyskland, Ungarn og Østrig.</w:t>
      </w:r>
    </w:p>
  </w:footnote>
  <w:footnote w:id="78">
    <w:p w14:paraId="0C481AF5"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I henhold til lov om ændring af stemmerettigheder fra 2023 (</w:t>
      </w:r>
      <w:r>
        <w:rPr>
          <w:rFonts w:ascii="Arial" w:hAnsi="Arial"/>
          <w:i/>
          <w:iCs/>
        </w:rPr>
        <w:t>Wahlrechtsänderungsgesetz 2023</w:t>
      </w:r>
      <w:r>
        <w:rPr>
          <w:rFonts w:ascii="Arial" w:hAnsi="Arial"/>
        </w:rPr>
        <w:t>) skal alle valgsteder fra 2024 opfylde rammebetingelserne i § 6 i "</w:t>
      </w:r>
      <w:r>
        <w:rPr>
          <w:rFonts w:ascii="Arial" w:hAnsi="Arial"/>
          <w:i/>
          <w:iCs/>
        </w:rPr>
        <w:t>Bundes-Behindertengleichstellungsgesetz</w:t>
      </w:r>
      <w:r>
        <w:rPr>
          <w:rFonts w:ascii="Arial" w:hAnsi="Arial"/>
        </w:rPr>
        <w:t>" (forbundslov om lige muligheder for personer med handicap). I henhold til denne bestemmelse skal alle valgsteder være tilgængelige for personer med handicap uden barrierer, forudsat at det er teknisk muligt. Under alle omstændigheder skal alle bygninger, hvor der er oprettet et valgsted, gøre mindst ét valgsted med stemmebokse tilgængelige for personer med handicap. Fra 2028 skal alle valgsteder i Østrig (herunder stemmebokse) uden undtagelse være uden barrierer.</w:t>
      </w:r>
    </w:p>
  </w:footnote>
  <w:footnote w:id="79">
    <w:p w14:paraId="36EE937C" w14:textId="084364B2" w:rsidR="0085267A" w:rsidRPr="0085267A" w:rsidRDefault="0085267A">
      <w:pPr>
        <w:pStyle w:val="FootnoteText"/>
      </w:pPr>
      <w:r>
        <w:rPr>
          <w:rStyle w:val="FootnoteReference"/>
          <w:sz w:val="20"/>
        </w:rPr>
        <w:footnoteRef/>
      </w:r>
      <w:r>
        <w:t xml:space="preserve"> </w:t>
      </w:r>
      <w:r>
        <w:rPr>
          <w:rFonts w:ascii="Arial" w:hAnsi="Arial"/>
        </w:rPr>
        <w:t>I henhold til</w:t>
      </w:r>
      <w:r>
        <w:t xml:space="preserve"> </w:t>
      </w:r>
      <w:hyperlink r:id="rId80" w:history="1">
        <w:r>
          <w:rPr>
            <w:rStyle w:val="Hyperlink"/>
            <w:sz w:val="20"/>
          </w:rPr>
          <w:t>bekendtgørelse INT/511/2022 af 3. juni</w:t>
        </w:r>
      </w:hyperlink>
      <w:r>
        <w:t xml:space="preserve">, </w:t>
      </w:r>
      <w:r>
        <w:rPr>
          <w:rFonts w:ascii="Arial" w:hAnsi="Arial"/>
        </w:rPr>
        <w:t>som ændrer bestemmelserne i</w:t>
      </w:r>
      <w:r>
        <w:t xml:space="preserve"> </w:t>
      </w:r>
      <w:hyperlink r:id="rId81" w:history="1">
        <w:r>
          <w:rPr>
            <w:rStyle w:val="Hyperlink"/>
            <w:sz w:val="20"/>
          </w:rPr>
          <w:t>kongeligt dekret nr. 605/1999 af 16. april om supplerende regulering af valgprocesser</w:t>
        </w:r>
      </w:hyperlink>
      <w:r>
        <w:t xml:space="preserve">, </w:t>
      </w:r>
      <w:r>
        <w:rPr>
          <w:rFonts w:ascii="Arial" w:hAnsi="Arial"/>
        </w:rPr>
        <w:t xml:space="preserve">skal stemmebokse være fuldt ud tilgængelige. </w:t>
      </w:r>
    </w:p>
  </w:footnote>
  <w:footnote w:id="80">
    <w:p w14:paraId="5B09A1D4" w14:textId="0DFD236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2" w:history="1">
        <w:r>
          <w:rPr>
            <w:rStyle w:val="Hyperlink"/>
            <w:sz w:val="20"/>
          </w:rPr>
          <w:t>Den permanente valgmyndigheds afgørelse nr. 44/2016 om et sæt minimumsbetingelser, der skal opfyldes af de steder, der benyttes som valgsted, og deres minimumsudstyr</w:t>
        </w:r>
      </w:hyperlink>
      <w:r>
        <w:t>.</w:t>
      </w:r>
      <w:r>
        <w:rPr>
          <w:rFonts w:ascii="Arial" w:hAnsi="Arial"/>
        </w:rPr>
        <w:t xml:space="preserve"> </w:t>
      </w:r>
    </w:p>
  </w:footnote>
  <w:footnote w:id="81">
    <w:p w14:paraId="0D156D0C"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Kun ved folkeafstemninger, hvor du kun kan stemme "ja" eller "nej".</w:t>
      </w:r>
    </w:p>
  </w:footnote>
  <w:footnote w:id="82">
    <w:p w14:paraId="09A762EA"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I samarbejde med Centre pour le développement des compétences family à la vue (CDV) vil regeringen give vælgerne med visuelle handicap en taktil stemmemodel på valgdagen. Denne taktile afstemningsmodel vil være tilgængelig på alle valgsteder og kan også bestilles af vælgeren direkte fra CDV og stilles til rådighed for vælgeren, når de har valgt at brevstemme.</w:t>
      </w:r>
    </w:p>
  </w:footnote>
  <w:footnote w:id="83">
    <w:p w14:paraId="227D9A08" w14:textId="4220FE62" w:rsidR="007F0EBB" w:rsidRPr="006B02A7" w:rsidRDefault="007F0EBB" w:rsidP="007F0EBB">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3" w:history="1">
        <w:r>
          <w:rPr>
            <w:rStyle w:val="Hyperlink"/>
            <w:sz w:val="20"/>
          </w:rPr>
          <w:t>Hvordan fungerer afstemningen?</w:t>
        </w:r>
      </w:hyperlink>
      <w:r>
        <w:t>.</w:t>
      </w:r>
      <w:r>
        <w:rPr>
          <w:rFonts w:ascii="Arial" w:hAnsi="Arial"/>
        </w:rPr>
        <w:t xml:space="preserve"> </w:t>
      </w:r>
    </w:p>
  </w:footnote>
  <w:footnote w:id="84">
    <w:p w14:paraId="1AF73524" w14:textId="52873FE2"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84" w:history="1">
        <w:r>
          <w:rPr>
            <w:rStyle w:val="Hyperlink"/>
            <w:sz w:val="20"/>
          </w:rPr>
          <w:t>Sammenlignende undersøgelse af metoder, procedurer og tekniske instrumenter, der anvendes af andre stater for at sikre adgang til valgprocesser for personer med handicap</w:t>
        </w:r>
      </w:hyperlink>
      <w:r>
        <w:t xml:space="preserve">, </w:t>
      </w:r>
      <w:r>
        <w:rPr>
          <w:rFonts w:ascii="Arial" w:hAnsi="Arial"/>
        </w:rPr>
        <w:t>udarbejdet af den permanente valgmyndighed</w:t>
      </w:r>
      <w:r>
        <w:t>.</w:t>
      </w:r>
      <w:r>
        <w:rPr>
          <w:rFonts w:ascii="Arial" w:hAnsi="Arial"/>
        </w:rPr>
        <w:t xml:space="preserve"> </w:t>
      </w:r>
    </w:p>
  </w:footnote>
  <w:footnote w:id="85">
    <w:p w14:paraId="553F63DE" w14:textId="602F11A3" w:rsidR="00EE2BB3" w:rsidRPr="006B02A7" w:rsidRDefault="00EE2BB3" w:rsidP="007F0EBB">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Lovgiver har taget hensyn til omfanget af anvendelsen af stemmemaskiner ved hvert valg, budgetudgifterne til brug af stemmemaskiner og regler i andre EU-medlemsstater. </w:t>
      </w:r>
    </w:p>
  </w:footnote>
  <w:footnote w:id="86">
    <w:p w14:paraId="605F41D3"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Stemmeafgivning pr. post som foreskrevet i østrigsk lovgivning.</w:t>
      </w:r>
    </w:p>
  </w:footnote>
  <w:footnote w:id="87">
    <w:p w14:paraId="39FE11EC"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Præsidentvalg.</w:t>
      </w:r>
    </w:p>
  </w:footnote>
  <w:footnote w:id="88">
    <w:p w14:paraId="1ED19B21" w14:textId="77777777" w:rsidR="00EE2BB3" w:rsidRPr="006B02A7" w:rsidRDefault="00EE2BB3" w:rsidP="00566D60">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Brugere af den særlige transporttjeneste Adapto, som er i besiddelse af et Adaptokort, kan rejse til valgstedet ved hjælp af Adaptotjenesten</w:t>
      </w:r>
      <w:r>
        <w:t>.</w:t>
      </w:r>
      <w:r>
        <w:rPr>
          <w:rFonts w:ascii="Arial" w:hAnsi="Arial"/>
        </w:rPr>
        <w:t xml:space="preserve"> Rejser til og fra valgstedet vil ikke blive fratrukket den kvote af årlige Adaptorejser, som de modtager. For at anmode om en sådan tjeneste kan brugerne ringe til mobiliteit.lu-tjenesten på 2465-2465 eller foretage en reservation ved hjælp af adapto.lu-mobilapplikationen ved at vælge "Elections/Wahlen".</w:t>
      </w:r>
    </w:p>
  </w:footnote>
  <w:footnote w:id="89">
    <w:p w14:paraId="46F9B30C" w14:textId="1901D463" w:rsidR="00EE2BB3" w:rsidRPr="00B83B51" w:rsidRDefault="00EE2BB3" w:rsidP="0034629E">
      <w:pPr>
        <w:pStyle w:val="FootnoteText"/>
        <w:spacing w:after="60" w:line="264" w:lineRule="auto"/>
        <w:jc w:val="left"/>
        <w:rPr>
          <w:rFonts w:ascii="Arial" w:hAnsi="Arial" w:cs="Arial"/>
          <w:lang w:val="en-US"/>
        </w:rPr>
      </w:pPr>
      <w:r>
        <w:rPr>
          <w:rStyle w:val="FootnoteReference"/>
          <w:sz w:val="20"/>
        </w:rPr>
        <w:footnoteRef/>
      </w:r>
      <w:r>
        <w:rPr>
          <w:rFonts w:ascii="Arial" w:hAnsi="Arial"/>
        </w:rPr>
        <w:t xml:space="preserve"> </w:t>
      </w:r>
      <w:hyperlink r:id="rId85" w:history="1">
        <w:r>
          <w:rPr>
            <w:rStyle w:val="Hyperlink"/>
            <w:sz w:val="20"/>
          </w:rPr>
          <w:t>Présentation du vote par internet.</w:t>
        </w:r>
      </w:hyperlink>
      <w:hyperlink r:id="rId86" w:history="1">
        <w:r>
          <w:rPr>
            <w:rStyle w:val="Hyperlink"/>
            <w:sz w:val="20"/>
          </w:rPr>
          <w:t xml:space="preserve"> </w:t>
        </w:r>
        <w:r w:rsidRPr="00B83B51">
          <w:rPr>
            <w:rStyle w:val="Hyperlink"/>
            <w:sz w:val="20"/>
            <w:lang w:val="en-US"/>
          </w:rPr>
          <w:t>Ministère de l’Europe et des Affaires étrangères</w:t>
        </w:r>
      </w:hyperlink>
      <w:r w:rsidRPr="00B83B51">
        <w:rPr>
          <w:rFonts w:ascii="Arial" w:hAnsi="Arial"/>
          <w:lang w:val="en-US"/>
        </w:rPr>
        <w:t>.</w:t>
      </w:r>
    </w:p>
  </w:footnote>
  <w:footnote w:id="90">
    <w:p w14:paraId="6B2ADE21" w14:textId="293447C8" w:rsidR="00EE2BB3" w:rsidRPr="00B83B51" w:rsidRDefault="00EE2BB3" w:rsidP="0034629E">
      <w:pPr>
        <w:pStyle w:val="FootnoteText"/>
        <w:spacing w:after="60" w:line="264" w:lineRule="auto"/>
        <w:jc w:val="left"/>
        <w:rPr>
          <w:rFonts w:ascii="Arial" w:hAnsi="Arial" w:cs="Arial"/>
          <w:lang w:val="en-US"/>
        </w:rPr>
      </w:pPr>
      <w:r>
        <w:rPr>
          <w:rStyle w:val="FootnoteReference"/>
          <w:sz w:val="20"/>
        </w:rPr>
        <w:footnoteRef/>
      </w:r>
      <w:r w:rsidRPr="00B83B51">
        <w:rPr>
          <w:rFonts w:ascii="Arial" w:hAnsi="Arial"/>
          <w:lang w:val="en-US"/>
        </w:rPr>
        <w:t xml:space="preserve"> </w:t>
      </w:r>
      <w:hyperlink r:id="rId87" w:history="1">
        <w:r w:rsidRPr="00B83B51">
          <w:rPr>
            <w:rStyle w:val="Hyperlink"/>
            <w:sz w:val="20"/>
            <w:lang w:val="en-US"/>
          </w:rPr>
          <w:t>Online Voting Powers Social Elections in Germany</w:t>
        </w:r>
      </w:hyperlink>
      <w:r w:rsidRPr="00B83B51">
        <w:rPr>
          <w:rFonts w:ascii="Arial" w:hAnsi="Arial"/>
          <w:lang w:val="en-US"/>
        </w:rPr>
        <w:t>.</w:t>
      </w:r>
    </w:p>
  </w:footnote>
  <w:footnote w:id="91">
    <w:p w14:paraId="6AFB43C2" w14:textId="7C6A77D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8" w:history="1">
        <w:r>
          <w:rPr>
            <w:rStyle w:val="Hyperlink"/>
            <w:sz w:val="20"/>
          </w:rPr>
          <w:t>EU's resultattavle for retsområdet 2022</w:t>
        </w:r>
      </w:hyperlink>
      <w:r>
        <w:t>.</w:t>
      </w:r>
    </w:p>
  </w:footnote>
  <w:footnote w:id="92">
    <w:p w14:paraId="13344400" w14:textId="33752B2C"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9" w:history="1">
        <w:r>
          <w:rPr>
            <w:rStyle w:val="Hyperlink"/>
            <w:sz w:val="20"/>
          </w:rPr>
          <w:t>Observatoire de l’accessibilité des campagnes électorales et des scrutins de 2022</w:t>
        </w:r>
      </w:hyperlink>
      <w:r>
        <w:rPr>
          <w:rFonts w:ascii="Arial" w:hAnsi="Arial"/>
        </w:rPr>
        <w:t>.</w:t>
      </w:r>
    </w:p>
  </w:footnote>
  <w:footnote w:id="93">
    <w:p w14:paraId="69852E2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bookmarkStart w:id="83" w:name="_Hlk151393575"/>
      <w:r>
        <w:rPr>
          <w:rFonts w:ascii="Arial" w:hAnsi="Arial"/>
        </w:rPr>
        <w:t>De fleste af foranstaltningerne er gavnlige for adgangen til valg for alle grupper, herunder ældre.</w:t>
      </w:r>
      <w:bookmarkEnd w:id="83"/>
    </w:p>
  </w:footnote>
  <w:footnote w:id="94">
    <w:p w14:paraId="0C31A6D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Se f.eks. Irlands nylige valgreformlov (2022).</w:t>
      </w:r>
    </w:p>
  </w:footnote>
  <w:footnote w:id="95">
    <w:p w14:paraId="18B023FC" w14:textId="5F974B1D"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Se Rumæniens forslag til lovændringer med henblik på at yde finansiel støtte.</w:t>
      </w:r>
    </w:p>
  </w:footnote>
  <w:footnote w:id="96">
    <w:p w14:paraId="1D76B737" w14:textId="235F6A57" w:rsidR="00EE2BB3" w:rsidRPr="00B83B51" w:rsidRDefault="00EE2BB3" w:rsidP="0034629E">
      <w:pPr>
        <w:pStyle w:val="FootnoteText"/>
        <w:spacing w:after="60" w:line="264" w:lineRule="auto"/>
        <w:jc w:val="left"/>
        <w:rPr>
          <w:rFonts w:ascii="Arial" w:hAnsi="Arial" w:cs="Arial"/>
          <w:lang w:val="en-US"/>
        </w:rPr>
      </w:pPr>
      <w:r>
        <w:rPr>
          <w:rStyle w:val="FootnoteReference"/>
          <w:sz w:val="20"/>
        </w:rPr>
        <w:footnoteRef/>
      </w:r>
      <w:r w:rsidRPr="00B83B51">
        <w:rPr>
          <w:rFonts w:ascii="Arial" w:hAnsi="Arial"/>
          <w:lang w:val="en-US"/>
        </w:rPr>
        <w:t xml:space="preserve"> </w:t>
      </w:r>
      <w:hyperlink r:id="rId90" w:history="1">
        <w:r w:rsidRPr="00B83B51">
          <w:rPr>
            <w:rStyle w:val="Hyperlink"/>
            <w:sz w:val="20"/>
            <w:lang w:val="en-US"/>
          </w:rPr>
          <w:t>European Inclusive Publishing Forum</w:t>
        </w:r>
      </w:hyperlink>
      <w:r w:rsidRPr="00B83B51">
        <w:rPr>
          <w:rFonts w:ascii="Arial" w:hAnsi="Arial"/>
          <w:lang w:val="en-US"/>
        </w:rPr>
        <w:t>.</w:t>
      </w:r>
    </w:p>
  </w:footnote>
  <w:footnote w:id="97">
    <w:p w14:paraId="1ABF4F7E" w14:textId="7172DB99" w:rsidR="00EE2BB3" w:rsidRPr="00B83B51" w:rsidRDefault="00EE2BB3" w:rsidP="0034629E">
      <w:pPr>
        <w:pStyle w:val="FootnoteText"/>
        <w:spacing w:after="60" w:line="264" w:lineRule="auto"/>
        <w:jc w:val="left"/>
        <w:rPr>
          <w:rFonts w:ascii="Arial" w:hAnsi="Arial" w:cs="Arial"/>
          <w:lang w:val="en-US"/>
        </w:rPr>
      </w:pPr>
      <w:r>
        <w:rPr>
          <w:rStyle w:val="FootnoteReference"/>
          <w:sz w:val="20"/>
        </w:rPr>
        <w:footnoteRef/>
      </w:r>
      <w:r w:rsidRPr="00B83B51">
        <w:rPr>
          <w:rFonts w:ascii="Arial" w:hAnsi="Arial"/>
          <w:lang w:val="en-US"/>
        </w:rPr>
        <w:t xml:space="preserve"> </w:t>
      </w:r>
      <w:hyperlink r:id="rId91" w:history="1">
        <w:r w:rsidRPr="00B83B51">
          <w:rPr>
            <w:rStyle w:val="Hyperlink"/>
            <w:sz w:val="20"/>
            <w:lang w:val="en-US"/>
          </w:rPr>
          <w:t>Invalidiliitto, ’Äänestyspaikkojen esteettömyyden tarkistuslista’</w:t>
        </w:r>
      </w:hyperlink>
      <w:r w:rsidRPr="00B83B51">
        <w:rPr>
          <w:rFonts w:ascii="Arial" w:hAnsi="Arial"/>
          <w:lang w:val="en-US"/>
        </w:rPr>
        <w:t>.</w:t>
      </w:r>
    </w:p>
  </w:footnote>
  <w:footnote w:id="98">
    <w:p w14:paraId="32626F0E" w14:textId="1F1D17F7" w:rsidR="00EE2BB3" w:rsidRPr="00B83B51" w:rsidRDefault="00EE2BB3" w:rsidP="0034629E">
      <w:pPr>
        <w:pStyle w:val="FootnoteText"/>
        <w:spacing w:after="60" w:line="264" w:lineRule="auto"/>
        <w:jc w:val="left"/>
        <w:rPr>
          <w:rFonts w:ascii="Arial" w:hAnsi="Arial" w:cs="Arial"/>
          <w:lang w:val="en-US"/>
        </w:rPr>
      </w:pPr>
      <w:r>
        <w:rPr>
          <w:rStyle w:val="FootnoteReference"/>
          <w:sz w:val="20"/>
        </w:rPr>
        <w:footnoteRef/>
      </w:r>
      <w:r w:rsidRPr="00B83B51">
        <w:rPr>
          <w:rFonts w:ascii="Arial" w:hAnsi="Arial"/>
          <w:lang w:val="en-US"/>
        </w:rPr>
        <w:t xml:space="preserve"> </w:t>
      </w:r>
      <w:hyperlink r:id="rId92" w:history="1">
        <w:r w:rsidRPr="00B83B51">
          <w:rPr>
            <w:rStyle w:val="Hyperlink"/>
            <w:sz w:val="20"/>
            <w:lang w:val="en-US"/>
          </w:rPr>
          <w:t>Accessibilite_des_bureaux_de_vote</w:t>
        </w:r>
      </w:hyperlink>
      <w:r w:rsidRPr="00B83B51">
        <w:rPr>
          <w:lang w:val="en-US"/>
        </w:rPr>
        <w:t>.</w:t>
      </w:r>
      <w:r w:rsidRPr="00B83B51">
        <w:rPr>
          <w:rFonts w:ascii="Arial" w:hAnsi="Arial"/>
          <w:lang w:val="en-US"/>
        </w:rPr>
        <w:t xml:space="preserve"> </w:t>
      </w:r>
    </w:p>
  </w:footnote>
  <w:footnote w:id="99">
    <w:p w14:paraId="30416320" w14:textId="79A62565" w:rsidR="00EE2BB3" w:rsidRPr="00B83B51" w:rsidRDefault="00EE2BB3" w:rsidP="0034629E">
      <w:pPr>
        <w:pStyle w:val="FootnoteText"/>
        <w:spacing w:after="60" w:line="264" w:lineRule="auto"/>
        <w:jc w:val="left"/>
        <w:rPr>
          <w:rFonts w:ascii="Arial" w:hAnsi="Arial" w:cs="Arial"/>
          <w:lang w:val="en-US"/>
        </w:rPr>
      </w:pPr>
      <w:r>
        <w:rPr>
          <w:rStyle w:val="FootnoteReference"/>
          <w:sz w:val="20"/>
        </w:rPr>
        <w:footnoteRef/>
      </w:r>
      <w:r w:rsidRPr="00B83B51">
        <w:rPr>
          <w:rFonts w:ascii="Arial" w:hAnsi="Arial"/>
          <w:lang w:val="en-US"/>
        </w:rPr>
        <w:t xml:space="preserve"> </w:t>
      </w:r>
      <w:hyperlink r:id="rId93" w:history="1">
        <w:r w:rsidRPr="00B83B51">
          <w:rPr>
            <w:rStyle w:val="Hyperlink"/>
            <w:sz w:val="20"/>
            <w:lang w:val="en-US"/>
          </w:rPr>
          <w:t>Accessibilite_des_bureaux_de_vote</w:t>
        </w:r>
      </w:hyperlink>
      <w:r w:rsidRPr="00B83B51">
        <w:rPr>
          <w:lang w:val="en-US"/>
        </w:rPr>
        <w:t>.</w:t>
      </w:r>
      <w:r w:rsidRPr="00B83B51">
        <w:rPr>
          <w:rFonts w:ascii="Arial" w:hAnsi="Arial"/>
          <w:lang w:val="en-US"/>
        </w:rPr>
        <w:t xml:space="preserve"> </w:t>
      </w:r>
    </w:p>
  </w:footnote>
  <w:footnote w:id="100">
    <w:p w14:paraId="7AD79085" w14:textId="2F22D854" w:rsidR="00EE2BB3" w:rsidRPr="00B83B51" w:rsidRDefault="00EE2BB3" w:rsidP="0034629E">
      <w:pPr>
        <w:pStyle w:val="FootnoteText"/>
        <w:spacing w:after="60" w:line="264" w:lineRule="auto"/>
        <w:jc w:val="left"/>
        <w:rPr>
          <w:rFonts w:ascii="Arial" w:hAnsi="Arial" w:cs="Arial"/>
          <w:lang w:val="en-US"/>
        </w:rPr>
      </w:pPr>
      <w:r>
        <w:rPr>
          <w:rStyle w:val="FootnoteReference"/>
          <w:sz w:val="20"/>
        </w:rPr>
        <w:footnoteRef/>
      </w:r>
      <w:r w:rsidRPr="00B83B51">
        <w:rPr>
          <w:rFonts w:ascii="Arial" w:hAnsi="Arial"/>
          <w:lang w:val="en-US"/>
        </w:rPr>
        <w:t xml:space="preserve"> </w:t>
      </w:r>
      <w:hyperlink r:id="rId94" w:history="1">
        <w:r w:rsidRPr="00B83B51">
          <w:rPr>
            <w:rStyle w:val="Hyperlink"/>
            <w:sz w:val="20"/>
            <w:lang w:val="en-US"/>
          </w:rPr>
          <w:t>Accessibilite_des_bureaux_de_vote</w:t>
        </w:r>
      </w:hyperlink>
      <w:r w:rsidRPr="00B83B51">
        <w:rPr>
          <w:lang w:val="en-US"/>
        </w:rPr>
        <w:t>.</w:t>
      </w:r>
      <w:r w:rsidRPr="00B83B51">
        <w:rPr>
          <w:rFonts w:ascii="Arial" w:hAnsi="Arial"/>
          <w:lang w:val="en-US"/>
        </w:rPr>
        <w:t xml:space="preserve"> </w:t>
      </w:r>
    </w:p>
  </w:footnote>
  <w:footnote w:id="101">
    <w:p w14:paraId="194121B4" w14:textId="77777777" w:rsidR="00EE2BB3" w:rsidRPr="006B02A7" w:rsidRDefault="00EE2BB3" w:rsidP="0034629E">
      <w:pPr>
        <w:spacing w:after="60" w:line="264" w:lineRule="auto"/>
        <w:rPr>
          <w:sz w:val="20"/>
        </w:rPr>
      </w:pPr>
      <w:r>
        <w:rPr>
          <w:rStyle w:val="FootnoteReference"/>
          <w:sz w:val="20"/>
        </w:rPr>
        <w:footnoteRef/>
      </w:r>
      <w:r>
        <w:rPr>
          <w:sz w:val="20"/>
        </w:rPr>
        <w:t xml:space="preserve"> I 2018 blev valglovens artikel 3 ændret i Spanien.</w:t>
      </w:r>
    </w:p>
  </w:footnote>
  <w:footnote w:id="102">
    <w:p w14:paraId="2744C486" w14:textId="0C55349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Lovdekret nr. 58/2016 af 29. august</w:t>
      </w:r>
      <w:r>
        <w:t>.</w:t>
      </w:r>
    </w:p>
  </w:footnote>
  <w:footnote w:id="103">
    <w:p w14:paraId="5324ABF5" w14:textId="08C492DA" w:rsidR="00EE2BB3" w:rsidRPr="005A432A"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5" w:history="1">
        <w:r>
          <w:rPr>
            <w:rStyle w:val="Hyperlink"/>
            <w:sz w:val="20"/>
          </w:rPr>
          <w:t>Europa-Parlamentets og Rådets direktiv (EU) 2019/882 af 17. april 2019 om tilgængelighedskrav til produkter og tjenester</w:t>
        </w:r>
      </w:hyperlink>
      <w:r>
        <w:t>.</w:t>
      </w:r>
    </w:p>
  </w:footnote>
  <w:footnote w:id="104">
    <w:p w14:paraId="7F95D160" w14:textId="13DFBD13"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Bilag 2 til direktivet indeholder eksempler, der kan være relevante for afstemningsprocedurer</w:t>
      </w:r>
      <w:r>
        <w:t>.</w:t>
      </w:r>
    </w:p>
  </w:footnote>
  <w:footnote w:id="105">
    <w:p w14:paraId="636CB85F" w14:textId="294002EE"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6" w:history="1">
        <w:r>
          <w:rPr>
            <w:rStyle w:val="Hyperlink"/>
            <w:sz w:val="20"/>
          </w:rPr>
          <w:t>Europa-Parlamentets og Rådets direktiv 2014/24/EU af 26. februar 2014 om offentlige udbud og om ophævelse af direktiv 2004/18/EF</w:t>
        </w:r>
      </w:hyperlink>
      <w:r>
        <w:rPr>
          <w:rFonts w:ascii="Arial" w:hAnsi="Arial"/>
        </w:rPr>
        <w:t xml:space="preserve">. Konsolideret tekst. </w:t>
      </w:r>
    </w:p>
  </w:footnote>
  <w:footnote w:id="106">
    <w:p w14:paraId="22D00D00" w14:textId="506274C9"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7" w:history="1">
        <w:r>
          <w:rPr>
            <w:rStyle w:val="Hyperlink"/>
            <w:sz w:val="20"/>
          </w:rPr>
          <w:t>Europa-Parlamentets og Rådets direktiv 2014/25/EU af 26. februar 2014 om fremgangsmåderne ved indgåelse af kontrakter inden for vand- og energiforsyning, transport samt posttjenester og om ophævelse af direktiv 2004/17/EF</w:t>
        </w:r>
      </w:hyperlink>
      <w:r>
        <w:t>.</w:t>
      </w:r>
      <w:r>
        <w:rPr>
          <w:rFonts w:ascii="Arial" w:hAnsi="Arial"/>
        </w:rPr>
        <w:t xml:space="preserve"> Konsolideret tekst.</w:t>
      </w:r>
    </w:p>
  </w:footnote>
  <w:footnote w:id="107">
    <w:p w14:paraId="1A5040E1" w14:textId="32E43D19" w:rsidR="00EE2BB3" w:rsidRPr="006B02A7" w:rsidRDefault="00EE2BB3" w:rsidP="005A432A">
      <w:pPr>
        <w:pStyle w:val="FootnoteText"/>
        <w:spacing w:after="60" w:line="264" w:lineRule="auto"/>
        <w:ind w:left="252" w:hanging="252"/>
        <w:jc w:val="left"/>
        <w:rPr>
          <w:rFonts w:ascii="Arial" w:hAnsi="Arial" w:cs="Arial"/>
        </w:rPr>
      </w:pPr>
      <w:r>
        <w:rPr>
          <w:rStyle w:val="FootnoteReference"/>
          <w:rFonts w:eastAsiaTheme="majorEastAsia"/>
          <w:sz w:val="20"/>
        </w:rPr>
        <w:footnoteRef/>
      </w:r>
      <w:r>
        <w:rPr>
          <w:rFonts w:ascii="Arial" w:hAnsi="Arial"/>
        </w:rPr>
        <w:t xml:space="preserve"> </w:t>
      </w:r>
      <w:hyperlink r:id="rId98" w:history="1">
        <w:r>
          <w:rPr>
            <w:rStyle w:val="Hyperlink"/>
            <w:sz w:val="20"/>
          </w:rPr>
          <w:t>Europa-Parlamentets og Rådets direktiv (EU) 2019/882 af 17. april 2019 om tilgængelighedskrav til produkter og tjenester</w:t>
        </w:r>
      </w:hyperlink>
      <w:r>
        <w:t>.</w:t>
      </w:r>
    </w:p>
  </w:footnote>
  <w:footnote w:id="108">
    <w:p w14:paraId="1D157BBD" w14:textId="77777777" w:rsidR="00EE2BB3" w:rsidRPr="006B02A7" w:rsidRDefault="00EE2BB3" w:rsidP="005A432A">
      <w:pPr>
        <w:pStyle w:val="FootnoteText"/>
        <w:spacing w:after="60" w:line="264" w:lineRule="auto"/>
        <w:ind w:left="252" w:hanging="252"/>
        <w:jc w:val="left"/>
        <w:rPr>
          <w:rFonts w:ascii="Arial" w:hAnsi="Arial" w:cs="Arial"/>
          <w:color w:val="002060"/>
        </w:rPr>
      </w:pPr>
      <w:r>
        <w:rPr>
          <w:rStyle w:val="FootnoteReference"/>
          <w:rFonts w:eastAsiaTheme="majorEastAsia"/>
          <w:sz w:val="20"/>
        </w:rPr>
        <w:footnoteRef/>
      </w:r>
      <w:r>
        <w:rPr>
          <w:rFonts w:ascii="Arial" w:hAnsi="Arial"/>
        </w:rPr>
        <w:t xml:space="preserve"> Disse tilgængelighedsprincipper er omsat til målbare succeskriterier såsom dem, der udgør grundlaget for den europæiske standard EN 301 549 V3.2.1 (2021-03) "Tilgængelighedskrav egnet til offentlige indkøb af IKT-produkter og -tjenester i Europa". Dette giver en fælles metode til at teste, om indhold på websteder og mobilapplikationer er i overensstemmelse med disse principper. Denne europæiske standard blev vedtaget på grundlag af mandat M/554 udstedt af Kommissionen til de europæiske standardiseringsorganisationer.</w:t>
      </w:r>
    </w:p>
  </w:footnote>
  <w:footnote w:id="109">
    <w:p w14:paraId="442B6F29" w14:textId="1F43D8EE"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rPr>
        <w:footnoteRef/>
      </w:r>
      <w:r>
        <w:rPr>
          <w:rFonts w:ascii="Arial" w:hAnsi="Arial"/>
        </w:rPr>
        <w:t xml:space="preserve"> Kommissionens gennemførelsesafgørelse (EU) 2018/1523 af 11. oktober 2018 om fastlæggelse af en standardtilgængelighedserklæring i henhold til Europa-Parlamentets og Rådets direktiv (EU) 2016/2102 om tilgængeligheden af offentlige organers websteder og mobilapplikationer (EUT L 256 af 12.10.2018, s. 103).</w:t>
      </w:r>
    </w:p>
  </w:footnote>
  <w:footnote w:id="110">
    <w:p w14:paraId="73731CC7" w14:textId="5B868023"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rPr>
        <w:footnoteRef/>
      </w:r>
      <w:r>
        <w:rPr>
          <w:rFonts w:ascii="Arial" w:hAnsi="Arial"/>
        </w:rPr>
        <w:t xml:space="preserve"> </w:t>
      </w:r>
      <w:hyperlink r:id="rId99" w:history="1">
        <w:r>
          <w:rPr>
            <w:rStyle w:val="Hyperlink"/>
            <w:sz w:val="20"/>
          </w:rPr>
          <w:t>Europa-Parlamentets og Rådets direktiv 2010/13/EU af 10. marts 2010 om samordning af visse love og administrative bestemmelser i medlemsstaterne om udbud af audiovisuelle medietjenester (direktiv om audiovisuelle medietjenester</w:t>
        </w:r>
      </w:hyperlink>
      <w:r>
        <w:t xml:space="preserve">) </w:t>
      </w:r>
      <w:r>
        <w:rPr>
          <w:rFonts w:ascii="Arial" w:hAnsi="Arial"/>
        </w:rPr>
        <w:t>(kodificeret udgave). Konsolideret tekst</w:t>
      </w:r>
    </w:p>
  </w:footnote>
  <w:footnote w:id="111">
    <w:p w14:paraId="43335315" w14:textId="4925D3D8" w:rsidR="00EE2BB3" w:rsidRPr="006B02A7" w:rsidRDefault="00EE2BB3" w:rsidP="0034629E">
      <w:pPr>
        <w:pStyle w:val="pf0"/>
        <w:spacing w:before="0" w:beforeAutospacing="0" w:after="60" w:afterAutospacing="0" w:line="264" w:lineRule="auto"/>
        <w:ind w:left="284" w:hanging="284"/>
        <w:rPr>
          <w:rFonts w:ascii="Arial" w:hAnsi="Arial" w:cs="Arial"/>
          <w:sz w:val="20"/>
        </w:rPr>
      </w:pPr>
      <w:r>
        <w:rPr>
          <w:rStyle w:val="FootnoteReference"/>
          <w:sz w:val="20"/>
        </w:rPr>
        <w:footnoteRef/>
      </w:r>
      <w:r>
        <w:rPr>
          <w:rFonts w:ascii="Arial" w:hAnsi="Arial"/>
          <w:sz w:val="20"/>
        </w:rPr>
        <w:t xml:space="preserve"> </w:t>
      </w:r>
      <w:hyperlink r:id="rId100" w:history="1">
        <w:r>
          <w:rPr>
            <w:rStyle w:val="Hyperlink"/>
            <w:sz w:val="20"/>
          </w:rPr>
          <w:t>Direktiv om webtilgængelighed —</w:t>
        </w:r>
      </w:hyperlink>
      <w:hyperlink r:id="rId101" w:history="1">
        <w:r>
          <w:rPr>
            <w:rStyle w:val="Hyperlink"/>
            <w:sz w:val="20"/>
          </w:rPr>
          <w:t>Standarder og harmonisering.</w:t>
        </w:r>
      </w:hyperlink>
      <w:r>
        <w:rPr>
          <w:rStyle w:val="FootnoteReference"/>
          <w:sz w:val="20"/>
        </w:rPr>
        <w:t xml:space="preserve"> </w:t>
      </w:r>
      <w:r>
        <w:rPr>
          <w:rStyle w:val="cf01"/>
          <w:rFonts w:ascii="Arial" w:hAnsi="Arial"/>
          <w:sz w:val="20"/>
        </w:rPr>
        <w:t>Denne standard er i øjeblikket under revision efter Kommissionens vedtagelse af standardiseringsmandat M/587 (</w:t>
      </w:r>
      <w:r>
        <w:rPr>
          <w:rStyle w:val="cf11"/>
          <w:rFonts w:ascii="Arial" w:hAnsi="Arial"/>
          <w:sz w:val="20"/>
        </w:rPr>
        <w:t>KOMMISSIONENS GENNEMFØRELSESAFGØRELSE af 14.9.2022 om en standardiseringsanmodning til de europæiske standardiseringsorganisationer for så vidt angår tilgængelighedskrav for produkter og tjenester til støtte for Europa-Parlamentets og Rådets direktiv (EU) 2019/882, se</w:t>
      </w:r>
      <w:r>
        <w:t xml:space="preserve"> </w:t>
      </w:r>
      <w:hyperlink r:id="rId102" w:history="1">
        <w:r>
          <w:rPr>
            <w:rStyle w:val="cf11"/>
            <w:rFonts w:ascii="Arial" w:hAnsi="Arial"/>
            <w:color w:val="0000FF"/>
            <w:sz w:val="20"/>
            <w:u w:val="single"/>
          </w:rPr>
          <w:t>ENorm-platformen (europa.eu</w:t>
        </w:r>
      </w:hyperlink>
      <w:r>
        <w:t xml:space="preserve">), </w:t>
      </w:r>
      <w:r>
        <w:rPr>
          <w:rStyle w:val="cf01"/>
          <w:rFonts w:ascii="Arial" w:hAnsi="Arial"/>
          <w:sz w:val="20"/>
        </w:rPr>
        <w:t>der har til formål at støtte gennemførelsen af det europæiske tilgængelighedsdirektiv</w:t>
      </w:r>
      <w:r>
        <w:t>.</w:t>
      </w:r>
      <w:r>
        <w:rPr>
          <w:rStyle w:val="cf01"/>
          <w:rFonts w:ascii="Arial" w:hAnsi="Arial"/>
          <w:sz w:val="20"/>
        </w:rPr>
        <w:t xml:space="preserve"> Fristen for vedtagelse af de reviderede standarder er den 15. september 2025.</w:t>
      </w:r>
    </w:p>
  </w:footnote>
  <w:footnote w:id="112">
    <w:p w14:paraId="03A8DE0C" w14:textId="6F0DE4EF"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rPr>
        <w:footnoteRef/>
      </w:r>
      <w:r>
        <w:rPr>
          <w:rFonts w:ascii="Arial" w:hAnsi="Arial"/>
        </w:rPr>
        <w:t xml:space="preserve"> </w:t>
      </w:r>
      <w:hyperlink r:id="rId103" w:history="1">
        <w:r>
          <w:rPr>
            <w:rStyle w:val="Hyperlink"/>
            <w:sz w:val="20"/>
          </w:rPr>
          <w:t>Direktiv om webtilgængelighed —</w:t>
        </w:r>
      </w:hyperlink>
      <w:hyperlink r:id="rId104" w:history="1">
        <w:r>
          <w:rPr>
            <w:rStyle w:val="Hyperlink"/>
            <w:sz w:val="20"/>
          </w:rPr>
          <w:t xml:space="preserve"> Standarder og harmonisering</w:t>
        </w:r>
      </w:hyperlink>
      <w:r>
        <w:rPr>
          <w:rFonts w:ascii="Arial" w:hAnsi="Arial"/>
        </w:rPr>
        <w:t xml:space="preserve">. </w:t>
      </w:r>
      <w:r>
        <w:rPr>
          <w:rStyle w:val="cf01"/>
          <w:rFonts w:ascii="Arial" w:hAnsi="Arial"/>
          <w:sz w:val="20"/>
        </w:rPr>
        <w:t>Denne standard er i øjeblikket under revision efter Kommissionens vedtagelse af standardiseringsmandat M/587 (</w:t>
      </w:r>
      <w:r>
        <w:rPr>
          <w:rStyle w:val="cf11"/>
          <w:rFonts w:ascii="Arial" w:hAnsi="Arial"/>
          <w:sz w:val="20"/>
        </w:rPr>
        <w:t>(KOMMISSIONENS GENNEMFØRELSESAFGØRELSE af 14.9.2022 om en</w:t>
      </w:r>
      <w:r w:rsidR="00E91BE1">
        <w:rPr>
          <w:rStyle w:val="cf11"/>
          <w:rFonts w:ascii="Arial" w:hAnsi="Arial"/>
          <w:sz w:val="20"/>
        </w:rPr>
        <w:t xml:space="preserve"> </w:t>
      </w:r>
      <w:hyperlink r:id="rId105" w:history="1">
        <w:r>
          <w:rPr>
            <w:rStyle w:val="Hyperlink"/>
            <w:sz w:val="20"/>
          </w:rPr>
          <w:t>standardiseringsanmodning til de europæiske standardiseringsorganisationer for så vidt angår tilgængelighedskrav for produkter og tjenester til støtte for Europa-Parlamentets og Rådets direktiv (EU) 2019/882</w:t>
        </w:r>
      </w:hyperlink>
      <w:r>
        <w:rPr>
          <w:rStyle w:val="cf01"/>
          <w:rFonts w:ascii="Arial" w:hAnsi="Arial"/>
          <w:sz w:val="20"/>
        </w:rPr>
        <w:t>, der har til formål at støtte gennemførelsen af det europæiske tilgængelighedsdirektiv. Fristen for vedtagelse af de reviderede standarder er den 15. september 2025.</w:t>
      </w:r>
    </w:p>
  </w:footnote>
  <w:footnote w:id="113">
    <w:p w14:paraId="00FCD086" w14:textId="4F02D6D3" w:rsidR="00EE2BB3" w:rsidRPr="00B83B51" w:rsidRDefault="00EE2BB3" w:rsidP="0034629E">
      <w:pPr>
        <w:pStyle w:val="FootnoteText"/>
        <w:spacing w:after="60" w:line="264" w:lineRule="auto"/>
        <w:jc w:val="left"/>
        <w:rPr>
          <w:rFonts w:ascii="Arial" w:hAnsi="Arial" w:cs="Arial"/>
          <w:color w:val="002060"/>
          <w:lang w:val="en-US"/>
        </w:rPr>
      </w:pPr>
      <w:r>
        <w:rPr>
          <w:rStyle w:val="FootnoteReference"/>
          <w:sz w:val="20"/>
        </w:rPr>
        <w:footnoteRef/>
      </w:r>
      <w:r w:rsidRPr="00B83B51">
        <w:rPr>
          <w:rFonts w:ascii="Arial" w:hAnsi="Arial"/>
          <w:lang w:val="en-US"/>
        </w:rPr>
        <w:t xml:space="preserve"> </w:t>
      </w:r>
      <w:hyperlink r:id="rId106" w:history="1">
        <w:r w:rsidRPr="00B83B51">
          <w:rPr>
            <w:rStyle w:val="Hyperlink"/>
            <w:sz w:val="20"/>
            <w:lang w:val="en-US"/>
          </w:rPr>
          <w:t>EN 17210:2021 contributes to an accessible and usable built environment</w:t>
        </w:r>
      </w:hyperlink>
      <w:r w:rsidRPr="00B83B51">
        <w:rPr>
          <w:rStyle w:val="cf01"/>
          <w:rFonts w:ascii="Arial" w:hAnsi="Arial"/>
          <w:sz w:val="20"/>
          <w:lang w:val="en-US"/>
        </w:rPr>
        <w:t>.</w:t>
      </w:r>
    </w:p>
  </w:footnote>
  <w:footnote w:id="114">
    <w:p w14:paraId="0C571F2B" w14:textId="7A18E251"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Tabellen er udarbejdet sammen med medlemsstaterne og afspejler de bedste oplysninger, der forelå på tidspunktet for offentliggørelsen.  </w:t>
      </w:r>
    </w:p>
  </w:footnote>
  <w:footnote w:id="115">
    <w:p w14:paraId="388967D5"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Krav om at stille skabeloner til rådighed, også kaldet taktile stencils</w:t>
      </w:r>
      <w:r>
        <w:t>.</w:t>
      </w:r>
    </w:p>
  </w:footnote>
  <w:footnote w:id="116">
    <w:p w14:paraId="7B79D08E"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Krav om, at vælgerne har adgang til forstørrelsesglas.</w:t>
      </w:r>
    </w:p>
  </w:footnote>
  <w:footnote w:id="117">
    <w:p w14:paraId="0CD4F62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Krav om, at der skal være tilstrækkelig belysning i valgkabinen</w:t>
      </w:r>
      <w:r>
        <w:t>.</w:t>
      </w:r>
    </w:p>
  </w:footnote>
  <w:footnote w:id="118">
    <w:p w14:paraId="63D8946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Krav om at sikre, at der er adgang til lydoplysninger om kandidaterne fra valgstedet, enten ved hjælp af en personlig anordning eller en hjælpeanordning, som stilles til rådighed af valgpersonalet</w:t>
      </w:r>
      <w:r>
        <w:t>.</w:t>
      </w:r>
    </w:p>
  </w:footnote>
  <w:footnote w:id="119">
    <w:p w14:paraId="4DFA2F3B"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Krav om at stille store udskrifter af stemmesedlen eller kandidatlisten til rådighed på valgstedet.</w:t>
      </w:r>
    </w:p>
  </w:footnote>
  <w:footnote w:id="120">
    <w:p w14:paraId="62F6A374"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Krav om at sikre, at stemmesedler også indeholder oplysninger i punktskrift</w:t>
      </w:r>
      <w:r>
        <w:t>.</w:t>
      </w:r>
    </w:p>
  </w:footnote>
  <w:footnote w:id="121">
    <w:p w14:paraId="3736234F"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Krav om at sikre, at stemmebokse følger tilgængelighedsstandarderne</w:t>
      </w:r>
      <w:r>
        <w:t>.</w:t>
      </w:r>
    </w:p>
  </w:footnote>
  <w:footnote w:id="122">
    <w:p w14:paraId="7464538C" w14:textId="77777777" w:rsidR="00EE2BB3" w:rsidRPr="006B02A7" w:rsidRDefault="00EE2BB3" w:rsidP="002D36F0">
      <w:pPr>
        <w:pStyle w:val="FootnoteText"/>
        <w:spacing w:after="60" w:line="264" w:lineRule="auto"/>
        <w:ind w:left="280" w:hanging="280"/>
        <w:jc w:val="left"/>
        <w:rPr>
          <w:rFonts w:ascii="Arial" w:hAnsi="Arial" w:cs="Arial"/>
          <w:b/>
        </w:rPr>
      </w:pPr>
      <w:r>
        <w:rPr>
          <w:rStyle w:val="FootnoteReference"/>
          <w:sz w:val="20"/>
        </w:rPr>
        <w:footnoteRef/>
      </w:r>
      <w:r>
        <w:rPr>
          <w:rFonts w:ascii="Arial" w:hAnsi="Arial"/>
        </w:rPr>
        <w:t xml:space="preserve"> Krav om at sikre, at stemmeurnerne er tilgængelige.</w:t>
      </w:r>
    </w:p>
  </w:footnote>
  <w:footnote w:id="123">
    <w:p w14:paraId="19F00BE7" w14:textId="77777777" w:rsidR="00C93552" w:rsidRPr="006B02A7" w:rsidRDefault="00C93552"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Der findes forstørrelsesglas på mange valgsteder etableret af lokale myndigheder.</w:t>
      </w:r>
    </w:p>
  </w:footnote>
  <w:footnote w:id="124">
    <w:p w14:paraId="66CF7CEB" w14:textId="2B6C2EE5" w:rsidR="00C93552" w:rsidRPr="006B02A7" w:rsidRDefault="00C93552"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Stemmesedler på punktskrift til større politiske partier kan bestilles på forhånd af vælgerne.</w:t>
      </w:r>
    </w:p>
  </w:footnote>
  <w:footnote w:id="125">
    <w:p w14:paraId="1C3D3C71" w14:textId="27AF2940"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Tabellen blev udarbejdet sammen med medlemsstaterne og afspejler de bedste oplysninger, der forelå på tidspunktet for offentliggørelsen.  </w:t>
      </w:r>
    </w:p>
  </w:footnote>
  <w:footnote w:id="126">
    <w:p w14:paraId="35BA7CC2"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Stemmeafgivning fra hjemmet, hospitaler eller boliger.</w:t>
      </w:r>
    </w:p>
  </w:footnote>
  <w:footnote w:id="127">
    <w:p w14:paraId="33841BDD"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Stemmeafgivning i umiddelbar nærhed af valgstedet</w:t>
      </w:r>
    </w:p>
  </w:footnote>
  <w:footnote w:id="128">
    <w:p w14:paraId="16AF3E9A"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Muligheden for at benytte et tilgængeligt valgsted, når det valgsted, som en vælger er tilknyttet, ikke er tilgængeligt.</w:t>
      </w:r>
    </w:p>
  </w:footnote>
  <w:footnote w:id="129">
    <w:p w14:paraId="1A2C5343"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Tidlig stemmeafgivelse for personer, der ikke er i stand til at tage til et valgsted på valgdagen.</w:t>
      </w:r>
    </w:p>
  </w:footnote>
  <w:footnote w:id="130">
    <w:p w14:paraId="3E991CE2"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Henviser kun til brevstemmeafgivning i landet.</w:t>
      </w:r>
    </w:p>
  </w:footnote>
  <w:footnote w:id="131">
    <w:p w14:paraId="7200EDC3"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Mulighed for at modtage bistand til at stemme fra en anden person.</w:t>
      </w:r>
    </w:p>
  </w:footnote>
  <w:footnote w:id="132">
    <w:p w14:paraId="4B32174D" w14:textId="57A5CD39"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Muligheden for at delegere stemmeretten til en anden person.</w:t>
      </w:r>
    </w:p>
  </w:footnote>
  <w:footnote w:id="133">
    <w:p w14:paraId="376757F8"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Muligheden for at stemme via internettet.</w:t>
      </w:r>
    </w:p>
  </w:footnote>
  <w:footnote w:id="134">
    <w:p w14:paraId="2F12F741"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For borgere i udlandet.</w:t>
      </w:r>
    </w:p>
  </w:footnote>
  <w:footnote w:id="135">
    <w:p w14:paraId="28D63C3F"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Frit valg af hjælper er ikke muligt.</w:t>
      </w:r>
    </w:p>
  </w:footnote>
  <w:footnote w:id="136">
    <w:p w14:paraId="0B6A4B68" w14:textId="77777777" w:rsidR="00203B22" w:rsidRPr="006B02A7" w:rsidRDefault="00203B22"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For borgere i udlandet.</w:t>
      </w:r>
    </w:p>
  </w:footnote>
  <w:footnote w:id="137">
    <w:p w14:paraId="5D66F74B" w14:textId="635B9669" w:rsidR="00402EFD" w:rsidRPr="00C32507" w:rsidRDefault="00402EFD" w:rsidP="00D43BE1">
      <w:pPr>
        <w:pStyle w:val="FootnoteText"/>
      </w:pPr>
      <w:r>
        <w:rPr>
          <w:rStyle w:val="FootnoteReference"/>
          <w:sz w:val="20"/>
        </w:rPr>
        <w:footnoteRef/>
      </w:r>
      <w:r>
        <w:t xml:space="preserve"> </w:t>
      </w:r>
      <w:r>
        <w:rPr>
          <w:rFonts w:ascii="Arial" w:hAnsi="Arial"/>
        </w:rPr>
        <w:t>For borgere i udlandet, vælgere, der afsoner en fængselsstraf, og vælgere i detentionscentre</w:t>
      </w:r>
      <w:r>
        <w:t>.</w:t>
      </w:r>
    </w:p>
  </w:footnote>
  <w:footnote w:id="138">
    <w:p w14:paraId="564A36FA"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For borgere i udlandet.</w:t>
      </w:r>
    </w:p>
  </w:footnote>
  <w:footnote w:id="139">
    <w:p w14:paraId="28AAD74C"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For borgere i udlandet.</w:t>
      </w:r>
    </w:p>
  </w:footnote>
  <w:footnote w:id="140">
    <w:p w14:paraId="3986B1B5"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Frit valg af hjælper er ikke muligt.</w:t>
      </w:r>
    </w:p>
  </w:footnote>
  <w:footnote w:id="141">
    <w:p w14:paraId="4F744910"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For borgere i udlandet.</w:t>
      </w:r>
    </w:p>
  </w:footnote>
  <w:footnote w:id="142">
    <w:p w14:paraId="785D5F0F"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For borgere i udlandet.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0705B2" w14:textId="77777777" w:rsidR="00723583" w:rsidRPr="00723583" w:rsidRDefault="00723583" w:rsidP="00723583">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2C4630" w14:textId="77777777" w:rsidR="00723583" w:rsidRPr="00723583" w:rsidRDefault="00723583" w:rsidP="00723583">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02FEFA" w14:textId="77777777" w:rsidR="00723583" w:rsidRPr="00723583" w:rsidRDefault="00723583" w:rsidP="00723583">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Adgang til valgsteder</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Adgang til valgsteder</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hyphenationZone w:val="425"/>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0FB0A321-0860-43E8-B63C-FB073E4A6E7D"/>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uxelles, den "/>
    <w:docVar w:name="LW_EMISSION_SUFFIX" w:val=" "/>
    <w:docVar w:name="LW_ID_DOCTYPE_NONLW" w:val="CP-024"/>
    <w:docVar w:name="LW_LANGUE" w:val="DA"/>
    <w:docVar w:name="LW_LEVEL_OF_SENSITIVITY" w:val="Standard treatment"/>
    <w:docVar w:name="LW_NOM.INST" w:val="EUROPA-KOMMISSIONEN"/>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Vejledning om god valgpraksis i medlemsstaterne vedrørende valgdeltagelse af borgere med handicap"/>
    <w:docVar w:name="LW_TYPE.DOC.CP" w:val="ARBEJDSDOKUMENT FRA KOMMISSIONENS TJENESTEGRENE"/>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583"/>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96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3B51"/>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14F"/>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7F7"/>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BE1"/>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3FD"/>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da-DK" w:eastAsia="da-DK"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B83B51"/>
    <w:pPr>
      <w:tabs>
        <w:tab w:val="left" w:pos="440"/>
        <w:tab w:val="right" w:leader="dot" w:pos="9060"/>
      </w:tabs>
      <w:spacing w:after="100"/>
      <w:ind w:left="1288" w:hanging="1288"/>
    </w:pPr>
    <w:rPr>
      <w:b/>
      <w:bCs/>
      <w:noProof/>
    </w:r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op.europa.eu/en/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da/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EN/TXT/?uri=SWD:2022:410: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DA/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DA/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DA/TXT/?uri=CELEX%3A01976X1008%2801%29-20020923" TargetMode="External"/><Relationship Id="rId37" Type="http://schemas.openxmlformats.org/officeDocument/2006/relationships/hyperlink" Target="https://eur-lex.europa.eu/legal-content/DA/TXT/?uri=CELEX%3A01994L0080-20130701" TargetMode="External"/><Relationship Id="rId40" Type="http://schemas.openxmlformats.org/officeDocument/2006/relationships/hyperlink" Target="https://eur-lex.europa.eu/legal-content/DA/TXT/?uri=celex%3A32019L0882" TargetMode="External"/><Relationship Id="rId45" Type="http://schemas.openxmlformats.org/officeDocument/2006/relationships/hyperlink" Target="https://eur-lex.europa.eu/legal-content/DA/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da"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DA/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DA/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DA/TXT/?uri=CELEX:62012CJ0356" TargetMode="External"/><Relationship Id="rId35" Type="http://schemas.openxmlformats.org/officeDocument/2006/relationships/hyperlink" Target="https://eur-lex.europa.eu/legal-content/DA/TXT/?uri=CELEX%3A01993L0109-20130127" TargetMode="External"/><Relationship Id="rId43" Type="http://schemas.openxmlformats.org/officeDocument/2006/relationships/hyperlink" Target="https://eur-lex.europa.eu/legal-content/DA/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da/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DA/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DA/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DA/TXT/?uri=COM%3A2020%3A790%3AFIN&amp;qid=1607079662423" TargetMode="External"/><Relationship Id="rId33" Type="http://schemas.openxmlformats.org/officeDocument/2006/relationships/hyperlink" Target="https://eur-lex.europa.eu/legal-content/DA/TXT/PDF/?uri=CONSIL:ST_9333_2022_INIT" TargetMode="External"/><Relationship Id="rId38" Type="http://schemas.openxmlformats.org/officeDocument/2006/relationships/hyperlink" Target="https://commission.europa.eu/strategy-and-policy/policies/justice-and-fundamental-rights/eu-citizenship/democracy-and-electoral-rights_da" TargetMode="External"/><Relationship Id="rId46" Type="http://schemas.openxmlformats.org/officeDocument/2006/relationships/hyperlink" Target="https://www.echr.coe.int/documents/d/echr/Convention_ENG"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da/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DA/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DA/TXT/?uri=CELEX%3A02014L0024-20220101" TargetMode="External"/><Relationship Id="rId1" Type="http://schemas.openxmlformats.org/officeDocument/2006/relationships/hyperlink" Target="https://commission.europa.eu/system/files/2020-04/political-guidelines-next-commission_en_0.pdf" TargetMode="External"/><Relationship Id="rId6" Type="http://schemas.openxmlformats.org/officeDocument/2006/relationships/hyperlink" Target="https://eur-lex.europa.eu/legal-content/DA/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DA/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da-n.pdf" TargetMode="External"/><Relationship Id="rId31" Type="http://schemas.openxmlformats.org/officeDocument/2006/relationships/hyperlink" Target="https://eur-lex.europa.eu/legal-content/DA/TXT/?uri=CELEX%3A01976X1008%2801%29-20020923" TargetMode="External"/><Relationship Id="rId44" Type="http://schemas.openxmlformats.org/officeDocument/2006/relationships/hyperlink" Target="https://eur-lex.europa.eu/legal-content/DA/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DA/TXT/?uri=CELEX%3A02010L0013-20181218" TargetMode="External"/><Relationship Id="rId101" Type="http://schemas.openxmlformats.org/officeDocument/2006/relationships/hyperlink" Target="https://digital-strategy.ec.europa.eu/da/policies/web-accessibility-directive-standards-and-harmonisation" TargetMode="External"/><Relationship Id="rId4" Type="http://schemas.openxmlformats.org/officeDocument/2006/relationships/hyperlink" Target="https://eur-lex.europa.eu/legal-content/DA/TXT/?uri=CELEX:52020DC0252" TargetMode="External"/><Relationship Id="rId9" Type="http://schemas.openxmlformats.org/officeDocument/2006/relationships/hyperlink" Target="https://eur-lex.europa.eu/legal-content/DA/TXT/?uri=CELEX%3A52023AP0037&amp;qid=1695896629476" TargetMode="External"/><Relationship Id="rId13" Type="http://schemas.openxmlformats.org/officeDocument/2006/relationships/hyperlink" Target="https://eur-lex.europa.eu/legal-content/DA/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DA/TXT/?uri=CELEX%3A52021PC0731" TargetMode="External"/><Relationship Id="rId34" Type="http://schemas.openxmlformats.org/officeDocument/2006/relationships/hyperlink" Target="https://eur-lex.europa.eu/legal-content/DA/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DA/TXT/?uri=CELEX%3A02014L0025-20220101" TargetMode="External"/><Relationship Id="rId104" Type="http://schemas.openxmlformats.org/officeDocument/2006/relationships/hyperlink" Target="https://digital-strategy.ec.europa.eu/da/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FFA2E5-19B7-4909-AE61-FD6698726B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16601</Words>
  <Characters>94627</Characters>
  <Application>Microsoft Office Word</Application>
  <DocSecurity>0</DocSecurity>
  <Lines>788</Lines>
  <Paragraphs>222</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111006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