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Častna izjava</w:t>
      </w:r>
      <w:r>
        <w:t xml:space="preserve"> </w:t>
      </w:r>
      <w:r>
        <w:br/>
      </w:r>
      <w:r>
        <w:rPr>
          <w:b/>
          <w:sz w:val="28"/>
        </w:rPr>
        <w:t>o merilih za izključitev in pogojih za sodelovanje</w:t>
      </w:r>
    </w:p>
    <w:p w14:paraId="1A26E185" w14:textId="206E0B8A" w:rsidR="00702372" w:rsidRPr="00370A7F" w:rsidRDefault="00702372" w:rsidP="00370A7F">
      <w:pPr>
        <w:spacing w:before="100" w:beforeAutospacing="1" w:after="100" w:afterAutospacing="1"/>
        <w:jc w:val="both"/>
        <w:rPr>
          <w:b/>
          <w:bCs/>
        </w:rPr>
      </w:pPr>
      <w:r>
        <w:rPr>
          <w:b/>
        </w:rPr>
        <w:t>Referenčna številka postopka:</w:t>
      </w:r>
    </w:p>
    <w:p w14:paraId="60A66E87" w14:textId="242ECE30" w:rsidR="00702372" w:rsidRPr="00370A7F" w:rsidRDefault="00702372" w:rsidP="7F6CA770">
      <w:pPr>
        <w:spacing w:before="100" w:beforeAutospacing="1" w:after="100" w:afterAutospacing="1"/>
        <w:jc w:val="both"/>
        <w:rPr>
          <w:b/>
          <w:bCs/>
        </w:rPr>
      </w:pPr>
      <w:r>
        <w:rPr>
          <w:b/>
        </w:rPr>
        <w:t>Ime postopka:</w:t>
      </w:r>
    </w:p>
    <w:p w14:paraId="03B168D8" w14:textId="3C04CAF4" w:rsidR="00702372" w:rsidRDefault="00702372" w:rsidP="7F6CA770">
      <w:pPr>
        <w:spacing w:beforeAutospacing="1" w:afterAutospacing="1"/>
        <w:jc w:val="both"/>
        <w:rPr>
          <w:i/>
          <w:iCs/>
          <w:noProof/>
          <w:highlight w:val="lightGray"/>
        </w:rPr>
      </w:pPr>
      <w:r>
        <w:rPr>
          <w:i/>
          <w:highlight w:val="lightGray"/>
        </w:rPr>
        <w:t>[Možnost 1 za pravne osebe]</w:t>
      </w:r>
    </w:p>
    <w:p w14:paraId="11F056D1" w14:textId="45B7275C" w:rsidR="00DA410F" w:rsidRDefault="00DA410F" w:rsidP="7F6CA770">
      <w:pPr>
        <w:jc w:val="both"/>
        <w:rPr>
          <w:noProof/>
        </w:rPr>
      </w:pPr>
      <w:r>
        <w:t>Podpisani/Podpisana [</w:t>
      </w:r>
      <w:r>
        <w:rPr>
          <w:i/>
          <w:highlight w:val="lightGray"/>
        </w:rPr>
        <w:t>vstavite ime in priimek podpisnika/podpisnice tega obrazca</w:t>
      </w:r>
      <w:r>
        <w:t>], ki zastopa naslednjo pravno osebo:</w:t>
      </w:r>
    </w:p>
    <w:p w14:paraId="629278CB" w14:textId="77777777" w:rsidR="7F6CA770" w:rsidRDefault="7F6CA770"/>
    <w:p w14:paraId="556E93A3" w14:textId="7FA43BB3" w:rsidR="00D17C08" w:rsidRDefault="00D17C08" w:rsidP="7F6CA770">
      <w:pPr>
        <w:rPr>
          <w:b/>
          <w:bCs/>
        </w:rPr>
      </w:pPr>
      <w:r>
        <w:t>Polno uradno ime:</w:t>
      </w:r>
    </w:p>
    <w:p w14:paraId="60A1F64A" w14:textId="32A8BCF0" w:rsidR="00D17C08" w:rsidRDefault="00D17C08">
      <w:r>
        <w:t>Uradna pravna oblika:</w:t>
      </w:r>
    </w:p>
    <w:p w14:paraId="775FC49B" w14:textId="77777777" w:rsidR="00D17C08" w:rsidRDefault="00D17C08" w:rsidP="7F6CA770">
      <w:pPr>
        <w:rPr>
          <w:b/>
          <w:bCs/>
        </w:rPr>
      </w:pPr>
      <w:r>
        <w:t>Zakonsko določena matična številka</w:t>
      </w:r>
      <w:r>
        <w:rPr>
          <w:b/>
        </w:rPr>
        <w:t xml:space="preserve">: </w:t>
      </w:r>
    </w:p>
    <w:p w14:paraId="3AE2909A" w14:textId="77777777" w:rsidR="00D17C08" w:rsidRDefault="00D17C08" w:rsidP="7F6CA770">
      <w:pPr>
        <w:rPr>
          <w:b/>
          <w:bCs/>
        </w:rPr>
      </w:pPr>
      <w:r>
        <w:t xml:space="preserve">Polni uradni naslov: </w:t>
      </w:r>
    </w:p>
    <w:p w14:paraId="69884DE8" w14:textId="77777777" w:rsidR="00D17C08" w:rsidRDefault="00D17C08">
      <w:r>
        <w:t xml:space="preserve">Identifikacijska številka za DDV: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(v nadaljnjem besedilu </w:t>
      </w:r>
      <w:r>
        <w:rPr>
          <w:b/>
        </w:rPr>
        <w:t>oseba</w:t>
      </w:r>
      <w:r>
        <w:t>)</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[Možnost 2 za fizične osebe]</w:t>
      </w:r>
    </w:p>
    <w:p w14:paraId="63C4093D" w14:textId="66FB4351" w:rsidR="00D17C08" w:rsidRDefault="00D17C08" w:rsidP="7F6CA770">
      <w:pPr>
        <w:jc w:val="both"/>
        <w:rPr>
          <w:noProof/>
        </w:rPr>
      </w:pPr>
      <w:r>
        <w:t>Podpisani/podpisana [</w:t>
      </w:r>
      <w:r>
        <w:rPr>
          <w:i/>
          <w:highlight w:val="lightGray"/>
        </w:rPr>
        <w:t>vstavite ime in priimek podpisnika/podpisnice tega obrazca</w:t>
      </w:r>
      <w:r>
        <w:t>], s številko osebne izkaznice ali potnega lista [</w:t>
      </w:r>
      <w:r>
        <w:rPr>
          <w:i/>
          <w:highlight w:val="lightGray"/>
        </w:rPr>
        <w:t>vstavite številko</w:t>
      </w:r>
      <w:r>
        <w:t>], ki zastopa samega/samo sebe:</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(v nadaljnjem besedilu </w:t>
      </w:r>
      <w:r>
        <w:rPr>
          <w:b/>
        </w:rPr>
        <w:t>oseba</w:t>
      </w:r>
      <w:r>
        <w:t>)</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Častna izjava o merilih za izključitev</w:t>
      </w:r>
    </w:p>
    <w:p w14:paraId="67F47E4E" w14:textId="637AF68D" w:rsidR="00B74CFF" w:rsidRDefault="007F3628" w:rsidP="00370A7F">
      <w:pPr>
        <w:spacing w:before="100" w:beforeAutospacing="1" w:after="100" w:afterAutospacing="1"/>
        <w:jc w:val="both"/>
      </w:pPr>
      <w:r>
        <w:t>Osebi ni treba izpolniti tega dela A izjave (Častna izjava o merilih za izključitev), če je bila ista izjava že predložena za namene drugega postopka za oddajo javnega naročila istega javnega naročnika</w:t>
      </w:r>
      <w:r>
        <w:rPr>
          <w:rStyle w:val="FootnoteReference"/>
        </w:rPr>
        <w:footnoteReference w:id="2"/>
      </w:r>
      <w:r>
        <w:t>, pod pogojem, da se situacija ni spremenila in da od datuma izdaje te izjave ni preteklo več kot eno leto.</w:t>
      </w:r>
    </w:p>
    <w:p w14:paraId="64B20EEE" w14:textId="78AEE0D7" w:rsidR="00AE5C0E" w:rsidRDefault="00AE5C0E" w:rsidP="00370A7F">
      <w:pPr>
        <w:spacing w:before="100" w:beforeAutospacing="1" w:after="100" w:afterAutospacing="1"/>
        <w:jc w:val="both"/>
      </w:pPr>
      <w:r>
        <w:t xml:space="preserve">V tem primeru podpisnik/podpisnica izjavlja, da je oseba že predložila isto izjavo o merilih za izključitev v prejšnjem postopku, in potrjuje, da se njena situacija ni spremenila: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Datum izjave</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Popoln sklic na predhodni postopek</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Situacije za izključitev osebe</w:t>
      </w:r>
    </w:p>
    <w:p w14:paraId="368816DB" w14:textId="1E6A9513" w:rsidR="00CD4DDC" w:rsidRPr="00897E28" w:rsidRDefault="00CD4A13" w:rsidP="7F6CA770">
      <w:pPr>
        <w:spacing w:before="120" w:after="120"/>
        <w:ind w:firstLine="1"/>
        <w:jc w:val="both"/>
        <w:rPr>
          <w:b/>
          <w:bCs/>
          <w:i/>
          <w:iCs/>
          <w:noProof/>
        </w:rPr>
      </w:pPr>
      <w:r>
        <w:rPr>
          <w:b/>
          <w:i/>
        </w:rPr>
        <w:lastRenderedPageBreak/>
        <w:t>(izpolnijo vsi sodelujoči subjekti</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izjavlja, da je oseba v eni od naslednjih situacij:</w:t>
            </w:r>
          </w:p>
        </w:tc>
        <w:tc>
          <w:tcPr>
            <w:tcW w:w="812" w:type="dxa"/>
            <w:shd w:val="clear" w:color="auto" w:fill="auto"/>
          </w:tcPr>
          <w:p w14:paraId="16F44831" w14:textId="77777777" w:rsidR="00F7691A" w:rsidRDefault="00F7691A" w:rsidP="006B0A89">
            <w:pPr>
              <w:spacing w:before="40" w:after="40"/>
              <w:ind w:left="142"/>
              <w:jc w:val="center"/>
              <w:rPr>
                <w:noProof/>
              </w:rPr>
            </w:pPr>
            <w:r>
              <w:t>DA</w:t>
            </w:r>
          </w:p>
        </w:tc>
        <w:tc>
          <w:tcPr>
            <w:tcW w:w="705" w:type="dxa"/>
            <w:shd w:val="clear" w:color="auto" w:fill="auto"/>
          </w:tcPr>
          <w:p w14:paraId="16F44832" w14:textId="77777777" w:rsidR="00F7691A" w:rsidRDefault="00F7691A" w:rsidP="006B0A89">
            <w:pPr>
              <w:spacing w:before="40" w:after="40"/>
              <w:ind w:left="142"/>
              <w:jc w:val="center"/>
              <w:rPr>
                <w:noProof/>
              </w:rPr>
            </w:pPr>
            <w:r>
              <w:t>NE</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oseba je v stečaju, postopku zaradi insolventnosti ali postopku likvidacije, njena sredstva upravlja upravitelj ali sodišče, ima dogovor z upniki, njene poslovne dejavnosti so začasno ustavljene ali je v kakršni koli podobni situaciji, ki nastane zaradi podobnega postopka, določenega v zakonodaji Unije ali nacionalni zakonodaji;</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s pravnomočno sodbo ali pravnomočno upravno odločbo je bilo ugotovljeno, da oseba krši svoje obveznosti v zvezi s plačevanjem davkov ali prispevkov za socialno varnost v skladu z veljavnim pravom;</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1902CF">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s pravnomočno sodbo ali pravnomočno upravno odločbo je bilo ugotovljeno, da je oseba zagrešila hudo kršitev poklicnih pravil, s tem ko je kršila veljavne zakone in druge predpise ali etične standarde stroke, ki ji pripada, ali s tem, ko je ravnala krivdno, pri čemer to ravnanje, če kaže na naklep ali hudo malomarnost, vpliva na njeno strokovno verodostojnost, med drugim zlasti naslednje:</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zavajanje z namenom goljufije ali iz malomarnosti pri dajanju informacij, ki se zahtevajo zaradi preverjanja odsotnosti razlogov za izključitev ali izpolnjevanja meril za upravičenost ali pogojev za sodelovanje ali pri izvajanju naročila ali sporazuma;</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sklepanje dogovorov z drugimi osebami ali subjekti z namenom izkrivljanja konkurence;</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kršenje pravic intelektualne lastnine;</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poskus vplivanja na postopek odločanja javnega naročnika med postopkom za oddajo javnega naročila;</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 poskus pridobitve zaupnih informacij, zaradi katerih bi lahko imela neupravičeno prednost v postopku za oddajo javnega naročila</w:t>
            </w:r>
            <w:bookmarkEnd w:id="5"/>
            <w:r>
              <w:rPr>
                <w:color w:val="000000"/>
              </w:rPr>
              <w:t>;</w:t>
            </w:r>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s pravnomočno sodbo je bilo ugotovljeno, da je oseba kriva česar koli od naslednjega:</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goljufije v smislu člena 3 Direktive (EU) 2017/1371 in člena 1 Konvencije o zaščiti finančnih interesov Evropskih skupnosti, pripravljene na podlagi Akta Sveta z dne 26. julija 1995</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(ii) korupcije, kot je opredeljena v členu 4(2) Direktive (EU) 2017/1371, ali aktivne korupcije v smislu člena 3 Konvencije o boju proti korupciji uradnikov Evropskih skupnosti ali uradnikov držav članic</w:t>
            </w:r>
            <w:bookmarkStart w:id="8" w:name="_DV_C381"/>
            <w:bookmarkEnd w:id="7"/>
            <w:r>
              <w:rPr>
                <w:color w:val="000000"/>
              </w:rPr>
              <w:t xml:space="preserve"> Evropske unije, pripravljene na podlagi Akta Sveta z dne 26. maja 1997, ali ravnanja iz člena 2(1) Okvirnega sklepa Sveta 2003/568/PNZ</w:t>
            </w:r>
            <w:bookmarkStart w:id="9" w:name="_DV_C383"/>
            <w:bookmarkEnd w:id="8"/>
            <w:r>
              <w:rPr>
                <w:color w:val="000000"/>
              </w:rPr>
              <w:t>, ali korupcije, kot je opredeljena v drugih veljavnih predpisih;</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lastRenderedPageBreak/>
              <w:t>(iii)</w:t>
            </w:r>
            <w:bookmarkStart w:id="11" w:name="_DV_M250"/>
            <w:bookmarkEnd w:id="10"/>
            <w:bookmarkEnd w:id="11"/>
            <w:r>
              <w:rPr>
                <w:color w:val="000000"/>
              </w:rPr>
              <w:t xml:space="preserve"> ravnanja v povezavi s hudodelsko združbo, </w:t>
            </w:r>
            <w:bookmarkStart w:id="12" w:name="_DV_C385"/>
            <w:r>
              <w:rPr>
                <w:color w:val="000000"/>
              </w:rPr>
              <w:t>kot je navedeno v členu 2 Okvirnega sklepa Sveta 2008/841/PNZ</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pranja denarja</w:t>
            </w:r>
            <w:bookmarkStart w:id="15" w:name="_DV_C391"/>
            <w:r>
              <w:rPr>
                <w:color w:val="000000"/>
              </w:rPr>
              <w:t xml:space="preserve"> ali</w:t>
            </w:r>
            <w:bookmarkStart w:id="16" w:name="_DV_M252"/>
            <w:bookmarkEnd w:id="15"/>
            <w:bookmarkEnd w:id="16"/>
            <w:r>
              <w:t xml:space="preserve"> financiranja terorizma, </w:t>
            </w:r>
            <w:bookmarkStart w:id="17" w:name="_DV_C392"/>
            <w:r>
              <w:rPr>
                <w:color w:val="000000"/>
              </w:rPr>
              <w:t>v smislu člena 1(3), (4) in (5) Direktive (EU) 2015/849 Evropskega parlamenta in Sveta</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terorističnih kaznivih dejanj</w:t>
            </w:r>
            <w:bookmarkStart w:id="21" w:name="_DV_C397"/>
            <w:r>
              <w:rPr>
                <w:color w:val="000000"/>
              </w:rPr>
              <w:t xml:space="preserve"> oziroma kaznivih dejanj, povezanih s terorističnimi dejavnostmi, ter napeljevanja h kaznivemu dejanju, pomoči pri njegovi storitvi ali poskusa njegove storitve, kot so opredeljeni v členih 3 in 14 ter v naslovu III Direktive (EU) 2017/541 Evropskega parlamenta in Sveta z dne 15. marca 2017 o boju proti terorizmu</w:t>
            </w:r>
            <w:bookmarkStart w:id="22" w:name="_DV_C399"/>
            <w:bookmarkEnd w:id="21"/>
            <w:r>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vpletenosti v delo otrok ali drugih kaznivih dejanj v zvezi s trgovino z ljudmi, </w:t>
            </w:r>
            <w:bookmarkStart w:id="25" w:name="_DV_C402"/>
            <w:r>
              <w:rPr>
                <w:color w:val="000000"/>
              </w:rPr>
              <w:t>kot so navedena v členu 2 Direktive 2011/36/EU Evropskega parlamenta in Sveta</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izkazano je zelo pomanjkljivo izpolnjevanje glavne obveznosti pri izvajanju naročila ali sporazuma, financiranega iz proračuna Unije, kar je privedlo do predčasne odpovedi naročila ali uporabe pavšalnih odškodnin ali drugih pogodbenih kazni ali kar je javni naročnik, Evropski urad za boj proti goljufijam (OLAF) ali Računsko sodišče razkrilo s svojimi pregledi, revizijami ali preiskavami;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Pr>
                <w:color w:val="000000"/>
              </w:rPr>
              <w:t>s pravnomočno sodbo ali pravnomočno upravno odločbo je bilo ugotovljeno, da je oseba storila nepravilnost v smislu člena 1(2) Uredbe Sveta (ES, Euratom) št. 2988/95</w:t>
            </w:r>
            <w:bookmarkEnd w:id="27"/>
            <w:r>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s pravnomočno sodbo ali pravnomočno upravno odločbo je bilo ugotovljeno, da je oseba ustanovila subjekt v drugi jurisdikciji z namenom, da bi se izognila davčnim, socialnim in drugim pravnim obveznostim v jurisdikciji, v kateri ima statutarni sedež, osrednjo upravo ali glavno poslovno enoto;</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samo za pravne osebe</w:t>
            </w:r>
            <w:r>
              <w:t xml:space="preserve">) </w:t>
            </w:r>
            <w:r>
              <w:rPr>
                <w:color w:val="000000"/>
              </w:rPr>
              <w:t>s pravnomočno sodbo ali pravnomočno upravno odločbo je bilo ugotovljeno, da je bila oseba ustanovljena z namenom iz točke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izjavlja, da za situacije iz točk 1(c) do 1(h) zgoraj, če ni bila izdana pravnomočna sodba ali pravnomočna upravna odločba, za osebo</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DA</w:t>
            </w:r>
          </w:p>
        </w:tc>
        <w:tc>
          <w:tcPr>
            <w:tcW w:w="705" w:type="dxa"/>
            <w:shd w:val="clear" w:color="auto" w:fill="auto"/>
          </w:tcPr>
          <w:p w14:paraId="1A4D1557" w14:textId="4113B6AB" w:rsidR="00977B4E" w:rsidRDefault="00977B4E" w:rsidP="006B0A89">
            <w:pPr>
              <w:spacing w:before="240" w:after="120"/>
              <w:jc w:val="center"/>
              <w:rPr>
                <w:noProof/>
              </w:rPr>
            </w:pPr>
            <w:r>
              <w:t>NE</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veljajo dejstva, ugotovljena pri revizijah ali preiskavah, ki jih opravi Evropsko javno tožilstvo, Računsko sodišče ali notranji revizor, ali katerem koli drugem preverjanju, reviziji ali kontroli, opravljeni pod odgovornostjo odredbodajalca institucije EU, evropskega urada ali agencije ali organa EU;</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veljajo nepravnomočne sodbe ali nepravnomočne upravne odločbe, ki lahko vključujejo disciplinske ukrepe, ki jih sprejme pristojni nadzorni organ, odgovoren za to, da preveri, ali se uporabljajo standardi poklicne etike;</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veljajo dejstva iz sklepov subjektov ali oseb, ki so jim poverjene naloge izvrševanja proračuna EU;</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veljajo informacije, ki jih posredujejo države članice, ki izvajajo sredstva Unije;</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lastRenderedPageBreak/>
              <w:tab/>
            </w:r>
            <w:r>
              <w:rPr>
                <w:color w:val="000000"/>
              </w:rPr>
              <w:t xml:space="preserve"> veljajo sklepi Komisije v zvezi s kršitvijo konkurenčnega prava Unije ali sklepi pristojnega nacionalnega organa v zvezi s kršitvijo konkurenčnega prava Unije ali nacionalnega konkurenčnega prava;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velja, da je na kakršen koli način obveščena, da je predmet preiskave Evropskega urada za boj proti goljufijam (OLAF): bodisi ker ji je bila dana priložnost za predložitev pripomb o dejstvih v zvezi z njo s strani OLAF-a bodisi ker je bila predmet preverjanj na kraju samem s strani OLAF-a med preiskavo ali je bila uradno obveščena o začetku ali zaključku preiskave ali kakršnih koli drugih okoliščinah, povezanih s preiskavo OLAF-a v zvezi z njo.</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902CF">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16F4487F" w14:textId="3C305866" w:rsidR="00897553" w:rsidRDefault="00897553" w:rsidP="00422300">
      <w:pPr>
        <w:pStyle w:val="Title"/>
        <w:jc w:val="both"/>
      </w:pPr>
      <w:bookmarkStart w:id="28" w:name="_DV_C376"/>
      <w:r>
        <w:t>II – Situacije za izključitev fizičnih ali pravnih oseb s pooblastili za zastopanje, odločanje ali nadzor v zvezi s pravno osebo in dejanskih lastnikov</w:t>
      </w:r>
    </w:p>
    <w:p w14:paraId="16F44880" w14:textId="6AE7955A" w:rsidR="00897553" w:rsidRDefault="007E60B3" w:rsidP="7F6CA770">
      <w:pPr>
        <w:autoSpaceDE w:val="0"/>
        <w:autoSpaceDN w:val="0"/>
        <w:adjustRightInd w:val="0"/>
        <w:spacing w:before="120" w:after="240"/>
        <w:jc w:val="center"/>
        <w:rPr>
          <w:b/>
          <w:bCs/>
          <w:i/>
          <w:iCs/>
          <w:noProof/>
          <w:u w:val="single"/>
        </w:rPr>
      </w:pPr>
      <w:r>
        <w:rPr>
          <w:b/>
          <w:i/>
          <w:u w:val="single"/>
        </w:rPr>
        <w:t xml:space="preserve">Se ne uporablja, če je </w:t>
      </w:r>
      <w:r w:rsidR="001F135A">
        <w:rPr>
          <w:b/>
          <w:i/>
          <w:u w:val="single"/>
        </w:rPr>
        <w:t>oseba fizična oseba, država članica ali lokalni organ. V vseh drugih primerih izpolnijo vsi sodelujoči subjekti.</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izjavlja, da je fizična ali pravna oseba, ki je član upravnega, vodstvenega ali nadzornega organa osebe ali ima pooblastila za zastopanje, odločanje ali nadzor v zvezi z osebo (to zajema npr. direktorje družb, člane vodstvenih ali nadzornih organov in primere, ko ima ena fizična ali pravna oseba v lasti večino delnic družbe), ali dejanski lastnik osebe (kakor je opredeljen v točki 6 člena 3 Direktive (EU) 2015/849) v kateri od naslednjih situacij: </w:t>
            </w:r>
          </w:p>
        </w:tc>
        <w:tc>
          <w:tcPr>
            <w:tcW w:w="858" w:type="dxa"/>
            <w:shd w:val="clear" w:color="auto" w:fill="auto"/>
          </w:tcPr>
          <w:p w14:paraId="16F44882" w14:textId="77777777" w:rsidR="001F135A" w:rsidRDefault="001F135A" w:rsidP="00C37A34">
            <w:pPr>
              <w:spacing w:before="240" w:after="120"/>
              <w:jc w:val="center"/>
              <w:rPr>
                <w:noProof/>
              </w:rPr>
            </w:pPr>
            <w:r>
              <w:t>DA</w:t>
            </w:r>
          </w:p>
        </w:tc>
        <w:tc>
          <w:tcPr>
            <w:tcW w:w="952" w:type="dxa"/>
            <w:shd w:val="clear" w:color="auto" w:fill="auto"/>
          </w:tcPr>
          <w:p w14:paraId="16F44883" w14:textId="77777777" w:rsidR="001F135A" w:rsidRDefault="001F135A" w:rsidP="00C37A34">
            <w:pPr>
              <w:spacing w:before="240" w:after="120"/>
              <w:jc w:val="center"/>
              <w:rPr>
                <w:noProof/>
              </w:rPr>
            </w:pPr>
            <w:r>
              <w:t>NE</w:t>
            </w:r>
          </w:p>
        </w:tc>
        <w:tc>
          <w:tcPr>
            <w:tcW w:w="813" w:type="dxa"/>
          </w:tcPr>
          <w:p w14:paraId="16F44884" w14:textId="77777777" w:rsidR="001F135A" w:rsidRDefault="001F135A" w:rsidP="00C37A34">
            <w:pPr>
              <w:spacing w:before="240" w:after="120"/>
              <w:jc w:val="center"/>
              <w:rPr>
                <w:noProof/>
              </w:rPr>
            </w:pPr>
            <w:r>
              <w:t>n. r.</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situacija iz točke 1(c) zgoraj (huda kršitev poklicnih pravil)</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situacija iz točke 1(d) zgoraj (goljufija, korupcija ali drugo kaznivo dejanje)</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situacija iz točke 1(e) zgoraj (znatne pomanjkljivosti pri izvajanju naročila)</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situacija iz točke 1(f) zgoraj (nepravilnost)</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situacija iz točke 1(g) zgoraj (ustanovitev subjekta z namenom izogibanja pravnim obveznostim)</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situacija iz točke 1(h) zgoraj (oseba, ustanovljena z namenom izogibanja pravnim obveznostim)</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III – Situacije za izključitev fizičnih ali pravnih oseb, ki prevzamejo neomejeno odgovornost za dolgove pravne osebe</w:t>
      </w:r>
    </w:p>
    <w:p w14:paraId="35672559" w14:textId="3DCE9122" w:rsidR="00CF1E63" w:rsidRPr="00370A7F" w:rsidRDefault="00CF1E63" w:rsidP="6FB7994E">
      <w:pPr>
        <w:autoSpaceDE w:val="0"/>
        <w:autoSpaceDN w:val="0"/>
        <w:adjustRightInd w:val="0"/>
        <w:spacing w:before="120" w:after="240"/>
        <w:jc w:val="center"/>
        <w:rPr>
          <w:i/>
          <w:iCs/>
        </w:rPr>
      </w:pPr>
      <w:r>
        <w:rPr>
          <w:b/>
          <w:i/>
          <w:u w:val="single"/>
        </w:rPr>
        <w:lastRenderedPageBreak/>
        <w:t xml:space="preserve">Se ne uporablja, če je </w:t>
      </w:r>
      <w:r w:rsidR="007E60B3">
        <w:rPr>
          <w:b/>
          <w:i/>
          <w:u w:val="single"/>
        </w:rPr>
        <w:t>oseba</w:t>
      </w:r>
      <w:r>
        <w:rPr>
          <w:b/>
          <w:i/>
          <w:u w:val="single"/>
        </w:rPr>
        <w:t xml:space="preserve"> fizična oseba, država članica, lokalni organ ali pravna oseba z omejeno odgovornostjo. V vseh drugih primerih izpolnijo vsi sodelujoči subjekti.</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izjavlja, da je fizična ali pravna oseba, ki prevzame neomejeno odgovornost za dolgove osebe, v kateri od naslednjih situacij: </w:t>
            </w:r>
          </w:p>
        </w:tc>
        <w:tc>
          <w:tcPr>
            <w:tcW w:w="670" w:type="dxa"/>
            <w:shd w:val="clear" w:color="auto" w:fill="auto"/>
          </w:tcPr>
          <w:p w14:paraId="16F4489C" w14:textId="77777777" w:rsidR="003E5E5C" w:rsidRDefault="003E5E5C" w:rsidP="00C37A34">
            <w:pPr>
              <w:spacing w:before="240" w:after="120"/>
              <w:jc w:val="center"/>
              <w:rPr>
                <w:noProof/>
              </w:rPr>
            </w:pPr>
            <w:r>
              <w:t>DA</w:t>
            </w:r>
          </w:p>
        </w:tc>
        <w:tc>
          <w:tcPr>
            <w:tcW w:w="614" w:type="dxa"/>
          </w:tcPr>
          <w:p w14:paraId="16F4489D" w14:textId="77777777" w:rsidR="003E5E5C" w:rsidRDefault="003E5E5C" w:rsidP="00C37A34">
            <w:pPr>
              <w:spacing w:before="240" w:after="120"/>
              <w:jc w:val="center"/>
              <w:rPr>
                <w:noProof/>
              </w:rPr>
            </w:pPr>
            <w:r>
              <w:t>NE</w:t>
            </w:r>
          </w:p>
        </w:tc>
        <w:tc>
          <w:tcPr>
            <w:tcW w:w="630" w:type="dxa"/>
            <w:shd w:val="clear" w:color="auto" w:fill="auto"/>
          </w:tcPr>
          <w:p w14:paraId="16F4489E" w14:textId="77777777" w:rsidR="003E5E5C" w:rsidRDefault="003E5E5C" w:rsidP="00C37A34">
            <w:pPr>
              <w:spacing w:before="240" w:after="120"/>
              <w:jc w:val="center"/>
              <w:rPr>
                <w:noProof/>
              </w:rPr>
            </w:pPr>
            <w:r>
              <w:t>n. r.</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situacija (a) zgoraj (stečaj)</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situacija (b) zgoraj (neizpolnjevanje obveznosti plačevanja davkov ali prispevkov za socialno varnost)</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28F7EA99" w14:textId="76AEE25F" w:rsidR="00B05C76" w:rsidRDefault="00B05C76" w:rsidP="00B05C76">
      <w:pPr>
        <w:pStyle w:val="Title"/>
        <w:rPr>
          <w:noProof/>
        </w:rPr>
      </w:pPr>
      <w:r>
        <w:t>IV – Drugi razlogi za zavrnitev sodelovanja v postopku</w:t>
      </w:r>
    </w:p>
    <w:p w14:paraId="49EFC66C" w14:textId="603EB082" w:rsidR="00B05C76" w:rsidRPr="00897E28" w:rsidRDefault="00B05C76" w:rsidP="00B05C76">
      <w:pPr>
        <w:spacing w:before="120" w:after="120"/>
        <w:ind w:firstLine="1"/>
        <w:jc w:val="both"/>
        <w:rPr>
          <w:b/>
          <w:bCs/>
          <w:i/>
          <w:iCs/>
          <w:noProof/>
        </w:rPr>
      </w:pPr>
      <w:r>
        <w:rPr>
          <w:b/>
          <w:i/>
        </w:rPr>
        <w:t>(izpolni posamično edini kandidat/ponudnik ali vsi člani skupine v primeru skupne prijave za sodelovanje/ponudbo)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izjavlja, da je oseba:</w:t>
            </w:r>
          </w:p>
        </w:tc>
        <w:tc>
          <w:tcPr>
            <w:tcW w:w="670" w:type="dxa"/>
            <w:shd w:val="clear" w:color="auto" w:fill="auto"/>
          </w:tcPr>
          <w:p w14:paraId="1361E30C" w14:textId="77777777" w:rsidR="00B05C76" w:rsidRDefault="00B05C76" w:rsidP="00D6012C">
            <w:pPr>
              <w:spacing w:before="240" w:after="120"/>
              <w:jc w:val="center"/>
              <w:rPr>
                <w:noProof/>
              </w:rPr>
            </w:pPr>
            <w:r>
              <w:t>DA</w:t>
            </w:r>
          </w:p>
        </w:tc>
        <w:tc>
          <w:tcPr>
            <w:tcW w:w="759" w:type="dxa"/>
            <w:shd w:val="clear" w:color="auto" w:fill="auto"/>
          </w:tcPr>
          <w:p w14:paraId="2D50029A" w14:textId="77777777" w:rsidR="00B05C76" w:rsidRDefault="00B05C76" w:rsidP="00D6012C">
            <w:pPr>
              <w:spacing w:before="240" w:after="120"/>
              <w:jc w:val="center"/>
              <w:rPr>
                <w:noProof/>
              </w:rPr>
            </w:pPr>
            <w:r>
              <w:t>NE</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predhodno sodelovala pri pripravi dokumentacije v zvezi s tem postopkom dodeljevanja, če je to pomenilo kršitev načela enakega obravnavanja, vključno z izkrivljanjem konkurence, ki ga ni mogoče odpraviti drugače.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Popravni ukrepi</w:t>
      </w:r>
    </w:p>
    <w:p w14:paraId="16F448B4" w14:textId="432FB097" w:rsidR="005C6293" w:rsidRDefault="005C6293" w:rsidP="007C6650">
      <w:pPr>
        <w:spacing w:before="120" w:after="120"/>
        <w:jc w:val="both"/>
        <w:rPr>
          <w:color w:val="000000"/>
        </w:rPr>
      </w:pPr>
      <w:r>
        <w:t xml:space="preserve">Če oseba izjavi, da je v kateri od </w:t>
      </w:r>
      <w:r>
        <w:rPr>
          <w:color w:val="000000"/>
        </w:rPr>
        <w:t>zgoraj navedenih situacij za izključitev, lahko navede popravne ukrepe, ki jih je sprejela za odpravo situacije za izključitev, da odredbodajalcu omogoči, da ugotovi, ali so takšni ukrepi zadostni, da dokaže svojo zanesljivost. To lahko vključuje na primer tehnične, organizacijske in kadrovske ukrepe za preprečitev nadaljnjih ponovitev, nadomestilo škode ali plačilo glob ali kakršnih koli davkov ali prispevkov za socialno varnost. Ustrezna dokazila, ki prikazujejo sprejete popravne ukrepe, je treba predložiti v prilogi k tej izjavi. To ne velja za situacije iz točke 1(d) te izjave.</w:t>
      </w:r>
    </w:p>
    <w:p w14:paraId="16F448B5" w14:textId="3FE5177B" w:rsidR="00F96EAB" w:rsidRPr="007D7A5F" w:rsidRDefault="00B05C76" w:rsidP="0024225B">
      <w:pPr>
        <w:pStyle w:val="Title"/>
        <w:rPr>
          <w:noProof/>
        </w:rPr>
      </w:pPr>
      <w:r>
        <w:t>VI – Dokazila o merilih za izključitev</w:t>
      </w:r>
    </w:p>
    <w:p w14:paraId="477A6316" w14:textId="3261E630" w:rsidR="00695D93" w:rsidRDefault="0092592E" w:rsidP="7F6CA770">
      <w:pPr>
        <w:spacing w:before="120" w:after="120"/>
        <w:ind w:firstLine="11"/>
        <w:jc w:val="both"/>
        <w:rPr>
          <w:noProof/>
        </w:rPr>
      </w:pPr>
      <w:r>
        <w:t>V razpisnih zahtevah je podrobno določeno, kateri sodelujoči subjekti morajo predložiti ustrezna dokazila, da niso v situaciji za izključitev iz točke 1, in kdaj je treba dokazila predložiti.</w:t>
      </w:r>
    </w:p>
    <w:p w14:paraId="3EE64640" w14:textId="03697B6E" w:rsidR="00835E88" w:rsidRPr="00F76ABA" w:rsidRDefault="00CA3ADD" w:rsidP="00835E88">
      <w:pPr>
        <w:spacing w:before="120" w:after="120"/>
        <w:jc w:val="both"/>
        <w:rPr>
          <w:noProof/>
        </w:rPr>
      </w:pPr>
      <w:r>
        <w:t>Uporabijo se lahko naslednja dokazila:</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Za situacije, opisane v točkah 1(a), (c), (d), (f), (g) in (h) zgoraj, je treba predložiti izpisek novejšega datuma iz sodnega registra ali, če to ni mogoče, enakovreden dokument novejšega datuma, ki ga je izdal sodni ali upravni organ države, v kateri ima oseba sedež, in ki dokazuje, da so navedene zahteve izpolnjene.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Za situaciji, opisani v točkah 1(a) in (b), je treba predložiti potrdila novejšega datuma, ki jih izdajo pristojni organi države, v kateri ima oseba sedež. V teh dokumentih morajo biti dokazila o tem, katere davke in prispevke za socialno varnost je oseba dolžna plačati, na primer DDV, dohodnino (samo fizične osebe), davek od dohodkov pravnih oseb (samo pravne osebe) in prispevke za socialno varnost. Če se v državi, v kateri ima oseba sedež, kateri koli od zgoraj navedenih dokumentov ne izdaja, se lahko nadomesti z izjavo pod prisego pred sodnim organom ali notarjem ali, če to ni mogoče, slovesno izjavo pred upravnim organom ali usposobljenim strokovnim organom v državi, v kateri ima oseba sedež.</w:t>
      </w:r>
    </w:p>
    <w:p w14:paraId="16F448B9" w14:textId="6993ED04" w:rsidR="008C4A00" w:rsidRDefault="00C55150" w:rsidP="00897E28">
      <w:pPr>
        <w:spacing w:before="100" w:beforeAutospacing="1" w:after="100" w:afterAutospacing="1"/>
        <w:jc w:val="both"/>
      </w:pPr>
      <w:r>
        <w:lastRenderedPageBreak/>
        <w:t>Osebi ni treba predložiti dokazil, če so bila že predložena v drugem postopku oddaje javnega naročila istega javnega naročnika</w:t>
      </w:r>
      <w:r>
        <w:rPr>
          <w:rStyle w:val="FootnoteReference"/>
        </w:rPr>
        <w:footnoteReference w:id="5"/>
      </w:r>
      <w:r>
        <w:t xml:space="preserve">. Dokumenti morajo biti izdani največ eno leto pred datumom, ko javni naročnik predloži zahtevek zanje, ter morajo biti na navedeni datum še vedno veljavni. </w:t>
      </w:r>
    </w:p>
    <w:p w14:paraId="16F448BA" w14:textId="1463A7B7" w:rsidR="008C4A00" w:rsidRDefault="00A40405" w:rsidP="00897E28">
      <w:pPr>
        <w:spacing w:before="100" w:beforeAutospacing="1" w:after="100" w:afterAutospacing="1"/>
        <w:jc w:val="both"/>
      </w:pPr>
      <w:r>
        <w:t xml:space="preserve">Podpisnik/podpisnica izjavlja, da je oseba že predložila dokazila v prejšnjem postopku, in potrjuje, da se njena situacija ni spremenila: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Popoln sklic na predhodni postopek</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Vstavite toliko vrstic, kot jih potrebujete.</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Osebi ni treba predložiti dokazil, če so brezplačno dostopna v nacionalni podatkovni zbirki. </w:t>
      </w:r>
    </w:p>
    <w:p w14:paraId="0F58ED09" w14:textId="2FB86EF0" w:rsidR="00CF0C80" w:rsidRDefault="00602579" w:rsidP="00897E28">
      <w:pPr>
        <w:spacing w:before="100" w:beforeAutospacing="1" w:after="100" w:afterAutospacing="1"/>
        <w:jc w:val="both"/>
      </w:pPr>
      <w:r>
        <w:t>Podpisnik/podpisnica izjavlja, da je mogoče do zahtevanih dokazil dostopati prek naslednjega spletnega naslova podatkovne zbirke/z naslednjimi podatki za identifikacijo.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Spletni naslov podatkovne zbirke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Podatki za identifikacijo dokumenta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Vstavite toliko vrstic, kot jih potrebujete.</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Častna izjava o pogojih za sodelovanje </w:t>
      </w:r>
    </w:p>
    <w:p w14:paraId="2D59BB2A" w14:textId="01DD445D" w:rsidR="743C92D7" w:rsidRDefault="743C92D7" w:rsidP="001B5619">
      <w:pPr>
        <w:spacing w:beforeAutospacing="1" w:afterAutospacing="1"/>
        <w:jc w:val="both"/>
      </w:pPr>
      <w:r>
        <w:t>V primeru postopka s sklopi izjave iz tega dela B veljajo za sklop(-e), za katerega(-e) se predloži prijava za sodelovanje/ponudbo.</w:t>
      </w:r>
    </w:p>
    <w:p w14:paraId="7232500E" w14:textId="59A72938" w:rsidR="00E25A58" w:rsidRDefault="00E25A58" w:rsidP="00E25A58">
      <w:pPr>
        <w:pStyle w:val="Title"/>
        <w:rPr>
          <w:noProof/>
        </w:rPr>
      </w:pPr>
      <w:r>
        <w:t>I – Pogoji za sodelovanje</w:t>
      </w:r>
    </w:p>
    <w:p w14:paraId="7CE533D0" w14:textId="16A9A02E" w:rsidR="00B74E92" w:rsidRPr="00897E28" w:rsidRDefault="00CA2C74">
      <w:pPr>
        <w:jc w:val="both"/>
        <w:rPr>
          <w:b/>
          <w:bCs/>
          <w:u w:val="single"/>
        </w:rPr>
      </w:pPr>
      <w:r>
        <w:rPr>
          <w:b/>
          <w:u w:val="single"/>
        </w:rPr>
        <w:t xml:space="preserve">Pogoji za sodelovanje, ki se uporabljajo za kandidata/ponudnika kot celoto – konsolidirana ocena </w:t>
      </w:r>
    </w:p>
    <w:p w14:paraId="1E43862B" w14:textId="28BF9BC9" w:rsidR="006E23B3" w:rsidRPr="00897E28" w:rsidRDefault="006E23B3" w:rsidP="00897E28">
      <w:pPr>
        <w:spacing w:before="120" w:after="120"/>
        <w:ind w:firstLine="1"/>
        <w:jc w:val="both"/>
        <w:rPr>
          <w:b/>
          <w:bCs/>
          <w:i/>
          <w:iCs/>
          <w:noProof/>
        </w:rPr>
      </w:pPr>
      <w:r>
        <w:rPr>
          <w:b/>
          <w:i/>
        </w:rPr>
        <w:t>(izpolni SAMO edini kandidat/ponudnik ali vodja skupine v primeru skupne prijave za sodelovanje/ponudbo)</w:t>
      </w:r>
    </w:p>
    <w:p w14:paraId="580B2348" w14:textId="36EFDB8E" w:rsidR="00F04B97" w:rsidRDefault="00F04B97" w:rsidP="00F04B97">
      <w:pPr>
        <w:spacing w:before="120" w:after="120"/>
        <w:ind w:firstLine="1"/>
        <w:jc w:val="both"/>
        <w:rPr>
          <w:noProof/>
        </w:rPr>
      </w:pPr>
      <w:r>
        <w:t>Oseba, ki je edini kandidat/ponudnik/vodja skupine v skupni prijavi za sodelovanje/ponudbo in odda prijavo za sodelovanje/ponudbo za zgoraj navedeni postopek: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izjavlja, da kandidat/ponudnik, vključno z vsemi člani skupine v primeru skupne prijave za sodelovanje/ponudbo, podizvajalci in subjekti, na katerih sposobnost se namerava opreti kandidat/ponudnik, če je ustrezno:</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izpolnjuje(-jo) vse pogoje za sodelovanje, za katere bo opravljena konsolidirana ocena, kot je določeno v razpisnih zahtevah.</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Možnost spodaj po potrebi vstavi javni naročnik v skladu z dokumenti v zvezi z oddajo javnega naročila. Če ni pogojev za sodelovanje, ki bi se uporabljali posamično, mora javni naročnik spodnji oddelek črtati. Če taki pogoji obstajajo, mora javni naročnik razpredelnico prilagoditi pogojem iz razpisnih zahtev.</w:t>
      </w:r>
    </w:p>
    <w:p w14:paraId="5CFBC1F8" w14:textId="7B867C43" w:rsidR="00CA2C74" w:rsidRPr="00897E28" w:rsidRDefault="00C4227A">
      <w:pPr>
        <w:jc w:val="both"/>
        <w:rPr>
          <w:b/>
          <w:bCs/>
          <w:u w:val="single"/>
        </w:rPr>
      </w:pPr>
      <w:r>
        <w:rPr>
          <w:b/>
          <w:u w:val="single"/>
        </w:rPr>
        <w:t>Pogoji za sodelovanje, ki se uporabljajo posamično za sodelujoče subjekte – posamična ocena</w:t>
      </w:r>
    </w:p>
    <w:p w14:paraId="78C15FF3" w14:textId="0676A81C" w:rsidR="00723411" w:rsidRPr="00897E28" w:rsidRDefault="00723411" w:rsidP="7F6CA770">
      <w:pPr>
        <w:spacing w:before="120" w:after="120"/>
        <w:ind w:firstLine="1"/>
        <w:jc w:val="both"/>
        <w:rPr>
          <w:b/>
          <w:bCs/>
          <w:i/>
          <w:iCs/>
          <w:noProof/>
        </w:rPr>
      </w:pPr>
      <w:r>
        <w:rPr>
          <w:b/>
          <w:i/>
        </w:rPr>
        <w:lastRenderedPageBreak/>
        <w:t>(izpolnijo posamično sodelujoči subjekti, za katere se v skladu z razpisnimi zahtevami uporabljajo pogoji za sodelovanje)</w:t>
      </w:r>
    </w:p>
    <w:p w14:paraId="64745216" w14:textId="17979E7F" w:rsidR="00E80BCE" w:rsidRPr="00897E28" w:rsidRDefault="00E80BCE" w:rsidP="6FB7994E">
      <w:pPr>
        <w:spacing w:before="120" w:after="120"/>
        <w:ind w:firstLine="1"/>
        <w:jc w:val="both"/>
        <w:rPr>
          <w:b/>
          <w:bCs/>
          <w:i/>
          <w:iCs/>
          <w:noProof/>
        </w:rPr>
      </w:pPr>
      <w:r>
        <w:t>Oseba, ki je edini kandidat/ponudnik / član skupine v skupni prijavi za sodelovanje/ponudbo / podizvajalec in odda prijavo za sodelovanje/ponudbo za zgoraj navedeni postopek oziroma v njej sodeluje: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izjavlja, da oseba izpolnjuje pogoje za sodelovanje, ki se posamično uporabljajo zanjo:</w:t>
            </w:r>
          </w:p>
        </w:tc>
        <w:tc>
          <w:tcPr>
            <w:tcW w:w="704" w:type="dxa"/>
            <w:shd w:val="clear" w:color="auto" w:fill="auto"/>
          </w:tcPr>
          <w:p w14:paraId="13DAA78F" w14:textId="77777777" w:rsidR="00A551F6" w:rsidRDefault="00A551F6" w:rsidP="00C37A34">
            <w:pPr>
              <w:spacing w:before="240" w:after="120"/>
              <w:jc w:val="center"/>
              <w:rPr>
                <w:noProof/>
              </w:rPr>
            </w:pPr>
            <w:r>
              <w:t>DA</w:t>
            </w:r>
          </w:p>
        </w:tc>
        <w:tc>
          <w:tcPr>
            <w:tcW w:w="608" w:type="dxa"/>
            <w:shd w:val="clear" w:color="auto" w:fill="auto"/>
          </w:tcPr>
          <w:p w14:paraId="465AC66E" w14:textId="77777777" w:rsidR="00A551F6" w:rsidRDefault="00A551F6" w:rsidP="00C37A34">
            <w:pPr>
              <w:spacing w:before="240" w:after="120"/>
              <w:jc w:val="center"/>
              <w:rPr>
                <w:noProof/>
              </w:rPr>
            </w:pPr>
            <w:r>
              <w:t>NE</w:t>
            </w:r>
          </w:p>
        </w:tc>
        <w:tc>
          <w:tcPr>
            <w:tcW w:w="630" w:type="dxa"/>
            <w:shd w:val="clear" w:color="auto" w:fill="auto"/>
          </w:tcPr>
          <w:p w14:paraId="237B4D9E" w14:textId="77777777" w:rsidR="00A551F6" w:rsidRDefault="00A551F6" w:rsidP="00C37A34">
            <w:pPr>
              <w:spacing w:before="240" w:after="120"/>
              <w:jc w:val="center"/>
              <w:rPr>
                <w:noProof/>
              </w:rPr>
            </w:pPr>
            <w:r>
              <w:t>n. r.</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oseba je pravno in regulativno sposobna za opravljanje poklicne dejavnosti, potrebne za izvajanje naročila, kakor se zahteva v razpisnih zahtevah;</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oseba izpolnjuje veljavna ekonomska in finančna merila, navedena v razpisnih zahtevah;</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oseba izpolnjuje veljavna tehnična in strokovna merila, navedena v razpisnih zahtevah.</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 Pogoji za sodelovanje – nasprotje poklicnih interesov </w:t>
      </w:r>
    </w:p>
    <w:p w14:paraId="6D4253AB" w14:textId="6F28DDE5" w:rsidR="00850397" w:rsidRPr="00897E28" w:rsidRDefault="00850397" w:rsidP="00EE7E2B">
      <w:pPr>
        <w:spacing w:before="120" w:after="120"/>
        <w:ind w:firstLine="1"/>
        <w:rPr>
          <w:b/>
          <w:bCs/>
          <w:i/>
          <w:iCs/>
          <w:noProof/>
        </w:rPr>
      </w:pPr>
      <w:r>
        <w:rPr>
          <w:b/>
          <w:i/>
        </w:rPr>
        <w:t>(izpolnijo vsi sodelujoči subjekti)</w:t>
      </w:r>
    </w:p>
    <w:p w14:paraId="4E52E5EC" w14:textId="6CF73761" w:rsidR="00850397" w:rsidRDefault="00850397" w:rsidP="00850397">
      <w:pPr>
        <w:jc w:val="both"/>
        <w:rPr>
          <w:b/>
          <w:bCs/>
          <w:u w:val="single"/>
        </w:rPr>
      </w:pPr>
      <w:r>
        <w:t>Oseba, ki je edini kandidat/ponudnik / član skupine v skupni prijavi za sodelovanje/ponudbo / podizvajalec in odda prijavo za sodelovanje/ponudbo za zgoraj navedeni postopek oziroma v njej sodeluje:</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izjavlja, da je oseba: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v nasprotju interesov, ki bi lahko škodljivo vplivalo na izvedbo naročila.</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790CAC98" w14:textId="130FE33D" w:rsidR="00C4227A" w:rsidRDefault="00C4227A" w:rsidP="00C4227A">
      <w:pPr>
        <w:pStyle w:val="Title"/>
        <w:rPr>
          <w:noProof/>
        </w:rPr>
      </w:pPr>
      <w:r>
        <w:t xml:space="preserve">III – Dokazila o pogojih za sodelovanje </w:t>
      </w:r>
    </w:p>
    <w:p w14:paraId="6C38D641" w14:textId="3F0D33E7" w:rsidR="00F04B97" w:rsidRDefault="00F04B97" w:rsidP="7F6CA770">
      <w:pPr>
        <w:spacing w:before="100" w:beforeAutospacing="1" w:after="100" w:afterAutospacing="1"/>
        <w:jc w:val="both"/>
      </w:pPr>
      <w:r>
        <w:t>V razpisnih zahtevah je podrobno določeno, katera dokazila je treba predložiti, kdaj in kateri sodelujoči subjekt jih mora predložiti, da se dokaže, da kandidat/ponudnik izpolnjuje pogoje za sodelovanje.</w:t>
      </w:r>
    </w:p>
    <w:p w14:paraId="1699FA0D" w14:textId="0C53EE83" w:rsidR="00F04B97" w:rsidRPr="00A64C2E" w:rsidRDefault="00F04B97" w:rsidP="00897E28">
      <w:pPr>
        <w:spacing w:before="100" w:beforeAutospacing="1" w:after="100" w:afterAutospacing="1"/>
        <w:jc w:val="both"/>
        <w:rPr>
          <w:noProof/>
        </w:rPr>
      </w:pPr>
      <w:r>
        <w:t xml:space="preserve">Kadar dokazil ni treba predložiti s prijavo za sodelovanje/ponudbo, je oseba pozvana, naj vnaprej pripravi dokumente v zvezi z dokazili, saj lahko javni naročnik zahteva, da jih predloži v kratkem roku. </w:t>
      </w:r>
    </w:p>
    <w:p w14:paraId="1279E35F" w14:textId="2584B0D8" w:rsidR="0073022B" w:rsidRDefault="0073022B" w:rsidP="0073022B">
      <w:pPr>
        <w:spacing w:before="100" w:beforeAutospacing="1" w:after="100" w:afterAutospacing="1"/>
        <w:jc w:val="both"/>
      </w:pPr>
      <w:r>
        <w:t>Osebi ni treba predložiti dokazil, če so bila že predložena v drugem postopku oddaje javnega naročila istega javnega naročnika</w:t>
      </w:r>
      <w:r>
        <w:rPr>
          <w:rStyle w:val="FootnoteReference"/>
        </w:rPr>
        <w:footnoteReference w:id="6"/>
      </w:r>
      <w:r>
        <w:t xml:space="preserve"> in so dokumenti še vedno ažurni.</w:t>
      </w:r>
    </w:p>
    <w:p w14:paraId="0FBE3FFA" w14:textId="51DD42D5" w:rsidR="00F04B97" w:rsidRDefault="00F04B97" w:rsidP="00897E28">
      <w:pPr>
        <w:spacing w:before="100" w:beforeAutospacing="1" w:after="100" w:afterAutospacing="1"/>
        <w:jc w:val="both"/>
      </w:pPr>
      <w:r>
        <w:t xml:space="preserve">Podpisnik/podpisnica izjavlja, da je oseba že predložila dokazila v prejšnjem postopku, in potrjuje, da se njena situacija ni spremenila: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Popoln sklic na predhodni postopek</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Vstavite toliko vrstic, kot jih potrebujete.</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lastRenderedPageBreak/>
        <w:t xml:space="preserve">Osebi ni treba predložiti dokazil, če so brezplačno dostopna v nacionalni podatkovni zbirki. </w:t>
      </w:r>
    </w:p>
    <w:p w14:paraId="03A26509" w14:textId="77777777" w:rsidR="008B35EE" w:rsidRDefault="008B35EE" w:rsidP="00897E28">
      <w:pPr>
        <w:spacing w:before="100" w:beforeAutospacing="1" w:after="100" w:afterAutospacing="1"/>
        <w:jc w:val="both"/>
      </w:pPr>
      <w:r>
        <w:t>Podpisnik/podpisnica izjavlja, da je mogoče do zahtevanih dokazil dostopati prek naslednjega spletnega naslova podatkovne zbirke/z naslednjimi podatki za identifikacijo.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Spletni naslov podatkovne zbirke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Podatki za identifikacijo dokumenta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Vstavite toliko vrstic, kot jih potrebujete.</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Častna izjava o ugotovljenem dolgu do Unije </w:t>
      </w:r>
    </w:p>
    <w:p w14:paraId="1DCBB562" w14:textId="03CF733F" w:rsidR="006B2B45" w:rsidRPr="006B0A89" w:rsidRDefault="0013073C" w:rsidP="6FB7994E">
      <w:pPr>
        <w:spacing w:before="120" w:after="120"/>
        <w:jc w:val="both"/>
        <w:rPr>
          <w:b/>
          <w:bCs/>
          <w:i/>
          <w:iCs/>
          <w:noProof/>
        </w:rPr>
      </w:pPr>
      <w:r>
        <w:rPr>
          <w:b/>
          <w:i/>
        </w:rPr>
        <w:t xml:space="preserve"> (izpolni edini kandidat/ponudnik ali vsak član skupine v primeru skupne prijave za sodelovanje/ponudbo)</w:t>
      </w:r>
    </w:p>
    <w:p w14:paraId="5915DC59" w14:textId="752F5BD7" w:rsidR="00EE7E2B" w:rsidRDefault="00EE7E2B" w:rsidP="00EE7E2B">
      <w:pPr>
        <w:jc w:val="both"/>
        <w:rPr>
          <w:noProof/>
        </w:rPr>
      </w:pPr>
      <w:r>
        <w:t>Oseba, ki je edini kandidat/ponudnik / član skupine v skupni prijavi za sodelovanje/ponudbo in odda prijavo za sodelovanje/ponudbo za zgoraj navedeni postopek:</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izjavlja, da:</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DA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ima oseba ugotovljen dolg do Unije, Evropske skupnosti za atomsko energijo ali izvajalske agencije, kadar slednja izvršuje proračun Unije.</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Častna izjava o predloženi ponudbi </w:t>
      </w:r>
    </w:p>
    <w:p w14:paraId="7D66B10A" w14:textId="0B06DCCD" w:rsidR="00765179" w:rsidRPr="000C6B51" w:rsidRDefault="00765179" w:rsidP="570F7154">
      <w:pPr>
        <w:spacing w:beforeAutospacing="1" w:afterAutospacing="1"/>
        <w:jc w:val="both"/>
        <w:rPr>
          <w:b/>
          <w:bCs/>
          <w:i/>
          <w:iCs/>
          <w:noProof/>
        </w:rPr>
      </w:pPr>
      <w:r>
        <w:rPr>
          <w:b/>
          <w:i/>
        </w:rPr>
        <w:t>(izpolni posamično edini kandidat/ponudnik ali vodja skupine v primeru skupne prijave za sodelovanje/ponudbo)</w:t>
      </w:r>
    </w:p>
    <w:p w14:paraId="44652C08" w14:textId="3F669C66" w:rsidR="743C92D7" w:rsidRDefault="743C92D7" w:rsidP="570F7154">
      <w:pPr>
        <w:spacing w:beforeAutospacing="1" w:afterAutospacing="1"/>
        <w:jc w:val="both"/>
      </w:pPr>
      <w:r>
        <w:t>V primeru postopka s sklopi izjave iz tega dela D veljajo za sklop(-e), za katerega(-e) se predloži prijava za sodelovanje/ponudbo.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izjavlja, da:</w:t>
            </w:r>
          </w:p>
        </w:tc>
        <w:tc>
          <w:tcPr>
            <w:tcW w:w="670" w:type="dxa"/>
            <w:shd w:val="clear" w:color="auto" w:fill="auto"/>
          </w:tcPr>
          <w:p w14:paraId="59250AC2" w14:textId="77777777" w:rsidR="000F6EA2" w:rsidRDefault="000F6EA2" w:rsidP="00C54FCE">
            <w:pPr>
              <w:spacing w:before="240" w:after="120"/>
              <w:jc w:val="center"/>
              <w:rPr>
                <w:noProof/>
              </w:rPr>
            </w:pPr>
            <w:r>
              <w:t>DA</w:t>
            </w:r>
          </w:p>
        </w:tc>
        <w:tc>
          <w:tcPr>
            <w:tcW w:w="759" w:type="dxa"/>
            <w:shd w:val="clear" w:color="auto" w:fill="auto"/>
          </w:tcPr>
          <w:p w14:paraId="7D1AA4B7" w14:textId="77777777" w:rsidR="000F6EA2" w:rsidRDefault="000F6EA2" w:rsidP="00C54FCE">
            <w:pPr>
              <w:spacing w:before="240" w:after="120"/>
              <w:jc w:val="center"/>
              <w:rPr>
                <w:noProof/>
              </w:rPr>
            </w:pPr>
            <w:r>
              <w:t>NE</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 xml:space="preserve">(a) </w:t>
            </w:r>
            <w:r>
              <w:rPr>
                <w:rFonts w:ascii="Arial" w:hAnsi="Arial"/>
              </w:rPr>
              <w:t>[</w:t>
            </w:r>
            <w:r>
              <w:t>je oseba pripravila predloženo ponudbo</w:t>
            </w:r>
            <w:r>
              <w:rPr>
                <w:rFonts w:ascii="Arial" w:hAnsi="Arial"/>
              </w:rPr>
              <w:t>]</w:t>
            </w:r>
            <w:r>
              <w:t xml:space="preserve"> </w:t>
            </w:r>
            <w:r>
              <w:rPr>
                <w:rFonts w:ascii="Arial" w:hAnsi="Arial"/>
              </w:rPr>
              <w:t>[</w:t>
            </w:r>
            <w:r>
              <w:t>se oseba zavezuje, da bo pripravila ponudbo (če je bila povabljena k oddaji ponudbe)</w:t>
            </w:r>
            <w:r>
              <w:rPr>
                <w:rFonts w:ascii="Arial" w:hAnsi="Arial"/>
              </w:rPr>
              <w:t>]</w:t>
            </w:r>
            <w:r>
              <w:t xml:space="preserve"> popolnoma samostojno in neodvisno od drugih ponudb, predloženih v okviru istega postopka javnega naročanja.</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902CF">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Oseba mora nemudoma obvestiti javnega naročnika o vseh spremembah situacij, kot so bile prijavljene.</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Osebi se lahko zavrne sodelovanje v tem postopku in se ji naložijo upravne sankcije (izključitev ali denarna kazen), če se navedene izjave ali predložene informacije, ki so pogoj za sodelovanje v tem postopku, izkažejo za neresnične.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Ime in priimek:</w:t>
      </w:r>
      <w:r>
        <w:tab/>
      </w:r>
    </w:p>
    <w:p w14:paraId="4F5C3CA0" w14:textId="4ADE4B77" w:rsidR="00522736" w:rsidRDefault="00DA410F" w:rsidP="004A4B4A">
      <w:pPr>
        <w:tabs>
          <w:tab w:val="left" w:pos="4395"/>
          <w:tab w:val="left" w:pos="7797"/>
        </w:tabs>
        <w:spacing w:before="40" w:after="40"/>
        <w:jc w:val="both"/>
        <w:rPr>
          <w:noProof/>
        </w:rPr>
      </w:pPr>
      <w:r>
        <w:t>Datum:</w:t>
      </w:r>
      <w:r>
        <w:tab/>
      </w:r>
    </w:p>
    <w:p w14:paraId="16F448F0" w14:textId="42F52720" w:rsidR="00DA410F" w:rsidRPr="00F76ABA" w:rsidRDefault="00DA410F" w:rsidP="004A4B4A">
      <w:pPr>
        <w:tabs>
          <w:tab w:val="left" w:pos="4395"/>
          <w:tab w:val="left" w:pos="7797"/>
        </w:tabs>
        <w:spacing w:before="40" w:after="40"/>
        <w:jc w:val="both"/>
        <w:rPr>
          <w:noProof/>
        </w:rPr>
      </w:pPr>
      <w:r>
        <w:t>Podpis:</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Izjavo je treba podpisati z:</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lastRenderedPageBreak/>
        <w:t>Elektronskim podpisom (priporočena možnost):</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Če lahko izjavo podpišete s kvalificiranim elektronskim podpisom (QES), vas prosimo, da jo elektronsko podpiše(-jo) vaš(-i) pooblaščeni predstavnik(-i). Veljaven bo samo kvalificirani elektronski podpis v smislu Uredbe (EU) št. 910/2014 (uredba eIDAS).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Pred pošiljanjem elektronsko podpisanega dokumenta preverite podpis in veljavnost potrdila z enim od naslednjih orodij:</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Orodje DSS za potrjevanje veljavnosti, ki je na voljo na </w:t>
      </w:r>
      <w:hyperlink r:id="rId12" w:history="1">
        <w:r>
          <w:rPr>
            <w:highlight w:val="lightGray"/>
          </w:rPr>
          <w:t>https://ec.europa.eu/cefdigital/DSS/webapp-demo/validation</w:t>
        </w:r>
      </w:hyperlink>
      <w:r>
        <w:rPr>
          <w:i/>
          <w:highlight w:val="lightGray"/>
        </w:rPr>
        <w:t>, vam lahko pomaga pri preverjanju veljavnosti potrdila, tako da v dokumentu navede število in vrsto veljavnih podpisov.</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V brskalniku z zanesljivim seznamom EU je mogoče preveriti, ali sta ponudnik elektronskega podpisa in storitev zaupanja, ki jo zagotavlja, del zanesljivega seznama Evropske unije: </w:t>
      </w:r>
      <w:hyperlink r:id="rId13"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Da bi se prepričali, da uporabljate kvalificirani elektronski podpis, ki je skladen z uredbo eIDAS, morate preveriti, ali sta ponudnik storitev in uporabljena kvalificirana storitev ustvarjanja potrdil vključena v brskalnik z zanesljivim seznamom EU.</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Lastnoročnim podpisom:</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Če izjave ne morete podpisati s kvalificiranim elektronskim podpisom (QES), vas prosimo, da jo izpolnite v elektronski obliki in jo natisnete, podpiše(-jo) in datira(-jo) pa naj jo vaš(-i) pooblaščeni predstavnik(-i) z lastnoročnim podpisom.</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B6936A0" w:rsidR="00585B73" w:rsidRDefault="00585B73" w:rsidP="00370A7F">
            <w:pPr>
              <w:pStyle w:val="Footer"/>
              <w:jc w:val="center"/>
            </w:pPr>
            <w:r>
              <w:rPr>
                <w:sz w:val="20"/>
              </w:rPr>
              <w:t xml:space="preserve">Stran </w:t>
            </w:r>
            <w:r>
              <w:rPr>
                <w:sz w:val="20"/>
              </w:rPr>
              <w:fldChar w:fldCharType="begin"/>
            </w:r>
            <w:r>
              <w:rPr>
                <w:sz w:val="20"/>
              </w:rPr>
              <w:instrText xml:space="preserve"> PAGE </w:instrText>
            </w:r>
            <w:r>
              <w:rPr>
                <w:sz w:val="20"/>
              </w:rPr>
              <w:fldChar w:fldCharType="separate"/>
            </w:r>
            <w:r w:rsidR="007E60B3">
              <w:rPr>
                <w:noProof/>
                <w:sz w:val="20"/>
              </w:rPr>
              <w:t>2</w:t>
            </w:r>
            <w:r>
              <w:rPr>
                <w:sz w:val="20"/>
              </w:rPr>
              <w:fldChar w:fldCharType="end"/>
            </w:r>
            <w:r>
              <w:rPr>
                <w:sz w:val="20"/>
              </w:rPr>
              <w:t xml:space="preserve"> od </w:t>
            </w:r>
            <w:r>
              <w:rPr>
                <w:sz w:val="20"/>
              </w:rPr>
              <w:fldChar w:fldCharType="begin"/>
            </w:r>
            <w:r>
              <w:rPr>
                <w:sz w:val="20"/>
              </w:rPr>
              <w:instrText xml:space="preserve"> NUMPAGES  </w:instrText>
            </w:r>
            <w:r>
              <w:rPr>
                <w:sz w:val="20"/>
              </w:rPr>
              <w:fldChar w:fldCharType="separate"/>
            </w:r>
            <w:r w:rsidR="007E60B3">
              <w:rPr>
                <w:noProof/>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Iste institucije, agencije, organa ali urada EU.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t xml:space="preserve"> </w:t>
      </w:r>
      <w:r>
        <w:rPr>
          <w:sz w:val="20"/>
        </w:rPr>
        <w:t>„</w:t>
      </w:r>
      <w:r>
        <w:rPr>
          <w:b/>
          <w:sz w:val="20"/>
        </w:rPr>
        <w:t>Sodelujoči subjekt</w:t>
      </w:r>
      <w:r>
        <w:rPr>
          <w:sz w:val="20"/>
        </w:rPr>
        <w:t>“ je vsak gospodarski subjekt, ki sodeluje pri prijavi za sodelovanje/ponudbo. To vključuje naslednje štiri kategorije gospodarskih subjektov:</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samostojni kandidat/ponudnik;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člani skupine (vključno z vodjo skupine) v primeru skupne prijave za sodelovanje/ponudbo;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določeni podizvajalci ter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drugi subjekti (ki niso podizvajalci), na zmogljivosti katerih se namerava kandidat/ponudnik opreti pri izpolnjevanju pogojev za sodelovanje.</w:t>
      </w:r>
    </w:p>
    <w:p w14:paraId="5BE9C146" w14:textId="10CA3A5B" w:rsidR="00585B73" w:rsidRPr="007E60B3" w:rsidRDefault="00585B73" w:rsidP="004C0A40">
      <w:pPr>
        <w:pStyle w:val="FootnoteText"/>
        <w:ind w:left="0" w:firstLine="0"/>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Izjava iz te točke 2 je prostovoljna in ne more imeti škodljivih pravnih posledic za gospodarski subjekt, dokler niso izpolnjeni pogoji iz člena 141(1)(a) finančne uredbe.</w:t>
      </w:r>
    </w:p>
  </w:footnote>
  <w:footnote w:id="5">
    <w:p w14:paraId="79038C83" w14:textId="46E5ADA1" w:rsidR="00585B73" w:rsidRPr="00EA6BA4" w:rsidRDefault="00585B73">
      <w:pPr>
        <w:pStyle w:val="FootnoteText"/>
      </w:pPr>
      <w:r>
        <w:rPr>
          <w:rStyle w:val="FootnoteReference"/>
        </w:rPr>
        <w:footnoteRef/>
      </w:r>
      <w:r>
        <w:t xml:space="preserve"> Iste institucije, agencije, organa ali urada EU.</w:t>
      </w:r>
    </w:p>
  </w:footnote>
  <w:footnote w:id="6">
    <w:p w14:paraId="691476B8" w14:textId="175A7801" w:rsidR="00585B73" w:rsidRPr="00EA6BA4" w:rsidRDefault="00585B73" w:rsidP="0073022B">
      <w:pPr>
        <w:pStyle w:val="FootnoteText"/>
      </w:pPr>
      <w:r>
        <w:rPr>
          <w:rStyle w:val="FootnoteReference"/>
        </w:rPr>
        <w:footnoteRef/>
      </w:r>
      <w:r>
        <w:t xml:space="preserve"> Iste institucije, agencije, organa ali urada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Različica iz julija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Različica iz julija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902C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60B3"/>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l-SI"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sl-SI"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l-SI"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sl-SI"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l-SI"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20/screen/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C182F-1C1A-48FD-A6BB-968CBE5C21C8}">
  <ds:schemaRefs>
    <ds:schemaRef ds:uri="http://schemas.openxmlformats.org/officeDocument/2006/bibliography"/>
  </ds:schemaRefs>
</ds:datastoreItem>
</file>

<file path=customXml/itemProps2.xml><?xml version="1.0" encoding="utf-8"?>
<ds:datastoreItem xmlns:ds="http://schemas.openxmlformats.org/officeDocument/2006/customXml" ds:itemID="{CC78E283-07B6-4677-B0CA-86BCC92994C6}">
  <ds:schemaRefs>
    <ds:schemaRef ds:uri="http://purl.org/dc/terms/"/>
    <ds:schemaRef ds:uri="http://purl.org/dc/elements/1.1/"/>
    <ds:schemaRef ds:uri="http://schemas.microsoft.com/office/infopath/2007/PartnerControls"/>
    <ds:schemaRef ds:uri="0c251cd7-9b02-4ee5-868f-f820bb07042c"/>
    <ds:schemaRef ds:uri="b1901b91-65c1-4a2f-841b-cc424925e6d8"/>
    <ds:schemaRef ds:uri="http://schemas.openxmlformats.org/package/2006/metadata/core-properties"/>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2F74AD3-1670-44AC-9E7B-362A8122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3004</Words>
  <Characters>17336</Characters>
  <Application>Microsoft Office Word</Application>
  <DocSecurity>4</DocSecurity>
  <Lines>495</Lines>
  <Paragraphs>322</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2022-12-16T11:31:00Z</dcterms:created>
  <dcterms:modified xsi:type="dcterms:W3CDTF">2022-12-16T11:31:00Z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