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Verklaring op erewoord betreffende</w:t>
      </w:r>
      <w:r>
        <w:t xml:space="preserve"> </w:t>
      </w:r>
      <w:r>
        <w:br/>
      </w:r>
      <w:r>
        <w:rPr>
          <w:b/>
          <w:sz w:val="28"/>
        </w:rPr>
        <w:t>de uitsluitings- en selectiecriteria</w:t>
      </w:r>
    </w:p>
    <w:p w14:paraId="1A26E185" w14:textId="206E0B8A" w:rsidR="00702372" w:rsidRPr="00370A7F" w:rsidRDefault="00702372" w:rsidP="00370A7F">
      <w:pPr>
        <w:spacing w:before="100" w:beforeAutospacing="1" w:after="100" w:afterAutospacing="1"/>
        <w:jc w:val="both"/>
        <w:rPr>
          <w:b/>
          <w:bCs/>
        </w:rPr>
      </w:pPr>
      <w:r>
        <w:rPr>
          <w:b/>
        </w:rPr>
        <w:t>Referentienummer van de procedure:</w:t>
      </w:r>
    </w:p>
    <w:p w14:paraId="60A66E87" w14:textId="242ECE30" w:rsidR="00702372" w:rsidRPr="00370A7F" w:rsidRDefault="00702372" w:rsidP="7F6CA770">
      <w:pPr>
        <w:spacing w:before="100" w:beforeAutospacing="1" w:after="100" w:afterAutospacing="1"/>
        <w:jc w:val="both"/>
        <w:rPr>
          <w:b/>
          <w:bCs/>
        </w:rPr>
      </w:pPr>
      <w:r>
        <w:rPr>
          <w:b/>
        </w:rPr>
        <w:t>Titel van de procedure:</w:t>
      </w:r>
    </w:p>
    <w:p w14:paraId="03B168D8" w14:textId="3C04CAF4" w:rsidR="00702372" w:rsidRDefault="00702372" w:rsidP="7F6CA770">
      <w:pPr>
        <w:spacing w:beforeAutospacing="1" w:afterAutospacing="1"/>
        <w:jc w:val="both"/>
        <w:rPr>
          <w:i/>
          <w:iCs/>
          <w:noProof/>
          <w:highlight w:val="lightGray"/>
        </w:rPr>
      </w:pPr>
      <w:r>
        <w:rPr>
          <w:i/>
          <w:highlight w:val="lightGray"/>
        </w:rPr>
        <w:t>[Optie 1 voor rechtspersonen]</w:t>
      </w:r>
    </w:p>
    <w:p w14:paraId="11F056D1" w14:textId="45B7275C" w:rsidR="00DA410F" w:rsidRDefault="00DA410F" w:rsidP="7F6CA770">
      <w:pPr>
        <w:jc w:val="both"/>
        <w:rPr>
          <w:noProof/>
        </w:rPr>
      </w:pPr>
      <w:r>
        <w:t>Ondergetekende [</w:t>
      </w:r>
      <w:r>
        <w:rPr>
          <w:i/>
          <w:highlight w:val="lightGray"/>
        </w:rPr>
        <w:t>voornaam en naam van de ondertekenaar van dit formulier invullen</w:t>
      </w:r>
      <w:r>
        <w:t>], als vertegenwoordiger van de volgende rechtspersoon:</w:t>
      </w:r>
    </w:p>
    <w:p w14:paraId="629278CB" w14:textId="77777777" w:rsidR="7F6CA770" w:rsidRDefault="7F6CA770"/>
    <w:p w14:paraId="556E93A3" w14:textId="7FA43BB3" w:rsidR="00D17C08" w:rsidRDefault="00D17C08" w:rsidP="7F6CA770">
      <w:pPr>
        <w:rPr>
          <w:b/>
          <w:bCs/>
        </w:rPr>
      </w:pPr>
      <w:r>
        <w:t>volledige officiële benaming:</w:t>
      </w:r>
    </w:p>
    <w:p w14:paraId="60A1F64A" w14:textId="32A8BCF0" w:rsidR="00D17C08" w:rsidRDefault="00D17C08">
      <w:r>
        <w:t>officiële rechtsvorm:</w:t>
      </w:r>
    </w:p>
    <w:p w14:paraId="775FC49B" w14:textId="77777777" w:rsidR="00D17C08" w:rsidRDefault="00D17C08" w:rsidP="7F6CA770">
      <w:pPr>
        <w:rPr>
          <w:b/>
          <w:bCs/>
        </w:rPr>
      </w:pPr>
      <w:r>
        <w:t>wettelijk registratienummer</w:t>
      </w:r>
      <w:r>
        <w:rPr>
          <w:b/>
        </w:rPr>
        <w:t xml:space="preserve">: </w:t>
      </w:r>
    </w:p>
    <w:p w14:paraId="3AE2909A" w14:textId="77777777" w:rsidR="00D17C08" w:rsidRDefault="00D17C08" w:rsidP="7F6CA770">
      <w:pPr>
        <w:rPr>
          <w:b/>
          <w:bCs/>
        </w:rPr>
      </w:pPr>
      <w:r>
        <w:t xml:space="preserve">volledig officieel adres: </w:t>
      </w:r>
    </w:p>
    <w:p w14:paraId="69884DE8" w14:textId="77777777" w:rsidR="00D17C08" w:rsidRDefault="00D17C08">
      <w:r>
        <w:t xml:space="preserve">btw-nummer: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(hierna </w:t>
      </w:r>
      <w:r>
        <w:rPr>
          <w:b/>
        </w:rPr>
        <w:t>“de persoon”</w:t>
      </w:r>
      <w:r>
        <w:t xml:space="preserve"> genoemd)</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[Optie 2 voor natuurlijke personen]</w:t>
      </w:r>
    </w:p>
    <w:p w14:paraId="63C4093D" w14:textId="66FB4351" w:rsidR="00D17C08" w:rsidRDefault="00D17C08" w:rsidP="7F6CA770">
      <w:pPr>
        <w:jc w:val="both"/>
        <w:rPr>
          <w:noProof/>
        </w:rPr>
      </w:pPr>
      <w:r>
        <w:t>Ondergetekende [</w:t>
      </w:r>
      <w:r>
        <w:rPr>
          <w:i/>
          <w:highlight w:val="lightGray"/>
        </w:rPr>
        <w:t>voornaam en naam van de ondertekenaar van dit formulier invullen</w:t>
      </w:r>
      <w:r>
        <w:t>], met als nummer van identiteitskaart of paspoort [</w:t>
      </w:r>
      <w:r>
        <w:rPr>
          <w:i/>
          <w:highlight w:val="lightGray"/>
        </w:rPr>
        <w:t>nummer invullen</w:t>
      </w:r>
      <w:r>
        <w:t>], als vertegenwoordiger van zichzelf:</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(hierna </w:t>
      </w:r>
      <w:r>
        <w:rPr>
          <w:b/>
        </w:rPr>
        <w:t>“de persoon”</w:t>
      </w:r>
      <w:r>
        <w:t xml:space="preserve"> genoemd)</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Verklaring op erewoord betreffende de uitsluitingscriteria</w:t>
      </w:r>
    </w:p>
    <w:p w14:paraId="67F47E4E" w14:textId="637AF68D" w:rsidR="00B74CFF" w:rsidRDefault="007F3628" w:rsidP="00370A7F">
      <w:pPr>
        <w:spacing w:before="100" w:beforeAutospacing="1" w:after="100" w:afterAutospacing="1"/>
        <w:jc w:val="both"/>
      </w:pPr>
      <w:r>
        <w:t>De persoon hoeft dit onderdeel A van de verklaring niet in te vullen (</w:t>
      </w:r>
      <w:r>
        <w:tab/>
        <w:t>Verklaring op erewoord betreffende de uitsluitingscriteria) indien deze verklaring reeds in het kader van een andere gunningsprocedure van dezelfde aanbestedende dienst</w:t>
      </w:r>
      <w:r>
        <w:rPr>
          <w:rStyle w:val="FootnoteReference"/>
        </w:rPr>
        <w:footnoteReference w:id="2"/>
      </w:r>
      <w:r>
        <w:t xml:space="preserve"> is ingediend, op voorwaarde dat de situatie niet is veranderd en er sinds de datum van afgifte van de verklaring niet meer dan een jaar is verstreken.</w:t>
      </w:r>
    </w:p>
    <w:p w14:paraId="64B20EEE" w14:textId="78AEE0D7" w:rsidR="00AE5C0E" w:rsidRDefault="00AE5C0E" w:rsidP="00370A7F">
      <w:pPr>
        <w:spacing w:before="100" w:beforeAutospacing="1" w:after="100" w:afterAutospacing="1"/>
        <w:jc w:val="both"/>
      </w:pPr>
      <w:r>
        <w:t xml:space="preserve">De ondertekenaar verklaart dan dat de persoon deze verklaring betreffende de uitsluitingscriteria reeds in het kader van een eerdere procedure heeft verstrekt en bevestigt dat de situatie van de persoon sindsdien niet is gewijzigd: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Datum van de verklaring</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Volledige referentiegegevens over de eerdere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lastRenderedPageBreak/>
        <w:t>I – Uitsluitingssituaties betreffende de persoon</w:t>
      </w:r>
    </w:p>
    <w:p w14:paraId="368816DB" w14:textId="1E6A9513" w:rsidR="00CD4DDC" w:rsidRPr="00897E28" w:rsidRDefault="00CD4A13" w:rsidP="7F6CA770">
      <w:pPr>
        <w:spacing w:before="120" w:after="120"/>
        <w:ind w:firstLine="1"/>
        <w:jc w:val="both"/>
        <w:rPr>
          <w:b/>
          <w:bCs/>
          <w:i/>
          <w:iCs/>
          <w:noProof/>
        </w:rPr>
      </w:pPr>
      <w:r>
        <w:rPr>
          <w:b/>
          <w:i/>
        </w:rPr>
        <w:t>(in te vullen door alle betrokken entiteiten</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808"/>
        <w:gridCol w:w="82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verklaart dat de persoon zich in een van de onderstaande situaties bevindt:</w:t>
            </w:r>
          </w:p>
        </w:tc>
        <w:tc>
          <w:tcPr>
            <w:tcW w:w="812" w:type="dxa"/>
            <w:shd w:val="clear" w:color="auto" w:fill="auto"/>
          </w:tcPr>
          <w:p w14:paraId="16F44831" w14:textId="77777777" w:rsidR="00F7691A" w:rsidRDefault="00F7691A" w:rsidP="006B0A89">
            <w:pPr>
              <w:spacing w:before="40" w:after="40"/>
              <w:ind w:left="142"/>
              <w:jc w:val="center"/>
              <w:rPr>
                <w:noProof/>
              </w:rPr>
            </w:pPr>
            <w:r>
              <w:t>JA</w:t>
            </w:r>
          </w:p>
        </w:tc>
        <w:tc>
          <w:tcPr>
            <w:tcW w:w="705" w:type="dxa"/>
            <w:shd w:val="clear" w:color="auto" w:fill="auto"/>
          </w:tcPr>
          <w:p w14:paraId="16F44832" w14:textId="77777777" w:rsidR="00F7691A" w:rsidRDefault="00F7691A" w:rsidP="006B0A89">
            <w:pPr>
              <w:spacing w:before="40" w:after="40"/>
              <w:ind w:left="142"/>
              <w:jc w:val="center"/>
              <w:rPr>
                <w:noProof/>
              </w:rPr>
            </w:pPr>
            <w:r>
              <w:t>NEE</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de persoon is failliet of is onderworpen aan insolventie- of liquidatieprocedures, zijn activa worden beheerd door een curator of een gerecht, hij heeft een regeling met schuldeisers getroffen, zijn bedrijfsactiviteiten zijn geschorst of hij verkeert in een andere vergelijkbare toestand als gevolg van een soortgelijke procedure uit hoofde van Unierecht of nationaal recht;</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in een definitieve rechterlijke beslissing of een definitief administratief besluit is vastgesteld dat de persoon niet heeft voldaan aan zijn uit het toepasselijke recht voortvloeiende verplichtingen tot betaling van belastingen of socialezekerheidsbijdragen;</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777B37">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in een definitieve rechterlijke beslissing of een definitief administratief besluit is vastgesteld dat de persoon een ernstige beroepsfout heeft gemaakt doordat hij de toepasselijke wet- of regelgeving of de ethische normen van de beroepsgroep waartoe hij behoort, heeft overtreden of doordat hij onrechtmatig gedrag heeft vertoond dat zijn professionele geloofwaardigheid aantast wanneer dit gedrag duidt op kwaad opzet of grove nalatigheid, waaronder met name:</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het op frauduleuze of nalatige wijze afleggen van valse verklaringen met betrekking tot de informatie die wordt verlangd voor de verificatie van de afwezigheid van gronden voor uitsluiting of de vervulling van subsidiabiliteits- of selectiecriteria of bij de uitvoering van een opdracht of een overeenkomst;</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het sluiten van een overeenkomst met andere personen of entiteiten met als doel de mededinging te vervalsen;</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het schenden van intellectuele-eigendomsrechten;</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het pogen het besluitvormingsproces van de aanbestedende dienst tijdens de gunningsprocedure te beïnvloeden;</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 het pogen vertrouwelijke informatie te verkrijgen die de persoon onrechtmatige voordelen kan opleveren in de gunningsprocedure</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in een definitieve rechterlijke beslissing is vastgesteld dat de persoon zich schuldig heeft gemaakt aan een van de volgende feiten:</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 xml:space="preserve">i) fraude in de zin van artikel 3 van Richtlijn (EU) 2017/1371 en artikel 1 van de Overeenkomst aangaande de bescherming van de financiële </w:t>
            </w:r>
            <w:r>
              <w:rPr>
                <w:color w:val="000000"/>
              </w:rPr>
              <w:lastRenderedPageBreak/>
              <w:t>belangen van de Europese Gemeenschappen, vastgesteld bij akte van de Raad van 26 juli 1995</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ii) corruptie, als omschreven in artikel 4, lid 2, van Richtlijn (EU) 2017/1371, of actieve corruptie in de zin van artikel 3 van de Overeenkomst ter bestrijding van corruptie waarbij ambtenaren van de Europese Gemeenschappen of van de lidstaten</w:t>
            </w:r>
            <w:bookmarkStart w:id="8" w:name="_DV_C381"/>
            <w:bookmarkEnd w:id="7"/>
            <w:r>
              <w:t xml:space="preserve"> </w:t>
            </w:r>
            <w:r>
              <w:rPr>
                <w:color w:val="000000"/>
              </w:rPr>
              <w:t>van de Europese Unie betrokken zijn, vastgesteld bij akte van de Raad van 26 mei 1997, of gedragingen als bedoeld in artikel 2, lid 1, van Kaderbesluit 2003/568/JBZ van de Raad</w:t>
            </w:r>
            <w:bookmarkStart w:id="9" w:name="_DV_C383"/>
            <w:bookmarkEnd w:id="8"/>
            <w:r>
              <w:rPr>
                <w:color w:val="000000"/>
              </w:rPr>
              <w:t>, of corruptie als omschreven in andere toepasselijke regelgeving;</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t>iii)</w:t>
            </w:r>
            <w:bookmarkStart w:id="11" w:name="_DV_M250"/>
            <w:bookmarkEnd w:id="10"/>
            <w:bookmarkEnd w:id="11"/>
            <w:r>
              <w:t xml:space="preserve"> gedragingen die verband houden met een criminele organisatie </w:t>
            </w:r>
            <w:bookmarkStart w:id="12" w:name="_DV_C385"/>
            <w:r>
              <w:t>als bedoeld in artikel 2 van Kaderbesluit 2008/841/JBZ van de Raad</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t xml:space="preserve"> witwassen van geld</w:t>
            </w:r>
            <w:bookmarkStart w:id="15" w:name="_DV_C391"/>
            <w:r>
              <w:t xml:space="preserve"> of</w:t>
            </w:r>
            <w:bookmarkStart w:id="16" w:name="_DV_M252"/>
            <w:bookmarkEnd w:id="15"/>
            <w:bookmarkEnd w:id="16"/>
            <w:r>
              <w:t xml:space="preserve"> terrorismefinanciering </w:t>
            </w:r>
            <w:bookmarkStart w:id="17" w:name="_DV_C392"/>
            <w:r>
              <w:t>in de zin van artikel 1, leden 3, 4 en 5, van Richtlijn (EU) 2015/849 van het Europees Parlement en de Raad</w:t>
            </w:r>
            <w:bookmarkStart w:id="18" w:name="_DV_C394"/>
            <w:bookmarkEnd w:id="17"/>
            <w: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v)</w:t>
            </w:r>
            <w:r>
              <w:t xml:space="preserve"> </w:t>
            </w:r>
            <w:bookmarkStart w:id="20" w:name="_DV_M253"/>
            <w:bookmarkEnd w:id="19"/>
            <w:bookmarkEnd w:id="20"/>
            <w:r>
              <w:t>terroristische misdrijven</w:t>
            </w:r>
            <w:bookmarkStart w:id="21" w:name="_DV_C397"/>
            <w:r>
              <w:t xml:space="preserve"> of strafbare feiten in verband met terroristische activiteiten alsmede uitlokking van, medeplichtigheid aan of poging tot het plegen van zodanig misdrijf of strafbaar feit als bedoeld in de artikelen 3 en 14 en titel III van Richtlijn (EU) 2017/541 van het Europees Parlement en de Raad van 15 maart 2017 inzake terrorismebestrijding</w:t>
            </w:r>
            <w:bookmarkStart w:id="22" w:name="_DV_C399"/>
            <w:bookmarkEnd w:id="21"/>
            <w: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t xml:space="preserve">vi) </w:t>
            </w:r>
            <w:bookmarkStart w:id="24" w:name="_DV_M254"/>
            <w:bookmarkEnd w:id="23"/>
            <w:bookmarkEnd w:id="24"/>
            <w:r>
              <w:t xml:space="preserve">kinderarbeid of andere strafbare feiten op het gebied van mensenhandel </w:t>
            </w:r>
            <w:bookmarkStart w:id="25" w:name="_DV_C402"/>
            <w:r>
              <w:t>als bedoeld in artikel 2 van Richtlijn 2011/36/EU van het Europees Parlement en de Raad</w:t>
            </w:r>
            <w:bookmarkStart w:id="26" w:name="_DV_C404"/>
            <w:bookmarkEnd w:id="25"/>
            <w: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de persoon is aanzienlijk tekortgeschoten in de nakoming van belangrijke verplichtingen bij de uitvoering van een uit de Uniebegroting gefinancierde opdracht of overeenkomst, hetgeen tot vroegtijdige beëindiging ervan of tot oplegging van een schadevergoeding of een andere contractuele sanctie heeft geleid of na toetsen, audits of onderzoeken door een aanbestedende dienst, </w:t>
            </w:r>
            <w:r>
              <w:rPr>
                <w:color w:val="000000"/>
              </w:rPr>
              <w:t>het Europees Bureau voor fraudebestrijding (OLAF)</w:t>
            </w:r>
            <w:r>
              <w:t xml:space="preserve"> of de Rekenkamer aan het licht is gekomen;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Pr>
                <w:color w:val="000000"/>
              </w:rPr>
              <w:t>in een definitieve rechterlijke beslissing of een definitief administratief besluit is vastgesteld dat de persoon een onregelmatigheid in de zin van artikel 1, lid 2, van Verordening (EG, Euratom) nr. 2988/95 van de Raad heeft begaan</w:t>
            </w:r>
            <w:bookmarkEnd w:id="27"/>
            <w:r>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in een definitieve rechterlijke beslissing of een definitief administratief besluit is vastgesteld dat de persoon in een andere jurisdictie een entiteit heeft opgericht met de bedoeling om fiscale, sociale of enige andere wettelijke verplichting te omzeilen in de jurisdictie waar de statutaire zetel, het hoofdbestuur of de hoofdvestiging is gevestigd;</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alleen voor rechtspersonen</w:t>
            </w:r>
            <w:r>
              <w:t xml:space="preserve">) </w:t>
            </w:r>
            <w:r>
              <w:rPr>
                <w:color w:val="000000"/>
              </w:rPr>
              <w:t>in een definitieve rechterlijke beslissing of een definitief administratief besluit is vastgesteld dat de persoon is opgericht met de in punt g) vermelde bedoeling;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verklaart dat er in de in punt 1, c) tot en met h), bedoelde gevallen, bij gebreke van een definitieve rechterlijke beslissing of een definitief administratief besluit, ten aanzien van de persoon sprake is van</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JA</w:t>
            </w:r>
          </w:p>
        </w:tc>
        <w:tc>
          <w:tcPr>
            <w:tcW w:w="705" w:type="dxa"/>
            <w:shd w:val="clear" w:color="auto" w:fill="auto"/>
          </w:tcPr>
          <w:p w14:paraId="1A4D1557" w14:textId="4113B6AB" w:rsidR="00977B4E" w:rsidRDefault="00977B4E" w:rsidP="006B0A89">
            <w:pPr>
              <w:spacing w:before="240" w:after="120"/>
              <w:jc w:val="center"/>
              <w:rPr>
                <w:noProof/>
              </w:rPr>
            </w:pPr>
            <w:r>
              <w:t>NEE</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lastRenderedPageBreak/>
              <w:t xml:space="preserve"> feiten die zijn vastgesteld in het kader van audits of onderzoeken door het Europees Openbaar Ministerie, de Rekenkamer of de interne auditeur, of enige andere toets, audit of controle uitgevoerd onder verantwoordelijkheid van een ordonnateur van een EU-instelling, een Europees bureau of een EU-agentschap of -orgaan;</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niet-definitieve rechterlijke beslissingen of niet-definitieve administratieve besluiten die tuchtmaatregelen kunnen omvatten welke zijn genomen door het bevoegde toezichthoudende orgaan dat verantwoordelijk is voor de verificatie van de toepassing van normen inzake beroepsethiek;</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feiten die worden vermeld in besluiten van entiteiten of personen waaraan taken tot uitvoering van de EU-begroting zijn toevertrouwd;</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informatie doorgegeven door lidstaten die uitvoering geven aan middelen van de Unie;</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besluiten van de Commissie betreffende schending van het mededingingsrecht van de Unie of besluiten van een nationale bevoegde instantie betreffende schending van het mededingingsrecht van de Unie of van de betrokken lidstaat;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het feit dat hij er op enigerlei wijze van op de hoogte is dat hij het voorwerp is van een onderzoek van het Europees Bureau voor fraudebestrijding (OLAF), hetzij omdat OLAF hem de mogelijkheid heeft geboden opmerkingen te maken over feiten die hem betreffen, hetzij omdat OLAF in het kader van een onderzoek bij hem controles ter plaatse heeft uitgevoerd, hetzij omdat hij in kennis is gesteld van de opening, de afsluiting of enige omstandigheid in verband met een OLAF-onderzoek dat op hem betrekking heeft;</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77B37">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16F4487F" w14:textId="3C305866" w:rsidR="00897553" w:rsidRDefault="00897553" w:rsidP="00422300">
      <w:pPr>
        <w:pStyle w:val="Title"/>
        <w:jc w:val="both"/>
      </w:pPr>
      <w:bookmarkStart w:id="28" w:name="_DV_C376"/>
      <w:r>
        <w:t>II – Uitsluitingssituaties betreffende natuurlijke personen of rechtspersonen die bij de rechtspersoon vertegenwoordigings-, beslissings- of controlebevoegdheid hebben en betreffende uiteindelijk begunstigden</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Niet van toepassing wanneer “de persoon” een natuurlijke persoon, een lidstaat of een lokale overheid is. In alle andere gevallen in te vullen door alle betrokken entiteiten.</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verklaart dat een natuurlijke persoon of rechtspersoon die lid is van het bestuurs-, leidinggevend of toezichthoudend orgaan van de persoon of die vertegenwoordigings-, beslissings- of controlebevoegdheid ten aanzien van de persoon heeft (het gaat hierbij bv. om directeuren en leden van de leidinggevende of toezichthoudende organen, en gevallen waarin een natuurlijke persoon of rechtspersoon meerderheidsaandeelhouder is) of een uiteindelijk begunstigde van de persoon (in de zin van artikel 3, punt 6, van Richtlijn (EU) 2015/849), zich in een van de onderstaande situaties bevindt: </w:t>
            </w:r>
          </w:p>
        </w:tc>
        <w:tc>
          <w:tcPr>
            <w:tcW w:w="858" w:type="dxa"/>
            <w:shd w:val="clear" w:color="auto" w:fill="auto"/>
          </w:tcPr>
          <w:p w14:paraId="16F44882" w14:textId="77777777" w:rsidR="001F135A" w:rsidRDefault="001F135A" w:rsidP="00C37A34">
            <w:pPr>
              <w:spacing w:before="240" w:after="120"/>
              <w:jc w:val="center"/>
              <w:rPr>
                <w:noProof/>
              </w:rPr>
            </w:pPr>
            <w:r>
              <w:t>JA</w:t>
            </w:r>
          </w:p>
        </w:tc>
        <w:tc>
          <w:tcPr>
            <w:tcW w:w="952" w:type="dxa"/>
            <w:shd w:val="clear" w:color="auto" w:fill="auto"/>
          </w:tcPr>
          <w:p w14:paraId="16F44883" w14:textId="77777777" w:rsidR="001F135A" w:rsidRDefault="001F135A" w:rsidP="00C37A34">
            <w:pPr>
              <w:spacing w:before="240" w:after="120"/>
              <w:jc w:val="center"/>
              <w:rPr>
                <w:noProof/>
              </w:rPr>
            </w:pPr>
            <w:r>
              <w:t>NEE</w:t>
            </w:r>
          </w:p>
        </w:tc>
        <w:tc>
          <w:tcPr>
            <w:tcW w:w="813" w:type="dxa"/>
          </w:tcPr>
          <w:p w14:paraId="16F44884" w14:textId="77777777" w:rsidR="001F135A" w:rsidRDefault="001F135A" w:rsidP="00C37A34">
            <w:pPr>
              <w:spacing w:before="240" w:after="120"/>
              <w:jc w:val="center"/>
              <w:rPr>
                <w:noProof/>
              </w:rPr>
            </w:pPr>
            <w:r>
              <w:t>n.v.t.</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Het hierboven in punt 1, c), bedoelde geval (ernstige beroepsfout);</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Het hierboven in punt 1, d), bedoelde geval (fraude, corruptie of andere strafbare feiten);</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lastRenderedPageBreak/>
              <w:t>Het hierboven in punt 1, e), bedoelde geval (ernstige tekortkomingen bij de uitvoering van een contract);</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Het hierboven in punt 1, f), bedoelde geval (onregelmatigheid);</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Het hierboven in punt 1, g), bedoelde geval (oprichting van een entiteit met de bedoeling om wettelijke verplichtingen te omzeilen);</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Het hierboven in punt 1, h), bedoelde geval (oprichting van een persoon met de bedoeling om wettelijke verplichtingen te omzeilen);</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III – Uitsluitingssituaties betreffende natuurlijke personen of rechtspersonen die onbeperkt aansprakelijk zijn voor de schulden van de rechtspersoon</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Niet van toepassing wanneer “de persoon” een natuurlijke persoon, een lidstaat, een lokale overheid of een rechtspersoon met beperkte aansprakelijkheid is. In alle andere gevallen in te vullen door alle betrokken entiteiten.</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665"/>
        <w:gridCol w:w="683"/>
        <w:gridCol w:w="703"/>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verklaart dat een natuurlijke persoon of rechtspersoon die onbeperkt aansprakelijk is voor de schulden van de persoon, zich in een van de onderstaande situaties bevindt: </w:t>
            </w:r>
          </w:p>
        </w:tc>
        <w:tc>
          <w:tcPr>
            <w:tcW w:w="670" w:type="dxa"/>
            <w:shd w:val="clear" w:color="auto" w:fill="auto"/>
          </w:tcPr>
          <w:p w14:paraId="16F4489C" w14:textId="77777777" w:rsidR="003E5E5C" w:rsidRDefault="003E5E5C" w:rsidP="00C37A34">
            <w:pPr>
              <w:spacing w:before="240" w:after="120"/>
              <w:jc w:val="center"/>
              <w:rPr>
                <w:noProof/>
              </w:rPr>
            </w:pPr>
            <w:r>
              <w:t>JA</w:t>
            </w:r>
          </w:p>
        </w:tc>
        <w:tc>
          <w:tcPr>
            <w:tcW w:w="614" w:type="dxa"/>
          </w:tcPr>
          <w:p w14:paraId="16F4489D" w14:textId="77777777" w:rsidR="003E5E5C" w:rsidRDefault="003E5E5C" w:rsidP="00C37A34">
            <w:pPr>
              <w:spacing w:before="240" w:after="120"/>
              <w:jc w:val="center"/>
              <w:rPr>
                <w:noProof/>
              </w:rPr>
            </w:pPr>
            <w:r>
              <w:t>NEE</w:t>
            </w:r>
          </w:p>
        </w:tc>
        <w:tc>
          <w:tcPr>
            <w:tcW w:w="630" w:type="dxa"/>
            <w:shd w:val="clear" w:color="auto" w:fill="auto"/>
          </w:tcPr>
          <w:p w14:paraId="16F4489E" w14:textId="77777777" w:rsidR="003E5E5C" w:rsidRDefault="003E5E5C" w:rsidP="00C37A34">
            <w:pPr>
              <w:spacing w:before="240" w:after="120"/>
              <w:jc w:val="center"/>
              <w:rPr>
                <w:noProof/>
              </w:rPr>
            </w:pPr>
            <w:r>
              <w:t>n.v.t.</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Het hierboven in punt a) bedoelde geval (faillissement);</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Het hierboven in punt b) bedoelde geval (niet-betaling van belastingen of socialezekerheidsbijdragen);</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28F7EA99" w14:textId="76AEE25F" w:rsidR="00B05C76" w:rsidRDefault="00B05C76" w:rsidP="00B05C76">
      <w:pPr>
        <w:pStyle w:val="Title"/>
        <w:rPr>
          <w:noProof/>
        </w:rPr>
      </w:pPr>
      <w:r>
        <w:t>IV – Andere gronden voor afwijzing in deze procedure</w:t>
      </w:r>
    </w:p>
    <w:p w14:paraId="49EFC66C" w14:textId="603EB082" w:rsidR="00B05C76" w:rsidRPr="00897E28" w:rsidRDefault="00B05C76" w:rsidP="00B05C76">
      <w:pPr>
        <w:spacing w:before="120" w:after="120"/>
        <w:ind w:firstLine="1"/>
        <w:jc w:val="both"/>
        <w:rPr>
          <w:b/>
          <w:bCs/>
          <w:i/>
          <w:iCs/>
          <w:noProof/>
        </w:rPr>
      </w:pPr>
      <w:r>
        <w:rPr>
          <w:b/>
          <w:i/>
        </w:rPr>
        <w:t>(afzonderlijk in te vullen door de enige gegadigde/inschrijver of alle leden in het geval van een gezamenlijk verzoek tot deelname/gezamenlijke inschrijving)</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verklaart dat de persoon:</w:t>
            </w:r>
          </w:p>
        </w:tc>
        <w:tc>
          <w:tcPr>
            <w:tcW w:w="670" w:type="dxa"/>
            <w:shd w:val="clear" w:color="auto" w:fill="auto"/>
          </w:tcPr>
          <w:p w14:paraId="1361E30C" w14:textId="77777777" w:rsidR="00B05C76" w:rsidRDefault="00B05C76" w:rsidP="00D6012C">
            <w:pPr>
              <w:spacing w:before="240" w:after="120"/>
              <w:jc w:val="center"/>
              <w:rPr>
                <w:noProof/>
              </w:rPr>
            </w:pPr>
            <w:r>
              <w:t>JA</w:t>
            </w:r>
          </w:p>
        </w:tc>
        <w:tc>
          <w:tcPr>
            <w:tcW w:w="759" w:type="dxa"/>
            <w:shd w:val="clear" w:color="auto" w:fill="auto"/>
          </w:tcPr>
          <w:p w14:paraId="2D50029A" w14:textId="77777777" w:rsidR="00B05C76" w:rsidRDefault="00B05C76" w:rsidP="00D6012C">
            <w:pPr>
              <w:spacing w:before="240" w:after="120"/>
              <w:jc w:val="center"/>
              <w:rPr>
                <w:noProof/>
              </w:rPr>
            </w:pPr>
            <w:r>
              <w:t>NEE</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voorheen betrokken was bij het opstellen van de in deze gunningsprocedure gebruikte aanbestedingsstukken, indien zulks een schending van het beginsel van gelijke behandeling inhoudt, met inbegrip van vervalsing van de mededinging, die niet op een andere wijze kan worden verholpen.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Corrigerende maatregelen</w:t>
      </w:r>
    </w:p>
    <w:p w14:paraId="16F448B4" w14:textId="432FB097" w:rsidR="005C6293" w:rsidRDefault="005C6293" w:rsidP="007C6650">
      <w:pPr>
        <w:spacing w:before="120" w:after="120"/>
        <w:jc w:val="both"/>
        <w:rPr>
          <w:color w:val="000000"/>
        </w:rPr>
      </w:pPr>
      <w:r>
        <w:lastRenderedPageBreak/>
        <w:t xml:space="preserve">Indien de persoon verklaart dat hij zich in een van de </w:t>
      </w:r>
      <w:r>
        <w:rPr>
          <w:color w:val="000000"/>
        </w:rPr>
        <w:t>bovengenoemde uitsluitingssituaties bevindt, moet hij aangeven welke maatregelen hij heeft genomen om de uitsluitingssituatie te corrigeren, teneinde de ordonnateur in staat te stellen na te gaan of deze maatregelen volstaan om zijn betrouwbaarheid aan te tonen. Het kan bijvoorbeeld gaan om technische, organisatorische en personeelsgerelateerde maatregelen om herhaling te voorkomen, de vergoeding van schade of de betaling van boeten, belastingen of socialezekerheidsbijdragen. Relevante bewijsstukken betreffende de genomen corrigerende maatregelen moeten worden opgenomen in een bijlage bij deze verklaring. Dat geldt niet voor de in punt 1, d), van deze verklaring bedoelde gevallen.</w:t>
      </w:r>
    </w:p>
    <w:p w14:paraId="16F448B5" w14:textId="3FE5177B" w:rsidR="00F96EAB" w:rsidRPr="007D7A5F" w:rsidRDefault="00B05C76" w:rsidP="0024225B">
      <w:pPr>
        <w:pStyle w:val="Title"/>
        <w:rPr>
          <w:noProof/>
        </w:rPr>
      </w:pPr>
      <w:r>
        <w:t>VI - Bewijs betreffende de uitsluitingscriteria</w:t>
      </w:r>
    </w:p>
    <w:p w14:paraId="477A6316" w14:textId="3261E630" w:rsidR="00695D93" w:rsidRDefault="0092592E" w:rsidP="7F6CA770">
      <w:pPr>
        <w:spacing w:before="120" w:after="120"/>
        <w:ind w:firstLine="11"/>
        <w:jc w:val="both"/>
        <w:rPr>
          <w:noProof/>
        </w:rPr>
      </w:pPr>
      <w:r>
        <w:t>In het bestek wordt gedetailleerd aangegeven welke betrokken entiteiten de nodige bewijsstukken moeten verstrekken om aan te tonen dat zij niet in een uitsluitingssituatie als bedoeld in punt 1 verkeren, en wanneer de bewijsstukken moeten worden verstrekt.</w:t>
      </w:r>
    </w:p>
    <w:p w14:paraId="3EE64640" w14:textId="03697B6E" w:rsidR="00835E88" w:rsidRPr="00F76ABA" w:rsidRDefault="00CA3ADD" w:rsidP="00835E88">
      <w:pPr>
        <w:spacing w:before="120" w:after="120"/>
        <w:jc w:val="both"/>
        <w:rPr>
          <w:noProof/>
        </w:rPr>
      </w:pPr>
      <w:r>
        <w:t>De volgende documenten kunnen als bewijs dienen:</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Voor de in punt 1, a), c), d), f), g) en h), beschreven gevallen: een recent uittreksel uit het strafregister of, bij gebreke daarvan, een recent gelijkwaardig document van een gerechtelijke of administratieve autoriteit van het land van vestiging van de persoon waaruit blijkt dat aan de desbetreffende vereisten is voldaan.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Voor de in punt 1, a) en b), beschreven gevallen: recente getuigschriften van de bevoegde autoriteiten van het land van vestiging. Deze documenten moeten bewijzen bevatten ten aanzien van alle belastingen en socialezekerheidsbijdragen die de persoon verschuldigd is, waaronder bijvoorbeeld de btw, inkomstenbelastingen (alleen voor natuurlijke personen), vennootschapsbelasting (alleen voor rechtspersonen) en socialezekerheidsbijdragen. Wanneer de bovengenoemde documenten in het land van vestiging niet worden afgegeven, mogen zij worden vervangen door een ten overstaan van een gerechtelijke autoriteit of een notaris onder ede afgelegde verklaring of, bij gebreke daarvan, een ten overstaan van een administratieve autoriteit of een gekwalificeerde beroepsorganisatie in het land van vestiging afgelegde plechtige verklaring.</w:t>
      </w:r>
    </w:p>
    <w:p w14:paraId="16F448B9" w14:textId="6993ED04" w:rsidR="008C4A00" w:rsidRDefault="00C55150" w:rsidP="00897E28">
      <w:pPr>
        <w:spacing w:before="100" w:beforeAutospacing="1" w:after="100" w:afterAutospacing="1"/>
        <w:jc w:val="both"/>
      </w:pPr>
      <w:r>
        <w:t>De persoon hoeft geen bewijsstukken in te dienen indien deze al eerder in het kader van een andere gunningsprocedure van dezelfde aanbestedende dienst</w:t>
      </w:r>
      <w:r>
        <w:rPr>
          <w:rStyle w:val="FootnoteReference"/>
        </w:rPr>
        <w:footnoteReference w:id="5"/>
      </w:r>
      <w:r>
        <w:t xml:space="preserve"> zijn ingediend. De documenten mogen niet langer dan een jaar vóór de datum waarop de aanbestedende dienst erom verzoekt, zijn afgegeven, en moeten op die datum nog steeds geldig zijn. </w:t>
      </w:r>
    </w:p>
    <w:p w14:paraId="16F448BA" w14:textId="1463A7B7" w:rsidR="008C4A00" w:rsidRDefault="00A40405" w:rsidP="00897E28">
      <w:pPr>
        <w:spacing w:before="100" w:beforeAutospacing="1" w:after="100" w:afterAutospacing="1"/>
        <w:jc w:val="both"/>
      </w:pPr>
      <w:r>
        <w:t xml:space="preserve">De ondertekenaar verklaart dat de persoon de bewijsstukken reeds in het kader van een eerdere procedure heeft verstrekt en bevestigt dat de situatie van de persoon sindsdien niet is gewijzigd: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Volledige referentiegegevens over de eerdere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Voeg zoveel regels toe als nodig.</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De persoon hoeft het bewijsstuk niet over te leggen als het kosteloos toegankelijk is in een nationale databank. </w:t>
      </w:r>
    </w:p>
    <w:p w14:paraId="0F58ED09" w14:textId="2FB86EF0" w:rsidR="00CF0C80" w:rsidRDefault="00602579" w:rsidP="00897E28">
      <w:pPr>
        <w:spacing w:before="100" w:beforeAutospacing="1" w:after="100" w:afterAutospacing="1"/>
        <w:jc w:val="both"/>
      </w:pPr>
      <w:r>
        <w:lastRenderedPageBreak/>
        <w:t>De ondertekenaar verklaart dat er via het volgende internetadres van de databank of de volgende identificatiegegevens toegang kan worden verkregen tot het vereiste bewijsstuk.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Internetadres van de databank</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Identificatiegegevens betreffende het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Voeg zoveel regels toe als nodig.</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Verklaring op erewoord betreffende de selectiecriteria </w:t>
      </w:r>
    </w:p>
    <w:p w14:paraId="2D59BB2A" w14:textId="01DD445D" w:rsidR="743C92D7" w:rsidRDefault="743C92D7" w:rsidP="001B5619">
      <w:pPr>
        <w:spacing w:beforeAutospacing="1" w:afterAutospacing="1"/>
        <w:jc w:val="both"/>
      </w:pPr>
      <w:r>
        <w:t>In het geval van een procedure met percelen zijn de verklaringen in dit deel B van toepassing op het perceel (de percelen) waarvoor het verzoek tot deelname/inschrijving wordt ingediend.</w:t>
      </w:r>
    </w:p>
    <w:p w14:paraId="7232500E" w14:textId="59A72938" w:rsidR="00E25A58" w:rsidRDefault="00E25A58" w:rsidP="00E25A58">
      <w:pPr>
        <w:pStyle w:val="Title"/>
        <w:rPr>
          <w:noProof/>
        </w:rPr>
      </w:pPr>
      <w:r>
        <w:t>I – Selectiecriteria</w:t>
      </w:r>
    </w:p>
    <w:p w14:paraId="7CE533D0" w14:textId="16A9A02E" w:rsidR="00B74E92" w:rsidRPr="00897E28" w:rsidRDefault="00CA2C74">
      <w:pPr>
        <w:jc w:val="both"/>
        <w:rPr>
          <w:b/>
          <w:bCs/>
          <w:u w:val="single"/>
        </w:rPr>
      </w:pPr>
      <w:r>
        <w:rPr>
          <w:b/>
          <w:u w:val="single"/>
        </w:rPr>
        <w:t xml:space="preserve">Selectiecriteria die gelden voor de gegadigde/inschrijver in zijn geheel - geconsolideerde beoordeling </w:t>
      </w:r>
    </w:p>
    <w:p w14:paraId="1E43862B" w14:textId="28BF9BC9" w:rsidR="006E23B3" w:rsidRPr="00897E28" w:rsidRDefault="006E23B3" w:rsidP="00897E28">
      <w:pPr>
        <w:spacing w:before="120" w:after="120"/>
        <w:ind w:firstLine="1"/>
        <w:jc w:val="both"/>
        <w:rPr>
          <w:b/>
          <w:bCs/>
          <w:i/>
          <w:iCs/>
          <w:noProof/>
        </w:rPr>
      </w:pPr>
      <w:r>
        <w:rPr>
          <w:b/>
          <w:i/>
        </w:rPr>
        <w:t>(ALLEEN in te vullen door de enige gegadigde/inschrijver of de leider van de combinatie in het geval van een gezamenlijk verzoek tot deelname/gezamenlijke inschrijving)</w:t>
      </w:r>
    </w:p>
    <w:p w14:paraId="580B2348" w14:textId="36EFDB8E" w:rsidR="00F04B97" w:rsidRDefault="00F04B97" w:rsidP="00F04B97">
      <w:pPr>
        <w:spacing w:before="120" w:after="120"/>
        <w:ind w:firstLine="1"/>
        <w:jc w:val="both"/>
        <w:rPr>
          <w:noProof/>
        </w:rPr>
      </w:pPr>
      <w:r>
        <w:t>De persoon die als enige gegadigde/inschrijver/leider van de combinatie bij een gezamenlijk verzoek tot deelname/gezamenlijke inschrijving een verzoek tot deelname/een inschrijving voor bovengenoemde procedure indient: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verklaart dat de gegadigde/inschrijver, met inbegrip van alle leden van de combinatie in het geval van een gezamenlijk verzoek tot deelname/gezamenlijke inschrijving, en alle subcontractanten en entiteiten waarop de inschrijver in voorkomend geval voornemens is een beroep te doen:</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NEE</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voldoet aan alle selectiecriteria waarvoor conform het bestek een geconsolideerde beoordeling zal worden uitgevoerd.</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De aanbestedende dienst moet de onderstaande optie invoegen indien zulks in de aanbestedingsstukken wordt vereist. De aanbestedende dienst moet het onderstaande gedeelte schrappen als er geen afzonderlijk toepasselijke selectiecriteria zijn. Indien er dergelijke criteria zijn, moet de aanbestedende dienst de tabel aanpassen aan de in het bestek vermelde criteria.</w:t>
      </w:r>
    </w:p>
    <w:p w14:paraId="5CFBC1F8" w14:textId="7B867C43" w:rsidR="00CA2C74" w:rsidRPr="00897E28" w:rsidRDefault="00C4227A">
      <w:pPr>
        <w:jc w:val="both"/>
        <w:rPr>
          <w:b/>
          <w:bCs/>
          <w:u w:val="single"/>
        </w:rPr>
      </w:pPr>
      <w:r>
        <w:rPr>
          <w:b/>
          <w:u w:val="single"/>
        </w:rPr>
        <w:t>Selectiecriteria die afzonderlijk van toepassing zijn op de betrokken entiteiten - afzonderlijke beoordeling</w:t>
      </w:r>
    </w:p>
    <w:p w14:paraId="78C15FF3" w14:textId="0676A81C" w:rsidR="00723411" w:rsidRPr="00897E28" w:rsidRDefault="00723411" w:rsidP="7F6CA770">
      <w:pPr>
        <w:spacing w:before="120" w:after="120"/>
        <w:ind w:firstLine="1"/>
        <w:jc w:val="both"/>
        <w:rPr>
          <w:b/>
          <w:bCs/>
          <w:i/>
          <w:iCs/>
          <w:noProof/>
        </w:rPr>
      </w:pPr>
      <w:r>
        <w:rPr>
          <w:b/>
          <w:i/>
        </w:rPr>
        <w:t>(afzonderlijk in te vullen door de betrokken entiteiten waarop de selectiecriteria volgens het bestek afzonderlijk van toepassing zijn)</w:t>
      </w:r>
    </w:p>
    <w:p w14:paraId="64745216" w14:textId="17979E7F" w:rsidR="00E80BCE" w:rsidRPr="00897E28" w:rsidRDefault="00E80BCE" w:rsidP="6FB7994E">
      <w:pPr>
        <w:spacing w:before="120" w:after="120"/>
        <w:ind w:firstLine="1"/>
        <w:jc w:val="both"/>
        <w:rPr>
          <w:b/>
          <w:bCs/>
          <w:i/>
          <w:iCs/>
          <w:noProof/>
        </w:rPr>
      </w:pPr>
      <w:r>
        <w:t>De persoon die als enige gegadigde/inschrijver, als lid van een gezamenlijk verzoek tot deelname/een gezamenlijke inschrijving of als subcontractant een verzoek tot deelname/een inschrijving voor bovengenoemde procedure indient: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698"/>
        <w:gridCol w:w="683"/>
        <w:gridCol w:w="703"/>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verklaart dat de persoon voldoet aan de selectiecriteria die op hem afzonderlijk van toepassing zijn:</w:t>
            </w:r>
          </w:p>
        </w:tc>
        <w:tc>
          <w:tcPr>
            <w:tcW w:w="704" w:type="dxa"/>
            <w:shd w:val="clear" w:color="auto" w:fill="auto"/>
          </w:tcPr>
          <w:p w14:paraId="13DAA78F" w14:textId="77777777" w:rsidR="00A551F6" w:rsidRDefault="00A551F6" w:rsidP="00C37A34">
            <w:pPr>
              <w:spacing w:before="240" w:after="120"/>
              <w:jc w:val="center"/>
              <w:rPr>
                <w:noProof/>
              </w:rPr>
            </w:pPr>
            <w:r>
              <w:t>JA</w:t>
            </w:r>
          </w:p>
        </w:tc>
        <w:tc>
          <w:tcPr>
            <w:tcW w:w="608" w:type="dxa"/>
            <w:shd w:val="clear" w:color="auto" w:fill="auto"/>
          </w:tcPr>
          <w:p w14:paraId="465AC66E" w14:textId="77777777" w:rsidR="00A551F6" w:rsidRDefault="00A551F6" w:rsidP="00C37A34">
            <w:pPr>
              <w:spacing w:before="240" w:after="120"/>
              <w:jc w:val="center"/>
              <w:rPr>
                <w:noProof/>
              </w:rPr>
            </w:pPr>
            <w:r>
              <w:t>NEE</w:t>
            </w:r>
          </w:p>
        </w:tc>
        <w:tc>
          <w:tcPr>
            <w:tcW w:w="630" w:type="dxa"/>
            <w:shd w:val="clear" w:color="auto" w:fill="auto"/>
          </w:tcPr>
          <w:p w14:paraId="237B4D9E" w14:textId="77777777" w:rsidR="00A551F6" w:rsidRDefault="00A551F6" w:rsidP="00C37A34">
            <w:pPr>
              <w:spacing w:before="240" w:after="120"/>
              <w:jc w:val="center"/>
              <w:rPr>
                <w:noProof/>
              </w:rPr>
            </w:pPr>
            <w:r>
              <w:t>n.v.t.</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de persoon heeft de wettelijke en juridische bevoegdheid om de beroepsactiviteit uit te oefenen die nodig is om het contract uit te voeren conform het bestek;</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lastRenderedPageBreak/>
              <w:t>de persoon voldoet aan de toepasselijke economische en financiële criteria zoals vermeld in het bestek;</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de persoon voldoet aan de toepasselijke technische en beroepscriteria zoals vermeld in het bestek.</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Selectiecriteria — beroepsmatige belangenconflicten </w:t>
      </w:r>
    </w:p>
    <w:p w14:paraId="6D4253AB" w14:textId="6F28DDE5" w:rsidR="00850397" w:rsidRPr="00897E28" w:rsidRDefault="00850397" w:rsidP="00EE7E2B">
      <w:pPr>
        <w:spacing w:before="120" w:after="120"/>
        <w:ind w:firstLine="1"/>
        <w:rPr>
          <w:b/>
          <w:bCs/>
          <w:i/>
          <w:iCs/>
          <w:noProof/>
        </w:rPr>
      </w:pPr>
      <w:r>
        <w:rPr>
          <w:b/>
          <w:i/>
        </w:rPr>
        <w:t>(in te vullen door alle betrokken entiteiten)</w:t>
      </w:r>
    </w:p>
    <w:p w14:paraId="4E52E5EC" w14:textId="6CF73761" w:rsidR="00850397" w:rsidRDefault="00850397" w:rsidP="00850397">
      <w:pPr>
        <w:jc w:val="both"/>
        <w:rPr>
          <w:b/>
          <w:bCs/>
          <w:u w:val="single"/>
        </w:rPr>
      </w:pPr>
      <w:r>
        <w:t>De persoon die als enige gegadigde/inschrijver, als lid van een gezamenlijk verzoek tot deelname/een gezamenlijke inschrijving of als subcontractant een verzoek tot deelname/een inschrijving voor bovengenoemde procedure indient:</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verklaart dat de persoon: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NEE</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zich in een belangenconflict bevindt dat de uitvoering van het contract negatief kan beïnvloeden.</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790CAC98" w14:textId="130FE33D" w:rsidR="00C4227A" w:rsidRDefault="00C4227A" w:rsidP="00C4227A">
      <w:pPr>
        <w:pStyle w:val="Title"/>
        <w:rPr>
          <w:noProof/>
        </w:rPr>
      </w:pPr>
      <w:r>
        <w:t xml:space="preserve">III - Bewijs betreffende de selectiecriteria </w:t>
      </w:r>
    </w:p>
    <w:p w14:paraId="6C38D641" w14:textId="3F0D33E7" w:rsidR="00F04B97" w:rsidRDefault="00F04B97" w:rsidP="7F6CA770">
      <w:pPr>
        <w:spacing w:before="100" w:beforeAutospacing="1" w:after="100" w:afterAutospacing="1"/>
        <w:jc w:val="both"/>
      </w:pPr>
      <w:r>
        <w:t>In het bestek wordt in detail uiteengezet welke bewijsstukken wanneer en door welke betrokken entiteit moeten worden verstrekt om aan te tonen dat de gegadigde/inschrijver aan de selectiecriteria voldoet.</w:t>
      </w:r>
    </w:p>
    <w:p w14:paraId="1699FA0D" w14:textId="0C53EE83" w:rsidR="00F04B97" w:rsidRPr="00A64C2E" w:rsidRDefault="00F04B97" w:rsidP="00897E28">
      <w:pPr>
        <w:spacing w:before="100" w:beforeAutospacing="1" w:after="100" w:afterAutospacing="1"/>
        <w:jc w:val="both"/>
        <w:rPr>
          <w:noProof/>
        </w:rPr>
      </w:pPr>
      <w:r>
        <w:t xml:space="preserve">Wanneer de bewijsstukken niet samen met het verzoek tot deelname/de inschrijving hoeven te worden verstrekt, wordt de persoon verzocht de daarmee verband houdende documenten vooraf op te stellen, aangezien de aanbestedende dienst kan verzoeken deze binnen een korte termijn te verstrekken. </w:t>
      </w:r>
    </w:p>
    <w:p w14:paraId="1279E35F" w14:textId="2584B0D8" w:rsidR="0073022B" w:rsidRDefault="0073022B" w:rsidP="0073022B">
      <w:pPr>
        <w:spacing w:before="100" w:beforeAutospacing="1" w:after="100" w:afterAutospacing="1"/>
        <w:jc w:val="both"/>
      </w:pPr>
      <w:r>
        <w:t>De persoon hoeft geen bewijsstukken in te dienen indien deze al eerder in het kader van een andere aanbestedingsprocedure van dezelfde aanbestedende dienst</w:t>
      </w:r>
      <w:r>
        <w:rPr>
          <w:rStyle w:val="FootnoteReference"/>
        </w:rPr>
        <w:footnoteReference w:id="6"/>
      </w:r>
      <w:r>
        <w:t xml:space="preserve"> zijn ingediend en indien deze nog actueel zijn.</w:t>
      </w:r>
    </w:p>
    <w:p w14:paraId="0FBE3FFA" w14:textId="51DD42D5" w:rsidR="00F04B97" w:rsidRDefault="00F04B97" w:rsidP="00897E28">
      <w:pPr>
        <w:spacing w:before="100" w:beforeAutospacing="1" w:after="100" w:afterAutospacing="1"/>
        <w:jc w:val="both"/>
      </w:pPr>
      <w:r>
        <w:t xml:space="preserve">De ondertekenaar verklaart dat de persoon de bewijsstukken reeds in het kader van een eerdere procedure heeft verstrekt en bevestigt dat de situatie van de persoon sindsdien niet is gewijzigd: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Volledige referentiegegevens over de eerdere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Voeg zoveel regels toe als nodig.</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De persoon hoeft het bewijsstuk niet over te leggen als het kosteloos toegankelijk is in een nationale databank. </w:t>
      </w:r>
    </w:p>
    <w:p w14:paraId="03A26509" w14:textId="77777777" w:rsidR="008B35EE" w:rsidRDefault="008B35EE" w:rsidP="00897E28">
      <w:pPr>
        <w:spacing w:before="100" w:beforeAutospacing="1" w:after="100" w:afterAutospacing="1"/>
        <w:jc w:val="both"/>
      </w:pPr>
      <w:r>
        <w:t>De ondertekenaar verklaart dat er via het volgende internetadres van de databank of de volgende identificatiegegevens toegang kan worden verkregen tot het vereiste bewijsstuk.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Internetadres van de databank</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Identificatiegegevens betreffende het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Voeg zoveel regels toe als nodig.</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lastRenderedPageBreak/>
        <w:t xml:space="preserve">Verklaring op erewoord betreffende de vastgestelde schuld jegens de Unie </w:t>
      </w:r>
    </w:p>
    <w:p w14:paraId="1DCBB562" w14:textId="03CF733F" w:rsidR="006B2B45" w:rsidRPr="006B0A89" w:rsidRDefault="0013073C" w:rsidP="6FB7994E">
      <w:pPr>
        <w:spacing w:before="120" w:after="120"/>
        <w:jc w:val="both"/>
        <w:rPr>
          <w:b/>
          <w:bCs/>
          <w:i/>
          <w:iCs/>
          <w:noProof/>
        </w:rPr>
      </w:pPr>
      <w:r>
        <w:rPr>
          <w:b/>
          <w:i/>
        </w:rPr>
        <w:t xml:space="preserve"> (afzonderlijk in te vullen door de enige gegadigde/inschrijver of elk lid van de combinatie in het geval van een gezamenlijk verzoek tot deelname/een gezamenlijke inschrijving)</w:t>
      </w:r>
    </w:p>
    <w:p w14:paraId="5915DC59" w14:textId="752F5BD7" w:rsidR="00EE7E2B" w:rsidRDefault="00EE7E2B" w:rsidP="00EE7E2B">
      <w:pPr>
        <w:jc w:val="both"/>
        <w:rPr>
          <w:noProof/>
        </w:rPr>
      </w:pPr>
      <w:r>
        <w:t>De persoon die als enige gegadigde/inschrijver of als lid van een gezamenlijk verzoek tot deelname/een gezamenlijke inschrijving een verzoek tot deelname/een inschrijving voor bovengenoemde procedure indient:</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verklaart dat de persoon: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NEE</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een vastgestelde schuld heeft jegens de Unie, de Europese Gemeenschap voor Atoomenergie of een uitvoerend agentschap wanneer dit de begroting van de Unie uitvoert.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Verklaring op erewoord betreffende de ingediende inschrijving </w:t>
      </w:r>
    </w:p>
    <w:p w14:paraId="7D66B10A" w14:textId="0B06DCCD" w:rsidR="00765179" w:rsidRPr="000C6B51" w:rsidRDefault="00765179" w:rsidP="570F7154">
      <w:pPr>
        <w:spacing w:beforeAutospacing="1" w:afterAutospacing="1"/>
        <w:jc w:val="both"/>
        <w:rPr>
          <w:b/>
          <w:bCs/>
          <w:i/>
          <w:iCs/>
          <w:noProof/>
        </w:rPr>
      </w:pPr>
      <w:r>
        <w:rPr>
          <w:b/>
          <w:i/>
        </w:rPr>
        <w:t>(afzonderlijk in te vullen door de enige gegadigde/inschrijver of de leider van de combinatie in het geval van een gezamenlijk verzoek tot deelname/gezamenlijke inschrijving)</w:t>
      </w:r>
    </w:p>
    <w:p w14:paraId="44652C08" w14:textId="3F669C66" w:rsidR="743C92D7" w:rsidRDefault="743C92D7" w:rsidP="570F7154">
      <w:pPr>
        <w:spacing w:beforeAutospacing="1" w:afterAutospacing="1"/>
        <w:jc w:val="both"/>
      </w:pPr>
      <w:r>
        <w:t>In het geval van een procedure met percelen zijn de verklaringen uit dit deel D van toepassing op het perceel (de percelen) waarvoor het verzoek tot deelname/de inschrijving wordt ingediend: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verklaart dat de persoon:</w:t>
            </w:r>
          </w:p>
        </w:tc>
        <w:tc>
          <w:tcPr>
            <w:tcW w:w="670" w:type="dxa"/>
            <w:shd w:val="clear" w:color="auto" w:fill="auto"/>
          </w:tcPr>
          <w:p w14:paraId="59250AC2" w14:textId="77777777" w:rsidR="000F6EA2" w:rsidRDefault="000F6EA2" w:rsidP="00C54FCE">
            <w:pPr>
              <w:spacing w:before="240" w:after="120"/>
              <w:jc w:val="center"/>
              <w:rPr>
                <w:noProof/>
              </w:rPr>
            </w:pPr>
            <w:r>
              <w:t>JA</w:t>
            </w:r>
          </w:p>
        </w:tc>
        <w:tc>
          <w:tcPr>
            <w:tcW w:w="759" w:type="dxa"/>
            <w:shd w:val="clear" w:color="auto" w:fill="auto"/>
          </w:tcPr>
          <w:p w14:paraId="7D1AA4B7" w14:textId="77777777" w:rsidR="000F6EA2" w:rsidRDefault="000F6EA2" w:rsidP="00C54FCE">
            <w:pPr>
              <w:spacing w:before="240" w:after="120"/>
              <w:jc w:val="center"/>
              <w:rPr>
                <w:noProof/>
              </w:rPr>
            </w:pPr>
            <w:r>
              <w:t>NEE</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 [de ingediende inschrijving heeft opgesteld] [zich ertoe verbindt de inschrijving (indien uitgenodigd om een inschrijving in te dienen) op te stellen], en wel volledig onafhankelijk en afzonderlijk van de andere inschrijvingen die in het kader van dezelfde aanbestedingsprocedure worden ingediend.</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77B37">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De persoon moet de aanbestedende dienst onverwijld in kennis stellen van veranderingen in de gemelde situaties.</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De persoon kan in het kader van deze procedure worden afgewezen en hem kunnen administratieve sancties (uitsluiting of financiële sancties) worden opgelegd wanneer verklaringen of inlichtingen die als voorwaarde voor deelname aan deze procedure zijn verstrekt, vals of onjuist blijken te zijn.</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Volledige naam:</w:t>
      </w:r>
      <w:r>
        <w:tab/>
      </w:r>
    </w:p>
    <w:p w14:paraId="4F5C3CA0" w14:textId="4ADE4B77" w:rsidR="00522736" w:rsidRDefault="00DA410F" w:rsidP="004A4B4A">
      <w:pPr>
        <w:tabs>
          <w:tab w:val="left" w:pos="4395"/>
          <w:tab w:val="left" w:pos="7797"/>
        </w:tabs>
        <w:spacing w:before="40" w:after="40"/>
        <w:jc w:val="both"/>
        <w:rPr>
          <w:noProof/>
        </w:rPr>
      </w:pPr>
      <w:r>
        <w:t>Datum:</w:t>
      </w:r>
      <w:r>
        <w:tab/>
      </w:r>
    </w:p>
    <w:p w14:paraId="16F448F0" w14:textId="42F52720" w:rsidR="00DA410F" w:rsidRPr="00F76ABA" w:rsidRDefault="00DA410F" w:rsidP="004A4B4A">
      <w:pPr>
        <w:tabs>
          <w:tab w:val="left" w:pos="4395"/>
          <w:tab w:val="left" w:pos="7797"/>
        </w:tabs>
        <w:spacing w:before="40" w:after="40"/>
        <w:jc w:val="both"/>
        <w:rPr>
          <w:noProof/>
        </w:rPr>
      </w:pPr>
      <w:r>
        <w:t>Handtekening:</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De verklaring moet worden ondertekend met een:</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Elektronische handtekening (aanbevolen optie):</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Indien u de verklaring kunt ondertekenen met behulp van een gekwalificeerde elektronische handtekening (QES), laat de verklaring dan elektronisch ondertekenen door uw gemachtigde </w:t>
      </w:r>
      <w:r>
        <w:rPr>
          <w:i/>
          <w:highlight w:val="lightGray"/>
        </w:rPr>
        <w:lastRenderedPageBreak/>
        <w:t xml:space="preserve">vertegenwoordiger(s). Opgelet: alleen de gekwalificeerde elektronische handtekening (QES) in de zin van Verordening (EU) nr. 910/2014 (eIDAS-verordening) wordt aanvaard.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Controleer, voordat u uw elektronisch ondertekend document terugstuurt, de handtekening en de geldigheid van het certificaat met behulp van een van de hieronder vermelde instrumenten.</w:t>
      </w:r>
    </w:p>
    <w:p w14:paraId="51E4A90D" w14:textId="77777777" w:rsidR="00454D84" w:rsidRPr="002870DB" w:rsidRDefault="00454D84">
      <w:pPr>
        <w:pStyle w:val="ListParagraph"/>
        <w:numPr>
          <w:ilvl w:val="0"/>
          <w:numId w:val="32"/>
        </w:numPr>
        <w:rPr>
          <w:i/>
          <w:iCs/>
          <w:highlight w:val="lightGray"/>
        </w:rPr>
      </w:pPr>
      <w:r>
        <w:rPr>
          <w:i/>
          <w:highlight w:val="lightGray"/>
        </w:rPr>
        <w:t>De validatietool DSS Demonstration, die beschikbaar is op</w:t>
      </w:r>
      <w:r>
        <w:t xml:space="preserve"> </w:t>
      </w:r>
      <w:hyperlink r:id="rId12" w:history="1">
        <w:r>
          <w:rPr>
            <w:highlight w:val="lightGray"/>
          </w:rPr>
          <w:t xml:space="preserve">https://ec.europa.eu/cefdigital/DSS/webapp-demo/validation </w:t>
        </w:r>
      </w:hyperlink>
      <w:r>
        <w:rPr>
          <w:i/>
          <w:highlight w:val="lightGray"/>
        </w:rPr>
        <w:t>en u kan helpen de geldigheid van een certificaat te controleren door het aantal en het type geldige handtekeningen in een document aan te geven.</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De EU Trusted List Browser, die kan worden geraadpleegd om na te gaan of de aanbieder van elektronische handtekeningen en de door hem verleende vertrouwensdienst deel uitmaken van de Trusted List van de Europese Unie: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Om er zeker van te zijn dat u een QES gebruikt die in overeenstemming is met de eIDAS-verordening, moet u controleren of zowel de dienstverlener als de gekwalificeerde dienst voor het aanmaken van certificaten is opgenomen in de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Handgeschreven handtekening</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Indien u de verklaring niet kunt ondertekenen met behulp van een gekwalificeerde elektronische handtekening (QES), vul de verklaring dan elektronisch in en druk ze af en laat ze ondertekenen en dateren door uw gemachtigde vertegenwoordiger(s) met behulp van een handgeschreven handtekening.</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Pr>
                <w:sz w:val="20"/>
              </w:rPr>
              <w:t xml:space="preserve">Bladzijde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van </w:t>
            </w:r>
            <w:r>
              <w:rPr>
                <w:sz w:val="20"/>
              </w:rPr>
              <w:fldChar w:fldCharType="begin"/>
            </w:r>
            <w:r>
              <w:rPr>
                <w:sz w:val="20"/>
              </w:rPr>
              <w:instrText xml:space="preserve"> NUMPAGES  </w:instrText>
            </w:r>
            <w:r>
              <w:rPr>
                <w:sz w:val="20"/>
              </w:rPr>
              <w:fldChar w:fldCharType="separate"/>
            </w:r>
            <w:r>
              <w:rPr>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Dezelfde instelling of hetzelfde agentschap, orgaan of bureau van de Unie.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t xml:space="preserve"> Een </w:t>
      </w:r>
      <w:r>
        <w:rPr>
          <w:b/>
        </w:rPr>
        <w:t>“betrokken entiteit”</w:t>
      </w:r>
      <w:r>
        <w:t xml:space="preserve"> is elke marktdeelnemer die betrokken is bij het verzoek tot deelname/de inschrijving.</w:t>
      </w:r>
      <w:r>
        <w:rPr>
          <w:sz w:val="20"/>
        </w:rPr>
        <w:t xml:space="preserve"> Dit omvat de volgende vier categorieën marktdeelnemers:</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enige gegadigde/inschrijver;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groepsleden (met inbegrip van de leider van de combinatie) in geval van een gezamenlijk verzoek tot deelname/gezamenlijke inschrijving;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geïdentificeerde subcontractanten; alsmede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andere entiteiten (die geen subcontractanten zijn) waarop de gegadigde/inschrijver een beroep doet om aan de selectiecriteria te voldoen.</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De in dit punt 2 bedoelde verklaring is vrijwillig en kan geen nadelige rechtsgevolgen hebben voor de marktdeelnemer, tenzij aan de voorwaarden van artikel 141, lid 1, punt a), van het Financieel Reglement is voldaan.</w:t>
      </w:r>
    </w:p>
  </w:footnote>
  <w:footnote w:id="5">
    <w:p w14:paraId="79038C83" w14:textId="46E5ADA1" w:rsidR="00585B73" w:rsidRPr="00EA6BA4" w:rsidRDefault="00585B73">
      <w:pPr>
        <w:pStyle w:val="FootnoteText"/>
      </w:pPr>
      <w:r>
        <w:rPr>
          <w:rStyle w:val="FootnoteReference"/>
        </w:rPr>
        <w:footnoteRef/>
      </w:r>
      <w:r>
        <w:t xml:space="preserve"> Dezelfde instelling of hetzelfde agentschap, orgaan of bureau van de Unie.</w:t>
      </w:r>
    </w:p>
  </w:footnote>
  <w:footnote w:id="6">
    <w:p w14:paraId="691476B8" w14:textId="175A7801" w:rsidR="00585B73" w:rsidRPr="00EA6BA4" w:rsidRDefault="00585B73" w:rsidP="0073022B">
      <w:pPr>
        <w:pStyle w:val="FootnoteText"/>
      </w:pPr>
      <w:r>
        <w:rPr>
          <w:rStyle w:val="FootnoteReference"/>
        </w:rPr>
        <w:footnoteRef/>
      </w:r>
      <w:r>
        <w:t xml:space="preserve"> Dezelfde instelling of hetzelfde agentschap, orgaan of bureau van de Unie.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Versie van juli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Versie van 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77B37"/>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nl-NL"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nl-NL"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infopath/2007/PartnerControls"/>
    <ds:schemaRef ds:uri="http://schemas.microsoft.com/office/2006/documentManagement/types"/>
    <ds:schemaRef ds:uri="b1901b91-65c1-4a2f-841b-cc424925e6d8"/>
    <ds:schemaRef ds:uri="http://purl.org/dc/terms/"/>
    <ds:schemaRef ds:uri="http://schemas.microsoft.com/sharepoint/v3"/>
    <ds:schemaRef ds:uri="http://www.w3.org/XML/1998/namespace"/>
    <ds:schemaRef ds:uri="http://purl.org/dc/elements/1.1/"/>
    <ds:schemaRef ds:uri="http://schemas.openxmlformats.org/package/2006/metadata/core-properties"/>
    <ds:schemaRef ds:uri="0c251cd7-9b02-4ee5-868f-f820bb07042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B103CB5-2888-48CB-9F0D-EE8C9199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3509</Words>
  <Characters>20779</Characters>
  <Application>Microsoft Office Word</Application>
  <DocSecurity>4</DocSecurity>
  <Lines>546</Lines>
  <Paragraphs>315</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2022-12-16T11:28:00Z</dcterms:created>
  <dcterms:modified xsi:type="dcterms:W3CDTF">2022-12-16T11:28:00Z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