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Priesaikos deklaracija dėl</w:t>
      </w:r>
      <w:r>
        <w:t xml:space="preserve"> </w:t>
      </w:r>
      <w:r>
        <w:br/>
      </w:r>
      <w:r>
        <w:rPr>
          <w:b/>
          <w:sz w:val="28"/>
        </w:rPr>
        <w:t>draudimo dalyvauti procedūroje kriterijų ir atrankos kriterijų</w:t>
      </w:r>
    </w:p>
    <w:p w14:paraId="1A26E185" w14:textId="206E0B8A" w:rsidR="00702372" w:rsidRPr="00370A7F" w:rsidRDefault="00702372" w:rsidP="00370A7F">
      <w:pPr>
        <w:spacing w:before="100" w:beforeAutospacing="1" w:after="100" w:afterAutospacing="1"/>
        <w:jc w:val="both"/>
        <w:rPr>
          <w:b/>
          <w:bCs/>
        </w:rPr>
      </w:pPr>
      <w:r>
        <w:rPr>
          <w:b/>
        </w:rPr>
        <w:t>Procedūros nuorodos numeris</w:t>
      </w:r>
    </w:p>
    <w:p w14:paraId="60A66E87" w14:textId="242ECE30" w:rsidR="00702372" w:rsidRPr="00370A7F" w:rsidRDefault="00702372" w:rsidP="7F6CA770">
      <w:pPr>
        <w:spacing w:before="100" w:beforeAutospacing="1" w:after="100" w:afterAutospacing="1"/>
        <w:jc w:val="both"/>
        <w:rPr>
          <w:b/>
          <w:bCs/>
        </w:rPr>
      </w:pPr>
      <w:r>
        <w:rPr>
          <w:b/>
        </w:rPr>
        <w:t>Procedūros pavadinimas</w:t>
      </w:r>
    </w:p>
    <w:p w14:paraId="03B168D8" w14:textId="3C04CAF4" w:rsidR="00702372" w:rsidRDefault="00702372" w:rsidP="7F6CA770">
      <w:pPr>
        <w:spacing w:beforeAutospacing="1" w:afterAutospacing="1"/>
        <w:jc w:val="both"/>
        <w:rPr>
          <w:i/>
          <w:iCs/>
          <w:noProof/>
          <w:highlight w:val="lightGray"/>
        </w:rPr>
      </w:pPr>
      <w:r>
        <w:rPr>
          <w:i/>
          <w:highlight w:val="lightGray"/>
        </w:rPr>
        <w:t>[1 variantas juridinių asmenų atveju]</w:t>
      </w:r>
    </w:p>
    <w:p w14:paraId="11F056D1" w14:textId="45B7275C" w:rsidR="00DA410F" w:rsidRDefault="00DA410F" w:rsidP="7F6CA770">
      <w:pPr>
        <w:jc w:val="both"/>
        <w:rPr>
          <w:noProof/>
        </w:rPr>
      </w:pPr>
      <w:r>
        <w:t>Toliau pasirašęs asmuo [</w:t>
      </w:r>
      <w:r>
        <w:rPr>
          <w:i/>
          <w:highlight w:val="lightGray"/>
        </w:rPr>
        <w:t>įrašyti šią formą pasirašančio asmens vardą ir pavardę</w:t>
      </w:r>
      <w:r>
        <w:t>], atstovaujantis šiam juridiniam asmeniui:</w:t>
      </w:r>
    </w:p>
    <w:p w14:paraId="629278CB" w14:textId="77777777" w:rsidR="7F6CA770" w:rsidRDefault="7F6CA770"/>
    <w:p w14:paraId="556E93A3" w14:textId="7FA43BB3" w:rsidR="00D17C08" w:rsidRDefault="00D17C08" w:rsidP="7F6CA770">
      <w:pPr>
        <w:rPr>
          <w:b/>
          <w:bCs/>
        </w:rPr>
      </w:pPr>
      <w:r>
        <w:t>Visas oficialus pavadinimas:</w:t>
      </w:r>
    </w:p>
    <w:p w14:paraId="60A1F64A" w14:textId="32A8BCF0" w:rsidR="00D17C08" w:rsidRDefault="00D17C08">
      <w:r>
        <w:t>Oficiali teisinė forma:</w:t>
      </w:r>
    </w:p>
    <w:p w14:paraId="775FC49B" w14:textId="77777777" w:rsidR="00D17C08" w:rsidRDefault="00D17C08" w:rsidP="7F6CA770">
      <w:pPr>
        <w:rPr>
          <w:b/>
          <w:bCs/>
        </w:rPr>
      </w:pPr>
      <w:r>
        <w:t>Oficialus registracijos numeris:</w:t>
      </w:r>
      <w:r>
        <w:rPr>
          <w:b/>
        </w:rPr>
        <w:t xml:space="preserve"> </w:t>
      </w:r>
    </w:p>
    <w:p w14:paraId="3AE2909A" w14:textId="77777777" w:rsidR="00D17C08" w:rsidRDefault="00D17C08" w:rsidP="7F6CA770">
      <w:pPr>
        <w:rPr>
          <w:b/>
          <w:bCs/>
        </w:rPr>
      </w:pPr>
      <w:r>
        <w:t xml:space="preserve">Visas oficialus adresas: </w:t>
      </w:r>
    </w:p>
    <w:p w14:paraId="69884DE8" w14:textId="77777777" w:rsidR="00D17C08" w:rsidRDefault="00D17C08">
      <w:r>
        <w:t xml:space="preserve">PVM mokėtojo kodas: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toliau vadinamas </w:t>
      </w:r>
      <w:r>
        <w:rPr>
          <w:b/>
        </w:rPr>
        <w:t>asmeniu</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[2 variantas fizinių asmenų atveju]</w:t>
      </w:r>
    </w:p>
    <w:p w14:paraId="63C4093D" w14:textId="66FB4351" w:rsidR="00D17C08" w:rsidRDefault="00D17C08" w:rsidP="7F6CA770">
      <w:pPr>
        <w:jc w:val="both"/>
        <w:rPr>
          <w:noProof/>
        </w:rPr>
      </w:pPr>
      <w:r>
        <w:t>Toliau pasirašęs asmuo [</w:t>
      </w:r>
      <w:r>
        <w:rPr>
          <w:i/>
          <w:highlight w:val="lightGray"/>
        </w:rPr>
        <w:t>įrašyti šią formą pasirašančio asmens vardą ir pavardę</w:t>
      </w:r>
      <w:r>
        <w:t>], tapatybės dokumento arba paso numeris [</w:t>
      </w:r>
      <w:r>
        <w:rPr>
          <w:i/>
          <w:highlight w:val="lightGray"/>
        </w:rPr>
        <w:t>įrašyti numerį</w:t>
      </w:r>
      <w:r>
        <w:t>], atstovaujantis sau:</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toliau vadinamas </w:t>
      </w:r>
      <w:r>
        <w:rPr>
          <w:b/>
        </w:rPr>
        <w:t>asmeniu</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Priesaikos deklaracija dėl draudimo dalyvauti procedūroje kriterijų</w:t>
      </w:r>
    </w:p>
    <w:p w14:paraId="67F47E4E" w14:textId="637AF68D" w:rsidR="00B74CFF" w:rsidRDefault="007F3628" w:rsidP="00370A7F">
      <w:pPr>
        <w:spacing w:before="100" w:beforeAutospacing="1" w:after="100" w:afterAutospacing="1"/>
        <w:jc w:val="both"/>
      </w:pPr>
      <w:r>
        <w:t>Šios deklaracijos (Deklaracijos dėl draudimo dalyvauti procedūroje kriterijų) A dalies pildyti nereikalaujama, jeigu tokią deklaraciją asmuo jau pateikė per kitą tos pačios perkančiosios organizacijos</w:t>
      </w:r>
      <w:r>
        <w:rPr>
          <w:rStyle w:val="FootnoteReference"/>
        </w:rPr>
        <w:footnoteReference w:id="2"/>
      </w:r>
      <w:r>
        <w:t xml:space="preserve"> sutarties skyrimo procedūrą, su sąlyga, kad padėtis nepasikeitė, o nuo deklaracijos paskelbimo praėjo ne daugiau kaip vieni metai.</w:t>
      </w:r>
    </w:p>
    <w:p w14:paraId="64B20EEE" w14:textId="78AEE0D7" w:rsidR="00AE5C0E" w:rsidRDefault="00AE5C0E" w:rsidP="051D3D6B">
      <w:pPr>
        <w:spacing w:before="100" w:beforeAutospacing="1" w:after="100" w:afterAutospacing="1"/>
        <w:jc w:val="both"/>
      </w:pPr>
      <w:r>
        <w:t xml:space="preserve">Tokiu atveju pasirašantis asmuo pareiškia, kad asmuo jau pateikė tokią pat deklaraciją dėl draudimo dalyvauti procedūroje kriterijų per ankstesnę procedūrą, ir patvirtina, kad jo padėtis nepasikeitė: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Deklaracijos data</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Tiksli ankstesnės procedūros nuoroda</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Situacijos, dėl kurių asmeniui draudžiama dalyvauti procedūroje</w:t>
      </w:r>
    </w:p>
    <w:p w14:paraId="368816DB" w14:textId="1E6A9513" w:rsidR="00CD4DDC" w:rsidRPr="00897E28" w:rsidRDefault="00CD4A13" w:rsidP="7F6CA770">
      <w:pPr>
        <w:spacing w:before="120" w:after="120"/>
        <w:ind w:firstLine="1"/>
        <w:jc w:val="both"/>
        <w:rPr>
          <w:b/>
          <w:bCs/>
          <w:i/>
          <w:iCs/>
          <w:noProof/>
        </w:rPr>
      </w:pPr>
      <w:r>
        <w:rPr>
          <w:b/>
          <w:i/>
        </w:rPr>
        <w:lastRenderedPageBreak/>
        <w:t>(pildo visi susiję subjektai</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deklaruoja, kad asmuo yra patekęs į vieną iš šių situacijų:</w:t>
            </w:r>
          </w:p>
        </w:tc>
        <w:tc>
          <w:tcPr>
            <w:tcW w:w="930" w:type="dxa"/>
          </w:tcPr>
          <w:p w14:paraId="16F44831" w14:textId="77777777" w:rsidR="00F7691A" w:rsidRDefault="00F7691A" w:rsidP="006B0A89">
            <w:pPr>
              <w:spacing w:before="40" w:after="40"/>
              <w:ind w:left="142"/>
              <w:jc w:val="center"/>
              <w:rPr>
                <w:noProof/>
              </w:rPr>
            </w:pPr>
            <w:r>
              <w:t>TAIP</w:t>
            </w:r>
          </w:p>
        </w:tc>
        <w:tc>
          <w:tcPr>
            <w:tcW w:w="825" w:type="dxa"/>
          </w:tcPr>
          <w:p w14:paraId="16F44832" w14:textId="77777777" w:rsidR="00F7691A" w:rsidRDefault="00F7691A" w:rsidP="006B0A89">
            <w:pPr>
              <w:spacing w:before="40" w:after="40"/>
              <w:ind w:left="142"/>
              <w:jc w:val="center"/>
              <w:rPr>
                <w:noProof/>
              </w:rPr>
            </w:pPr>
            <w:r>
              <w:t>NE</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bankrutavo, jo atžvilgiu vykdomos nemokumo arba likvidavimo procedūros, jo turtą administruoja likvidatorius arba teismas, jis sudarė susitarimą su kreditoriais, sustabdė ekonominę veiklą arba pateko į analogišką situaciją dėl Sąjungos arba nacionaliniuose įstatymuose numatytos panašios procedūros;</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galutiniu teismo sprendimu ar galutiniu administraciniu sprendimu yra nustatyta, kad asmuo nevykdo pareigų, susijusių su mokesčių ar socialinio draudimo įmokų mokėjimu pagal taikytiną teisę;</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galutiniu teismo sprendimu arba galutiniu administraciniu sprendimu nustatyta, kad asmuo yra kaltas dėl sunkaus profesinio nusižengimo, padaryto pažeidžiant taikomus įstatymus ar kitus teisės aktus, arba profesijos, kurios atstovas yra asmuo, etikos standartus, arba padaryto bet kokiais kitais neteisėtais veiksmais, kurie daro poveikį jo profesiniam patikimumui, kai šie veiksmai reiškia blogus ketinimus ar didelį aplaidumą, įskaitant, visų pirma, bet kurį iš šių veiksmų:</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sukčiavimą arba aplaidumą pateikiant klaidingą informaciją, kurios reikalaujama siekiant patikrinti, ar yra priežasčių uždrausti dalyvauti procedūroje, arba ar laikomasi tinkamumo ar atrankos kriterijų, arba kai jos reikalaujama vykdant teisinį įsipareigojimą;</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susitarimo su kitais asmenimis arba subjektais sudarymą siekiant iškraipyti konkurenciją;</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intelektinės nuosavybės teisių pažeidimą;</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nederamą įtaką arba bandymą daryti nederamą įtaką sprendimų priėmimo procesui, kai pateikiant klaidingus faktus apie interesų konfliktą, susijusį su Finansinio reglamento 61 straipsnio 1 dalyje nurodytais finansų pareigūnais arba kitais asmenimis, siekiama gauti Sąjungos lėšų;</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t>v) bandymą gauti konfidencialios informacijos, dėl kurios vykdant sutarties skyrimo procedūrą jis įgytų nepagrįstą pranašumą</w:t>
            </w:r>
            <w:bookmarkEnd w:id="5"/>
            <w:r>
              <w:t>;</w:t>
            </w:r>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diskriminacijos, neapykantos ar smurto prieš asmenų grupę ar grupės narį kurstymą ar panašią veiklą, kuri prieštarauja ES sutarties 2 straipsnyje įtvirtintoms vertybėms, kuriomis grindžiama Sąjunga, kai toks nusižengimas daro poveikį asmens o neliečiamumui, o tai daro neigiamą poveikį arba kelia konkrečią riziką, kad toks poveikis bus daromas sutarties arba susitarimo vykdymui;</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galutiniu teismo sprendimu yra nustatyta, kad asmuo yra kaltas dėl kurios nors iš šių veikų:</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lastRenderedPageBreak/>
              <w:t>i) sukčiavimo, apibrėžto Direktyvos (ES) 2017/1371 3 straipsnyje ir 1995 m. liepos 26 d. Tarybos aktu priimtos Konvencijos dėl Europos Bendrijų finansinių interesų apsaugos 1 straipsnyje;</w:t>
            </w:r>
            <w:bookmarkStart w:id="6" w:name="_DV_C378"/>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Pr>
                <w:color w:val="000000"/>
              </w:rPr>
              <w:t>ii) korupcijos, apibrėžtos Direktyvos (ES) 2017/1371 4 straipsnio 2 dalyje ar aktyvios korupcijos 1997 m. gegužės 26 d. Tarybos aktu priimtos Konvencijos dėl kovos su korupcija, susijusia su Europos Bendrijų pareigūnais ar Europos Sąjungos valstybių narių pareigūnais 3 straipsnio prasme, arba veiklos, nurodytos Tarybos pamatinio sprendimo 2003/568/TVR 2 straipsnio 1 dalyje, ar korupcijos, apibrėžtos kituose taikytinuose teisės aktuose;</w:t>
            </w:r>
            <w:bookmarkStart w:id="8" w:name="_DV_C383"/>
            <w:bookmarkEnd w:id="8"/>
            <w:bookmarkEnd w:id="7"/>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9" w:name="_DV_C384"/>
            <w:r>
              <w:t>iii) dalyvavimo nusikalstamos organizacijos veikloje, nurodyto Tarybos pamatinio sprendimo 2008/841/TVR 2 straipsnyje</w:t>
            </w:r>
            <w:r>
              <w:rPr>
                <w:color w:val="000000"/>
              </w:rPr>
              <w:t>;</w:t>
            </w:r>
            <w:bookmarkStart w:id="10" w:name="_DV_C385"/>
            <w:bookmarkStart w:id="11" w:name="_DV_C387"/>
            <w:bookmarkEnd w:id="9"/>
            <w:bookmarkEnd w:id="10"/>
            <w:bookmarkEnd w:id="11"/>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rPr>
                <w:color w:val="000000"/>
              </w:rPr>
              <w:t>iv)</w:t>
            </w:r>
            <w:bookmarkStart w:id="12" w:name="_DV_M251"/>
            <w:bookmarkEnd w:id="12"/>
            <w:r>
              <w:t xml:space="preserve"> pinigų plovimo </w:t>
            </w:r>
            <w:bookmarkStart w:id="13" w:name="_DV_C391"/>
            <w:r>
              <w:rPr>
                <w:color w:val="000000"/>
              </w:rPr>
              <w:t>arba</w:t>
            </w:r>
            <w:bookmarkStart w:id="14" w:name="_DV_M252"/>
            <w:bookmarkEnd w:id="13"/>
            <w:bookmarkEnd w:id="14"/>
            <w:r>
              <w:t xml:space="preserve"> </w:t>
            </w:r>
            <w:bookmarkStart w:id="15" w:name="_DV_C392"/>
            <w:r>
              <w:rPr>
                <w:color w:val="000000"/>
              </w:rPr>
              <w:t>teroristų finansavimo, nurodyto Europos Parlamento ir Tarybos direktyvos (ES) 2015/849 1 straipsnio 3, 4 ir 5 punktuose</w:t>
            </w:r>
            <w:bookmarkStart w:id="16" w:name="_DV_C394"/>
            <w:bookmarkEnd w:id="15"/>
            <w:r>
              <w:rPr>
                <w:color w:val="000000"/>
              </w:rPr>
              <w:t>;</w:t>
            </w:r>
            <w:bookmarkEnd w:id="16"/>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7" w:name="_DV_C395"/>
            <w:r>
              <w:rPr>
                <w:color w:val="000000" w:themeColor="text1"/>
              </w:rPr>
              <w:t>v)</w:t>
            </w:r>
            <w:bookmarkStart w:id="18" w:name="_DV_M253"/>
            <w:bookmarkEnd w:id="17"/>
            <w:r>
              <w:t xml:space="preserve"> </w:t>
            </w:r>
            <w:bookmarkEnd w:id="18"/>
            <w:r>
              <w:t>teroristinių nusikaltimų arba su teroristine veikla</w:t>
            </w:r>
            <w:bookmarkStart w:id="19" w:name="_DV_C397"/>
            <w:bookmarkEnd w:id="19"/>
            <w:r>
              <w:t xml:space="preserve"> susijusių nusikalstamų veikų, kaip apibrėžta Europos Parlamento ir Tarybos direktyvos (ES) 2017/541 3–12 straipsniuose</w:t>
            </w:r>
            <w:bookmarkStart w:id="20" w:name="_DV_C399"/>
            <w:r>
              <w:t>,</w:t>
            </w:r>
            <w:r>
              <w:rPr>
                <w:color w:val="000000" w:themeColor="text1"/>
              </w:rPr>
              <w:t xml:space="preserve"> arba dėl nusikalstamos veikos kurstymo, pagalbos tokiai veikai, bendrininkavimo ją vykdant arba kėsinimosi ją įvykdyti, kaip nurodyta tos direktyvos 14 straipsnyje;</w:t>
            </w:r>
            <w:bookmarkEnd w:id="20"/>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1" w:name="_DV_C400"/>
            <w:r>
              <w:rPr>
                <w:color w:val="000000"/>
              </w:rPr>
              <w:t>vi)</w:t>
            </w:r>
            <w:bookmarkStart w:id="22" w:name="_DV_M254"/>
            <w:bookmarkEnd w:id="21"/>
            <w:bookmarkEnd w:id="22"/>
            <w:r>
              <w:t xml:space="preserve"> </w:t>
            </w:r>
            <w:bookmarkStart w:id="23" w:name="_DV_C402"/>
            <w:r>
              <w:rPr>
                <w:color w:val="000000"/>
              </w:rPr>
              <w:t>vaikų darbo ar kitų su prekyba žmonėmis susijusių nusikalstamų veikų, nurodytų Europos Parlamento ir Tarybos direktyvos 2011/36/ES 2 straipsnyje</w:t>
            </w:r>
            <w:bookmarkStart w:id="24" w:name="_DV_C404"/>
            <w:bookmarkEnd w:id="23"/>
            <w:r>
              <w:rPr>
                <w:color w:val="000000"/>
              </w:rPr>
              <w:t>;</w:t>
            </w:r>
            <w:bookmarkEnd w:id="24"/>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vykdydamas iš biudžeto finansuojamą teisinį įsipareigojimą, asmuo savo pagrindines pareigas atliko su reikšmingais trūkumais, dėl kurių jis buvo nutrauktas pirma laiko arba buvo pareikalauta atlyginti nuostolius, arba buvo pritaikytos kitos sutartyje numatytos sankcijos, arba šie trūkumai buvo atskleisti per leidimus suteikiančio pareigūno, </w:t>
            </w:r>
            <w:r>
              <w:rPr>
                <w:color w:val="000000"/>
              </w:rPr>
              <w:t>Europos kovos su sukčiavimu tarnybos (OLAF)</w:t>
            </w:r>
            <w:r>
              <w:t xml:space="preserve">, Audito Rūmų arba Europos prokuratūros atliekamus patikrinimus, auditus ar tyrimus;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5" w:name="_DV_C410"/>
            <w:r>
              <w:rPr>
                <w:color w:val="000000" w:themeColor="text1"/>
              </w:rPr>
              <w:t>galutiniu teismo sprendimu ar galutiniu administraciniu sprendimu nustatyta, kad asmuo padarė Tarybos reglamento (EB, Euratomas) Nr. 2988/95 1 straipsnio 2 dalyje apibrėžtą pažeidimą</w:t>
            </w:r>
            <w:bookmarkEnd w:id="25"/>
            <w:r>
              <w:rPr>
                <w:color w:val="000000" w:themeColor="text1"/>
              </w:rP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galutiniu teismo sprendimu arba galutiniu administraciniu sprendimu yra nustatyta, kad asmuo įsteigė kitai jurisdikcijai priklausantį subjektą, ketindamas išvengti mokestinių, socialinių arba bet kokių kitų teisinių pareigų, įskaitant pareigas, susijusias su darbo teisėmis, įsidarbinimu ir darbo sąlygomis, pagal jo registruotos buveinės, centrinės administracijos ar pagrindinės verslo vietos jurisdikciją;</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tik juridiniams asmenims</w:t>
            </w:r>
            <w:r>
              <w:t xml:space="preserve">) </w:t>
            </w:r>
            <w:r>
              <w:rPr>
                <w:color w:val="000000" w:themeColor="text1"/>
              </w:rPr>
              <w:t>galutiniu teismo sprendimu arba galutiniu administraciniu sprendimu nustatyta, kad asmuo įsteigtas g punkte nurodytais ketinimais;</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jis tyčia ir be tinkamo pagrindimo pasipriešino perkančiosios organizacijos, jos atstovo arba auditoriaus, OLAF, Europos prokuratūros arba Audito Rūmų atliekamam tyrimui, patikrinimui ar auditui. Laikoma, kad asmuo priešinasi tyrimui, patikrinimui ar auditui, kai jis atlieka veiksmus, kuriais siekiama užkirsti kelią, trukdyti ar vilkinti bet kokius veiksmus, reikalingus tyrimui, patikrinimui ar auditui atlikti. Tokie veiksmai visų pirma apima atsisakymą leisti patekti į savo patalpas ar kitas verslo tikslais naudojamas zonas, informacijos slėpimą ar atsisakymą ją atskleisti arba melagingos informacijos pateikimą.</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62074E4A" w:rsidR="002254B5" w:rsidRPr="0024350A" w:rsidRDefault="002254B5" w:rsidP="002254B5">
            <w:pPr>
              <w:numPr>
                <w:ilvl w:val="0"/>
                <w:numId w:val="17"/>
              </w:numPr>
              <w:spacing w:before="40" w:after="40"/>
              <w:jc w:val="both"/>
              <w:rPr>
                <w:noProof/>
              </w:rPr>
            </w:pPr>
            <w:r>
              <w:lastRenderedPageBreak/>
              <w:t>deklaruoja, kad, jei dėl 1 dalies c–i punktuose nurodytų situacijų galutinis teismo sprendimas arba galutinis administracinis sprendimas nepriimtas, asmeniui galioja Finansinio reglamento 138 straipsnio 3 dalyje nurodyti nustatyti faktai ir kitos išvados, visų pirma:</w:t>
            </w:r>
          </w:p>
        </w:tc>
        <w:tc>
          <w:tcPr>
            <w:tcW w:w="930" w:type="dxa"/>
          </w:tcPr>
          <w:p w14:paraId="68C9A1B2" w14:textId="05B15687" w:rsidR="002254B5" w:rsidRDefault="002254B5" w:rsidP="002254B5">
            <w:pPr>
              <w:spacing w:before="240" w:after="120"/>
              <w:jc w:val="center"/>
              <w:rPr>
                <w:noProof/>
              </w:rPr>
            </w:pPr>
            <w:r>
              <w:t>TAIP</w:t>
            </w:r>
            <w:r>
              <w:rPr>
                <w:rStyle w:val="FootnoteReference"/>
                <w:noProof/>
              </w:rPr>
              <w:footnoteReference w:id="4"/>
            </w:r>
          </w:p>
        </w:tc>
        <w:tc>
          <w:tcPr>
            <w:tcW w:w="825" w:type="dxa"/>
          </w:tcPr>
          <w:p w14:paraId="1A4D1557" w14:textId="4113B6AB" w:rsidR="002254B5" w:rsidRDefault="002254B5" w:rsidP="002254B5">
            <w:pPr>
              <w:spacing w:before="240" w:after="120"/>
              <w:jc w:val="center"/>
              <w:rPr>
                <w:noProof/>
              </w:rPr>
            </w:pPr>
            <w:r>
              <w:t>NE</w:t>
            </w:r>
          </w:p>
        </w:tc>
      </w:tr>
      <w:tr w:rsidR="002254B5" w14:paraId="16F4487E" w14:textId="77777777" w:rsidTr="6BD695A2">
        <w:trPr>
          <w:trHeight w:val="1579"/>
        </w:trPr>
        <w:tc>
          <w:tcPr>
            <w:tcW w:w="8238"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t xml:space="preserve"> faktai, nustatyti Europos prokuratūros, tų valstybių narių, kurios pagal Reglamentą (ES) 2017/1939 dalyvauja tvirtesniame bendradarbiavime, atžvilgiu, Audito Rūmų ir OLAF atliktų auditų ar tyrimų arba vidaus audito metu, arba ES institucijos, Europos tarnybos ar ES agentūros arba įstaigos leidimus suteikiančio pareigūno atsakomybe atlikto bet kurio kito patikrinimo, audito ar kontrolės metu;</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negalutiniai teismo sprendimai arba negalutiniai administraciniai sprendimai, be kita ko, dėl drausminių priemonių, kurių ėmėsi kompetentinga priežiūros įstaiga, atsakinga už profesinės etikos standartų taikymo tikrinimą;</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3EA33A57" w:rsidR="002254B5" w:rsidDel="00977B4E" w:rsidRDefault="002254B5" w:rsidP="002254B5">
            <w:pPr>
              <w:pStyle w:val="Text1"/>
              <w:numPr>
                <w:ilvl w:val="0"/>
                <w:numId w:val="25"/>
              </w:numPr>
              <w:spacing w:before="40" w:after="40"/>
              <w:ind w:left="709" w:firstLine="0"/>
              <w:rPr>
                <w:color w:val="000000"/>
              </w:rPr>
            </w:pPr>
            <w:r>
              <w:rPr>
                <w:color w:val="000000"/>
              </w:rPr>
              <w:t>subjektų arba asmenų, kuriems pavestos ES biudžeto įgyvendinimo užduotys, sprendimuose nurodyti faktai;</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701E56A"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w:t>
            </w:r>
            <w:r>
              <w:t>Sąjungos lėšas įgyvendinančių valstybių narių perduota informacija, visų pirma faktai ir išvados, nustatyti nacionaliniu lygmeniu priėmus galutinį teismo sprendimą arba galutinį administracinį sprendimą dėl c punkto iv papunktyje arba d punkte nurodytų situacijų, dėl kurių draudžiama dalyvauti procedūroje, buvimo;</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3ECAC3C3"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Komisijos sprendimai, susiję su Sąjungos konkurencijos teisės pažeidimu, arba nacionalinės kompetentingos institucijos sprendimai, susiję su Sąjungos ar nacionalinės konkurencijos teisės pažeidimu;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6" w:name="_Hlk208482090"/>
            <w:r>
              <w:rPr>
                <w:color w:val="000000" w:themeColor="text1"/>
              </w:rPr>
              <w:t xml:space="preserve"> asmuo kokiomis nors priemonėmis buvo informuotas, kad Europos kovos sukčiavimu tarnyba (OLAF) jo atžvilgiu vykdo tyrimą: dėl to, kad OLAF jam suteikė galimybę pateikti pastabas dėl su juo susijusių aplinkybių, arba dėl to, kad tyrimo metu OLAF jo atžvilgiu atliko patikras vietoje, arba dėl to, kad jam buvo pranešta apie OLAF jo atžvilgiu vykdomo tyrimo pradžią, pabaigą ar kitas su tuo tyrimu susijusias aplinkybes.</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E044C"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7" w:name="_DV_C376"/>
            <w:bookmarkEnd w:id="26"/>
            <w:r>
              <w:rPr>
                <w:color w:val="000000" w:themeColor="text1"/>
              </w:rPr>
              <w:t xml:space="preserve"> kitos panašios situacijos.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r>
        <w:t>II. Situacijos, dėl kurių fiziniams arba juridiniams asmenims, turintiems įgaliojimą atstovauti juridiniam asmeniui ir tikriesiems savininkams, priimti jų vardu sprendimus arba juos kontroliuoti, draudžiama dalyvauti procedūroje</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Netaikoma, kai asmuo yra fizinis asmuo, valstybė narė arba vietos valdžios institucija (visais kitais atvejais pildo visi susiję subjektai)</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848"/>
        <w:gridCol w:w="914"/>
        <w:gridCol w:w="1269"/>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deklaruoja, kad fizinis arba juridinis asmuo, kuris yra asmens administracinės, valdymo arba priežiūros įstaigos narys arba kuris turi įgaliojimus atstovauti asmeniui, priimti jo vardu sprendimus arba jį kontroliuoti (tai, pavyzdžiui, apima bendrovių direktorius, vadovybės arba priežiūros įstaigų narius ir atvejus, kai vienas fizinis ar </w:t>
            </w:r>
            <w:r>
              <w:lastRenderedPageBreak/>
              <w:t xml:space="preserve">juridinis asmuo turi akcijų daugumą), arba tikrasis asmens savininkas (apibrėžtas Direktyvos (ES) 2015/849 3 straipsnio 6 punkte) yra atsidūręs vienoje iš toliau nurodytų situacijų: </w:t>
            </w:r>
          </w:p>
        </w:tc>
        <w:tc>
          <w:tcPr>
            <w:tcW w:w="858" w:type="dxa"/>
          </w:tcPr>
          <w:p w14:paraId="16F44882" w14:textId="77777777" w:rsidR="001F135A" w:rsidRDefault="001F135A" w:rsidP="00C37A34">
            <w:pPr>
              <w:spacing w:before="240" w:after="120"/>
              <w:jc w:val="center"/>
              <w:rPr>
                <w:noProof/>
              </w:rPr>
            </w:pPr>
            <w:r>
              <w:lastRenderedPageBreak/>
              <w:t>TAIP</w:t>
            </w:r>
          </w:p>
        </w:tc>
        <w:tc>
          <w:tcPr>
            <w:tcW w:w="952" w:type="dxa"/>
          </w:tcPr>
          <w:p w14:paraId="16F44883" w14:textId="77777777" w:rsidR="001F135A" w:rsidRDefault="001F135A" w:rsidP="00C37A34">
            <w:pPr>
              <w:spacing w:before="240" w:after="120"/>
              <w:jc w:val="center"/>
              <w:rPr>
                <w:noProof/>
              </w:rPr>
            </w:pPr>
            <w:r>
              <w:t>NE</w:t>
            </w:r>
          </w:p>
        </w:tc>
        <w:tc>
          <w:tcPr>
            <w:tcW w:w="813" w:type="dxa"/>
          </w:tcPr>
          <w:p w14:paraId="16F44884" w14:textId="77777777" w:rsidR="001F135A" w:rsidRDefault="001F135A" w:rsidP="00C37A34">
            <w:pPr>
              <w:spacing w:before="240" w:after="120"/>
              <w:jc w:val="center"/>
              <w:rPr>
                <w:noProof/>
              </w:rPr>
            </w:pPr>
            <w:r>
              <w:t>Netaikoma</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1 dalies c punkte nurodytoje situacijoje (sunkus profesinis nusižengimas)</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1 dalies d punkte nurodytoje situacijoje (sukčiavimas, korupcija arba kita nusikalstama veika)</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1 dalies e punkte nurodytoje situacijoje (dideli sutarties įgyvendinimo trūkumai)</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1 dalies f punkte nurodytoje situacijoje (pažeidimas)</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1 dalies g punkte nurodytoje situacijoje (subjekto įsteigimas ketinant išvengti teisinių pareigų)</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1 dalies h punkte nurodytoje situacijoje (asmuo įsteigtas ketinant išvengti teisinių pareigų)</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1 punkto i papunktyje nurodytoje situacijoje (tyčia ir be tinkamo pagrindimo pasipriešino tyrimui, patikrai ar auditui)</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Situacijos, dėl kurių fiziniams arba juridiniams asmenims, prisiimantiems neribotą atsakomybę už juridinio asmens skolas, draudžiama dalyvauti procedūroje</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Netaikoma, kai asmuo yra fizinis asmuo, valstybė narė, vietos valdžios institucija ar ribotos atsakomybės juridinis asmuo (visais kitais atvejais pildo visi susiję subjektai)</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750"/>
        <w:gridCol w:w="604"/>
        <w:gridCol w:w="1269"/>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deklaruoja, kad fizinis arba juridinis asmuo, kuris prisiima neribotą atsakomybę už asmens skolas, nėra patekęs į vieną iš šių situacijų: </w:t>
            </w:r>
          </w:p>
        </w:tc>
        <w:tc>
          <w:tcPr>
            <w:tcW w:w="670" w:type="dxa"/>
          </w:tcPr>
          <w:p w14:paraId="16F4489C" w14:textId="77777777" w:rsidR="003E5E5C" w:rsidRDefault="003E5E5C" w:rsidP="00C37A34">
            <w:pPr>
              <w:spacing w:before="240" w:after="120"/>
              <w:jc w:val="center"/>
              <w:rPr>
                <w:noProof/>
              </w:rPr>
            </w:pPr>
            <w:r>
              <w:t>TAIP</w:t>
            </w:r>
          </w:p>
        </w:tc>
        <w:tc>
          <w:tcPr>
            <w:tcW w:w="614" w:type="dxa"/>
          </w:tcPr>
          <w:p w14:paraId="16F4489D" w14:textId="77777777" w:rsidR="003E5E5C" w:rsidRDefault="003E5E5C" w:rsidP="00C37A34">
            <w:pPr>
              <w:spacing w:before="240" w:after="120"/>
              <w:jc w:val="center"/>
              <w:rPr>
                <w:noProof/>
              </w:rPr>
            </w:pPr>
            <w:r>
              <w:t>NE</w:t>
            </w:r>
          </w:p>
        </w:tc>
        <w:tc>
          <w:tcPr>
            <w:tcW w:w="630" w:type="dxa"/>
          </w:tcPr>
          <w:p w14:paraId="16F4489E" w14:textId="77777777" w:rsidR="003E5E5C" w:rsidRDefault="003E5E5C" w:rsidP="00C37A34">
            <w:pPr>
              <w:spacing w:before="240" w:after="120"/>
              <w:jc w:val="center"/>
              <w:rPr>
                <w:noProof/>
              </w:rPr>
            </w:pPr>
            <w:r>
              <w:t>Netaikoma</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a punkte nurodytą situaciją (bankrotas)</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b punkte nurodytą situaciją (įsipareigojimų, susijusių su mokesčių arba socialinio draudimo įmokų mokėjimu, pažeidimas)</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Kitos pašalinimo iš šios procedūros priežastys</w:t>
      </w:r>
    </w:p>
    <w:p w14:paraId="49EFC66C" w14:textId="603EB082" w:rsidR="00B05C76" w:rsidRPr="00897E28" w:rsidRDefault="00B05C76" w:rsidP="00B05C76">
      <w:pPr>
        <w:spacing w:before="120" w:after="120"/>
        <w:ind w:firstLine="1"/>
        <w:jc w:val="both"/>
        <w:rPr>
          <w:b/>
          <w:bCs/>
          <w:i/>
          <w:iCs/>
          <w:noProof/>
        </w:rPr>
      </w:pPr>
      <w:r>
        <w:rPr>
          <w:b/>
          <w:i/>
        </w:rPr>
        <w:t>(individualiai pildo atskiras kandidatas / konkurso dalyvis arba visi nariai, jei teikiamas bendras dalyvavimo prašymas / pasiūlymas)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gridCol w:w="750"/>
        <w:gridCol w:w="756"/>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deklaruoja, kad asmuo:</w:t>
            </w:r>
          </w:p>
        </w:tc>
        <w:tc>
          <w:tcPr>
            <w:tcW w:w="670" w:type="dxa"/>
          </w:tcPr>
          <w:p w14:paraId="1361E30C" w14:textId="77777777" w:rsidR="00B05C76" w:rsidRDefault="00B05C76" w:rsidP="00D6012C">
            <w:pPr>
              <w:spacing w:before="240" w:after="120"/>
              <w:jc w:val="center"/>
              <w:rPr>
                <w:noProof/>
              </w:rPr>
            </w:pPr>
            <w:r>
              <w:t>TAIP</w:t>
            </w:r>
          </w:p>
        </w:tc>
        <w:tc>
          <w:tcPr>
            <w:tcW w:w="759" w:type="dxa"/>
          </w:tcPr>
          <w:p w14:paraId="2D50029A" w14:textId="77777777" w:rsidR="00B05C76" w:rsidRDefault="00B05C76" w:rsidP="00D6012C">
            <w:pPr>
              <w:spacing w:before="240" w:after="120"/>
              <w:jc w:val="center"/>
              <w:rPr>
                <w:noProof/>
              </w:rPr>
            </w:pPr>
            <w:r>
              <w:t>NE</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yra anksčiau dalyvavęs rengiant viešojo pirkimo dokumentus, naudojamus vykdant šią sutarties skyrimo procedūrą, kai buvo pažeistas vienodo požiūrio taikymo principas, įskaitant konkurencijos iškraipymą, kurio neįmanoma ištaisyti kitomis priemonėmis.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7"/>
      <w:r>
        <w:rPr>
          <w:rFonts w:ascii="Times New Roman Bold" w:hAnsi="Times New Roman Bold"/>
          <w:b/>
          <w:smallCaps/>
        </w:rPr>
        <w:t>V. Taisomosios priemonės</w:t>
      </w:r>
    </w:p>
    <w:p w14:paraId="16F448B4" w14:textId="0E80E9C8" w:rsidR="005C6293" w:rsidRDefault="005C6293" w:rsidP="051D3D6B">
      <w:pPr>
        <w:spacing w:before="120" w:after="120"/>
        <w:jc w:val="both"/>
        <w:rPr>
          <w:color w:val="000000"/>
        </w:rPr>
      </w:pPr>
      <w:r>
        <w:t>Jeigu asmuo deklaruoja, kad yra patekęs į kurią nors iš pirmiau išvardytų situacijų, dėl kurios jam draudžiama dalyvauti procedūroje, jis gali nurodyti, kokių taisomųjų priemonių ėmėsi tai situacijai ištaisyti, kad leidimus suteikiantis pareigūnas turėtų galimybę nustatyti, ar tokių priemonių pakanka to asmens patikimumui įrodyti.</w:t>
      </w:r>
      <w:r>
        <w:rPr>
          <w:color w:val="000000" w:themeColor="text1"/>
        </w:rPr>
        <w:t xml:space="preserve"> Tokios priemonės galėtų apimti, pvz., technines, organizacines arba darbuotojams taikomas priemones, kad ateityje pavyktų išvengti tokių atvejų, žalos kompensavimo ar baudų arba mokesčių ar socialinio draudimo įmokų mokėjimo. </w:t>
      </w:r>
    </w:p>
    <w:p w14:paraId="773D5FBD" w14:textId="6FDC2569" w:rsidR="0020320A" w:rsidRDefault="0020320A" w:rsidP="051D3D6B">
      <w:pPr>
        <w:spacing w:before="120" w:after="120"/>
        <w:jc w:val="both"/>
        <w:rPr>
          <w:color w:val="000000"/>
        </w:rPr>
      </w:pPr>
      <w:r>
        <w:rPr>
          <w:color w:val="000000" w:themeColor="text1"/>
        </w:rPr>
        <w:t>Nedarant poveikio atsakingo leidimus suteikiančio pareigūno vertinimui, asmuo arba subjektas pateikia taisomąsias priemones, kurias įvertino nepriklausomas išorės auditorius arba kurios nacionalinės arba Sąjungos institucijos sprendimu laikomos pakankamomis. Prie šios deklaracijos reikia pridėti susijusius patvirtinamuosius dokumentus, kuriuose būtų apibūdintos ir įvertintos taisomosios priemonės, kurių buvo imtasi. Taisomosios priemonės netaikomos šios deklaracijos I skirsnio 1 dalies d punkte nurodytoms situacijoms.</w:t>
      </w:r>
    </w:p>
    <w:p w14:paraId="16F448B5" w14:textId="3FE5177B" w:rsidR="00F96EAB" w:rsidRPr="007D7A5F" w:rsidRDefault="00B05C76" w:rsidP="0024225B">
      <w:pPr>
        <w:pStyle w:val="Title"/>
        <w:rPr>
          <w:noProof/>
        </w:rPr>
      </w:pPr>
      <w:r>
        <w:t>VI. Įrodymai, susiję su draudimo dalyvauti procedūroje kriterijais</w:t>
      </w:r>
    </w:p>
    <w:p w14:paraId="477A6316" w14:textId="3261E630" w:rsidR="00695D93" w:rsidRDefault="0092592E" w:rsidP="7F6CA770">
      <w:pPr>
        <w:spacing w:before="120" w:after="120"/>
        <w:ind w:firstLine="11"/>
        <w:jc w:val="both"/>
        <w:rPr>
          <w:noProof/>
        </w:rPr>
      </w:pPr>
      <w:r>
        <w:t>Pirkimo specifikacijose išsamiai nurodyta, kurie susiję subjektai turi pateikti tinkamų įrodymų, kad jie nėra patekę į kurią nors iš 1 dalyje nurodytų situacijų, dėl kurių draudžiama dalyvauti procedūroje, ir kada tuos įrodymus reikia pateikti.</w:t>
      </w:r>
    </w:p>
    <w:p w14:paraId="3EE64640" w14:textId="03697B6E" w:rsidR="00835E88" w:rsidRPr="00F76ABA" w:rsidRDefault="00CA3ADD" w:rsidP="00835E88">
      <w:pPr>
        <w:spacing w:before="120" w:after="120"/>
        <w:jc w:val="both"/>
        <w:rPr>
          <w:noProof/>
        </w:rPr>
      </w:pPr>
      <w:r>
        <w:t>Įrodymais galėtų būti laikomi toliau išvardyti įrodymai.</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Dėl 1 dalies a, c, d, f, g ir h punktuose nurodytų situacijų: reikalaujama pateikti naujausią teismo bylų registro išrašą arba, jeigu jo nėra, lygiavertį dokumentą, neseniai išduotą valstybės, kurioje asmuo įsisteigęs, teismo ar administracinės institucijos, kuriuo patvirtinama, kad šie reikalavimai įvykdyti.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Dėl 1 dalies a arba b punkte nurodytos situacijos: reikalaujama pateikti įsisteigimo valstybės kompetentingų institucijų išduotas naujausias pažymas. Šiuose dokumentuose turi būti pateikti įrodymai, kad asmuo sumokėjo visus mokesčius ir socialinio draudimo įmokas, kuriuos jis privalo sumokėti, įskaitant, pavyzdžiui, PVM, pajamų mokestį (tik fiziniams asmenims), pelno mokestį (tik juridiniams asmenims) ir socialinio draudimo įmokas. Jei pirmiau apibūdintas dokumentas įsisteigimo valstybėje nėra išduodamas, jį gali pakeisti teismo institucijos arba notaro patvirtinta priesaikos deklaracija arba, jei tai neįmanoma, įsisteigimo valstybės administracinės institucijos arba kompetentingos profesinės organizacijos patvirtintas oficialus pareiškimas.</w:t>
      </w:r>
    </w:p>
    <w:p w14:paraId="16F448B9" w14:textId="6993ED04" w:rsidR="008C4A00" w:rsidRDefault="00C55150" w:rsidP="051D3D6B">
      <w:pPr>
        <w:spacing w:before="100" w:beforeAutospacing="1" w:after="100" w:afterAutospacing="1"/>
        <w:jc w:val="both"/>
      </w:pPr>
      <w:r>
        <w:t>Asmeniui nebūtina pateikti įrodymo, jei jis jau buvo pateiktas per kitą tos pačios perkančiosios organizacijos</w:t>
      </w:r>
      <w:r>
        <w:rPr>
          <w:rStyle w:val="FootnoteReference"/>
        </w:rPr>
        <w:footnoteReference w:id="5"/>
      </w:r>
      <w:r>
        <w:t xml:space="preserve"> sutarties skyrimo procedūrą. Dokumentai turi būti išduoti ne anksčiau negu vieni metai prieš perkančiajai organizacijai pateikiant prašymą ir turi vis dar galioti tą dieną. </w:t>
      </w:r>
    </w:p>
    <w:p w14:paraId="16F448BA" w14:textId="1463A7B7" w:rsidR="008C4A00" w:rsidRDefault="00A40405" w:rsidP="051D3D6B">
      <w:pPr>
        <w:spacing w:before="100" w:beforeAutospacing="1" w:after="100" w:afterAutospacing="1"/>
        <w:jc w:val="both"/>
      </w:pPr>
      <w:r>
        <w:t xml:space="preserve">Pasirašantis asmuo deklaruoja, kad asmuo jau pateikė patvirtinamuosius dokumentus per ankstesnę procedūrą, ir patvirtina, kad jo padėtis nepasikeitė: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Dokumentas</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Tiksli ankstesnės procedūros nuoroda</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Įterpti reikiamą eilučių skaičių.</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lastRenderedPageBreak/>
        <w:t xml:space="preserve">Asmeniui nebūtina pateikti įrodymo, jei su juo galima nemokamai susipažinti nacionalinėje duomenų bazėje. </w:t>
      </w:r>
    </w:p>
    <w:p w14:paraId="0F58ED09" w14:textId="2FB86EF0" w:rsidR="00CF0C80" w:rsidRDefault="00602579" w:rsidP="051D3D6B">
      <w:pPr>
        <w:spacing w:before="100" w:beforeAutospacing="1" w:after="100" w:afterAutospacing="1"/>
        <w:jc w:val="both"/>
      </w:pPr>
      <w:r>
        <w:t>Pasirašantis asmuo deklaruoja, kad su reikalaujamu įrodymu galima susipažinti toliau nurodytu duomenų bazės interneto adresu / naudojantis toliau nurodytais identifikavimo duomenimis.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Duomenų bazės interneto adresas</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Dokumento identifikavimo duomenys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Įterpti reikiamą eilučių skaičių.</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Priesaikos deklaracija dėl atrankos kriterijų </w:t>
      </w:r>
    </w:p>
    <w:p w14:paraId="2D59BB2A" w14:textId="01DD445D" w:rsidR="743C92D7" w:rsidRDefault="743C92D7" w:rsidP="051D3D6B">
      <w:pPr>
        <w:spacing w:beforeAutospacing="1" w:afterAutospacing="1"/>
        <w:jc w:val="both"/>
      </w:pPr>
      <w:r>
        <w:t>Jeigu pirkimas, dėl kurio organizuojama procedūra, suskirstytas į dalis, šios B dalies pareiškimai teikiami dėl tos (-ų) dalies (-ių), dėl kurios (-ių) teikiamas dalyvavimo prašymas / pasiūlymas.</w:t>
      </w:r>
    </w:p>
    <w:p w14:paraId="7232500E" w14:textId="59A72938" w:rsidR="00E25A58" w:rsidRDefault="00E25A58" w:rsidP="00E25A58">
      <w:pPr>
        <w:pStyle w:val="Title"/>
        <w:rPr>
          <w:noProof/>
        </w:rPr>
      </w:pPr>
      <w:r>
        <w:t>I. Atrankos kriterijai</w:t>
      </w:r>
    </w:p>
    <w:p w14:paraId="7CE533D0" w14:textId="16A9A02E" w:rsidR="00B74E92" w:rsidRPr="00897E28" w:rsidRDefault="00CA2C74" w:rsidP="051D3D6B">
      <w:pPr>
        <w:jc w:val="both"/>
        <w:rPr>
          <w:b/>
          <w:bCs/>
          <w:u w:val="single"/>
        </w:rPr>
      </w:pPr>
      <w:r>
        <w:rPr>
          <w:b/>
          <w:u w:val="single"/>
        </w:rPr>
        <w:t xml:space="preserve">Kandidatui / konkurso dalyviui kaip nedalomam vienetui taikomi atrankos kriterijai. Konsoliduotas vertinimas </w:t>
      </w:r>
    </w:p>
    <w:p w14:paraId="1E43862B" w14:textId="28BF9BC9" w:rsidR="006E23B3" w:rsidRPr="00897E28" w:rsidRDefault="006E23B3" w:rsidP="00897E28">
      <w:pPr>
        <w:spacing w:before="120" w:after="120"/>
        <w:ind w:firstLine="1"/>
        <w:jc w:val="both"/>
        <w:rPr>
          <w:b/>
          <w:bCs/>
          <w:i/>
          <w:iCs/>
          <w:noProof/>
        </w:rPr>
      </w:pPr>
      <w:bookmarkStart w:id="28" w:name="_Hlk203596443"/>
      <w:r>
        <w:rPr>
          <w:b/>
          <w:i/>
        </w:rPr>
        <w:t>(pildo TIK atskiras kandidatas / konkurso dalyvis arba grupės vadovas, jei teikiamas bendras dalyvavimo prašymas / pasiūlymas)</w:t>
      </w:r>
    </w:p>
    <w:p w14:paraId="580B2348" w14:textId="36EFDB8E" w:rsidR="00F04B97" w:rsidRDefault="00F04B97" w:rsidP="00F04B97">
      <w:pPr>
        <w:spacing w:before="120" w:after="120"/>
        <w:ind w:firstLine="1"/>
        <w:jc w:val="both"/>
        <w:rPr>
          <w:noProof/>
        </w:rPr>
      </w:pPr>
      <w:r>
        <w:t>Asmuo, kuris yra atskiras kandidatas, konkurso dalyvis arba grupės vadovas, jei dėl pirmiau minėtos procedūros teikiamas bendras dalyvavimo prašymas / pasiūlymas: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deklaruoja, kad kandidatas / konkurso dalyvis, įskaitant visus grupės narius, jei teikiamas bendras  dalyvavimo prašymas / pasiūlymas, subrangovus ir, jei taikoma, subjektus, kurių pajėgumais kandidatas / konkurso dalyvis ketina naudotis:</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TAIP</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NE</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atitinka visus atrankos kriterijus, kurių laikymasis bus tikrinamas per konsoliduotą vertinimą, kaip nustatyta pirkimo specifikacijose;</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8"/>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Toliau nurodytą variantą perkančioji organizaciją įtraukia, jei to reikia pagal pirkimo dokumentus. Jeigu jokie atrankos kriterijai nėra taikomi individualiai, perkančioji organizacija tolesnį skirsnį turi išbraukti. Jeigu tam tikri kriterijai taikomi individualiai, perkančioji organizacija lentelę turi pakoreguoti atsižvelgdama į pirkimo specifikacijose nurodytus kriterijus.</w:t>
      </w:r>
    </w:p>
    <w:p w14:paraId="5CFBC1F8" w14:textId="7B867C43" w:rsidR="00CA2C74" w:rsidRPr="00897E28" w:rsidRDefault="00C4227A">
      <w:pPr>
        <w:jc w:val="both"/>
        <w:rPr>
          <w:b/>
          <w:bCs/>
          <w:u w:val="single"/>
        </w:rPr>
      </w:pPr>
      <w:r>
        <w:rPr>
          <w:b/>
          <w:u w:val="single"/>
        </w:rPr>
        <w:t>Susijusiems subjektams individualiai taikomi atrankos kriterijai. Individualus vertinimas</w:t>
      </w:r>
    </w:p>
    <w:p w14:paraId="78C15FF3" w14:textId="0676A81C" w:rsidR="00723411" w:rsidRPr="00897E28" w:rsidRDefault="00723411" w:rsidP="7F6CA770">
      <w:pPr>
        <w:spacing w:before="120" w:after="120"/>
        <w:ind w:firstLine="1"/>
        <w:jc w:val="both"/>
        <w:rPr>
          <w:b/>
          <w:bCs/>
          <w:i/>
          <w:iCs/>
          <w:noProof/>
        </w:rPr>
      </w:pPr>
      <w:r>
        <w:rPr>
          <w:b/>
          <w:i/>
        </w:rPr>
        <w:t>(pildo atskirai susiję subjektai, kuriems pagal pirkimo specifikacijas taikomi individualūs atrankos kriterijai)</w:t>
      </w:r>
    </w:p>
    <w:p w14:paraId="64745216" w14:textId="17979E7F" w:rsidR="00E80BCE" w:rsidRPr="00897E28" w:rsidRDefault="00E80BCE" w:rsidP="6FB7994E">
      <w:pPr>
        <w:spacing w:before="120" w:after="120"/>
        <w:ind w:firstLine="1"/>
        <w:jc w:val="both"/>
        <w:rPr>
          <w:b/>
          <w:bCs/>
          <w:i/>
          <w:iCs/>
          <w:noProof/>
        </w:rPr>
      </w:pPr>
      <w:r>
        <w:t>Asmuo, kuris yra atskiras kandidatas / konkurso dalyvis / bendro dalyvavimo prašymo arba pasiūlymo narys / subrangovas, teikiantis arba dalyvaujantis teikiant dalyvavimo prašymą / pasiūlymą dėl pirmiau minėtos procedūros: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8"/>
        <w:gridCol w:w="750"/>
        <w:gridCol w:w="599"/>
        <w:gridCol w:w="1269"/>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deklaruoja, kad asmuo atitinka jam individualiai taikomus atrankos kriterijus:</w:t>
            </w:r>
          </w:p>
        </w:tc>
        <w:tc>
          <w:tcPr>
            <w:tcW w:w="704" w:type="dxa"/>
          </w:tcPr>
          <w:p w14:paraId="13DAA78F" w14:textId="77777777" w:rsidR="00A551F6" w:rsidRDefault="00A551F6" w:rsidP="00C37A34">
            <w:pPr>
              <w:spacing w:before="240" w:after="120"/>
              <w:jc w:val="center"/>
              <w:rPr>
                <w:noProof/>
              </w:rPr>
            </w:pPr>
            <w:r>
              <w:t>TAIP</w:t>
            </w:r>
          </w:p>
        </w:tc>
        <w:tc>
          <w:tcPr>
            <w:tcW w:w="608" w:type="dxa"/>
          </w:tcPr>
          <w:p w14:paraId="465AC66E" w14:textId="77777777" w:rsidR="00A551F6" w:rsidRDefault="00A551F6" w:rsidP="00C37A34">
            <w:pPr>
              <w:spacing w:before="240" w:after="120"/>
              <w:jc w:val="center"/>
              <w:rPr>
                <w:noProof/>
              </w:rPr>
            </w:pPr>
            <w:r>
              <w:t>NE</w:t>
            </w:r>
          </w:p>
        </w:tc>
        <w:tc>
          <w:tcPr>
            <w:tcW w:w="630" w:type="dxa"/>
          </w:tcPr>
          <w:p w14:paraId="237B4D9E" w14:textId="77777777" w:rsidR="00A551F6" w:rsidRDefault="00A551F6" w:rsidP="00C37A34">
            <w:pPr>
              <w:spacing w:before="240" w:after="120"/>
              <w:jc w:val="center"/>
              <w:rPr>
                <w:noProof/>
              </w:rPr>
            </w:pPr>
            <w:r>
              <w:t>Netaikoma</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yra veiksnus ir teisnus vykdyti profesinę veiklą, būtiną sutarčiai vykdyti, kaip reikalaujama pirkimo specifikacijose;</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lastRenderedPageBreak/>
              <w:t>atitinka taikomus ekonominius ir finansinius kriterijus, nurodytus pirkimo specifikacijoje;</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atitinka taikomus techninius ir profesinius kriterijus, nurodytus pirkimo specifikacijose;</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Atrankos kriterijai. Profesiniai interesų konfliktai </w:t>
      </w:r>
    </w:p>
    <w:p w14:paraId="6D4253AB" w14:textId="6F28DDE5" w:rsidR="00850397" w:rsidRPr="00897E28" w:rsidRDefault="00850397" w:rsidP="00EE7E2B">
      <w:pPr>
        <w:spacing w:before="120" w:after="120"/>
        <w:ind w:firstLine="1"/>
        <w:rPr>
          <w:b/>
          <w:bCs/>
          <w:i/>
          <w:iCs/>
          <w:noProof/>
        </w:rPr>
      </w:pPr>
      <w:r>
        <w:rPr>
          <w:b/>
          <w:i/>
        </w:rPr>
        <w:t>(pildo visi susiję subjektai)</w:t>
      </w:r>
    </w:p>
    <w:p w14:paraId="4E52E5EC" w14:textId="6CF73761" w:rsidR="00850397" w:rsidRDefault="00850397" w:rsidP="00850397">
      <w:pPr>
        <w:jc w:val="both"/>
        <w:rPr>
          <w:b/>
          <w:bCs/>
          <w:u w:val="single"/>
        </w:rPr>
      </w:pPr>
      <w:r>
        <w:t>Asmuo, kuris yra atskiras kandidatas / konkurso dalyvis / bendro dalyvavimo prašymo arba pasiūlymo narys / subrangovas, teikiantis arba dalyvaujantis teikiant dalyvavimo prašymą / pasiūlymą dėl pirmiau minėtos procedūros:</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deklaruoja, kad asmuo: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TAIP</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NE</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yra patekęs į interesų konfliktą, kuris galėtų turėti neigiamos įtakos sutarties vykdymui.</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Įrodymai, susiję su atrankos kriterijais </w:t>
      </w:r>
    </w:p>
    <w:p w14:paraId="6C38D641" w14:textId="3F0D33E7" w:rsidR="00F04B97" w:rsidRDefault="00F04B97" w:rsidP="051D3D6B">
      <w:pPr>
        <w:spacing w:before="100" w:beforeAutospacing="1" w:after="100" w:afterAutospacing="1"/>
        <w:jc w:val="both"/>
      </w:pPr>
      <w:r>
        <w:t>Pirkimo specifikacijose išsamiai nurodyta, kokie įrodymai, kada ir kurio susijusios subjekto turi būti pateikti siekiant įrodyti, kad kandidatas / konkurso dalyvis atitinka atrankos kriterijus.</w:t>
      </w:r>
    </w:p>
    <w:p w14:paraId="1699FA0D" w14:textId="0C53EE83" w:rsidR="00F04B97" w:rsidRPr="00A64C2E" w:rsidRDefault="00F04B97" w:rsidP="00897E28">
      <w:pPr>
        <w:spacing w:before="100" w:beforeAutospacing="1" w:after="100" w:afterAutospacing="1"/>
        <w:jc w:val="both"/>
        <w:rPr>
          <w:noProof/>
        </w:rPr>
      </w:pPr>
      <w:r>
        <w:t xml:space="preserve">Jeigu nėra reikalaujama su dalyvavimo prašymu / pasiūlymu pateikti įrodymą, asmuo raginamas iš anksto parengti su tuo įrodymu susijusius dokumentus, nes perkančioji organizacija gali prašyti juos pateikti per trumpą laiką. </w:t>
      </w:r>
    </w:p>
    <w:p w14:paraId="1279E35F" w14:textId="2584B0D8" w:rsidR="0073022B" w:rsidRDefault="0073022B" w:rsidP="051D3D6B">
      <w:pPr>
        <w:spacing w:before="100" w:beforeAutospacing="1" w:after="100" w:afterAutospacing="1"/>
        <w:jc w:val="both"/>
      </w:pPr>
      <w:r>
        <w:t>Asmeniui nebūtina pateikti įrodymo, jei jis jau buvo pateiktas per kitą tos pačios perkančiosios organizacijos</w:t>
      </w:r>
      <w:r>
        <w:rPr>
          <w:rStyle w:val="FootnoteReference"/>
        </w:rPr>
        <w:footnoteReference w:id="6"/>
      </w:r>
      <w:r>
        <w:t xml:space="preserve"> sutarties skyrimo procedūrą ir dokumentai dar nėra pasenę.</w:t>
      </w:r>
    </w:p>
    <w:p w14:paraId="0FBE3FFA" w14:textId="51DD42D5" w:rsidR="00F04B97" w:rsidRDefault="00F04B97" w:rsidP="051D3D6B">
      <w:pPr>
        <w:spacing w:before="100" w:beforeAutospacing="1" w:after="100" w:afterAutospacing="1"/>
        <w:jc w:val="both"/>
      </w:pPr>
      <w:r>
        <w:t xml:space="preserve">Pasirašantis asmuo deklaruoja, kad asmuo jau pateikė patvirtinamuosius dokumentus per ankstesnę procedūrą, ir patvirtina, kad jo padėtis nepasikeitė: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Dokumentas</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Tiksli ankstesnės procedūros nuoroda</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Įterpti reikiamą eilučių skaičių.</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Asmeniui nebūtina pateikti įrodymo, jei su juo galima nemokamai susipažinti nacionalinėje duomenų bazėje. </w:t>
      </w:r>
    </w:p>
    <w:p w14:paraId="03A26509" w14:textId="77777777" w:rsidR="008B35EE" w:rsidRDefault="008B35EE" w:rsidP="051D3D6B">
      <w:pPr>
        <w:spacing w:before="100" w:beforeAutospacing="1" w:after="100" w:afterAutospacing="1"/>
        <w:jc w:val="both"/>
      </w:pPr>
      <w:r>
        <w:t>Pasirašantis asmuo deklaruoja, kad su reikalaujamu įrodymu galima susipažinti toliau nurodytu duomenų bazės interneto adresu / naudojantis toliau nurodytais identifikavimo duomenimis.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Duomenų bazės interneto adresas</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Dokumento identifikavimo duomenys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Įterpti reikiamą eilučių skaičių.</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Priesaikos deklaracija dėl ribojamųjų priemonių</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 xml:space="preserve">9) deklaruoja, kad kandidatui / konkurso dalyviui, įskaitant visus grupės narius, jei teikiamas bendras dalyvavimo prašymas / pasiūlymas, </w:t>
            </w:r>
            <w:r>
              <w:lastRenderedPageBreak/>
              <w:t>subrangovus ir, jei taikoma, subjektus, kurių pajėgumais kandidatas / konkurso dalyvis ketina naudotis:</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lastRenderedPageBreak/>
              <w:t>TAIP</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NE</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netaikomos </w:t>
            </w:r>
            <w:hyperlink r:id="rId12" w:history="1">
              <w:r>
                <w:rPr>
                  <w:rStyle w:val="Hyperlink"/>
                </w:rPr>
                <w:t>ES ribojamosios priemonės</w:t>
              </w:r>
            </w:hyperlink>
            <w:r>
              <w:t>, priimtos pagal Europos Sąjungos sutarties 29 straipsnį arba Sutarties dėl ES veikimo (SESV) 215 straipsnį</w:t>
            </w:r>
            <w:r>
              <w:rPr>
                <w:vertAlign w:val="superscript"/>
              </w:rPr>
              <w:footnoteReference w:id="7"/>
            </w:r>
            <w:r>
              <w:t xml:space="preserve">, t. y. draudimas leisti naudotis lėšomis ar ekonominiais ištekliais ar juos pervesti arba tiesiogiai ar netiesiogiai jiems teikti finansavimą ar finansinę paramą arba turto įšaldymas.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12057" w:rsidRPr="00781ACA" w14:paraId="3BC5F2CD" w14:textId="77777777" w:rsidTr="44EC6836">
        <w:tc>
          <w:tcPr>
            <w:tcW w:w="7379" w:type="dxa"/>
            <w:tcBorders>
              <w:top w:val="single" w:sz="4" w:space="0" w:color="auto"/>
              <w:left w:val="single" w:sz="4" w:space="0" w:color="auto"/>
              <w:bottom w:val="single" w:sz="4" w:space="0" w:color="auto"/>
              <w:right w:val="single" w:sz="4" w:space="0" w:color="auto"/>
            </w:tcBorders>
          </w:tcPr>
          <w:p w14:paraId="0444622C" w14:textId="1055B49F" w:rsidR="00412057" w:rsidRDefault="00412057" w:rsidP="00073CDE">
            <w:r>
              <w:t>10) deklaruoja, kad fizinis arba juridinis asmuo, kuris yra asmens administracinės, valdymo arba priežiūros įstaigos narys arba kuris turi įgaliojimus atstovauti asmeniui, priimti jo vardu sprendimus arba jį kontroliuoti (tai, pavyzdžiui, apima bendrovių direktorius, vadovybės arba priežiūros įstaigų narius ir atvejus, kai vienas fizinis ar juridinis asmuo turi akcijų daugumą), arba tikrasis asmens savininkas (apibrėžtas Direktyvos (ES) 2015/849 3 straipsnio 6 punkte) yra atsidūręs vienoje iš toliau nurodytų situacijų:</w:t>
            </w:r>
          </w:p>
        </w:tc>
        <w:tc>
          <w:tcPr>
            <w:tcW w:w="951" w:type="dxa"/>
            <w:tcBorders>
              <w:top w:val="single" w:sz="4" w:space="0" w:color="auto"/>
              <w:left w:val="single" w:sz="4" w:space="0" w:color="auto"/>
              <w:bottom w:val="single" w:sz="4" w:space="0" w:color="auto"/>
              <w:right w:val="single" w:sz="4" w:space="0" w:color="auto"/>
            </w:tcBorders>
          </w:tcPr>
          <w:p w14:paraId="4E76DE6B" w14:textId="78D6F4C0" w:rsidR="00412057" w:rsidRDefault="00412057" w:rsidP="00781ACA">
            <w:r>
              <w:t>TAIP</w:t>
            </w:r>
          </w:p>
        </w:tc>
        <w:tc>
          <w:tcPr>
            <w:tcW w:w="992" w:type="dxa"/>
            <w:tcBorders>
              <w:top w:val="single" w:sz="4" w:space="0" w:color="auto"/>
              <w:left w:val="single" w:sz="4" w:space="0" w:color="auto"/>
              <w:bottom w:val="single" w:sz="4" w:space="0" w:color="auto"/>
              <w:right w:val="single" w:sz="4" w:space="0" w:color="auto"/>
            </w:tcBorders>
          </w:tcPr>
          <w:p w14:paraId="413F7DB2" w14:textId="4AB2D0DF" w:rsidR="00412057" w:rsidRDefault="00412057" w:rsidP="00781ACA">
            <w:r>
              <w:t>NE</w:t>
            </w:r>
          </w:p>
        </w:tc>
      </w:tr>
      <w:tr w:rsidR="00412057" w:rsidRPr="00781ACA" w14:paraId="264D1A59" w14:textId="77777777" w:rsidTr="44EC6836">
        <w:tc>
          <w:tcPr>
            <w:tcW w:w="7379" w:type="dxa"/>
            <w:tcBorders>
              <w:top w:val="single" w:sz="4" w:space="0" w:color="auto"/>
              <w:left w:val="single" w:sz="4" w:space="0" w:color="auto"/>
              <w:bottom w:val="single" w:sz="4" w:space="0" w:color="auto"/>
              <w:right w:val="single" w:sz="4" w:space="0" w:color="auto"/>
            </w:tcBorders>
          </w:tcPr>
          <w:p w14:paraId="7C8EC23F" w14:textId="210BB682" w:rsidR="00412057" w:rsidRDefault="00412057" w:rsidP="00073CDE">
            <w:r>
              <w:t xml:space="preserve">a) netaikomos </w:t>
            </w:r>
            <w:hyperlink r:id="rId13" w:history="1">
              <w:r>
                <w:rPr>
                  <w:rStyle w:val="Hyperlink"/>
                </w:rPr>
                <w:t>ES ribojamosios priemonės</w:t>
              </w:r>
            </w:hyperlink>
            <w:r>
              <w:t>, priimtos pagal Europos Sąjungos sutarties 29 straipsnį arba Sutarties dėl ES veikimo (SESV) 215 straipsnį</w:t>
            </w:r>
            <w:r>
              <w:rPr>
                <w:vertAlign w:val="superscript"/>
              </w:rPr>
              <w:footnoteReference w:id="8"/>
            </w:r>
            <w:r>
              <w:t>, t. y. draudimas leisti naudotis lėšomis ar ekonominiais ištekliais ar juos pervesti arba tiesiogiai ar netiesiogiai jiems teikti finansavimą ar finansinę paramą arba turto įšaldymas.</w:t>
            </w:r>
          </w:p>
        </w:tc>
        <w:tc>
          <w:tcPr>
            <w:tcW w:w="951" w:type="dxa"/>
            <w:tcBorders>
              <w:top w:val="single" w:sz="4" w:space="0" w:color="auto"/>
              <w:left w:val="single" w:sz="4" w:space="0" w:color="auto"/>
              <w:bottom w:val="single" w:sz="4" w:space="0" w:color="auto"/>
              <w:right w:val="single" w:sz="4" w:space="0" w:color="auto"/>
            </w:tcBorders>
          </w:tcPr>
          <w:p w14:paraId="0BBEEB51" w14:textId="01132762" w:rsidR="00412057" w:rsidRDefault="00412057"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365642CA" w14:textId="56DA7B1F" w:rsidR="00412057" w:rsidRDefault="00412057"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29" w:name="_Hlk203596381"/>
      <w:r>
        <w:t>Priesaikos deklaracija</w:t>
      </w:r>
      <w:bookmarkEnd w:id="29"/>
      <w:r>
        <w:t xml:space="preserve"> dėl nustatytos skolos Sąjungai </w:t>
      </w:r>
    </w:p>
    <w:p w14:paraId="1DCBB562" w14:textId="03CF733F" w:rsidR="006B2B45" w:rsidRPr="006B0A89" w:rsidRDefault="0013073C" w:rsidP="6FB7994E">
      <w:pPr>
        <w:spacing w:before="120" w:after="120"/>
        <w:jc w:val="both"/>
        <w:rPr>
          <w:b/>
          <w:bCs/>
          <w:i/>
          <w:iCs/>
          <w:noProof/>
        </w:rPr>
      </w:pPr>
      <w:r>
        <w:rPr>
          <w:b/>
          <w:i/>
        </w:rPr>
        <w:t xml:space="preserve"> (pildo atskiras kandidatas / konkurso dalyvis arba kiekvienas grupės narys, jei teikiamas bendras dalyvavimo prašymas / pasiūlymas)</w:t>
      </w:r>
    </w:p>
    <w:p w14:paraId="5915DC59" w14:textId="752F5BD7" w:rsidR="00EE7E2B" w:rsidRDefault="00EE7E2B" w:rsidP="00EE7E2B">
      <w:pPr>
        <w:jc w:val="both"/>
        <w:rPr>
          <w:noProof/>
        </w:rPr>
      </w:pPr>
      <w:r>
        <w:t>Asmuo, kuris yra atskiras kandidatas, konkurso dalyvis arba bendro dalyvavimo prašymo / pasiūlymo narys, jei dėl pirmiau minėtos procedūros teikiamas bendras dalyvavimo prašymas / pasiūlymas:</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246B42C7" w:rsidR="006B2B45" w:rsidRPr="006B0A89" w:rsidRDefault="00920214" w:rsidP="006B0A89">
            <w:pPr>
              <w:spacing w:before="120" w:after="120"/>
              <w:jc w:val="both"/>
            </w:pPr>
            <w:r>
              <w:t>1</w:t>
            </w:r>
            <w:r w:rsidR="00163A99">
              <w:t>1</w:t>
            </w:r>
            <w:r>
              <w:t>) deklaruoja, kad asmuo:</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TAIP</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NE</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turi nustatytą skolą Sąjungai, Europos atominės energijos bendrijai arba vykdomajai įstaigai, kai pastaroji vykdo Sąjungos biudžetą.</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Priesaikos deklaracija dėl pateikto pasiūlymo </w:t>
      </w:r>
    </w:p>
    <w:p w14:paraId="7D66B10A" w14:textId="0B06DCCD" w:rsidR="00765179" w:rsidRPr="000C6B51" w:rsidRDefault="00765179" w:rsidP="570F7154">
      <w:pPr>
        <w:spacing w:beforeAutospacing="1" w:afterAutospacing="1"/>
        <w:jc w:val="both"/>
        <w:rPr>
          <w:b/>
          <w:bCs/>
          <w:i/>
          <w:iCs/>
          <w:noProof/>
        </w:rPr>
      </w:pPr>
      <w:r>
        <w:rPr>
          <w:b/>
          <w:i/>
        </w:rPr>
        <w:t>(individualiai pildo atskiras kandidatas / konkurso dalyvis arba grupės vadovas, jei teikiamas bendras dalyvavimo prašymas / pasiūlymas)</w:t>
      </w:r>
    </w:p>
    <w:p w14:paraId="44652C08" w14:textId="3B2F458F" w:rsidR="743C92D7" w:rsidRDefault="743C92D7" w:rsidP="30C4CF82">
      <w:pPr>
        <w:spacing w:beforeAutospacing="1" w:afterAutospacing="1"/>
        <w:jc w:val="both"/>
      </w:pPr>
      <w:r>
        <w:t>Jeigu pirkimas, dėl kurio organizuojama procedūra, suskirstytas į dalis, šios E dalies pareiškimai teikiami dėl tos (-ų) dalies (-ių), dėl kurios (-ių) teikiamas dalyvavimo prašymas / pasiūlymas.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gridCol w:w="750"/>
        <w:gridCol w:w="756"/>
      </w:tblGrid>
      <w:tr w:rsidR="000F6EA2" w14:paraId="022E046F" w14:textId="77777777" w:rsidTr="051D3D6B">
        <w:tc>
          <w:tcPr>
            <w:tcW w:w="8327" w:type="dxa"/>
          </w:tcPr>
          <w:p w14:paraId="09C4ACC7" w14:textId="52425818" w:rsidR="000F6EA2" w:rsidRDefault="00C210FF" w:rsidP="00C210FF">
            <w:pPr>
              <w:spacing w:before="120" w:after="120"/>
              <w:jc w:val="both"/>
              <w:rPr>
                <w:noProof/>
              </w:rPr>
            </w:pPr>
            <w:r>
              <w:lastRenderedPageBreak/>
              <w:t>1</w:t>
            </w:r>
            <w:r w:rsidR="00163A99">
              <w:t>2</w:t>
            </w:r>
            <w:r>
              <w:t>) deklaruoja, kad asmuo:</w:t>
            </w:r>
          </w:p>
        </w:tc>
        <w:tc>
          <w:tcPr>
            <w:tcW w:w="670" w:type="dxa"/>
          </w:tcPr>
          <w:p w14:paraId="59250AC2" w14:textId="77777777" w:rsidR="000F6EA2" w:rsidRDefault="000F6EA2" w:rsidP="00C54FCE">
            <w:pPr>
              <w:spacing w:before="240" w:after="120"/>
              <w:jc w:val="center"/>
              <w:rPr>
                <w:noProof/>
              </w:rPr>
            </w:pPr>
            <w:r>
              <w:t>TAIP</w:t>
            </w:r>
          </w:p>
        </w:tc>
        <w:tc>
          <w:tcPr>
            <w:tcW w:w="759" w:type="dxa"/>
          </w:tcPr>
          <w:p w14:paraId="7D1AA4B7" w14:textId="77777777" w:rsidR="000F6EA2" w:rsidRDefault="000F6EA2" w:rsidP="00C54FCE">
            <w:pPr>
              <w:spacing w:before="240" w:after="120"/>
              <w:jc w:val="center"/>
              <w:rPr>
                <w:noProof/>
              </w:rPr>
            </w:pPr>
            <w:r>
              <w:t>NE</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w:t>
            </w:r>
            <w:r>
              <w:rPr>
                <w:rFonts w:ascii="Arial" w:hAnsi="Arial"/>
              </w:rPr>
              <w:t>[</w:t>
            </w:r>
            <w:r>
              <w:t>parengė pateiktą pasiūlymą</w:t>
            </w:r>
            <w:r>
              <w:rPr>
                <w:rFonts w:ascii="Arial" w:hAnsi="Arial"/>
              </w:rPr>
              <w:t>]</w:t>
            </w:r>
            <w:r>
              <w:t xml:space="preserve"> </w:t>
            </w:r>
            <w:r>
              <w:rPr>
                <w:rFonts w:ascii="Arial" w:hAnsi="Arial"/>
              </w:rPr>
              <w:t>[</w:t>
            </w:r>
            <w:r>
              <w:t>įsipareigoja parengti pasiūlymą (jei bus pakviestas jį pateikti)</w:t>
            </w:r>
            <w:r>
              <w:rPr>
                <w:rFonts w:ascii="Arial" w:hAnsi="Arial"/>
              </w:rPr>
              <w:t>]</w:t>
            </w:r>
            <w:r>
              <w:t xml:space="preserve"> visiškai nepriklausomai ir atskirai nuo kitų pasiūlymų, pateiktų per tą pačią viešųjų pirkimų procedūrą.</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Asmuo privalo nedelsdamas informuoti perkančiąją organizaciją apie situacijos, kuri buvo deklaruota, pasikeitimus.</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Asmuo gali būti pašalintas iš šios procedūros ir jam gali būti skirtos administracinės nuobaudos (draudimas dalyvauti procedūroje arba finansinės nuobaudos), jei bus nustatyta, kad deklaruota informacija ar pateikti duomenys, kurie turi būti pateikiami norint dalyvauti šioje procedūroje, yra neteisingi.</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Vardas ir pavardė:</w:t>
      </w:r>
      <w:r>
        <w:tab/>
      </w:r>
    </w:p>
    <w:p w14:paraId="4F5C3CA0" w14:textId="4ADE4B77" w:rsidR="00522736" w:rsidRDefault="00DA410F" w:rsidP="004A4B4A">
      <w:pPr>
        <w:tabs>
          <w:tab w:val="left" w:pos="4395"/>
          <w:tab w:val="left" w:pos="7797"/>
        </w:tabs>
        <w:spacing w:before="40" w:after="40"/>
        <w:jc w:val="both"/>
        <w:rPr>
          <w:noProof/>
        </w:rPr>
      </w:pPr>
      <w:r>
        <w:t>Data:</w:t>
      </w:r>
      <w:r>
        <w:tab/>
      </w:r>
    </w:p>
    <w:p w14:paraId="16F448F0" w14:textId="42F52720" w:rsidR="00DA410F" w:rsidRPr="00F76ABA" w:rsidRDefault="00DA410F" w:rsidP="004A4B4A">
      <w:pPr>
        <w:tabs>
          <w:tab w:val="left" w:pos="4395"/>
          <w:tab w:val="left" w:pos="7797"/>
        </w:tabs>
        <w:spacing w:before="40" w:after="40"/>
        <w:jc w:val="both"/>
        <w:rPr>
          <w:noProof/>
        </w:rPr>
      </w:pPr>
      <w:r>
        <w:t>Parašas: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Ši deklaracija turi būti pasirašyta:</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Elektroniniu parašu (rekomenduojamas variantas)</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Jeigu turite galimybę deklaraciją pasirašyti kvalifikuotu elektroniniu parašu, prašom užtikrinti, kad jūsų įgaliotasis (-ieji) atstovas (-ai) ją pasirašytų elektroniniu būdu. Atkreipiame dėmesį, kad bus pripažįstamas tik toks kvalifikuotas elektroninis parašas, koks apibrėžtas Reglamente (ES) Nr. 910/2014 (eIDAS reglamente).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Prieš grąžindami elektroniniu būdu pasirašytą dokumentą, parašą ir sertifikato galiojimą prašom patikrinti viena iš toliau nurodytų priemonių:</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priemone „DSS Demonstration validation“, kurią galima rasti </w:t>
      </w:r>
      <w:hyperlink r:id="rId14">
        <w:r>
          <w:rPr>
            <w:highlight w:val="lightGray"/>
          </w:rPr>
          <w:t>https://ec.europa.eu/cefdigital/DSS/webapp-demo/validation</w:t>
        </w:r>
      </w:hyperlink>
      <w:r>
        <w:t xml:space="preserve"> </w:t>
      </w:r>
      <w:r>
        <w:rPr>
          <w:i/>
          <w:highlight w:val="lightGray"/>
        </w:rPr>
        <w:t>(nurodžius dokumente esančių galiojančių parašų skaičių ir rūšį, šia priemone galima pasitikrinti sertifikato galiojimą).</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Pasitikrinti, ar elektroninio parašo paslaugos teikėjas ir jo teikiamos patikimumo užtikrinimo paslaugos yra įtraukti į Europos Sąjungos patikimą sąrašą, galima naudojantis ES priemone „Trusted List Browser“, </w:t>
      </w:r>
      <w:hyperlink r:id="rId15"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Siekdami užtikrinti, kad jūsų naudojamas kvalifikuotas elektroninis parašas atitiktų eIDAS reglamento reikalavimus, turite įsitikinti, kad tiek paslaugos teikėjas, tiek naudojama kvalifikuoto sertifikato sukūrimo paslauga būtų įtraukti į ES priemonę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Rašytiniu parašu</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Jeigu neturite galimybės deklaracijos pasirašyti kvalifikuotu elektroniniu parašu, prašom ją užpildyti elektroniniu būdu, atspausdinti ir užtikrinti, kad jūsų įgaliotasis atstovas (-ai) ją pasirašytų ir datuotų ranka.</w:t>
      </w:r>
    </w:p>
    <w:sectPr w:rsidR="00454D84" w:rsidRPr="006B2B45"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FEA0" w14:textId="77777777" w:rsidR="009E038E" w:rsidRDefault="009E038E">
      <w:r>
        <w:separator/>
      </w:r>
    </w:p>
  </w:endnote>
  <w:endnote w:type="continuationSeparator" w:id="0">
    <w:p w14:paraId="76C33E51" w14:textId="77777777" w:rsidR="009E038E" w:rsidRDefault="009E038E">
      <w:r>
        <w:continuationSeparator/>
      </w:r>
    </w:p>
  </w:endnote>
  <w:endnote w:type="continuationNotice" w:id="1">
    <w:p w14:paraId="51D87646"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fldChar w:fldCharType="begin"/>
            </w:r>
            <w:r>
              <w:rPr>
                <w:sz w:val="20"/>
              </w:rPr>
              <w:instrText xml:space="preserve"> PAGE </w:instrText>
            </w:r>
            <w:r>
              <w:rPr>
                <w:sz w:val="20"/>
              </w:rPr>
              <w:fldChar w:fldCharType="separate"/>
            </w:r>
            <w:r>
              <w:rPr>
                <w:sz w:val="20"/>
              </w:rPr>
              <w:t>5</w:t>
            </w:r>
            <w:r>
              <w:rPr>
                <w:sz w:val="20"/>
              </w:rPr>
              <w:fldChar w:fldCharType="end"/>
            </w:r>
            <w:r>
              <w:t xml:space="preserve"> iš </w:t>
            </w:r>
            <w:r>
              <w:rPr>
                <w:sz w:val="20"/>
              </w:rPr>
              <w:fldChar w:fldCharType="begin"/>
            </w:r>
            <w:r>
              <w:rPr>
                <w:sz w:val="20"/>
              </w:rPr>
              <w:instrText xml:space="preserve"> NUMPAGES  </w:instrText>
            </w:r>
            <w:r>
              <w:rPr>
                <w:sz w:val="20"/>
              </w:rPr>
              <w:fldChar w:fldCharType="separate"/>
            </w:r>
            <w:r>
              <w:rPr>
                <w:sz w:val="20"/>
              </w:rPr>
              <w:t>9</w:t>
            </w:r>
            <w:r>
              <w:rPr>
                <w:sz w:val="20"/>
              </w:rPr>
              <w:fldChar w:fldCharType="end"/>
            </w:r>
            <w:r>
              <w:t xml:space="preserve"> p.</w:t>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4D0" w14:textId="77777777" w:rsidR="009E038E" w:rsidRDefault="009E038E">
      <w:r>
        <w:separator/>
      </w:r>
    </w:p>
  </w:footnote>
  <w:footnote w:type="continuationSeparator" w:id="0">
    <w:p w14:paraId="333A5CC8" w14:textId="77777777" w:rsidR="009E038E" w:rsidRDefault="009E038E">
      <w:r>
        <w:continuationSeparator/>
      </w:r>
    </w:p>
  </w:footnote>
  <w:footnote w:type="continuationNotice" w:id="1">
    <w:p w14:paraId="434E5136"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Tos pačios ES institucijos, agentūros, įstaigos arba organo.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b/>
          <w:sz w:val="20"/>
        </w:rPr>
        <w:t>Susijęs subjektas</w:t>
      </w:r>
      <w:r>
        <w:rPr>
          <w:sz w:val="20"/>
        </w:rPr>
        <w:t xml:space="preserve"> – kiekvienas ekonominės veiklos vykdytojas, susijęs su dalyvavimo prašymu / pasiūlymu. Čia įeina šios keturios ekonominės veiklos vykdytojų kategorijos:</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atskiras kandidatas / konkurso dalyvis;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grupės nariai (įskaitant grupės vadovą), jei teikiamas bendras dalyvavimo prašymas / pasiūlymas;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nurodytieji subrangovai; ir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kiti subjektai (kurie nėra subrangovai), kurių pajėgumais kandidatas / konkurso dalyvis remiasi, kad atitiktų atrankos kriterijus.</w:t>
      </w:r>
    </w:p>
    <w:p w14:paraId="5BE9C146" w14:textId="10CA3A5B" w:rsidR="00585B73" w:rsidRPr="00412057" w:rsidRDefault="00585B73" w:rsidP="004C0A40">
      <w:pPr>
        <w:pStyle w:val="FootnoteText"/>
        <w:ind w:left="0" w:firstLine="0"/>
      </w:pPr>
    </w:p>
  </w:footnote>
  <w:footnote w:id="4">
    <w:p w14:paraId="7F511AE8" w14:textId="5800C21C" w:rsidR="00211706" w:rsidRPr="00211706" w:rsidRDefault="00211706">
      <w:pPr>
        <w:pStyle w:val="FootnoteText"/>
      </w:pPr>
      <w:r>
        <w:rPr>
          <w:rStyle w:val="FootnoteReference"/>
        </w:rPr>
        <w:footnoteRef/>
      </w:r>
      <w:r>
        <w:t xml:space="preserve"> Jeigu atsakymas į bet kurį iš šių klausimų yra teigiamas, pateikite daugiau informacijos, kurią manote esant tinkama.</w:t>
      </w:r>
    </w:p>
  </w:footnote>
  <w:footnote w:id="5">
    <w:p w14:paraId="79038C83" w14:textId="46E5ADA1" w:rsidR="00585B73" w:rsidRPr="00EA6BA4" w:rsidRDefault="00585B73">
      <w:pPr>
        <w:pStyle w:val="FootnoteText"/>
      </w:pPr>
      <w:r>
        <w:rPr>
          <w:rStyle w:val="FootnoteReference"/>
        </w:rPr>
        <w:footnoteRef/>
      </w:r>
      <w:r>
        <w:t xml:space="preserve"> Tos pačios ES institucijos, agentūros, įstaigos arba organo.</w:t>
      </w:r>
    </w:p>
  </w:footnote>
  <w:footnote w:id="6">
    <w:p w14:paraId="691476B8" w14:textId="175A7801" w:rsidR="00585B73" w:rsidRPr="00EA6BA4" w:rsidRDefault="00585B73" w:rsidP="0073022B">
      <w:pPr>
        <w:pStyle w:val="FootnoteText"/>
      </w:pPr>
      <w:r>
        <w:rPr>
          <w:rStyle w:val="FootnoteReference"/>
        </w:rPr>
        <w:footnoteRef/>
      </w:r>
      <w:r>
        <w:t xml:space="preserve"> Tos pačios ES institucijos, agentūros, įstaigos arba organo.</w:t>
      </w:r>
    </w:p>
  </w:footnote>
  <w:footnote w:id="7">
    <w:p w14:paraId="778927A2" w14:textId="77777777" w:rsidR="0008506D" w:rsidRPr="00E07552" w:rsidRDefault="0008506D" w:rsidP="0008506D">
      <w:pPr>
        <w:pStyle w:val="FootnoteText"/>
      </w:pPr>
      <w:r>
        <w:rPr>
          <w:rStyle w:val="FootnoteReference"/>
        </w:rPr>
        <w:footnoteRef/>
      </w:r>
      <w:r>
        <w:t xml:space="preserve"> Atkreipkite dėmesį į tai, kad ES oficialiajame leidinyje pateiktas oficialus ribojamųjų priemonių sąrašas ir kad prieštaravimo atveju pirmenybė teikiama jo turiniui,</w:t>
      </w:r>
    </w:p>
    <w:p w14:paraId="63C271E7" w14:textId="77777777" w:rsidR="0008506D" w:rsidRPr="00E07552" w:rsidRDefault="0008506D" w:rsidP="0008506D">
      <w:pPr>
        <w:pStyle w:val="FootnoteText"/>
      </w:pPr>
      <w:r>
        <w:t xml:space="preserve">o ne </w:t>
      </w:r>
      <w:hyperlink w:anchor="/main" w:history="1">
        <w:r>
          <w:rPr>
            <w:rStyle w:val="Hyperlink"/>
          </w:rPr>
          <w:t>ES sankcijų žemėlapiui</w:t>
        </w:r>
      </w:hyperlink>
      <w:r>
        <w:t>.</w:t>
      </w:r>
    </w:p>
  </w:footnote>
  <w:footnote w:id="8">
    <w:p w14:paraId="59656ABF" w14:textId="77777777" w:rsidR="00412057" w:rsidRPr="00E07552" w:rsidRDefault="00412057" w:rsidP="00412057">
      <w:pPr>
        <w:pStyle w:val="FootnoteText"/>
      </w:pPr>
      <w:r>
        <w:rPr>
          <w:rStyle w:val="FootnoteReference"/>
        </w:rPr>
        <w:footnoteRef/>
      </w:r>
      <w:r>
        <w:t xml:space="preserve"> Atkreipkite dėmesį į tai, kad ES oficialiajame leidinyje pateiktas oficialus ribojamųjų priemonių sąrašas ir kad prieštaravimo atveju pirmenybė teikiama jo turiniui,</w:t>
      </w:r>
    </w:p>
    <w:p w14:paraId="22BD1334" w14:textId="77777777" w:rsidR="00412057" w:rsidRPr="00E07552" w:rsidRDefault="00412057" w:rsidP="00412057">
      <w:pPr>
        <w:pStyle w:val="FootnoteText"/>
      </w:pPr>
      <w:r>
        <w:t xml:space="preserve">o ne </w:t>
      </w:r>
      <w:hyperlink w:anchor="/main" w:history="1">
        <w:r>
          <w:rPr>
            <w:rStyle w:val="Hyperlink"/>
          </w:rPr>
          <w:t>ES sankcijų žemėlapiui</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r>
      <w:rPr>
        <w:sz w:val="20"/>
      </w:rPr>
      <w:t>2025 m. spalio mėn. versija</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2022 m. liepos mėn. versija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3A99"/>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057"/>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86D"/>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6602"/>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207"/>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246EF"/>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4D74"/>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t-LT"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lt-LT"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t-LT"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lt-LT"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t-LT"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09adcc9-ab81-486f-827d-c1c5fd362e71"/>
    <ds:schemaRef ds:uri="http://purl.org/dc/elements/1.1/"/>
    <ds:schemaRef ds:uri="d3c1eb4e-7577-42ef-991f-7d064735e0e5"/>
    <ds:schemaRef ds:uri="http://schemas.microsoft.com/sharepoint/v3"/>
    <ds:schemaRef ds:uri="http://purl.org/dc/terms/"/>
  </ds:schemaRefs>
</ds:datastoreItem>
</file>

<file path=customXml/itemProps2.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1CCEEDD9-3A7A-4160-A42F-C41ED141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3087</Words>
  <Characters>22916</Characters>
  <Application>Microsoft Office Word</Application>
  <DocSecurity>0</DocSecurity>
  <Lines>603</Lines>
  <Paragraphs>346</Paragraphs>
  <ScaleCrop>false</ScaleCrop>
  <Company>European Commission</Company>
  <LinksUpToDate>false</LinksUpToDate>
  <CharactersWithSpaces>25657</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2025-12-15T11:52:00Z</dcterms:created>
  <dcterms:modified xsi:type="dcterms:W3CDTF">2025-12-15T11:52:00Z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