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Pr>
          <w:b/>
          <w:sz w:val="28"/>
        </w:rPr>
        <w:t>Priesaikos deklaracija dėl</w:t>
      </w:r>
      <w:r>
        <w:t xml:space="preserve"> </w:t>
      </w:r>
      <w:r>
        <w:br/>
      </w:r>
      <w:r>
        <w:rPr>
          <w:b/>
          <w:sz w:val="28"/>
        </w:rPr>
        <w:t>draudimo dalyvauti procedūroje kriterijų ir atrankos kriterijų</w:t>
      </w:r>
    </w:p>
    <w:p w14:paraId="1A26E185" w14:textId="206E0B8A" w:rsidR="00702372" w:rsidRPr="00370A7F" w:rsidRDefault="00702372" w:rsidP="00370A7F">
      <w:pPr>
        <w:spacing w:before="100" w:beforeAutospacing="1" w:after="100" w:afterAutospacing="1"/>
        <w:jc w:val="both"/>
        <w:rPr>
          <w:b/>
          <w:bCs/>
        </w:rPr>
      </w:pPr>
      <w:r>
        <w:rPr>
          <w:b/>
        </w:rPr>
        <w:t>Procedūros nuorodos numeris</w:t>
      </w:r>
    </w:p>
    <w:p w14:paraId="60A66E87" w14:textId="242ECE30" w:rsidR="00702372" w:rsidRPr="00370A7F" w:rsidRDefault="00702372" w:rsidP="7F6CA770">
      <w:pPr>
        <w:spacing w:before="100" w:beforeAutospacing="1" w:after="100" w:afterAutospacing="1"/>
        <w:jc w:val="both"/>
        <w:rPr>
          <w:b/>
          <w:bCs/>
        </w:rPr>
      </w:pPr>
      <w:r>
        <w:rPr>
          <w:b/>
        </w:rPr>
        <w:t>Procedūros pavadinimas</w:t>
      </w:r>
    </w:p>
    <w:p w14:paraId="03B168D8" w14:textId="3C04CAF4" w:rsidR="00702372" w:rsidRDefault="00702372" w:rsidP="7F6CA770">
      <w:pPr>
        <w:spacing w:beforeAutospacing="1" w:afterAutospacing="1"/>
        <w:jc w:val="both"/>
        <w:rPr>
          <w:i/>
          <w:iCs/>
          <w:noProof/>
          <w:highlight w:val="lightGray"/>
        </w:rPr>
      </w:pPr>
      <w:r>
        <w:rPr>
          <w:i/>
          <w:highlight w:val="lightGray"/>
        </w:rPr>
        <w:t>[1 variantas juridinių asmenų atveju]</w:t>
      </w:r>
    </w:p>
    <w:p w14:paraId="11F056D1" w14:textId="45B7275C" w:rsidR="00DA410F" w:rsidRDefault="00DA410F" w:rsidP="7F6CA770">
      <w:pPr>
        <w:jc w:val="both"/>
        <w:rPr>
          <w:noProof/>
        </w:rPr>
      </w:pPr>
      <w:r>
        <w:t>Toliau pasirašęs asmuo [</w:t>
      </w:r>
      <w:r>
        <w:rPr>
          <w:i/>
          <w:highlight w:val="lightGray"/>
        </w:rPr>
        <w:t>įrašyti šią formą pasirašančio asmens vardą ir pavardę</w:t>
      </w:r>
      <w:r>
        <w:t>], atstovaujantis šiam juridiniam asmeniui:</w:t>
      </w:r>
    </w:p>
    <w:p w14:paraId="629278CB" w14:textId="77777777" w:rsidR="7F6CA770" w:rsidRDefault="7F6CA770"/>
    <w:p w14:paraId="556E93A3" w14:textId="7FA43BB3" w:rsidR="00D17C08" w:rsidRDefault="00D17C08" w:rsidP="7F6CA770">
      <w:pPr>
        <w:rPr>
          <w:b/>
          <w:bCs/>
        </w:rPr>
      </w:pPr>
      <w:r>
        <w:t>Visas oficialus pavadinimas:</w:t>
      </w:r>
    </w:p>
    <w:p w14:paraId="60A1F64A" w14:textId="32A8BCF0" w:rsidR="00D17C08" w:rsidRDefault="00D17C08">
      <w:r>
        <w:t>Oficiali teisinė forma:</w:t>
      </w:r>
    </w:p>
    <w:p w14:paraId="775FC49B" w14:textId="77777777" w:rsidR="00D17C08" w:rsidRDefault="00D17C08" w:rsidP="7F6CA770">
      <w:pPr>
        <w:rPr>
          <w:b/>
          <w:bCs/>
        </w:rPr>
      </w:pPr>
      <w:r>
        <w:t>Oficialus registracijos numeris:</w:t>
      </w:r>
      <w:r>
        <w:rPr>
          <w:b/>
        </w:rPr>
        <w:t xml:space="preserve"> </w:t>
      </w:r>
    </w:p>
    <w:p w14:paraId="3AE2909A" w14:textId="77777777" w:rsidR="00D17C08" w:rsidRDefault="00D17C08" w:rsidP="7F6CA770">
      <w:pPr>
        <w:rPr>
          <w:b/>
          <w:bCs/>
        </w:rPr>
      </w:pPr>
      <w:r>
        <w:t xml:space="preserve">Visas oficialus adresas: </w:t>
      </w:r>
    </w:p>
    <w:p w14:paraId="69884DE8" w14:textId="77777777" w:rsidR="00D17C08" w:rsidRDefault="00D17C08">
      <w:r>
        <w:t xml:space="preserve">PVM mokėtojo kodas: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t xml:space="preserve">toliau vadinamas </w:t>
      </w:r>
      <w:r>
        <w:rPr>
          <w:b/>
        </w:rPr>
        <w:t>asmeniu</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Pr>
          <w:i/>
          <w:highlight w:val="lightGray"/>
        </w:rPr>
        <w:t>[2 variantas fizinių asmenų atveju]</w:t>
      </w:r>
    </w:p>
    <w:p w14:paraId="63C4093D" w14:textId="66FB4351" w:rsidR="00D17C08" w:rsidRDefault="00D17C08" w:rsidP="7F6CA770">
      <w:pPr>
        <w:jc w:val="both"/>
        <w:rPr>
          <w:noProof/>
        </w:rPr>
      </w:pPr>
      <w:r>
        <w:t>Toliau pasirašęs asmuo [</w:t>
      </w:r>
      <w:r>
        <w:rPr>
          <w:i/>
          <w:highlight w:val="lightGray"/>
        </w:rPr>
        <w:t>įrašyti šią formą pasirašančio asmens vardą ir pavardę</w:t>
      </w:r>
      <w:r>
        <w:t>], tapatybės dokumento arba paso numeris [</w:t>
      </w:r>
      <w:r>
        <w:rPr>
          <w:i/>
          <w:highlight w:val="lightGray"/>
        </w:rPr>
        <w:t>įrašyti numerį</w:t>
      </w:r>
      <w:r>
        <w:t>], atstovaujantis sau:</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t xml:space="preserve">toliau vadinamas </w:t>
      </w:r>
      <w:r>
        <w:rPr>
          <w:b/>
        </w:rPr>
        <w:t>asmeniu</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t>Priesaikos deklaracija dėl draudimo dalyvauti procedūroje kriterijų</w:t>
      </w:r>
    </w:p>
    <w:p w14:paraId="67F47E4E" w14:textId="637AF68D" w:rsidR="00B74CFF" w:rsidRDefault="007F3628" w:rsidP="00370A7F">
      <w:pPr>
        <w:spacing w:before="100" w:beforeAutospacing="1" w:after="100" w:afterAutospacing="1"/>
        <w:jc w:val="both"/>
      </w:pPr>
      <w:r>
        <w:t>Šios deklaracijos (Deklaracijos dėl draudimo dalyvauti procedūroje kriterijų) A dalies pildyti nereikalaujama, jeigu tokią deklaraciją asmuo jau pateikė per kitą tos pačios perkančiosios organizacijos</w:t>
      </w:r>
      <w:r>
        <w:rPr>
          <w:rStyle w:val="FootnoteReference"/>
        </w:rPr>
        <w:footnoteReference w:id="2"/>
      </w:r>
      <w:r>
        <w:t xml:space="preserve"> sutarties skyrimo procedūrą, su sąlyga, kad padėtis nepasikeitė, o nuo deklaracijos paskelbimo praėjo ne daugiau kaip vieni metai.</w:t>
      </w:r>
    </w:p>
    <w:p w14:paraId="64B20EEE" w14:textId="78AEE0D7" w:rsidR="00AE5C0E" w:rsidRDefault="00AE5C0E" w:rsidP="00370A7F">
      <w:pPr>
        <w:spacing w:before="100" w:beforeAutospacing="1" w:after="100" w:afterAutospacing="1"/>
        <w:jc w:val="both"/>
      </w:pPr>
      <w:r>
        <w:t xml:space="preserve">Tokiu atveju pasirašantis asmuo pareiškia, kad asmuo jau pateikė tokią pat deklaraciją dėl draudimo dalyvauti procedūroje kriterijų per ankstesnę procedūrą, ir patvirtina, kad jo padėtis nepasikeitė: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Deklaracijos data</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Tiksli ankstesnės procedūros nuoroda</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t>I. Situacijos, dėl kurių asmeniui draudžiama dalyvauti procedūroje</w:t>
      </w:r>
    </w:p>
    <w:p w14:paraId="368816DB" w14:textId="1E6A9513" w:rsidR="00CD4DDC" w:rsidRPr="00897E28" w:rsidRDefault="00CD4A13" w:rsidP="7F6CA770">
      <w:pPr>
        <w:spacing w:before="120" w:after="120"/>
        <w:ind w:firstLine="1"/>
        <w:jc w:val="both"/>
        <w:rPr>
          <w:b/>
          <w:bCs/>
          <w:i/>
          <w:iCs/>
          <w:noProof/>
        </w:rPr>
      </w:pPr>
      <w:r>
        <w:rPr>
          <w:b/>
          <w:i/>
        </w:rPr>
        <w:lastRenderedPageBreak/>
        <w:t>(pildo visi susiję subjektai</w:t>
      </w:r>
      <w:r>
        <w:rPr>
          <w:rStyle w:val="FootnoteReference"/>
          <w:b/>
          <w:bCs/>
          <w:i/>
          <w:iCs/>
          <w:noProof/>
        </w:rPr>
        <w:footnoteReference w:id="3"/>
      </w:r>
      <w:r>
        <w:rPr>
          <w:b/>
          <w:i/>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8"/>
        <w:gridCol w:w="89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deklaruoja, kad asmuo yra patekęs į vieną iš šių situacijų:</w:t>
            </w:r>
          </w:p>
        </w:tc>
        <w:tc>
          <w:tcPr>
            <w:tcW w:w="812" w:type="dxa"/>
            <w:shd w:val="clear" w:color="auto" w:fill="auto"/>
          </w:tcPr>
          <w:p w14:paraId="16F44831" w14:textId="77777777" w:rsidR="00F7691A" w:rsidRDefault="00F7691A" w:rsidP="006B0A89">
            <w:pPr>
              <w:spacing w:before="40" w:after="40"/>
              <w:ind w:left="142"/>
              <w:jc w:val="center"/>
              <w:rPr>
                <w:noProof/>
              </w:rPr>
            </w:pPr>
            <w:r>
              <w:t>TAIP</w:t>
            </w:r>
          </w:p>
        </w:tc>
        <w:tc>
          <w:tcPr>
            <w:tcW w:w="705" w:type="dxa"/>
            <w:shd w:val="clear" w:color="auto" w:fill="auto"/>
          </w:tcPr>
          <w:p w14:paraId="16F44832" w14:textId="77777777" w:rsidR="00F7691A" w:rsidRDefault="00F7691A" w:rsidP="006B0A89">
            <w:pPr>
              <w:spacing w:before="40" w:after="40"/>
              <w:ind w:left="142"/>
              <w:jc w:val="center"/>
              <w:rPr>
                <w:noProof/>
              </w:rPr>
            </w:pPr>
            <w:r>
              <w:t>NE</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t>bankrutavo, jo atžvilgiu vykdomos nemokumo arba likvidavimo procedūros, jo turtą administruoja likvidatorius arba teismas, jis sudarė susitarimą su kreditoriais, sustabdė ekonominę veiklą arba pateko į analogišką situaciją dėl Sąjungos arba nacionaliniuose įstatymuose numatytos panašios procedūros;</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galutiniu teismo sprendimu ar galutiniu administraciniu sprendimu yra nustatyta, kad asmuo nevykdo pareigų, susijusių su mokesčių ar socialinio draudimo įmokų mokėjimu pagal taikytiną teisę;</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0F6AC9">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galutiniu teismo sprendimu arba galutiniu administraciniu sprendimu nustatyta, kad asmuo yra kaltas dėl sunkaus profesinio nusižengimo, padaryto pažeidžiant taikomus įstatymus ar kitus teisės aktus, arba profesijos, kurios atstovas yra asmuo, etikos standartus, arba padaryto bet kokiais kitais neteisėtais veiksmais, kurie daro poveikį jo profesiniam patikimumui, kai šie veiksmai reiškia blogus ketinimus ar didelį aplaidumą, įskaitant, visų pirma, bet kurį iš šių veiksmų:</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Pr>
                <w:color w:val="000000"/>
              </w:rPr>
              <w:t>i) sukčiavimą arba aplaidumą teikiant informaciją, kurios reikalaujama siekiant patikrinti, ar nesama priežasčių uždrausti dalyvauti procedūroje arba ar yra atitinkami tinkamumo ar atrankos kriterijai, arba kurią reikia pateikti vykdant sutartį ar susitarimą;</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Pr>
                <w:color w:val="000000"/>
              </w:rPr>
              <w:t>ii) susitarimo su kitais asmenimis arba subjektais sudarymą siekiant iškraipyti konkurenciją;</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Pr>
                <w:color w:val="000000"/>
              </w:rPr>
              <w:t>iii) intelektinės nuosavybės teisių pažeidimą;</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Pr>
                <w:color w:val="000000"/>
              </w:rPr>
              <w:t>iv) bandymą daryti įtaką perkančiosios organizacijos sprendimų priėmimo procesui per skyrimo procedūrą;</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t>v) bandymą gauti konfidencialios informacijos, dėl kurios vykdant sutarties skyrimo procedūrą jis įgytų nepagrįstą pranašumą</w:t>
            </w:r>
            <w:bookmarkEnd w:id="5"/>
            <w:r>
              <w:t>;</w:t>
            </w:r>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galutiniu teismo sprendimu yra nustatyta, kad asmuo yra kaltas dėl kurios nors iš šių veikų:</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Pr>
                <w:color w:val="000000"/>
              </w:rPr>
              <w:t>i) sukčiavimo, apibrėžto Direktyvos (ES) 2017/1371 3 straipsnyje ir 1995 m. liepos 26 d. Tarybos aktu priimtos Konvencijos dėl Europos Bendrijų finansinių interesų apsaugos 1 straipsnyje;</w:t>
            </w:r>
            <w:bookmarkStart w:id="6" w:name="_DV_C378"/>
            <w:bookmarkEnd w:id="6"/>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Pr>
                <w:color w:val="000000"/>
              </w:rPr>
              <w:t>ii) korupcijos, apibrėžtos Direktyvos (ES) 2017/1371 4 straipsnio 2 dalyje ar aktyvios korupcijos 1997 m. gegužės 26 d. Tarybos aktu priimtos Konvencijos dėl kovos su korupcija, susijusia su Europos Bendrijų pareigūnais ar Europos Sąjungos valstybių narių pareigūnais 3 straipsnio prasme, arba veiklos, nurodytos Tarybos pamatinio sprendimo 2003/568/TVR 2 straipsnio 1 dalyje, ar korupcijos, apibrėžtos kituose taikytinuose teisės aktuose;</w:t>
            </w:r>
            <w:bookmarkStart w:id="8" w:name="_DV_C383"/>
            <w:bookmarkEnd w:id="8"/>
            <w:bookmarkEnd w:id="7"/>
          </w:p>
        </w:tc>
        <w:tc>
          <w:tcPr>
            <w:tcW w:w="812" w:type="dxa"/>
            <w:shd w:val="clear" w:color="auto" w:fill="auto"/>
          </w:tcPr>
          <w:p w14:paraId="16F4485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9" w:name="_DV_C384"/>
            <w:r>
              <w:lastRenderedPageBreak/>
              <w:t>iii) dalyvavimo nusikalstamos organizacijos veikloje, nurodyto Tarybos pamatinio sprendimo 2008/841/TVR 2 straipsnyje</w:t>
            </w:r>
            <w:r>
              <w:rPr>
                <w:color w:val="000000"/>
              </w:rPr>
              <w:t>;</w:t>
            </w:r>
            <w:bookmarkStart w:id="10" w:name="_DV_C385"/>
            <w:bookmarkStart w:id="11" w:name="_DV_C387"/>
            <w:bookmarkEnd w:id="9"/>
            <w:bookmarkEnd w:id="10"/>
            <w:bookmarkEnd w:id="11"/>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iv)</w:t>
            </w:r>
            <w:bookmarkStart w:id="12" w:name="_DV_M251"/>
            <w:bookmarkStart w:id="13" w:name="_DV_C391"/>
            <w:bookmarkEnd w:id="12"/>
            <w:bookmarkEnd w:id="13"/>
            <w:r>
              <w:t xml:space="preserve"> </w:t>
            </w:r>
            <w:bookmarkStart w:id="14" w:name="_DV_C392"/>
            <w:r>
              <w:rPr>
                <w:color w:val="000000"/>
              </w:rPr>
              <w:t>pinigų plovimo arba teroristų finansavimo, nurodyto Europos Parlamento ir Tarybos direktyvos (ES) 2015/849 1 straipsnio 3, 4 ir 5 punktuose;</w:t>
            </w:r>
            <w:bookmarkStart w:id="15" w:name="_DV_C394"/>
            <w:bookmarkEnd w:id="14"/>
            <w:bookmarkEnd w:id="15"/>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6" w:name="_DV_C395"/>
            <w:r>
              <w:rPr>
                <w:color w:val="000000"/>
              </w:rPr>
              <w:t>v)</w:t>
            </w:r>
            <w:bookmarkStart w:id="17" w:name="_DV_M253"/>
            <w:bookmarkEnd w:id="16"/>
            <w:r>
              <w:t xml:space="preserve"> </w:t>
            </w:r>
            <w:bookmarkStart w:id="18" w:name="_DV_C397"/>
            <w:bookmarkEnd w:id="17"/>
            <w:r>
              <w:rPr>
                <w:color w:val="000000"/>
              </w:rPr>
              <w:t>teroristinių nusikaltimų arba su teroristine veikla susijusių nusikaltimų, taip pat dėl nusikalstamos veikos kurstymo, pagalbos tokiai veikai, bendrininkavimo ją vykdant arba kėsinimosi ją įvykdyti, apibrėžtų 2017 m. kovo 15 d. Europos Parlamento ir Tarybos direktyvos (ES) 2017/541 dėl kovos su terorizmu 3 ir 14 straipsniuose ir III antraštinėje dalyje;</w:t>
            </w:r>
            <w:bookmarkStart w:id="19" w:name="_DV_C399"/>
            <w:bookmarkEnd w:id="18"/>
            <w:bookmarkEnd w:id="19"/>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0" w:name="_DV_C400"/>
            <w:r>
              <w:rPr>
                <w:color w:val="000000"/>
              </w:rPr>
              <w:t>vi)</w:t>
            </w:r>
            <w:bookmarkStart w:id="21" w:name="_DV_M254"/>
            <w:bookmarkEnd w:id="20"/>
            <w:bookmarkEnd w:id="21"/>
            <w:r>
              <w:t xml:space="preserve"> </w:t>
            </w:r>
            <w:bookmarkStart w:id="22" w:name="_DV_C402"/>
            <w:r>
              <w:rPr>
                <w:color w:val="000000"/>
              </w:rPr>
              <w:t>vaikų darbo ar kitų su prekyba žmonėmis susijusių nusikalstamų veikų, nurodytų Europos Parlamento ir Tarybos direktyvos 2011/36/ES 2 straipsnyje</w:t>
            </w:r>
            <w:bookmarkStart w:id="23" w:name="_DV_C404"/>
            <w:bookmarkEnd w:id="22"/>
            <w:r>
              <w:rPr>
                <w:color w:val="000000"/>
              </w:rPr>
              <w:t>;</w:t>
            </w:r>
            <w:bookmarkEnd w:id="23"/>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pagrindinius iš Sąjungos biudžeto finansuojamos sutarties arba susitarimo įgyvendinimo įsipareigojimus asmuo vykdė su dideliais trūkumais ir dėl to ta sutartis ar susitarimas buvo nutraukti pirma laiko arba buvo pareikalauta atlyginti nuostolius, ar buvo taikomos kitos sutartyje ar susitarime numatytos nuobaudos, arba šie trūkumai buvo atskleisti per perkančiosios organizacijos, </w:t>
            </w:r>
            <w:r>
              <w:rPr>
                <w:color w:val="000000"/>
              </w:rPr>
              <w:t>Europos kovos su sukčiavimu tarnybos (OLAF)</w:t>
            </w:r>
            <w:r>
              <w:t xml:space="preserve"> ar Audito Rūmų atliekamus patikrinimus, auditus ar tyrimus;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4" w:name="_DV_C410"/>
            <w:r>
              <w:rPr>
                <w:color w:val="000000"/>
              </w:rPr>
              <w:t>galutiniu teismo sprendimu ar galutiniu administraciniu sprendimu nustatyta, kad asmuo padarė Tarybos reglamento (EB, Euratomas) Nr. 2988/95 1 straipsnio 2 dalyje apibrėžtą pažeidimą</w:t>
            </w:r>
            <w:bookmarkEnd w:id="24"/>
            <w:r>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galutiniu teismo sprendimu arba galutiniu administraciniu sprendimu nustatyta, kad asmuo įsteigė kitai jurisdikcijai priklausantį subjektą, ketindamas išvengti mokestinių, socialinių arba bet kokių kitų teisinių pareigų pagal jo registruotos buveinės, centrinės administracijos ar pagrindinės verslo vietos jurisdikciją;</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rPr>
              <w:t>tik juridiniams asmenims</w:t>
            </w:r>
            <w:r>
              <w:t xml:space="preserve">) </w:t>
            </w:r>
            <w:r>
              <w:rPr>
                <w:color w:val="000000"/>
              </w:rPr>
              <w:t>galutiniu teismo sprendimu arba galutiniu administraciniu sprendimu nustatyta, kad asmuo įsteigtas g punkte nurodytais ketinimais.</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t>deklaruoja, kad, jei dėl 1 dalies c–h punktuose nurodytų situacijų galutinis teismo sprendimas arba galutinis administracinis sprendimas nepriimtas, asmeniui galioja</w:t>
            </w:r>
            <w:r>
              <w:rPr>
                <w:rStyle w:val="FootnoteReference"/>
                <w:noProof/>
              </w:rPr>
              <w:footnoteReference w:id="4"/>
            </w:r>
            <w:r>
              <w:t>:</w:t>
            </w:r>
          </w:p>
        </w:tc>
        <w:tc>
          <w:tcPr>
            <w:tcW w:w="812" w:type="dxa"/>
            <w:shd w:val="clear" w:color="auto" w:fill="auto"/>
          </w:tcPr>
          <w:p w14:paraId="68C9A1B2" w14:textId="46B95573" w:rsidR="00977B4E" w:rsidRDefault="00977B4E" w:rsidP="006B0A89">
            <w:pPr>
              <w:spacing w:before="240" w:after="120"/>
              <w:jc w:val="center"/>
              <w:rPr>
                <w:noProof/>
              </w:rPr>
            </w:pPr>
            <w:r>
              <w:t>TAIP</w:t>
            </w:r>
          </w:p>
        </w:tc>
        <w:tc>
          <w:tcPr>
            <w:tcW w:w="705" w:type="dxa"/>
            <w:shd w:val="clear" w:color="auto" w:fill="auto"/>
          </w:tcPr>
          <w:p w14:paraId="1A4D1557" w14:textId="4113B6AB" w:rsidR="00977B4E" w:rsidRDefault="00977B4E" w:rsidP="006B0A89">
            <w:pPr>
              <w:spacing w:before="240" w:after="120"/>
              <w:jc w:val="center"/>
              <w:rPr>
                <w:noProof/>
              </w:rPr>
            </w:pPr>
            <w:r>
              <w:t>NE</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faktai, nustatyti Europos prokuratūros, Audito Rūmų arba vidaus auditoriaus atlikto audito ar tyrimo metu arba ES institucijos, Europos organo arba ES agentūros arba įstaigos leidimus suteikiančio pareigūno atsakomybe atlikto kokio nors kito patikrinimo, audito ar kontrolės metu;</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negalutiniai teismo sprendimai arba negalutiniai administraciniai sprendimai, be kita ko, dėl drausminių priemonių, kurių ėmėsi kompetentinga priežiūros įstaiga, atsakinga už profesinės etikos standartų taikymo tikrinimą;</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subjektų arba asmenų, kuriems pavestos ES biudžeto įgyvendinimo užduotys, sprendimuose nurodyti faktai;</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lastRenderedPageBreak/>
              <w:tab/>
            </w:r>
            <w:r>
              <w:rPr>
                <w:color w:val="000000"/>
              </w:rPr>
              <w:t xml:space="preserve"> Sąjungos lėšas naudojančių valstybių narių perduota informacija;</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Komisijos sprendimai, susiję su Sąjungos konkurencijos teisės pažeidimu, arba nacionalinės kompetentingos institucijos sprendimai, susiję su Sąjungos ar nacionalinės konkurencijos teisės pažeidimu;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asmuo kokiomis nors priemonėmis buvo informuotas, kad Europos kovos sukčiavimu tarnyba (OLAF) jo atžvilgiu vykdo tyrimą: dėl to, kad OLAF jam suteikė galimybę pateikti pastabas dėl su juo susijusių aplinkybių, arba dėl to, kad tyrimo metu OLAF jo atžvilgiu atliko patikras vietoje, arba dėl to, kad jam buvo pranešta apie OLAF jo atžvilgiu vykdomo tyrimo pradžią, pabaigą ar kitas su tuo tyrimu susijusias aplinkybes.</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F6AC9">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bl>
    <w:p w14:paraId="16F4487F" w14:textId="3C305866" w:rsidR="00897553" w:rsidRDefault="00897553" w:rsidP="00422300">
      <w:pPr>
        <w:pStyle w:val="Title"/>
        <w:jc w:val="both"/>
      </w:pPr>
      <w:bookmarkStart w:id="25" w:name="_DV_C376"/>
      <w:r>
        <w:t>II. Situacijos, dėl kurių fiziniams arba juridiniams asmenims, turintiems įgaliojimą atstovauti juridiniam asmeniui ir tikriesiems savininkams, priimti jų vardu sprendimus arba juos kontroliuoti, draudžiama dalyvauti procedūroje</w:t>
      </w:r>
    </w:p>
    <w:p w14:paraId="16F44880" w14:textId="6842849F" w:rsidR="00897553" w:rsidRDefault="001F135A" w:rsidP="7F6CA770">
      <w:pPr>
        <w:autoSpaceDE w:val="0"/>
        <w:autoSpaceDN w:val="0"/>
        <w:adjustRightInd w:val="0"/>
        <w:spacing w:before="120" w:after="240"/>
        <w:jc w:val="center"/>
        <w:rPr>
          <w:b/>
          <w:bCs/>
          <w:i/>
          <w:iCs/>
          <w:noProof/>
          <w:u w:val="single"/>
        </w:rPr>
      </w:pPr>
      <w:r>
        <w:rPr>
          <w:b/>
          <w:i/>
          <w:u w:val="single"/>
        </w:rPr>
        <w:t>Netaikoma, kai asmuo yra fizinis asmuo, valstybė narė arba vietos valdžios institucija (visais kitais atvejais pildo visi susiję subjektai)</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7"/>
        <w:gridCol w:w="849"/>
        <w:gridCol w:w="916"/>
        <w:gridCol w:w="1269"/>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t xml:space="preserve">deklaruoja, kad fizinis arba juridinis asmuo, kuris yra asmens administracinės, valdymo arba priežiūros įstaigos narys arba kuris turi įgaliojimus atstovauti asmeniui, priimti jo vardu sprendimus arba jį kontroliuoti (tai, pavyzdžiui, apima bendrovių direktorius, vadovybės arba priežiūros įstaigų narius ir atvejus, kai vienas fizinis ar juridinis asmuo turi akcijų daugumą), arba tikrasis asmens savininkas (apibrėžtas Direktyvos (ES) 2015/849 3 straipsnio 6 punkte) yra atsidūręs vienoje iš toliau nurodytų situacijų: </w:t>
            </w:r>
          </w:p>
        </w:tc>
        <w:tc>
          <w:tcPr>
            <w:tcW w:w="858" w:type="dxa"/>
            <w:shd w:val="clear" w:color="auto" w:fill="auto"/>
          </w:tcPr>
          <w:p w14:paraId="16F44882" w14:textId="77777777" w:rsidR="001F135A" w:rsidRDefault="001F135A" w:rsidP="00C37A34">
            <w:pPr>
              <w:spacing w:before="240" w:after="120"/>
              <w:jc w:val="center"/>
              <w:rPr>
                <w:noProof/>
              </w:rPr>
            </w:pPr>
            <w:r>
              <w:t>TAIP</w:t>
            </w:r>
          </w:p>
        </w:tc>
        <w:tc>
          <w:tcPr>
            <w:tcW w:w="952" w:type="dxa"/>
            <w:shd w:val="clear" w:color="auto" w:fill="auto"/>
          </w:tcPr>
          <w:p w14:paraId="16F44883" w14:textId="77777777" w:rsidR="001F135A" w:rsidRDefault="001F135A" w:rsidP="00C37A34">
            <w:pPr>
              <w:spacing w:before="240" w:after="120"/>
              <w:jc w:val="center"/>
              <w:rPr>
                <w:noProof/>
              </w:rPr>
            </w:pPr>
            <w:r>
              <w:t>NE</w:t>
            </w:r>
          </w:p>
        </w:tc>
        <w:tc>
          <w:tcPr>
            <w:tcW w:w="813" w:type="dxa"/>
          </w:tcPr>
          <w:p w14:paraId="16F44884" w14:textId="77777777" w:rsidR="001F135A" w:rsidRDefault="001F135A" w:rsidP="00C37A34">
            <w:pPr>
              <w:spacing w:before="240" w:after="120"/>
              <w:jc w:val="center"/>
              <w:rPr>
                <w:noProof/>
              </w:rPr>
            </w:pPr>
            <w:r>
              <w:t>Netaikoma</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1 dalies c punkte nurodytoje situacijoje (sunkus profesinis nusižengimas)</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1 dalies d punkte nurodytoje situacijoje (sukčiavimas, korupcija arba kita nusikalstama veika)</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1 dalies e punkte nurodytoje situacijoje (dideli sutarties įgyvendinimo trūkumai)</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1 dalies f punkte nurodytoje situacijoje (pažeidimas)</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1 dalies g punkte nurodytoje situacijoje (subjekto įsteigimas ketinant išvengti teisinių pareigų)</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1 dalies h punkte nurodytoje situacijoje (asmuo įsteigtas ketinant išvengti teisinių pareigų)</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bl>
    <w:p w14:paraId="051C02E8" w14:textId="77777777" w:rsidR="00D6012C" w:rsidRDefault="00D6012C" w:rsidP="00422300">
      <w:pPr>
        <w:pStyle w:val="Title"/>
        <w:jc w:val="both"/>
      </w:pPr>
    </w:p>
    <w:p w14:paraId="65AE5235" w14:textId="77777777" w:rsidR="00D6012C" w:rsidRDefault="00D6012C" w:rsidP="00422300">
      <w:pPr>
        <w:pStyle w:val="Title"/>
        <w:jc w:val="both"/>
      </w:pPr>
    </w:p>
    <w:p w14:paraId="6E418E50" w14:textId="77777777" w:rsidR="00D6012C" w:rsidRDefault="00D6012C" w:rsidP="00422300">
      <w:pPr>
        <w:pStyle w:val="Title"/>
        <w:jc w:val="both"/>
      </w:pPr>
    </w:p>
    <w:p w14:paraId="06B1FD74" w14:textId="77777777" w:rsidR="00D6012C" w:rsidRDefault="00D6012C" w:rsidP="00422300">
      <w:pPr>
        <w:pStyle w:val="Title"/>
        <w:jc w:val="both"/>
      </w:pPr>
    </w:p>
    <w:p w14:paraId="16F4489A" w14:textId="52E718DF" w:rsidR="00CA27B0" w:rsidRDefault="00CA27B0" w:rsidP="00422300">
      <w:pPr>
        <w:pStyle w:val="Title"/>
        <w:jc w:val="both"/>
      </w:pPr>
      <w:r>
        <w:lastRenderedPageBreak/>
        <w:t>III. Situacijos, dėl kurių fiziniams arba juridiniams asmenims, prisiimantiems neribotą atsakomybę už juridinio asmens skolas, draudžiama dalyvauti procedūroje</w:t>
      </w:r>
    </w:p>
    <w:p w14:paraId="35672559" w14:textId="242B3A3A" w:rsidR="00CF1E63" w:rsidRPr="00370A7F" w:rsidRDefault="00CF1E63" w:rsidP="6FB7994E">
      <w:pPr>
        <w:autoSpaceDE w:val="0"/>
        <w:autoSpaceDN w:val="0"/>
        <w:adjustRightInd w:val="0"/>
        <w:spacing w:before="120" w:after="240"/>
        <w:jc w:val="center"/>
        <w:rPr>
          <w:i/>
          <w:iCs/>
        </w:rPr>
      </w:pPr>
      <w:r>
        <w:rPr>
          <w:b/>
          <w:i/>
          <w:u w:val="single"/>
        </w:rPr>
        <w:t>Netaikoma, kai asmuo yra fizinis asmuo, valstybė narė, vietos valdžios institucija ar ribotos atsakomybės juridinis asmuo (visais kitais atvejais pildo visi susiję subjektai)</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750"/>
        <w:gridCol w:w="604"/>
        <w:gridCol w:w="1269"/>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t xml:space="preserve"> deklaruoja, kad fizinis arba juridinis asmuo, kuris prisiima neribotą atsakomybę už asmens skolas, nėra patekęs į vieną iš šių situacijų: </w:t>
            </w:r>
          </w:p>
        </w:tc>
        <w:tc>
          <w:tcPr>
            <w:tcW w:w="670" w:type="dxa"/>
            <w:shd w:val="clear" w:color="auto" w:fill="auto"/>
          </w:tcPr>
          <w:p w14:paraId="16F4489C" w14:textId="77777777" w:rsidR="003E5E5C" w:rsidRDefault="003E5E5C" w:rsidP="00C37A34">
            <w:pPr>
              <w:spacing w:before="240" w:after="120"/>
              <w:jc w:val="center"/>
              <w:rPr>
                <w:noProof/>
              </w:rPr>
            </w:pPr>
            <w:r>
              <w:t>TAIP</w:t>
            </w:r>
          </w:p>
        </w:tc>
        <w:tc>
          <w:tcPr>
            <w:tcW w:w="614" w:type="dxa"/>
          </w:tcPr>
          <w:p w14:paraId="16F4489D" w14:textId="77777777" w:rsidR="003E5E5C" w:rsidRDefault="003E5E5C" w:rsidP="00C37A34">
            <w:pPr>
              <w:spacing w:before="240" w:after="120"/>
              <w:jc w:val="center"/>
              <w:rPr>
                <w:noProof/>
              </w:rPr>
            </w:pPr>
            <w:r>
              <w:t>NE</w:t>
            </w:r>
          </w:p>
        </w:tc>
        <w:tc>
          <w:tcPr>
            <w:tcW w:w="630" w:type="dxa"/>
            <w:shd w:val="clear" w:color="auto" w:fill="auto"/>
          </w:tcPr>
          <w:p w14:paraId="16F4489E" w14:textId="77777777" w:rsidR="003E5E5C" w:rsidRDefault="003E5E5C" w:rsidP="00C37A34">
            <w:pPr>
              <w:spacing w:before="240" w:after="120"/>
              <w:jc w:val="center"/>
              <w:rPr>
                <w:noProof/>
              </w:rPr>
            </w:pPr>
            <w:r>
              <w:t>Netaikoma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a punkte nurodytą situaciją (bankrotas)</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b punkte nurodytą situaciją (įsipareigojimų, susijusių su mokesčių arba socialinio draudimo įmokų mokėjimu, pažeidimas)</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bl>
    <w:p w14:paraId="28F7EA99" w14:textId="76AEE25F" w:rsidR="00B05C76" w:rsidRDefault="00B05C76" w:rsidP="00B05C76">
      <w:pPr>
        <w:pStyle w:val="Title"/>
        <w:rPr>
          <w:noProof/>
        </w:rPr>
      </w:pPr>
      <w:r>
        <w:t>IV. Kitos pašalinimo iš šios procedūros priežastys</w:t>
      </w:r>
    </w:p>
    <w:p w14:paraId="49EFC66C" w14:textId="603EB082" w:rsidR="00B05C76" w:rsidRPr="00897E28" w:rsidRDefault="00B05C76" w:rsidP="00B05C76">
      <w:pPr>
        <w:spacing w:before="120" w:after="120"/>
        <w:ind w:firstLine="1"/>
        <w:jc w:val="both"/>
        <w:rPr>
          <w:b/>
          <w:bCs/>
          <w:i/>
          <w:iCs/>
          <w:noProof/>
        </w:rPr>
      </w:pPr>
      <w:r>
        <w:rPr>
          <w:b/>
          <w:i/>
        </w:rPr>
        <w:t>(individualiai pildo atskiras kandidatas / konkurso dalyvis arba visi nariai, jei teikiamas bendras dalyvavimo prašymas / pasiūlymas)</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0"/>
        <w:gridCol w:w="750"/>
        <w:gridCol w:w="756"/>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t>5) deklaruoja, kad asmuo:</w:t>
            </w:r>
          </w:p>
        </w:tc>
        <w:tc>
          <w:tcPr>
            <w:tcW w:w="670" w:type="dxa"/>
            <w:shd w:val="clear" w:color="auto" w:fill="auto"/>
          </w:tcPr>
          <w:p w14:paraId="1361E30C" w14:textId="77777777" w:rsidR="00B05C76" w:rsidRDefault="00B05C76" w:rsidP="00D6012C">
            <w:pPr>
              <w:spacing w:before="240" w:after="120"/>
              <w:jc w:val="center"/>
              <w:rPr>
                <w:noProof/>
              </w:rPr>
            </w:pPr>
            <w:r>
              <w:t>TAIP</w:t>
            </w:r>
          </w:p>
        </w:tc>
        <w:tc>
          <w:tcPr>
            <w:tcW w:w="759" w:type="dxa"/>
            <w:shd w:val="clear" w:color="auto" w:fill="auto"/>
          </w:tcPr>
          <w:p w14:paraId="2D50029A" w14:textId="77777777" w:rsidR="00B05C76" w:rsidRDefault="00B05C76" w:rsidP="00D6012C">
            <w:pPr>
              <w:spacing w:before="240" w:after="120"/>
              <w:jc w:val="center"/>
              <w:rPr>
                <w:noProof/>
              </w:rPr>
            </w:pPr>
            <w:r>
              <w:t>NE</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t xml:space="preserve">a) yra anksčiau dalyvavęs rengiant viešojo pirkimo dokumentus, naudojamus vykdant šią sutarties skyrimo procedūrą, kai buvo pažeistas vienodo požiūrio taikymo principas, įskaitant konkurencijos iškraipymą, kurio neįmanoma ištaisyti kitomis priemonėmis.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t xml:space="preserve"> </w:t>
      </w:r>
      <w:bookmarkEnd w:id="25"/>
      <w:r>
        <w:rPr>
          <w:rFonts w:ascii="Times New Roman Bold" w:hAnsi="Times New Roman Bold"/>
          <w:b/>
          <w:smallCaps/>
        </w:rPr>
        <w:t>V. Taisomosios priemonės</w:t>
      </w:r>
    </w:p>
    <w:p w14:paraId="16F448B4" w14:textId="432FB097" w:rsidR="005C6293" w:rsidRDefault="005C6293" w:rsidP="007C6650">
      <w:pPr>
        <w:spacing w:before="120" w:after="120"/>
        <w:jc w:val="both"/>
        <w:rPr>
          <w:color w:val="000000"/>
        </w:rPr>
      </w:pPr>
      <w:r>
        <w:t>Jeigu asmuo deklaruoja, kad yra patekęs į kurią nors iš pirmiau išvardytų situacijų, dėl kurios jam draudžiama dalyvauti procedūroje, jis gali nurodyti, kokių taisomųjų priemonių ėmėsi tai situacijai ištaisyti, kad leidimus suteikiantis pareigūnas turėtų galimybę nustatyti, ar tokių priemonių pakanka to asmens patikimumui įrodyti.</w:t>
      </w:r>
      <w:r>
        <w:rPr>
          <w:color w:val="000000"/>
        </w:rPr>
        <w:t xml:space="preserve"> Tokios priemonės galėtų apimti, pvz., technines, organizacines arba darbuotojams taikomas priemones, kad ateityje pavyktų išvengti tokių atvejų, žalos kompensavimo ar baudų arba mokesčių ar socialinio draudimo įmokų mokėjimo. Prie šios deklaracijos reikia pridėti susijusius patvirtinamuosius dokumentus, kuriuose būtų apibūdinamos taisomosios priemonės, kurių buvo imtasi. Šis reikalavimas netaikomas šios deklaracijos 1 dalies d punkte nurodytoms situacijoms.</w:t>
      </w:r>
    </w:p>
    <w:p w14:paraId="16F448B5" w14:textId="3FE5177B" w:rsidR="00F96EAB" w:rsidRPr="007D7A5F" w:rsidRDefault="00B05C76" w:rsidP="0024225B">
      <w:pPr>
        <w:pStyle w:val="Title"/>
        <w:rPr>
          <w:noProof/>
        </w:rPr>
      </w:pPr>
      <w:r>
        <w:t>VI. Įrodymai, susiję su draudimo dalyvauti procedūroje kriterijais</w:t>
      </w:r>
    </w:p>
    <w:p w14:paraId="477A6316" w14:textId="3261E630" w:rsidR="00695D93" w:rsidRDefault="0092592E" w:rsidP="7F6CA770">
      <w:pPr>
        <w:spacing w:before="120" w:after="120"/>
        <w:ind w:firstLine="11"/>
        <w:jc w:val="both"/>
        <w:rPr>
          <w:noProof/>
        </w:rPr>
      </w:pPr>
      <w:r>
        <w:t>Pirkimo specifikacijose išsamiai nurodyta, kurie susiję subjektai turi pateikti tinkamų įrodymų, kad jie nėra patekę į kurią nors iš 1 dalyje nurodytų situacijų, dėl kurių draudžiama dalyvauti procedūroje, ir kada tuos įrodymus reikia pateikti.</w:t>
      </w:r>
    </w:p>
    <w:p w14:paraId="3EE64640" w14:textId="03697B6E" w:rsidR="00835E88" w:rsidRPr="00F76ABA" w:rsidRDefault="00CA3ADD" w:rsidP="00835E88">
      <w:pPr>
        <w:spacing w:before="120" w:after="120"/>
        <w:jc w:val="both"/>
        <w:rPr>
          <w:noProof/>
        </w:rPr>
      </w:pPr>
      <w:r>
        <w:t>Įrodymais galėtų būti laikomi toliau išvardyti įrodymai.</w:t>
      </w:r>
    </w:p>
    <w:p w14:paraId="16F448B7" w14:textId="7D810624" w:rsidR="00357CC2" w:rsidRPr="00900331" w:rsidRDefault="00DA410F" w:rsidP="00897E28">
      <w:pPr>
        <w:pStyle w:val="Text1"/>
        <w:numPr>
          <w:ilvl w:val="0"/>
          <w:numId w:val="38"/>
        </w:numPr>
        <w:spacing w:before="100" w:beforeAutospacing="1" w:after="100" w:afterAutospacing="1"/>
        <w:rPr>
          <w:noProof/>
        </w:rPr>
      </w:pPr>
      <w:r>
        <w:t xml:space="preserve">Dėl 1 dalies a, c, d, f, g ir h punktuose nurodytų situacijų: reikalaujama pateikti naujausią teismo bylų registro išrašą arba, jeigu jo nėra, lygiavertį dokumentą, neseniai išduotą valstybės, kurioje asmuo įsisteigęs, teismo ar administracinės institucijos, kuriuo patvirtinama, kad šie reikalavimai įvykdyti.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lastRenderedPageBreak/>
        <w:t>Dėl 1 dalies a arba b punkte nurodytos situacijos: reikalaujama pateikti įsisteigimo valstybės kompetentingų institucijų išduotas naujausias pažymas. Šiuose dokumentuose turi būti pateikti įrodymai, kad asmuo sumokėjo visus mokesčius ir socialinio draudimo įmokas, kuriuos jis privalo sumokėti, įskaitant, pavyzdžiui, PVM, pajamų mokestį (tik fiziniams asmenims), pelno mokestį (tik juridiniams asmenims) ir socialinio draudimo įmokas. Jei pirmiau apibūdintas dokumentas įsisteigimo valstybėje nėra išduodamas, jį gali pakeisti teismo institucijos arba notaro patvirtinta priesaikos deklaracija arba, jei tai neįmanoma, įsisteigimo valstybės administracinės institucijos arba kompetentingos profesinės organizacijos patvirtintas oficialus pareiškimas.</w:t>
      </w:r>
    </w:p>
    <w:p w14:paraId="16F448B9" w14:textId="6993ED04" w:rsidR="008C4A00" w:rsidRDefault="00C55150" w:rsidP="00897E28">
      <w:pPr>
        <w:spacing w:before="100" w:beforeAutospacing="1" w:after="100" w:afterAutospacing="1"/>
        <w:jc w:val="both"/>
      </w:pPr>
      <w:r>
        <w:t>Asmeniui nebūtina pateikti įrodymo, jei jis jau buvo pateiktas per kitą tos pačios perkančiosios organizacijos</w:t>
      </w:r>
      <w:r>
        <w:rPr>
          <w:rStyle w:val="FootnoteReference"/>
        </w:rPr>
        <w:footnoteReference w:id="5"/>
      </w:r>
      <w:r>
        <w:t xml:space="preserve"> sutarties skyrimo procedūrą. Dokumentai turi būti išduoti ne anksčiau negu vieni metai prieš perkančiajai organizacijai pateikiant prašymą ir turi vis dar galioti tą dieną. </w:t>
      </w:r>
    </w:p>
    <w:p w14:paraId="16F448BA" w14:textId="1463A7B7" w:rsidR="008C4A00" w:rsidRDefault="00A40405" w:rsidP="00897E28">
      <w:pPr>
        <w:spacing w:before="100" w:beforeAutospacing="1" w:after="100" w:afterAutospacing="1"/>
        <w:jc w:val="both"/>
      </w:pPr>
      <w:r>
        <w:t xml:space="preserve">Pasirašantis asmuo deklaruoja, kad asmuo jau pateikė patvirtinamuosius dokumentus per ankstesnę procedūrą, ir patvirtina, kad jo padėtis nepasikeitė: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Dokumentas</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Tiksli ankstesnės procedūros nuoroda</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Įterpti reikiamą eilučių skaičių.</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Asmeniui nebūtina pateikti įrodymo, jei su juo galima nemokamai susipažinti nacionalinėje duomenų bazėje. </w:t>
      </w:r>
    </w:p>
    <w:p w14:paraId="0F58ED09" w14:textId="2FB86EF0" w:rsidR="00CF0C80" w:rsidRDefault="00602579" w:rsidP="00897E28">
      <w:pPr>
        <w:spacing w:before="100" w:beforeAutospacing="1" w:after="100" w:afterAutospacing="1"/>
        <w:jc w:val="both"/>
      </w:pPr>
      <w:r>
        <w:t>Pasirašantis asmuo deklaruoja, kad su reikalaujamu įrodymu galima susipažinti toliau nurodytu duomenų bazės interneto adresu / naudojantis toliau nurodytais identifikavimo duomenimis.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Duomenų bazės interneto adresas</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Dokumento identifikavimo duomenys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Įterpti reikiamą eilučių skaičių.</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t xml:space="preserve">Priesaikos deklaracija dėl atrankos kriterijų </w:t>
      </w:r>
    </w:p>
    <w:p w14:paraId="2D59BB2A" w14:textId="01DD445D" w:rsidR="743C92D7" w:rsidRDefault="743C92D7" w:rsidP="001B5619">
      <w:pPr>
        <w:spacing w:beforeAutospacing="1" w:afterAutospacing="1"/>
        <w:jc w:val="both"/>
      </w:pPr>
      <w:r>
        <w:t>Jeigu pirkimas, dėl kurio organizuojama procedūra, suskirstytas į dalis, šios B dalies pareiškimai teikiami dėl tos (-ų) dalies (-ių), dėl kurios (-ių) teikiamas dalyvavimo prašymas / pasiūlymas.</w:t>
      </w:r>
    </w:p>
    <w:p w14:paraId="7232500E" w14:textId="59A72938" w:rsidR="00E25A58" w:rsidRDefault="00E25A58" w:rsidP="00E25A58">
      <w:pPr>
        <w:pStyle w:val="Title"/>
        <w:rPr>
          <w:noProof/>
        </w:rPr>
      </w:pPr>
      <w:r>
        <w:t>I. Atrankos kriterijai</w:t>
      </w:r>
    </w:p>
    <w:p w14:paraId="7CE533D0" w14:textId="16A9A02E" w:rsidR="00B74E92" w:rsidRPr="00897E28" w:rsidRDefault="00CA2C74">
      <w:pPr>
        <w:jc w:val="both"/>
        <w:rPr>
          <w:b/>
          <w:bCs/>
          <w:u w:val="single"/>
        </w:rPr>
      </w:pPr>
      <w:r>
        <w:rPr>
          <w:b/>
          <w:u w:val="single"/>
        </w:rPr>
        <w:t xml:space="preserve">Kandidatui / konkurso dalyviui kaip nedalomam vienetui taikomi atrankos kriterijai. Konsoliduotas vertinimas </w:t>
      </w:r>
    </w:p>
    <w:p w14:paraId="1E43862B" w14:textId="28BF9BC9" w:rsidR="006E23B3" w:rsidRPr="00897E28" w:rsidRDefault="006E23B3" w:rsidP="00897E28">
      <w:pPr>
        <w:spacing w:before="120" w:after="120"/>
        <w:ind w:firstLine="1"/>
        <w:jc w:val="both"/>
        <w:rPr>
          <w:b/>
          <w:bCs/>
          <w:i/>
          <w:iCs/>
          <w:noProof/>
        </w:rPr>
      </w:pPr>
      <w:r>
        <w:rPr>
          <w:b/>
          <w:i/>
        </w:rPr>
        <w:t>(pildo TIK atskiras kandidatas / konkurso dalyvis arba grupės vadovas, jei teikiamas bendras dalyvavimo prašymas / pasiūlymas)</w:t>
      </w:r>
    </w:p>
    <w:p w14:paraId="580B2348" w14:textId="36EFDB8E" w:rsidR="00F04B97" w:rsidRDefault="00F04B97" w:rsidP="00F04B97">
      <w:pPr>
        <w:spacing w:before="120" w:after="120"/>
        <w:ind w:firstLine="1"/>
        <w:jc w:val="both"/>
        <w:rPr>
          <w:noProof/>
        </w:rPr>
      </w:pPr>
      <w:r>
        <w:t>Asmuo, kuris yra atskiras kandidatas, konkurso dalyvis arba grupės vadovas, jei dėl pirmiau minėtos procedūros teikiamas bendras dalyvavimo prašymas / pasiūlymas: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t xml:space="preserve">6) deklaruoja, kad kandidatas / konkurso dalyvis, įskaitant visus grupės narius, jei teikiamas bendras  dalyvavimo prašymas / pasiūlymas, </w:t>
            </w:r>
            <w:r>
              <w:lastRenderedPageBreak/>
              <w:t>subrangovus ir, jei taikoma, subjektus, kurių pajėgumais kandidatas / konkurso dalyvis ketina naudotis:</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lastRenderedPageBreak/>
              <w:t>TAIP</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NE</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Default="000B752C" w:rsidP="00F5266F">
            <w:pPr>
              <w:pStyle w:val="Text1"/>
              <w:numPr>
                <w:ilvl w:val="0"/>
                <w:numId w:val="24"/>
              </w:numPr>
              <w:spacing w:before="40" w:after="40"/>
              <w:rPr>
                <w:noProof/>
              </w:rPr>
            </w:pPr>
            <w:r>
              <w:t>atitinka visus atrankos kriterijus, kurių laikymasis bus tikrinamas per konsoliduotą vertinimą, kaip nustatyta pirkimo specifikacijose;</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bl>
    <w:p w14:paraId="50AB76DC" w14:textId="419BD58E" w:rsidR="00CA2C74" w:rsidRPr="00EC7E2B" w:rsidRDefault="00CA2C74" w:rsidP="00897E28">
      <w:pPr>
        <w:spacing w:before="100" w:beforeAutospacing="1" w:after="100" w:afterAutospacing="1"/>
        <w:jc w:val="both"/>
        <w:rPr>
          <w:b/>
          <w:i/>
          <w:iCs/>
          <w:color w:val="0070C0"/>
        </w:rPr>
      </w:pPr>
      <w:r>
        <w:rPr>
          <w:b/>
          <w:i/>
          <w:color w:val="0070C0"/>
          <w:highlight w:val="yellow"/>
        </w:rPr>
        <w:t>Toliau nurodytą variantą perkančioji organizaciją įtraukia, jei to reikia pagal pirkimo dokumentus. Jeigu jokie atrankos kriterijai nėra taikomi individualiai, perkančioji organizacija tolesnį skirsnį turi išbraukti. Jeigu tam tikri kriterijai taikomi individualiai, perkančioji organizacija lentelę turi pakoreguoti atsižvelgdama į pirkimo specifikacijose nurodytus kriterijus.</w:t>
      </w:r>
    </w:p>
    <w:p w14:paraId="5CFBC1F8" w14:textId="7B867C43" w:rsidR="00CA2C74" w:rsidRPr="00897E28" w:rsidRDefault="00C4227A">
      <w:pPr>
        <w:jc w:val="both"/>
        <w:rPr>
          <w:b/>
          <w:bCs/>
          <w:u w:val="single"/>
        </w:rPr>
      </w:pPr>
      <w:r>
        <w:rPr>
          <w:b/>
          <w:u w:val="single"/>
        </w:rPr>
        <w:t>Susijusiems subjektams individualiai taikomi atrankos kriterijai. Individualus vertinimas</w:t>
      </w:r>
    </w:p>
    <w:p w14:paraId="78C15FF3" w14:textId="0676A81C" w:rsidR="00723411" w:rsidRPr="00897E28" w:rsidRDefault="00723411" w:rsidP="7F6CA770">
      <w:pPr>
        <w:spacing w:before="120" w:after="120"/>
        <w:ind w:firstLine="1"/>
        <w:jc w:val="both"/>
        <w:rPr>
          <w:b/>
          <w:bCs/>
          <w:i/>
          <w:iCs/>
          <w:noProof/>
        </w:rPr>
      </w:pPr>
      <w:r>
        <w:rPr>
          <w:b/>
          <w:i/>
        </w:rPr>
        <w:t>(pildo atskirai susiję subjektai, kuriems pagal pirkimo specifikacijas taikomi individualūs atrankos kriterijai)</w:t>
      </w:r>
    </w:p>
    <w:p w14:paraId="64745216" w14:textId="17979E7F" w:rsidR="00E80BCE" w:rsidRPr="00897E28" w:rsidRDefault="00E80BCE" w:rsidP="6FB7994E">
      <w:pPr>
        <w:spacing w:before="120" w:after="120"/>
        <w:ind w:firstLine="1"/>
        <w:jc w:val="both"/>
        <w:rPr>
          <w:b/>
          <w:bCs/>
          <w:i/>
          <w:iCs/>
          <w:noProof/>
        </w:rPr>
      </w:pPr>
      <w:r>
        <w:t>Asmuo, kuris yra atskiras kandidatas / konkurso dalyvis / bendro dalyvavimo prašymo arba pasiūlymo narys / subrangovas, teikiantis arba dalyvaujantis teikiant dalyvavimo prašymą / pasiūlymą dėl pirmiau minėtos procedūros: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8"/>
        <w:gridCol w:w="750"/>
        <w:gridCol w:w="599"/>
        <w:gridCol w:w="1269"/>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deklaruoja, kad asmuo atitinka jam individualiai taikomus atrankos kriterijus:</w:t>
            </w:r>
          </w:p>
        </w:tc>
        <w:tc>
          <w:tcPr>
            <w:tcW w:w="704" w:type="dxa"/>
            <w:shd w:val="clear" w:color="auto" w:fill="auto"/>
          </w:tcPr>
          <w:p w14:paraId="13DAA78F" w14:textId="77777777" w:rsidR="00A551F6" w:rsidRDefault="00A551F6" w:rsidP="00C37A34">
            <w:pPr>
              <w:spacing w:before="240" w:after="120"/>
              <w:jc w:val="center"/>
              <w:rPr>
                <w:noProof/>
              </w:rPr>
            </w:pPr>
            <w:r>
              <w:t>TAIP</w:t>
            </w:r>
          </w:p>
        </w:tc>
        <w:tc>
          <w:tcPr>
            <w:tcW w:w="608" w:type="dxa"/>
            <w:shd w:val="clear" w:color="auto" w:fill="auto"/>
          </w:tcPr>
          <w:p w14:paraId="465AC66E" w14:textId="77777777" w:rsidR="00A551F6" w:rsidRDefault="00A551F6" w:rsidP="00C37A34">
            <w:pPr>
              <w:spacing w:before="240" w:after="120"/>
              <w:jc w:val="center"/>
              <w:rPr>
                <w:noProof/>
              </w:rPr>
            </w:pPr>
            <w:r>
              <w:t>NE</w:t>
            </w:r>
          </w:p>
        </w:tc>
        <w:tc>
          <w:tcPr>
            <w:tcW w:w="630" w:type="dxa"/>
            <w:shd w:val="clear" w:color="auto" w:fill="auto"/>
          </w:tcPr>
          <w:p w14:paraId="237B4D9E" w14:textId="77777777" w:rsidR="00A551F6" w:rsidRDefault="00A551F6" w:rsidP="00C37A34">
            <w:pPr>
              <w:spacing w:before="240" w:after="120"/>
              <w:jc w:val="center"/>
              <w:rPr>
                <w:noProof/>
              </w:rPr>
            </w:pPr>
            <w:r>
              <w:t>Netaikoma</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t>yra veiksnus ir teisnus vykdyti profesinę veiklą, būtiną sutarčiai vykdyti, kaip reikalaujama pirkimo specifikacijose;</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t>atitinka taikomus ekonominius ir finansinius kriterijus, nurodytus pirkimo specifikacijoje;</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t>atitinka taikomus techninius ir profesinius kriterijus, nurodytus pirkimo specifikacijose;</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t xml:space="preserve">II. Atrankos kriterijai. Profesiniai interesų konfliktai </w:t>
      </w:r>
    </w:p>
    <w:p w14:paraId="6D4253AB" w14:textId="6F28DDE5" w:rsidR="00850397" w:rsidRPr="00897E28" w:rsidRDefault="00850397" w:rsidP="00EE7E2B">
      <w:pPr>
        <w:spacing w:before="120" w:after="120"/>
        <w:ind w:firstLine="1"/>
        <w:rPr>
          <w:b/>
          <w:bCs/>
          <w:i/>
          <w:iCs/>
          <w:noProof/>
        </w:rPr>
      </w:pPr>
      <w:r>
        <w:rPr>
          <w:b/>
          <w:i/>
        </w:rPr>
        <w:t>(pildo visi susiję subjektai)</w:t>
      </w:r>
    </w:p>
    <w:p w14:paraId="4E52E5EC" w14:textId="27000ACC" w:rsidR="00850397" w:rsidRDefault="00850397" w:rsidP="00850397">
      <w:pPr>
        <w:jc w:val="both"/>
        <w:rPr>
          <w:b/>
          <w:bCs/>
          <w:u w:val="single"/>
        </w:rPr>
      </w:pPr>
      <w:r>
        <w:t xml:space="preserve">Asmuo, kuris yra atskiras kandidatas / konkurso dalyvis / bendro dalyvavimo prašymo arba pasiūlymo narys / subrangovas, teikiantis arba dalyvaujantis teikiant dalyvavimo prašymą / pasiūlymą dėl pirmiau minėtos procedūros: </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t xml:space="preserve">8) deklaruoja, kad asmuo: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TAIP</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NE</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t>yra patekęs į interesų konfliktą, kuris galėtų turėti neigiamos įtakos sutarties vykdymui.</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bl>
    <w:p w14:paraId="790CAC98" w14:textId="130FE33D" w:rsidR="00C4227A" w:rsidRDefault="00C4227A" w:rsidP="00C4227A">
      <w:pPr>
        <w:pStyle w:val="Title"/>
        <w:rPr>
          <w:noProof/>
        </w:rPr>
      </w:pPr>
      <w:r>
        <w:t xml:space="preserve">III. Įrodymai, susiję su atrankos kriterijais </w:t>
      </w:r>
    </w:p>
    <w:p w14:paraId="6C38D641" w14:textId="3F0D33E7" w:rsidR="00F04B97" w:rsidRDefault="00F04B97" w:rsidP="7F6CA770">
      <w:pPr>
        <w:spacing w:before="100" w:beforeAutospacing="1" w:after="100" w:afterAutospacing="1"/>
        <w:jc w:val="both"/>
      </w:pPr>
      <w:r>
        <w:t>Pirkimo specifikacijose išsamiai nurodyta, kokie įrodymai, kada ir kurio susijusios subjekto turi būti pateikti siekiant įrodyti, kad kandidatas / konkurso dalyvis atitinka atrankos kriterijus.</w:t>
      </w:r>
    </w:p>
    <w:p w14:paraId="1699FA0D" w14:textId="0C53EE83" w:rsidR="00F04B97" w:rsidRPr="00A64C2E" w:rsidRDefault="00F04B97" w:rsidP="00897E28">
      <w:pPr>
        <w:spacing w:before="100" w:beforeAutospacing="1" w:after="100" w:afterAutospacing="1"/>
        <w:jc w:val="both"/>
        <w:rPr>
          <w:noProof/>
        </w:rPr>
      </w:pPr>
      <w:r>
        <w:t xml:space="preserve">Jeigu nėra reikalaujama su dalyvavimo prašymu / pasiūlymu pateikti įrodymą, asmuo raginamas iš anksto parengti su tuo įrodymu susijusius dokumentus, nes perkančioji organizacija gali prašyti juos pateikti per trumpą laiką. </w:t>
      </w:r>
    </w:p>
    <w:p w14:paraId="1279E35F" w14:textId="2584B0D8" w:rsidR="0073022B" w:rsidRDefault="0073022B" w:rsidP="0073022B">
      <w:pPr>
        <w:spacing w:before="100" w:beforeAutospacing="1" w:after="100" w:afterAutospacing="1"/>
        <w:jc w:val="both"/>
      </w:pPr>
      <w:r>
        <w:lastRenderedPageBreak/>
        <w:t>Asmeniui nebūtina pateikti įrodymo, jei jis jau buvo pateiktas per kitą tos pačios perkančiosios organizacijos</w:t>
      </w:r>
      <w:r>
        <w:rPr>
          <w:rStyle w:val="FootnoteReference"/>
        </w:rPr>
        <w:footnoteReference w:id="6"/>
      </w:r>
      <w:r>
        <w:t xml:space="preserve"> sutarties skyrimo procedūrą ir dokumentai dar nėra pasenę.</w:t>
      </w:r>
    </w:p>
    <w:p w14:paraId="0FBE3FFA" w14:textId="51DD42D5" w:rsidR="00F04B97" w:rsidRDefault="00F04B97" w:rsidP="00897E28">
      <w:pPr>
        <w:spacing w:before="100" w:beforeAutospacing="1" w:after="100" w:afterAutospacing="1"/>
        <w:jc w:val="both"/>
      </w:pPr>
      <w:r>
        <w:t xml:space="preserve">Pasirašantis asmuo deklaruoja, kad asmuo jau pateikė patvirtinamuosius dokumentus per ankstesnę procedūrą, ir patvirtina, kad jo padėtis nepasikeitė: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t>Dokumentas</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Tiksli ankstesnės procedūros nuoroda</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t>Įterpti reikiamą eilučių skaičių.</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Asmeniui nebūtina pateikti įrodymo, jei su juo galima nemokamai susipažinti nacionalinėje duomenų bazėje. </w:t>
      </w:r>
    </w:p>
    <w:p w14:paraId="03A26509" w14:textId="77777777" w:rsidR="008B35EE" w:rsidRDefault="008B35EE" w:rsidP="00897E28">
      <w:pPr>
        <w:spacing w:before="100" w:beforeAutospacing="1" w:after="100" w:afterAutospacing="1"/>
        <w:jc w:val="both"/>
      </w:pPr>
      <w:r>
        <w:t>Pasirašantis asmuo deklaruoja, kad su reikalaujamu įrodymu galima susipažinti toliau nurodytu duomenų bazės interneto adresu / naudojantis toliau nurodytais identifikavimo duomenimis.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Duomenų bazės interneto adresas</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Dokumento identifikavimo duomenys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Įterpti reikiamą eilučių skaičių.</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t xml:space="preserve">Priesaikos deklaracija dėl nustatytos skolos Sąjungai </w:t>
      </w:r>
    </w:p>
    <w:p w14:paraId="1DCBB562" w14:textId="03CF733F" w:rsidR="006B2B45" w:rsidRPr="006B0A89" w:rsidRDefault="0013073C" w:rsidP="6FB7994E">
      <w:pPr>
        <w:spacing w:before="120" w:after="120"/>
        <w:jc w:val="both"/>
        <w:rPr>
          <w:b/>
          <w:bCs/>
          <w:i/>
          <w:iCs/>
          <w:noProof/>
        </w:rPr>
      </w:pPr>
      <w:r>
        <w:rPr>
          <w:b/>
          <w:i/>
        </w:rPr>
        <w:t xml:space="preserve"> (pildo atskiras kandidatas / konkurso dalyvis arba kiekvienas grupės narys, jei teikiamas bendras dalyvavimo prašymas / pasiūlymas)</w:t>
      </w:r>
    </w:p>
    <w:p w14:paraId="5915DC59" w14:textId="752F5BD7" w:rsidR="00EE7E2B" w:rsidRDefault="00EE7E2B" w:rsidP="00EE7E2B">
      <w:pPr>
        <w:jc w:val="both"/>
        <w:rPr>
          <w:noProof/>
        </w:rPr>
      </w:pPr>
      <w:r>
        <w:t>Asmuo, kuris yra atskiras kandidatas, konkurso dalyvis arba bendro dalyvavimo prašymo / pasiūlymo narys, jei dėl pirmiau minėtos procedūros teikiamas bendras dalyvavimo prašymas / pasiūlymas:</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deklaruoja, kad asmuo:</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TAIP</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NE</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a) turi nustatytą skolą Sąjungai, Europos atominės energijos bendrijai arba vykdomajai įstaigai, kai pastaroji vykdo Sąjungos biudžetą.</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t xml:space="preserve">Priesaikos deklaracija dėl pateikto pasiūlymo </w:t>
      </w:r>
    </w:p>
    <w:p w14:paraId="7D66B10A" w14:textId="0B06DCCD" w:rsidR="00765179" w:rsidRPr="000C6B51" w:rsidRDefault="00765179" w:rsidP="570F7154">
      <w:pPr>
        <w:spacing w:beforeAutospacing="1" w:afterAutospacing="1"/>
        <w:jc w:val="both"/>
        <w:rPr>
          <w:b/>
          <w:bCs/>
          <w:i/>
          <w:iCs/>
          <w:noProof/>
        </w:rPr>
      </w:pPr>
      <w:r>
        <w:rPr>
          <w:b/>
          <w:i/>
        </w:rPr>
        <w:t>(individualiai pildo atskiras kandidatas / konkurso dalyvis arba grupės vadovas, jei teikiamas bendras dalyvavimo prašymas / pasiūlymas)</w:t>
      </w:r>
    </w:p>
    <w:p w14:paraId="44652C08" w14:textId="3F669C66" w:rsidR="743C92D7" w:rsidRDefault="743C92D7" w:rsidP="570F7154">
      <w:pPr>
        <w:spacing w:beforeAutospacing="1" w:afterAutospacing="1"/>
        <w:jc w:val="both"/>
      </w:pPr>
      <w:r>
        <w:t>Jeigu pirkimas, dėl kurio organizuojama procedūra, suskirstytas į dalis, šios D dalies pareiškimai teikiami dėl tos (-ų) dalies (-ių), dėl kurios (-ių) teikiamas dalyvavimo prašymas / pasiūlymas.</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0"/>
        <w:gridCol w:w="750"/>
        <w:gridCol w:w="756"/>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deklaruoja, kad asmuo:</w:t>
            </w:r>
          </w:p>
        </w:tc>
        <w:tc>
          <w:tcPr>
            <w:tcW w:w="670" w:type="dxa"/>
            <w:shd w:val="clear" w:color="auto" w:fill="auto"/>
          </w:tcPr>
          <w:p w14:paraId="59250AC2" w14:textId="77777777" w:rsidR="000F6EA2" w:rsidRDefault="000F6EA2" w:rsidP="00C54FCE">
            <w:pPr>
              <w:spacing w:before="240" w:after="120"/>
              <w:jc w:val="center"/>
              <w:rPr>
                <w:noProof/>
              </w:rPr>
            </w:pPr>
            <w:r>
              <w:t>TAIP</w:t>
            </w:r>
          </w:p>
        </w:tc>
        <w:tc>
          <w:tcPr>
            <w:tcW w:w="759" w:type="dxa"/>
            <w:shd w:val="clear" w:color="auto" w:fill="auto"/>
          </w:tcPr>
          <w:p w14:paraId="7D1AA4B7" w14:textId="77777777" w:rsidR="000F6EA2" w:rsidRDefault="000F6EA2" w:rsidP="00C54FCE">
            <w:pPr>
              <w:spacing w:before="240" w:after="120"/>
              <w:jc w:val="center"/>
              <w:rPr>
                <w:noProof/>
              </w:rPr>
            </w:pPr>
            <w:r>
              <w:t>NE</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t xml:space="preserve">a) </w:t>
            </w:r>
            <w:r>
              <w:rPr>
                <w:rFonts w:ascii="Arial" w:hAnsi="Arial"/>
              </w:rPr>
              <w:t>[</w:t>
            </w:r>
            <w:r>
              <w:t>parengė pateiktą pasiūlymą</w:t>
            </w:r>
            <w:r>
              <w:rPr>
                <w:rFonts w:ascii="Arial" w:hAnsi="Arial"/>
              </w:rPr>
              <w:t>]</w:t>
            </w:r>
            <w:r>
              <w:t xml:space="preserve"> </w:t>
            </w:r>
            <w:r>
              <w:rPr>
                <w:rFonts w:ascii="Arial" w:hAnsi="Arial"/>
              </w:rPr>
              <w:t>[</w:t>
            </w:r>
            <w:r>
              <w:t>įsipareigoja parengti pasiūlymą (jei bus pakviestas jį pateikti)</w:t>
            </w:r>
            <w:r>
              <w:rPr>
                <w:rFonts w:ascii="Arial" w:hAnsi="Arial"/>
              </w:rPr>
              <w:t>]</w:t>
            </w:r>
            <w:r>
              <w:t xml:space="preserve"> visiškai nepriklausomai ir atskirai nuo kitų pasiūlymų, pateiktų per tą pačią viešųjų pirkimų procedūrą.</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F6AC9">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rPr>
        <w:lastRenderedPageBreak/>
        <w:t>Asmuo privalo nedelsdamas informuoti perkančiąją organizaciją apie situacijos, kuri buvo deklaruota, pasikeitimus.</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Pr>
          <w:b/>
          <w:i/>
        </w:rPr>
        <w:t>Asmuo gali būti pašalintas iš šios procedūros ir jam gali būti skirtos administracinės nuobaudos (draudimas dalyvauti procedūroje arba finansinės nuobaudos), jei bus nustatyta, kad deklaruota informacija ar pateikti duomenys, kurie turi būti pateikiami norint dalyvauti šioje procedūroje, yra neteisingi.</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t>Vardas ir pavardė:</w:t>
      </w:r>
      <w:r>
        <w:tab/>
      </w:r>
    </w:p>
    <w:p w14:paraId="4F5C3CA0" w14:textId="4ADE4B77" w:rsidR="00522736" w:rsidRDefault="00DA410F" w:rsidP="004A4B4A">
      <w:pPr>
        <w:tabs>
          <w:tab w:val="left" w:pos="4395"/>
          <w:tab w:val="left" w:pos="7797"/>
        </w:tabs>
        <w:spacing w:before="40" w:after="40"/>
        <w:jc w:val="both"/>
        <w:rPr>
          <w:noProof/>
        </w:rPr>
      </w:pPr>
      <w:r>
        <w:t>Data:</w:t>
      </w:r>
      <w:r>
        <w:tab/>
      </w:r>
    </w:p>
    <w:p w14:paraId="16F448F0" w14:textId="42F52720" w:rsidR="00DA410F" w:rsidRPr="00F76ABA" w:rsidRDefault="00DA410F" w:rsidP="004A4B4A">
      <w:pPr>
        <w:tabs>
          <w:tab w:val="left" w:pos="4395"/>
          <w:tab w:val="left" w:pos="7797"/>
        </w:tabs>
        <w:spacing w:before="40" w:after="40"/>
        <w:jc w:val="both"/>
        <w:rPr>
          <w:noProof/>
        </w:rPr>
      </w:pPr>
      <w:r>
        <w:t>Parašas:</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highlight w:val="lightGray"/>
        </w:rPr>
        <w:t>Ši deklaracija turi būti pasirašyta:</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highlight w:val="lightGray"/>
        </w:rPr>
        <w:t>Elektroniniu parašu (rekomenduojamas variantas)</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highlight w:val="lightGray"/>
        </w:rPr>
        <w:t xml:space="preserve">Jeigu turite galimybę deklaraciją pasirašyti kvalifikuotu elektroniniu parašu, prašom užtikrinti, kad jūsų įgaliotasis (-ieji) atstovas (-ai) ją pasirašytų elektroniniu būdu. Atkreipiame dėmesį, kad bus pripažįstamas tik toks kvalifikuotas elektroninis parašas, koks apibrėžtas Reglamente (ES) Nr. 910/2014 (eIDAS reglamente).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highlight w:val="lightGray"/>
        </w:rPr>
        <w:t>Prieš grąžindami elektroniniu būdu pasirašytą dokumentą, parašą ir sertifikato galiojimą prašom patikrinti viena iš toliau nurodytų priemonių:</w:t>
      </w:r>
    </w:p>
    <w:p w14:paraId="51E4A90D" w14:textId="77777777" w:rsidR="00454D84" w:rsidRPr="002870DB" w:rsidRDefault="00454D84">
      <w:pPr>
        <w:pStyle w:val="ListParagraph"/>
        <w:numPr>
          <w:ilvl w:val="0"/>
          <w:numId w:val="32"/>
        </w:numPr>
        <w:rPr>
          <w:i/>
          <w:iCs/>
          <w:highlight w:val="lightGray"/>
        </w:rPr>
      </w:pPr>
      <w:r>
        <w:rPr>
          <w:i/>
          <w:highlight w:val="lightGray"/>
        </w:rPr>
        <w:t xml:space="preserve">priemone „DSS Demonstration validation“, kurią galima rasti </w:t>
      </w:r>
      <w:hyperlink r:id="rId12" w:history="1">
        <w:r>
          <w:rPr>
            <w:highlight w:val="lightGray"/>
          </w:rPr>
          <w:t>https://ec.europa.eu/cefdigital/DSS/webapp-demo/validation</w:t>
        </w:r>
      </w:hyperlink>
      <w:r>
        <w:t xml:space="preserve"> </w:t>
      </w:r>
      <w:r>
        <w:rPr>
          <w:i/>
          <w:highlight w:val="lightGray"/>
        </w:rPr>
        <w:t>(nurodžius dokumente esančių galiojančių parašų skaičių ir rūšį, šia priemone galima pasitikrinti sertifikato galiojimą).</w:t>
      </w:r>
    </w:p>
    <w:p w14:paraId="4C363E86" w14:textId="114D5DCB" w:rsidR="00454D84" w:rsidRPr="002870DB" w:rsidRDefault="00454D84" w:rsidP="00F556E0">
      <w:pPr>
        <w:pStyle w:val="ListParagraph"/>
        <w:numPr>
          <w:ilvl w:val="0"/>
          <w:numId w:val="32"/>
        </w:numPr>
        <w:rPr>
          <w:i/>
          <w:iCs/>
          <w:highlight w:val="lightGray"/>
        </w:rPr>
      </w:pPr>
      <w:r>
        <w:rPr>
          <w:i/>
          <w:highlight w:val="lightGray"/>
        </w:rPr>
        <w:t xml:space="preserve">Pasitikrinti, ar elektroninio parašo paslaugos teikėjas ir jo teikiamos patikimumo užtikrinimo paslaugos yra įtraukti į Europos Sąjungos patikimą sąrašą, galima naudojantis ES priemone „Trusted List Browser“, </w:t>
      </w:r>
      <w:hyperlink r:id="rId13" w:anchor="/screen/home" w:history="1">
        <w:r>
          <w:rPr>
            <w:i/>
            <w:highlight w:val="lightGray"/>
          </w:rPr>
          <w:t>https://esignature.ec.europa.eu/efda/tl-browser/#/screen/home</w:t>
        </w:r>
      </w:hyperlink>
      <w:r>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highlight w:val="lightGray"/>
        </w:rPr>
        <w:t>Siekdami užtikrinti, kad jūsų naudojamas kvalifikuotas elektroninis parašas atitiktų eIDAS reglamento reikalavimus, turite įsitikinti, kad tiek paslaugos teikėjas, tiek naudojama kvalifikuoto sertifikato sukūrimo paslauga būtų įtraukti į ES priemonę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highlight w:val="lightGray"/>
        </w:rPr>
        <w:t>Rašytiniu parašu</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highlight w:val="lightGray"/>
        </w:rPr>
        <w:t>Jeigu neturite galimybės deklaracijos pasirašyti kvalifikuotu elektroniniu parašu, prašom ją užpildyti elektroniniu būdu, atspausdinti ir užtikrinti, kad jūsų įgaliotasis atstovas (-ai) ją pasirašytų ir datuotų ranka.</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0398CE98" w:rsidR="00585B73" w:rsidRDefault="00585B73" w:rsidP="00370A7F">
            <w:pPr>
              <w:pStyle w:val="Footer"/>
              <w:jc w:val="center"/>
            </w:pPr>
            <w:r>
              <w:rPr>
                <w:sz w:val="20"/>
              </w:rPr>
              <w:fldChar w:fldCharType="begin"/>
            </w:r>
            <w:r>
              <w:rPr>
                <w:sz w:val="20"/>
              </w:rPr>
              <w:instrText xml:space="preserve"> PAGE </w:instrText>
            </w:r>
            <w:r>
              <w:rPr>
                <w:sz w:val="20"/>
              </w:rPr>
              <w:fldChar w:fldCharType="separate"/>
            </w:r>
            <w:r w:rsidR="006C1E6B">
              <w:rPr>
                <w:noProof/>
                <w:sz w:val="20"/>
              </w:rPr>
              <w:t>9</w:t>
            </w:r>
            <w:r>
              <w:rPr>
                <w:sz w:val="20"/>
              </w:rPr>
              <w:fldChar w:fldCharType="end"/>
            </w:r>
            <w:r>
              <w:t xml:space="preserve"> iš </w:t>
            </w:r>
            <w:r>
              <w:rPr>
                <w:sz w:val="20"/>
              </w:rPr>
              <w:fldChar w:fldCharType="begin"/>
            </w:r>
            <w:r>
              <w:rPr>
                <w:sz w:val="20"/>
              </w:rPr>
              <w:instrText xml:space="preserve"> NUMPAGES  </w:instrText>
            </w:r>
            <w:r>
              <w:rPr>
                <w:sz w:val="20"/>
              </w:rPr>
              <w:fldChar w:fldCharType="separate"/>
            </w:r>
            <w:r w:rsidR="006C1E6B">
              <w:rPr>
                <w:noProof/>
                <w:sz w:val="20"/>
              </w:rPr>
              <w:t>9</w:t>
            </w:r>
            <w:r>
              <w:rPr>
                <w:sz w:val="20"/>
              </w:rPr>
              <w:fldChar w:fldCharType="end"/>
            </w:r>
            <w:r>
              <w:t xml:space="preserve"> p.</w:t>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Tos pačios ES institucijos, agentūros, įstaigos arba organo. </w:t>
      </w:r>
    </w:p>
  </w:footnote>
  <w:footnote w:id="3">
    <w:p w14:paraId="77A259E1" w14:textId="37F9C71D" w:rsidR="00585B73" w:rsidRPr="00B74CFF" w:rsidRDefault="00585B73" w:rsidP="004C0A40">
      <w:pPr>
        <w:rPr>
          <w:spacing w:val="-3"/>
          <w:sz w:val="20"/>
          <w:szCs w:val="20"/>
        </w:rPr>
      </w:pPr>
      <w:r>
        <w:rPr>
          <w:rStyle w:val="FootnoteReference"/>
          <w:sz w:val="20"/>
          <w:szCs w:val="20"/>
        </w:rPr>
        <w:footnoteRef/>
      </w:r>
      <w:r>
        <w:rPr>
          <w:b/>
          <w:sz w:val="20"/>
        </w:rPr>
        <w:t>Susijęs subjektas</w:t>
      </w:r>
      <w:r>
        <w:rPr>
          <w:sz w:val="20"/>
        </w:rPr>
        <w:t xml:space="preserve"> – kiekvienas ekonominės veiklos vykdytojas, susijęs su dalyvavimo prašymu / pasiūlymu. Čia įeina šios keturios ekonominės veiklos vykdytojų kategorijos:</w:t>
      </w:r>
    </w:p>
    <w:p w14:paraId="2A5F011B" w14:textId="797285D5" w:rsidR="00585B73" w:rsidRPr="00B74CFF" w:rsidRDefault="00585B73" w:rsidP="004C0A40">
      <w:pPr>
        <w:pStyle w:val="ListParagraph"/>
        <w:numPr>
          <w:ilvl w:val="0"/>
          <w:numId w:val="52"/>
        </w:numPr>
        <w:contextualSpacing w:val="0"/>
        <w:jc w:val="both"/>
        <w:rPr>
          <w:spacing w:val="-3"/>
          <w:sz w:val="20"/>
          <w:szCs w:val="20"/>
        </w:rPr>
      </w:pPr>
      <w:r>
        <w:rPr>
          <w:sz w:val="20"/>
        </w:rPr>
        <w:t xml:space="preserve">atskiras kandidatas / konkurso dalyvis; </w:t>
      </w:r>
    </w:p>
    <w:p w14:paraId="19BA1FBC" w14:textId="0458761C" w:rsidR="00585B73" w:rsidRPr="00B74CFF" w:rsidRDefault="00585B73" w:rsidP="004C0A40">
      <w:pPr>
        <w:pStyle w:val="ListParagraph"/>
        <w:numPr>
          <w:ilvl w:val="0"/>
          <w:numId w:val="52"/>
        </w:numPr>
        <w:spacing w:before="100" w:beforeAutospacing="1" w:after="100" w:afterAutospacing="1"/>
        <w:contextualSpacing w:val="0"/>
        <w:jc w:val="both"/>
        <w:rPr>
          <w:spacing w:val="-3"/>
          <w:sz w:val="20"/>
          <w:szCs w:val="20"/>
        </w:rPr>
      </w:pPr>
      <w:r>
        <w:rPr>
          <w:sz w:val="20"/>
        </w:rPr>
        <w:t xml:space="preserve">grupės nariai (įskaitant grupės vadovą), jei teikiamas bendras dalyvavimo prašymas / pasiūlymas; </w:t>
      </w:r>
    </w:p>
    <w:p w14:paraId="1460283F" w14:textId="114CC700" w:rsidR="00585B73" w:rsidRPr="00B74CFF" w:rsidRDefault="00585B73" w:rsidP="004C0A40">
      <w:pPr>
        <w:pStyle w:val="ListParagraph"/>
        <w:numPr>
          <w:ilvl w:val="0"/>
          <w:numId w:val="52"/>
        </w:numPr>
        <w:contextualSpacing w:val="0"/>
        <w:jc w:val="both"/>
        <w:rPr>
          <w:spacing w:val="-3"/>
          <w:sz w:val="20"/>
          <w:szCs w:val="20"/>
        </w:rPr>
      </w:pPr>
      <w:r>
        <w:rPr>
          <w:sz w:val="20"/>
        </w:rPr>
        <w:t xml:space="preserve">nurodytieji subrangovai; ir </w:t>
      </w:r>
    </w:p>
    <w:p w14:paraId="47F4AE29" w14:textId="50B7CA17" w:rsidR="00585B73" w:rsidRPr="00B74CFF" w:rsidRDefault="00585B73" w:rsidP="004C0A40">
      <w:pPr>
        <w:pStyle w:val="ListParagraph"/>
        <w:numPr>
          <w:ilvl w:val="0"/>
          <w:numId w:val="52"/>
        </w:numPr>
        <w:contextualSpacing w:val="0"/>
        <w:jc w:val="both"/>
        <w:rPr>
          <w:spacing w:val="-3"/>
          <w:sz w:val="20"/>
          <w:szCs w:val="20"/>
        </w:rPr>
      </w:pPr>
      <w:r>
        <w:rPr>
          <w:sz w:val="20"/>
        </w:rPr>
        <w:t>kiti subjektai (kurie nėra subrangovai), kurių pajėgumais kandidatas / konkurso dalyvis remiasi, kad atitiktų atrankos kriterijus.</w:t>
      </w:r>
    </w:p>
    <w:p w14:paraId="5BE9C146" w14:textId="10CA3A5B" w:rsidR="00585B73" w:rsidRPr="006C1E6B" w:rsidRDefault="00585B73" w:rsidP="004C0A40">
      <w:pPr>
        <w:pStyle w:val="FootnoteText"/>
        <w:ind w:left="0" w:firstLine="0"/>
      </w:pPr>
    </w:p>
  </w:footnote>
  <w:footnote w:id="4">
    <w:p w14:paraId="60E27032" w14:textId="05EBE0E1" w:rsidR="00585B73" w:rsidRPr="00295BCF" w:rsidRDefault="00585B73" w:rsidP="00295BCF">
      <w:pPr>
        <w:pStyle w:val="FootnoteText"/>
        <w:ind w:left="0" w:firstLine="0"/>
      </w:pPr>
      <w:r>
        <w:rPr>
          <w:rStyle w:val="FootnoteReference"/>
        </w:rPr>
        <w:footnoteRef/>
      </w:r>
      <w:r>
        <w:t xml:space="preserve"> Deklaracija pagal šią 2 dalį yra savanoriška ir negali turėti neigiamo teisinio poveikio ekonominės veiklos vykdytojui, kol tenkinamos FR 141 straipsnio 1 dalies a punkte nustatytos sąlygos.</w:t>
      </w:r>
    </w:p>
  </w:footnote>
  <w:footnote w:id="5">
    <w:p w14:paraId="79038C83" w14:textId="46E5ADA1" w:rsidR="00585B73" w:rsidRPr="00EA6BA4" w:rsidRDefault="00585B73">
      <w:pPr>
        <w:pStyle w:val="FootnoteText"/>
      </w:pPr>
      <w:r>
        <w:rPr>
          <w:rStyle w:val="FootnoteReference"/>
        </w:rPr>
        <w:footnoteRef/>
      </w:r>
      <w:r>
        <w:t xml:space="preserve"> Tos pačios ES institucijos, agentūros, įstaigos arba organo.</w:t>
      </w:r>
    </w:p>
  </w:footnote>
  <w:footnote w:id="6">
    <w:p w14:paraId="691476B8" w14:textId="175A7801" w:rsidR="00585B73" w:rsidRPr="00EA6BA4" w:rsidRDefault="00585B73" w:rsidP="0073022B">
      <w:pPr>
        <w:pStyle w:val="FootnoteText"/>
      </w:pPr>
      <w:r>
        <w:rPr>
          <w:rStyle w:val="FootnoteReference"/>
        </w:rPr>
        <w:footnoteRef/>
      </w:r>
      <w:r>
        <w:t xml:space="preserve"> Tos pačios ES institucijos, agentūros, įstaigos arba organo.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585B73" w:rsidRDefault="00585B73" w:rsidP="001D72E4">
    <w:pPr>
      <w:pStyle w:val="Header"/>
      <w:jc w:val="right"/>
      <w:rPr>
        <w:sz w:val="20"/>
        <w:szCs w:val="20"/>
      </w:rPr>
    </w:pPr>
    <w:r>
      <w:rPr>
        <w:sz w:val="20"/>
      </w:rPr>
      <w:t>2022 m. liepos mėn. versija</w:t>
    </w:r>
  </w:p>
  <w:p w14:paraId="42189F54" w14:textId="77777777" w:rsidR="00585B73" w:rsidRDefault="005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rPr>
    </w:pPr>
    <w:r>
      <w:rPr>
        <w:sz w:val="20"/>
      </w:rPr>
      <w:t>2022 m. liepos mėn. versija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89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AC9"/>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0722E"/>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1E6B"/>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lt-LT"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lt-LT"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lt-LT"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lt-LT"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lt-LT"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7409E-AA5B-4D95-8C31-4FCB681F3576}">
  <ds:schemaRefs>
    <ds:schemaRef ds:uri="http://schemas.openxmlformats.org/officeDocument/2006/bibliography"/>
  </ds:schemaRefs>
</ds:datastoreItem>
</file>

<file path=customXml/itemProps2.xml><?xml version="1.0" encoding="utf-8"?>
<ds:datastoreItem xmlns:ds="http://schemas.openxmlformats.org/officeDocument/2006/customXml" ds:itemID="{CC78E283-07B6-4677-B0CA-86BCC92994C6}">
  <ds:schemaRefs>
    <ds:schemaRef ds:uri="http://schemas.microsoft.com/office/2006/documentManagement/types"/>
    <ds:schemaRef ds:uri="b1901b91-65c1-4a2f-841b-cc424925e6d8"/>
    <ds:schemaRef ds:uri="http://schemas.openxmlformats.org/package/2006/metadata/core-properties"/>
    <ds:schemaRef ds:uri="http://purl.org/dc/elements/1.1/"/>
    <ds:schemaRef ds:uri="http://schemas.microsoft.com/office/2006/metadata/properties"/>
    <ds:schemaRef ds:uri="0c251cd7-9b02-4ee5-868f-f820bb07042c"/>
    <ds:schemaRef ds:uri="http://schemas.microsoft.com/office/infopath/2007/PartnerControls"/>
    <ds:schemaRef ds:uri="http://purl.org/dc/dcmitype/"/>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1E3C191D-677B-4B16-8032-6DEFA1C1E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2826</Words>
  <Characters>19192</Characters>
  <Application>Microsoft Office Word</Application>
  <DocSecurity>4</DocSecurity>
  <Lines>518</Lines>
  <Paragraphs>310</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2022-12-16T11:26:00Z</dcterms:created>
  <dcterms:modified xsi:type="dcterms:W3CDTF">2022-12-16T11:26:00Z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