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Izjava o</w:t>
      </w:r>
      <w:r>
        <w:rPr>
          <w:b/>
          <w:sz w:val="28"/>
        </w:rPr>
        <w:br/>
        <w:t>kriterijima za isključenje i kriterijima za odabir</w:t>
      </w:r>
    </w:p>
    <w:p w14:paraId="1A26E185" w14:textId="206E0B8A" w:rsidR="00702372" w:rsidRPr="00370A7F" w:rsidRDefault="00702372" w:rsidP="00370A7F">
      <w:pPr>
        <w:spacing w:before="100" w:beforeAutospacing="1" w:after="100" w:afterAutospacing="1"/>
        <w:jc w:val="both"/>
        <w:rPr>
          <w:b/>
          <w:bCs/>
        </w:rPr>
      </w:pPr>
      <w:r>
        <w:rPr>
          <w:b/>
        </w:rPr>
        <w:t>Referentni broj postupka:</w:t>
      </w:r>
    </w:p>
    <w:p w14:paraId="60A66E87" w14:textId="242ECE30" w:rsidR="00702372" w:rsidRPr="00370A7F" w:rsidRDefault="00702372" w:rsidP="7F6CA770">
      <w:pPr>
        <w:spacing w:before="100" w:beforeAutospacing="1" w:after="100" w:afterAutospacing="1"/>
        <w:jc w:val="both"/>
        <w:rPr>
          <w:b/>
          <w:bCs/>
        </w:rPr>
      </w:pPr>
      <w:r>
        <w:rPr>
          <w:b/>
        </w:rPr>
        <w:t>Naslov postupka:</w:t>
      </w:r>
    </w:p>
    <w:p w14:paraId="03B168D8" w14:textId="3C04CAF4" w:rsidR="00702372" w:rsidRDefault="00702372" w:rsidP="7F6CA770">
      <w:pPr>
        <w:spacing w:beforeAutospacing="1" w:afterAutospacing="1"/>
        <w:jc w:val="both"/>
        <w:rPr>
          <w:i/>
          <w:iCs/>
          <w:noProof/>
          <w:highlight w:val="lightGray"/>
        </w:rPr>
      </w:pPr>
      <w:r>
        <w:rPr>
          <w:i/>
          <w:highlight w:val="lightGray"/>
        </w:rPr>
        <w:t>[Opcija 1 za pravne osobe]</w:t>
      </w:r>
    </w:p>
    <w:p w14:paraId="11F056D1" w14:textId="45B7275C" w:rsidR="00DA410F" w:rsidRDefault="00DA410F" w:rsidP="7F6CA770">
      <w:pPr>
        <w:jc w:val="both"/>
        <w:rPr>
          <w:noProof/>
        </w:rPr>
      </w:pPr>
      <w:r>
        <w:t>Dolje potpisana osoba [</w:t>
      </w:r>
      <w:r>
        <w:rPr>
          <w:i/>
          <w:highlight w:val="lightGray"/>
        </w:rPr>
        <w:t>unijeti ime i prezime potpisnika ovog obrasca</w:t>
      </w:r>
      <w:r>
        <w:t>], koja zastupa sljedeću pravnu osobu:</w:t>
      </w:r>
    </w:p>
    <w:p w14:paraId="629278CB" w14:textId="77777777" w:rsidR="7F6CA770" w:rsidRDefault="7F6CA770"/>
    <w:p w14:paraId="556E93A3" w14:textId="7FA43BB3" w:rsidR="00D17C08" w:rsidRDefault="00D17C08" w:rsidP="7F6CA770">
      <w:pPr>
        <w:rPr>
          <w:b/>
          <w:bCs/>
        </w:rPr>
      </w:pPr>
      <w:r>
        <w:t>Puni službeni naziv:</w:t>
      </w:r>
    </w:p>
    <w:p w14:paraId="60A1F64A" w14:textId="32A8BCF0" w:rsidR="00D17C08" w:rsidRDefault="00D17C08">
      <w:r>
        <w:t>Službeni pravni oblik:</w:t>
      </w:r>
    </w:p>
    <w:p w14:paraId="775FC49B" w14:textId="77777777" w:rsidR="00D17C08" w:rsidRDefault="00D17C08" w:rsidP="7F6CA770">
      <w:pPr>
        <w:rPr>
          <w:b/>
          <w:bCs/>
        </w:rPr>
      </w:pPr>
      <w:r>
        <w:t>Broj upisa u registar poslovnih subjekata:</w:t>
      </w:r>
      <w:r>
        <w:rPr>
          <w:b/>
        </w:rPr>
        <w:t xml:space="preserve"> </w:t>
      </w:r>
    </w:p>
    <w:p w14:paraId="3AE2909A" w14:textId="77777777" w:rsidR="00D17C08" w:rsidRDefault="00D17C08" w:rsidP="7F6CA770">
      <w:pPr>
        <w:rPr>
          <w:b/>
          <w:bCs/>
        </w:rPr>
      </w:pPr>
      <w:r>
        <w:t xml:space="preserve">Puna službena adresa: </w:t>
      </w:r>
    </w:p>
    <w:p w14:paraId="69884DE8" w14:textId="77777777" w:rsidR="00D17C08" w:rsidRDefault="00D17C08">
      <w:r>
        <w:t xml:space="preserve">PDV broj: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U nastavku </w:t>
      </w:r>
      <w:r>
        <w:rPr>
          <w:b/>
        </w:rPr>
        <w:t>„osoba”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[Opcija 2 za fizičke osobe]</w:t>
      </w:r>
    </w:p>
    <w:p w14:paraId="63C4093D" w14:textId="66FB4351" w:rsidR="00D17C08" w:rsidRDefault="00D17C08" w:rsidP="7F6CA770">
      <w:pPr>
        <w:jc w:val="both"/>
        <w:rPr>
          <w:noProof/>
        </w:rPr>
      </w:pPr>
      <w:r>
        <w:t>Dolje potpisana osoba [</w:t>
      </w:r>
      <w:r>
        <w:rPr>
          <w:i/>
          <w:highlight w:val="lightGray"/>
        </w:rPr>
        <w:t>unijeti ime i prezime potpisnika ovog obrasca</w:t>
      </w:r>
      <w:r>
        <w:t>], s brojem osobne iskaznice ili putovnice [</w:t>
      </w:r>
      <w:r>
        <w:rPr>
          <w:i/>
          <w:highlight w:val="lightGray"/>
        </w:rPr>
        <w:t>unijeti broj</w:t>
      </w:r>
      <w:r>
        <w:t>], koja zastupa samu sebe:</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U nastavku </w:t>
      </w:r>
      <w:r>
        <w:rPr>
          <w:b/>
        </w:rPr>
        <w:t>„osoba”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Izjava o kriterijima za isključenje</w:t>
      </w:r>
    </w:p>
    <w:p w14:paraId="67F47E4E" w14:textId="637AF68D" w:rsidR="00B74CFF" w:rsidRDefault="007F3628" w:rsidP="00370A7F">
      <w:pPr>
        <w:spacing w:before="100" w:beforeAutospacing="1" w:after="100" w:afterAutospacing="1"/>
        <w:jc w:val="both"/>
      </w:pPr>
      <w:r>
        <w:t>Osoba nije dužna ispuniti ovaj dio A izjave (</w:t>
      </w:r>
      <w:r>
        <w:tab/>
        <w:t>izjava o kriterijima za isključenje) ako je ista izjava već dostavljena za potrebe drugog postupka dodjele istog javnog naručitelja</w:t>
      </w:r>
      <w:r w:rsidR="009857B0">
        <w:rPr>
          <w:rStyle w:val="FootnoteReference"/>
        </w:rPr>
        <w:footnoteReference w:id="2"/>
      </w:r>
      <w:r>
        <w:t>, pod uvjetom da se situacija nije promijenila i da od datuma izdavanja izjave nije prošlo više od godinu dana.</w:t>
      </w:r>
    </w:p>
    <w:p w14:paraId="64B20EEE" w14:textId="78AEE0D7" w:rsidR="00AE5C0E" w:rsidRDefault="00AE5C0E" w:rsidP="051D3D6B">
      <w:pPr>
        <w:spacing w:before="100" w:beforeAutospacing="1" w:after="100" w:afterAutospacing="1"/>
        <w:jc w:val="both"/>
      </w:pPr>
      <w:r>
        <w:t xml:space="preserve">U tom slučaju potpisnik izjavljuje da je osoba već dostavila tu izjavu o kriterijima za isključenje za prethodni postupak i potvrđuje da se njezina situacija nije promijenila: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Datum izjave</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Potpuno upućivanje na prethodni postupak</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Situacije za isključenje osobe</w:t>
      </w:r>
    </w:p>
    <w:p w14:paraId="368816DB" w14:textId="1E6A9513" w:rsidR="00CD4DDC" w:rsidRPr="00897E28" w:rsidRDefault="00CD4A13" w:rsidP="7F6CA770">
      <w:pPr>
        <w:spacing w:before="120" w:after="120"/>
        <w:ind w:firstLine="1"/>
        <w:jc w:val="both"/>
        <w:rPr>
          <w:b/>
          <w:bCs/>
          <w:i/>
          <w:iCs/>
          <w:noProof/>
        </w:rPr>
      </w:pPr>
      <w:r>
        <w:rPr>
          <w:b/>
          <w:i/>
        </w:rPr>
        <w:lastRenderedPageBreak/>
        <w:t>(ispunjavaju svi uključeni subjekti</w:t>
      </w:r>
      <w:r w:rsidR="002523BC">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izjavljuje da se nalazi u nekoj od sljedećih situacija:</w:t>
            </w:r>
          </w:p>
        </w:tc>
        <w:tc>
          <w:tcPr>
            <w:tcW w:w="930" w:type="dxa"/>
          </w:tcPr>
          <w:p w14:paraId="16F44831" w14:textId="77777777" w:rsidR="00F7691A" w:rsidRDefault="00F7691A" w:rsidP="006B0A89">
            <w:pPr>
              <w:spacing w:before="40" w:after="40"/>
              <w:ind w:left="142"/>
              <w:jc w:val="center"/>
              <w:rPr>
                <w:noProof/>
              </w:rPr>
            </w:pPr>
            <w:r>
              <w:t>DA</w:t>
            </w:r>
          </w:p>
        </w:tc>
        <w:tc>
          <w:tcPr>
            <w:tcW w:w="825" w:type="dxa"/>
          </w:tcPr>
          <w:p w14:paraId="16F44832" w14:textId="77777777" w:rsidR="00F7691A" w:rsidRDefault="00F7691A" w:rsidP="006B0A89">
            <w:pPr>
              <w:spacing w:before="40" w:after="40"/>
              <w:ind w:left="142"/>
              <w:jc w:val="center"/>
              <w:rPr>
                <w:noProof/>
              </w:rPr>
            </w:pPr>
            <w:r>
              <w:t>NE</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u stečaju je, podliježe postupku u slučaju nesolventnosti ili postupku likvidacije, njezinom imovinom upravlja upravitelj ili sud, u nagodbi je s vjerovnicima, poslovne aktivnosti su joj suspendirane ili se nalazi u bilo kakvoj analognoj situaciji koja proizlazi iz sličnog postupka predviđenog pravom Unije ili nacionalnim pravom;</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pravomoćnom presudom ili konačnom upravnom odlukom utvrđeno je da osoba krši svoje obveze u pogledu plaćanja poreza ili doprinosa za socijalno osiguranje u skladu s primjenjivim pravom;</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pravomoćnom presudom ili konačnom upravnom odlukom utvrđeno je da je osoba kriva za tešku povredu dužnosti zbog kršenja primjenjivih zakona ili drugih propisa ili etičkih normi profesije kojoj osoba pripada ili zbog protupravnog postupanja koje utječe na njezinu profesionalnu vjerodostojnost ako takvo postupanje upućuje na protuzakonitu namjeru ili krajnju nepažnju, uključujući osobito bilo što od sljedećeg;</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netočno prikazivanje informacija, s namjerom ili iz nepažnje, koje su potrebne kako bi se potvrdilo da ne postoji osnova za isključenje ili da su ispunjeni kriteriji prihvatljivosti ili kriteriji za odabir ili pri izvršenju pravne obveze;</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dogovaranje s drugim osobama ili subjektima s ciljem narušavanja tržišnog natjecanja;</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kršenje prava intelektualnog vlasništva;</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rPr>
                <w:color w:val="000000" w:themeColor="text1"/>
              </w:rPr>
              <w:t>iv. nepropisan utjecaj ili pokušaj da se nepropisno utječe na postupak odlučivanja radi pribavljanja sredstava Unije</w:t>
            </w:r>
            <w:r>
              <w:t xml:space="preserve"> iskorištavanjem, putem lažnog predstavljanja, sukoba interesâ koji uključuje bilo kojeg financijskog izvršitelja ili drugu osobu iz članka 61. stavka 1. Financijske uredbe</w:t>
            </w:r>
            <w:r>
              <w:rPr>
                <w:color w:val="000000" w:themeColor="text1"/>
              </w:rPr>
              <w:t>;</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v. pokušaj da se dobiju povjerljive informacije zahvaljujući kojima bi osoba imala nepoštenu prednost u postupku dodjele;</w:t>
            </w:r>
            <w:bookmarkEnd w:id="5"/>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poticanje na diskriminaciju, mržnju ili nasilje nad skupinom osoba ili članom određene skupine ili slične aktivnosti koje su u suprotnosti s vrijednostima na kojima se Unija temelji i koje su utvrđene u članku 2. UEU-a, ako takva povreda dužnosti utječe na integritet osobe, što negativno utječe na izvršenje ugovora ili sporazuma ili je konkretna prijetnja njegovu izvršenju;</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pravomoćnom presudom utvrđeno je da je osoba kriva za bilo što od sljedećeg:</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lastRenderedPageBreak/>
              <w:t>i. prijevaru u smislu članka 3. Direktive (EU) 2017/1371 i članka 1. Konvencije o zaštiti financijskih interesa Europskih zajednica, sastavljene Aktom Vijeća od 26. srpnja 1995.</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ii. primanje i davanje mita kako je definirano u članku 4. stavku 2. Direktive (EU) 2017/1371 ili davanje mita u smislu članka 3. Konvencije o borbi protiv korupcije koja uključuje dužnosnike Europskih zajednica ili dužnosnike država članica</w:t>
            </w:r>
            <w:bookmarkStart w:id="8" w:name="_DV_C381"/>
            <w:bookmarkEnd w:id="7"/>
            <w:r>
              <w:rPr>
                <w:color w:val="000000"/>
              </w:rPr>
              <w:t xml:space="preserve"> Europske unije, sastavljene Aktom Vijeća od 26. svibnja 1997., ili postupanje iz članka 2. stavka 1. Okvirne odluke Vijeća 2003/568/PUP</w:t>
            </w:r>
            <w:bookmarkStart w:id="9" w:name="_DV_C383"/>
            <w:bookmarkEnd w:id="8"/>
            <w:r>
              <w:rPr>
                <w:color w:val="000000"/>
              </w:rPr>
              <w:t>, ili korupciju kako je definirana u drugim primjenjivim pravima;</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postupanje u vezi sa zločinačkom organizacijom, </w:t>
            </w:r>
            <w:bookmarkStart w:id="12" w:name="_DV_C385"/>
            <w:r>
              <w:rPr>
                <w:color w:val="000000"/>
              </w:rPr>
              <w:t>kako je navedeno u članku 2. Okvirne odluke Vijeća 2008/841/PUP</w:t>
            </w:r>
            <w:bookmarkStart w:id="13" w:name="_DV_C387"/>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iv.</w:t>
            </w:r>
            <w:bookmarkStart w:id="14" w:name="_DV_M251"/>
            <w:bookmarkEnd w:id="14"/>
            <w:r>
              <w:rPr>
                <w:color w:val="000000"/>
              </w:rPr>
              <w:t xml:space="preserve"> </w:t>
            </w:r>
            <w:r>
              <w:t>pranje novca</w:t>
            </w:r>
            <w:bookmarkStart w:id="15" w:name="_DV_C391"/>
            <w:r>
              <w:rPr>
                <w:color w:val="000000"/>
              </w:rPr>
              <w:t xml:space="preserve"> ili</w:t>
            </w:r>
            <w:bookmarkStart w:id="16" w:name="_DV_M252"/>
            <w:bookmarkEnd w:id="15"/>
            <w:bookmarkEnd w:id="16"/>
            <w:r>
              <w:t xml:space="preserve"> financiranje terorizma, </w:t>
            </w:r>
            <w:bookmarkStart w:id="17" w:name="_DV_C392"/>
            <w:r>
              <w:rPr>
                <w:color w:val="000000"/>
              </w:rPr>
              <w:t>u smislu članka 1. stavaka 3., 4. i 5. Direktive (EU) 2015/849 Europskog parlamenta i Vijeća</w:t>
            </w:r>
            <w:bookmarkStart w:id="18" w:name="_DV_C394"/>
            <w:bookmarkEnd w:id="17"/>
            <w:r>
              <w:rPr>
                <w:color w:val="000000"/>
              </w:rP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kaznena djela terorizma</w:t>
            </w:r>
            <w:bookmarkStart w:id="21" w:name="_DV_C397"/>
            <w:r>
              <w:rPr>
                <w:color w:val="000000" w:themeColor="text1"/>
              </w:rPr>
              <w:t xml:space="preserve"> ili kaznena djela povezana s terorističkim aktivnostima, kako su definirana u člancima od 3. do 12. Direktive (EU) 2017/541 Europskog parlamenta i Vijeća</w:t>
            </w:r>
            <w:bookmarkStart w:id="22" w:name="_DV_C399"/>
            <w:bookmarkEnd w:id="21"/>
            <w:r>
              <w:rPr>
                <w:color w:val="000000" w:themeColor="text1"/>
              </w:rPr>
              <w:t>, ili poticanje, pomaganje, potpora ili pokušaj počinjenja takvih kaznenih djela, kako je navedeno u članku 14. te direktive;</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dječji rad ili druga kaznena djela u vezi s trgovanjem ljudima </w:t>
            </w:r>
            <w:bookmarkStart w:id="25" w:name="_DV_C402"/>
            <w:r>
              <w:rPr>
                <w:color w:val="000000"/>
              </w:rPr>
              <w:t>iz članka 2. Direktive 2011/36/EU Europskog parlamenta i Vijeća</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pokazala je znatne nedostatke u udovoljavanju glavnim obvezama pri provedbi pravne obveze koja se financira iz proračuna Unije, što je dovelo do preuranjenog prestanka ugovora ili sporazuma ili do primjene ugovornih kazni ili drugih ugovornih sankcija, ili je to otkriveno nakon provjera, revizija ili istraga dužnosnika za ovjeravanje, </w:t>
            </w:r>
            <w:r>
              <w:rPr>
                <w:color w:val="000000"/>
              </w:rPr>
              <w:t>Europskog ureda za borbu protiv prijevara (OLAF)</w:t>
            </w:r>
            <w:r>
              <w:t xml:space="preserve">, Revizorskog suda ili Ureda europskog javnog tužitelja (EPPO);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pravomoćnom presudom ili konačnom upravnom odlukom utvrđeno je da je osoba počinila nepravilnost u smislu članka 1. stavka 2. Uredbe Vijeća (EZ, Euratom) br. 2988/95</w:t>
            </w:r>
            <w:bookmarkEnd w:id="27"/>
            <w:r>
              <w:rPr>
                <w:color w:val="000000" w:themeColor="text1"/>
              </w:rP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pravomoćnom presudom ili konačnom upravnom odlukom utvrđeno je da je osoba osnovala subjekt u drugoj jurisdikciji kako bi izbjegla fiskalne, socijalne ili bilo koje druge pravne obveze, uključujući obveze povezane s radničkim pravima, zapošljavanjem i radnim uvjetima, u jurisdikciji u kojoj se nalazi njezino sjedište, središnja uprava ili glavno mjesto poslovanja;</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samo za pravne osobe</w:t>
            </w:r>
            <w:r>
              <w:t xml:space="preserve">) </w:t>
            </w:r>
            <w:r>
              <w:rPr>
                <w:color w:val="000000" w:themeColor="text1"/>
              </w:rPr>
              <w:t>pravomoćnom presudom ili konačnom upravnom odlukom utvrđeno je da je osoba osnovana s ciljem iz točke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3DF28D0A" w:rsidR="002254B5" w:rsidRPr="0024350A" w:rsidRDefault="002254B5" w:rsidP="002254B5">
            <w:pPr>
              <w:pStyle w:val="Text1"/>
              <w:numPr>
                <w:ilvl w:val="0"/>
                <w:numId w:val="15"/>
              </w:numPr>
              <w:spacing w:before="40" w:after="40"/>
              <w:rPr>
                <w:noProof/>
              </w:rPr>
            </w:pPr>
            <w:r>
              <w:t>namjerno i bez odgovarajućeg obrazloženja odbija istragu, provjeru ili reviziju koju obavlja javni naručitelj, njegov predstavnik ili revizor, OLAF, EPPO ili Revizorski sud. Smatra se da osoba odbija istragu, provjeru ili reviziju ako poduzima radnje čiji je cilj ili učinak spriječiti, onemogućiti ili odgoditi radnje potrebne za provođenje istrage, provjere ili revizije. Takve radnje osobito uključuju uskraćivanje potrebnog pristupa svojim prostorijama ili drugim područjima koja se koriste u poslovne svrhe, prikrivanje ili odbijanje otkrivanja informacija ili pružanja lažnih informacija.</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lastRenderedPageBreak/>
              <w:t>izjavljuje da se, u nedostatku pravomoćne presude ili konačne upravne odluke, u situacijama navedenima u prethodnim točkama od (1)(c) do (1)(i) na osobu primjenjuje sljedeće</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DA</w:t>
            </w:r>
          </w:p>
        </w:tc>
        <w:tc>
          <w:tcPr>
            <w:tcW w:w="825" w:type="dxa"/>
          </w:tcPr>
          <w:p w14:paraId="1A4D1557" w14:textId="4113B6AB" w:rsidR="002254B5" w:rsidRDefault="002254B5" w:rsidP="002254B5">
            <w:pPr>
              <w:spacing w:before="240" w:after="120"/>
              <w:jc w:val="center"/>
              <w:rPr>
                <w:noProof/>
              </w:rPr>
            </w:pPr>
            <w:r>
              <w:t>NE</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činjenice utvrđene u kontekstu revizija ili istraga koje provodi Ured europskog javnog tužitelja u pogledu onih država članica koje sudjeluju u pojačanoj suradnji na temelju Uredbe (EU) 2017/1939, Revizorski sud, OLAF ili unutarnji revizor, ili bilo koje druge provjere, revizije ili kontrole za čiju je provedbu odgovoran dužnosnik za ovjeravanje iz institucije EU-a, europskog ureda ili agencije ili tijela EU-a;</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nepravomoćne presude ili upravne odluke koje nisu konačne, a koje mogu uključivati stegovne mjere koje izriče nadležno nadzorno tijelo odgovorno za provjeru primjene normi profesionalne etike;</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činjenice iz odluka subjekata ili osoba kojima su povjerene zadaće izvršenja proračuna EU-a;</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rPr>
                <w:color w:val="000000"/>
              </w:rPr>
              <w:tab/>
              <w:t xml:space="preserve"> informacije koje su dostavile države članice koje izvršavaju sredstva Unije</w:t>
            </w:r>
            <w:r>
              <w:rPr>
                <w:color w:val="000000" w:themeColor="text1"/>
              </w:rPr>
              <w:t>, osobito činjenice i nalazi utvrđeni u kontekstu pravomoćne presude ili konačne upravne odluke na nacionalnoj razini o situacijama za isključenje iz točke</w:t>
            </w:r>
            <w:r>
              <w:t xml:space="preserve"> (c) (iv) ili točke (d)</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rPr>
                <w:color w:val="000000"/>
              </w:rPr>
              <w:tab/>
              <w:t xml:space="preserve"> odluke Komisije u vezi s kršenjem prava Unije o tržišnom natjecanju ili nacionalnog nadležnog tijela u vezi s kršenjem prava Unije ili nacionalnog prava tržišnog natjecanja;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da je osoba obaviještena, bilo kojim sredstvom, da je predmet istrage Europskog ureda za borbu protiv prijevara (OLAF): ili joj je OLAF omogućio da se očituje o činjenicama koje se na nju odnose ili je tijekom istrage bila predmet OLAF-ovih provjera na licu mjesta ili je obaviještena o pokretanju ili zatvaranju istrage ili o bilo kojim okolnostima u vezi s istragom koju nad njom provodi OLAF.</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8" w:name="_DV_C376"/>
      <w:r>
        <w:t>II. – Situacije za isključenje fizičkih ili pravnih osoba koje imaju ovlast zastupanja, donošenja odluka ili kontrole nad pravnom osobom i stvarnih vlasnika</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Ne primjenjuje se ako je „osoba” fizička osoba, država članica ili lokalno tijelo. U svim drugim slučajevima ispunjavaju svi uključeni subjekti.</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4"/>
        <w:gridCol w:w="830"/>
        <w:gridCol w:w="912"/>
        <w:gridCol w:w="1336"/>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izjavljuje da se fizička ili pravna osoba koja je član upravnog, upravljačkog ili nadzornog tijela osobe ili koja ima ovlasti zastupanja, donošenja odluka ili kontrole u odnosu na tu osobu (npr. direktori poduzeća, članovi uprave ili nadzornog odbora te slučajevi u kojima jedna fizička ili pravna osoba drži većinu udjela) ili stvarni vlasnik te osobe (kako je navedeno u članku 3. točki 6. Direktive (EU) 2015/849) nalazi u nekoj od sljedećih situacija: </w:t>
            </w:r>
          </w:p>
        </w:tc>
        <w:tc>
          <w:tcPr>
            <w:tcW w:w="858" w:type="dxa"/>
          </w:tcPr>
          <w:p w14:paraId="16F44882" w14:textId="77777777" w:rsidR="001F135A" w:rsidRDefault="001F135A" w:rsidP="00C37A34">
            <w:pPr>
              <w:spacing w:before="240" w:after="120"/>
              <w:jc w:val="center"/>
              <w:rPr>
                <w:noProof/>
              </w:rPr>
            </w:pPr>
            <w:r>
              <w:t>DA</w:t>
            </w:r>
          </w:p>
        </w:tc>
        <w:tc>
          <w:tcPr>
            <w:tcW w:w="952" w:type="dxa"/>
          </w:tcPr>
          <w:p w14:paraId="16F44883" w14:textId="77777777" w:rsidR="001F135A" w:rsidRDefault="001F135A" w:rsidP="00C37A34">
            <w:pPr>
              <w:spacing w:before="240" w:after="120"/>
              <w:jc w:val="center"/>
              <w:rPr>
                <w:noProof/>
              </w:rPr>
            </w:pPr>
            <w:r>
              <w:t>NE</w:t>
            </w:r>
          </w:p>
        </w:tc>
        <w:tc>
          <w:tcPr>
            <w:tcW w:w="813" w:type="dxa"/>
          </w:tcPr>
          <w:p w14:paraId="16F44884" w14:textId="77777777" w:rsidR="001F135A" w:rsidRDefault="001F135A" w:rsidP="00C37A34">
            <w:pPr>
              <w:spacing w:before="240" w:after="120"/>
              <w:jc w:val="center"/>
              <w:rPr>
                <w:noProof/>
              </w:rPr>
            </w:pPr>
            <w:r>
              <w:t>nije primjenjivo</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lastRenderedPageBreak/>
              <w:t>prethodno navedena situacija pod (1)(c) (teška povreda dužnosti)</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prethodno navedena situacija pod (1)(d) (prijevara, korupcija ili drugo kazneno djelo)</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prethodno navedena situacija pod (1)(e) (znatni nedostaci pri izvršenju ugovora)</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prethodno navedena situacija pod (1)(f) (nepravilnosti)</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prethodno navedena situacija pod (1)(g) (osnivanje subjekta s namjerom izbjegavanja pravnih obveza)</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prethodno navedena situacija pod (1)(h) (osoba osnovana s namjerom izbjegavanja pravnih obveza)</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prethodno navedena situacija pod 1(i) (namjerno i bez odgovarajućeg obrazloženja odbija istragu, provjeru ili reviziju)</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Situacije za isključenje fizičke ili pravne osobe koja preuzima neograničenu odgovornost za dugove pravne osobe</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Ne primjenjuje se ako je „osoba” fizička osoba, država članica, lokalno tijelo ili pravna osoba s ograničenom odgovornošću. U svim drugim slučajevima ispunjavaju svi uključeni subjekti.</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3"/>
        <w:gridCol w:w="657"/>
        <w:gridCol w:w="605"/>
        <w:gridCol w:w="1336"/>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izjavljuje da se fizička ili pravna osoba koja preuzima neograničenu odgovornost za dugove osobe nalazi u nekoj od sljedećih situacija: </w:t>
            </w:r>
          </w:p>
        </w:tc>
        <w:tc>
          <w:tcPr>
            <w:tcW w:w="670" w:type="dxa"/>
          </w:tcPr>
          <w:p w14:paraId="16F4489C" w14:textId="77777777" w:rsidR="003E5E5C" w:rsidRDefault="003E5E5C" w:rsidP="00C37A34">
            <w:pPr>
              <w:spacing w:before="240" w:after="120"/>
              <w:jc w:val="center"/>
              <w:rPr>
                <w:noProof/>
              </w:rPr>
            </w:pPr>
            <w:r>
              <w:t>DA</w:t>
            </w:r>
          </w:p>
        </w:tc>
        <w:tc>
          <w:tcPr>
            <w:tcW w:w="614" w:type="dxa"/>
          </w:tcPr>
          <w:p w14:paraId="16F4489D" w14:textId="77777777" w:rsidR="003E5E5C" w:rsidRDefault="003E5E5C" w:rsidP="00C37A34">
            <w:pPr>
              <w:spacing w:before="240" w:after="120"/>
              <w:jc w:val="center"/>
              <w:rPr>
                <w:noProof/>
              </w:rPr>
            </w:pPr>
            <w:r>
              <w:t>NE</w:t>
            </w:r>
          </w:p>
        </w:tc>
        <w:tc>
          <w:tcPr>
            <w:tcW w:w="630" w:type="dxa"/>
          </w:tcPr>
          <w:p w14:paraId="16F4489E" w14:textId="77777777" w:rsidR="003E5E5C" w:rsidRDefault="003E5E5C" w:rsidP="00C37A34">
            <w:pPr>
              <w:spacing w:before="240" w:after="120"/>
              <w:jc w:val="center"/>
              <w:rPr>
                <w:noProof/>
              </w:rPr>
            </w:pPr>
            <w:r>
              <w:t>nije primjenjivo</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prethodno navedena situacija pod (a) (stečaj)</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prethodno navedena situacija pod (b) (kršenje obveza u vezi s plaćanjem poreza ili doprinosa za socijalno osiguranje)</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Drugi razlozi za odbijanje sudjelovanja u postupku</w:t>
      </w:r>
    </w:p>
    <w:p w14:paraId="49EFC66C" w14:textId="603EB082" w:rsidR="00B05C76" w:rsidRPr="00897E28" w:rsidRDefault="00B05C76" w:rsidP="00B05C76">
      <w:pPr>
        <w:spacing w:before="120" w:after="120"/>
        <w:ind w:firstLine="1"/>
        <w:jc w:val="both"/>
        <w:rPr>
          <w:b/>
          <w:bCs/>
          <w:i/>
          <w:iCs/>
          <w:noProof/>
        </w:rPr>
      </w:pPr>
      <w:r>
        <w:rPr>
          <w:b/>
          <w:i/>
        </w:rPr>
        <w:t>(pojedinačno ispunjava jedini natjecatelj/ponuditelj ili svi članovi u slučaju zajedničkog zahtjeva za sudjelovanje / zajedničke ponude)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izjavljuje:</w:t>
            </w:r>
          </w:p>
        </w:tc>
        <w:tc>
          <w:tcPr>
            <w:tcW w:w="670" w:type="dxa"/>
          </w:tcPr>
          <w:p w14:paraId="1361E30C" w14:textId="77777777" w:rsidR="00B05C76" w:rsidRDefault="00B05C76" w:rsidP="00D6012C">
            <w:pPr>
              <w:spacing w:before="240" w:after="120"/>
              <w:jc w:val="center"/>
              <w:rPr>
                <w:noProof/>
              </w:rPr>
            </w:pPr>
            <w:r>
              <w:t>DA</w:t>
            </w:r>
          </w:p>
        </w:tc>
        <w:tc>
          <w:tcPr>
            <w:tcW w:w="759" w:type="dxa"/>
          </w:tcPr>
          <w:p w14:paraId="2D50029A" w14:textId="77777777" w:rsidR="00B05C76" w:rsidRDefault="00B05C76" w:rsidP="00D6012C">
            <w:pPr>
              <w:spacing w:before="240" w:after="120"/>
              <w:jc w:val="center"/>
              <w:rPr>
                <w:noProof/>
              </w:rPr>
            </w:pPr>
            <w:r>
              <w:t>NE</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da je prethodno bila uključena u pripremu dokumentacije o nabavi za ovaj postupak dodjele te je to dovelo do kršenja načela jednakog postupanja, uključujući narušavanje tržišnog natjecanja koje se ne može drukčije ispraviti.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8"/>
      <w:r>
        <w:rPr>
          <w:rFonts w:ascii="Times New Roman Bold" w:hAnsi="Times New Roman Bold"/>
          <w:b/>
          <w:smallCaps/>
        </w:rPr>
        <w:t>V. – Korektivne mjere</w:t>
      </w:r>
    </w:p>
    <w:p w14:paraId="16F448B4" w14:textId="0E80E9C8" w:rsidR="005C6293" w:rsidRDefault="005C6293" w:rsidP="051D3D6B">
      <w:pPr>
        <w:spacing w:before="120" w:after="120"/>
        <w:jc w:val="both"/>
        <w:rPr>
          <w:color w:val="000000"/>
        </w:rPr>
      </w:pPr>
      <w:r>
        <w:lastRenderedPageBreak/>
        <w:t>Ako osoba izjavi da se nalazi u jednoj od prethodno navedenih situacija za isključenje, može navesti korektivne mjere koje je poduzela za ispravljanje te situacije kako bi dužnosniku za ovjeravanje omogućila da utvrdi jesu li te mjere dovoljne da dokaže svoju pouzdanost.</w:t>
      </w:r>
      <w:r>
        <w:rPr>
          <w:color w:val="000000" w:themeColor="text1"/>
        </w:rPr>
        <w:t xml:space="preserve"> To mogu biti npr. tehničke, organizacijske i kadrovske mjere čiji je cilj sprečavanje ponavljanja postupanja, naknada štete ili plaćanje novčanih kazni, poreza ili doprinosa za socijalno osiguranje. </w:t>
      </w:r>
    </w:p>
    <w:p w14:paraId="773D5FBD" w14:textId="6FDC2569" w:rsidR="0020320A" w:rsidRDefault="0020320A" w:rsidP="051D3D6B">
      <w:pPr>
        <w:spacing w:before="120" w:after="120"/>
        <w:jc w:val="both"/>
        <w:rPr>
          <w:color w:val="000000"/>
        </w:rPr>
      </w:pPr>
      <w:r>
        <w:rPr>
          <w:color w:val="000000" w:themeColor="text1"/>
        </w:rPr>
        <w:t xml:space="preserve">Ne dovodeći u pitanje ocjenu odgovornog dužnosnika za ovjeravanje, osoba ili subjekt dužni su dostaviti korektivne mjere koje je ocijenio vanjski neovisni revizor odnosno koje se prema odluci nacionalnog ili </w:t>
      </w:r>
      <w:proofErr w:type="spellStart"/>
      <w:r>
        <w:rPr>
          <w:color w:val="000000" w:themeColor="text1"/>
        </w:rPr>
        <w:t>Unijina</w:t>
      </w:r>
      <w:proofErr w:type="spellEnd"/>
      <w:r>
        <w:rPr>
          <w:color w:val="000000" w:themeColor="text1"/>
        </w:rPr>
        <w:t xml:space="preserve"> tijela smatraju dostatnima. Ovoj se izjavi mora priložiti relevantna dokazna dokumentacija o poduzetim korektivnim mjerama i njihovoj ocjeni. Korektivne mjere ne primjenjuju se na situacije iz odjeljka I. točke (1)(d) ove izjave.</w:t>
      </w:r>
    </w:p>
    <w:p w14:paraId="16F448B5" w14:textId="3FE5177B" w:rsidR="00F96EAB" w:rsidRPr="007D7A5F" w:rsidRDefault="00B05C76" w:rsidP="0024225B">
      <w:pPr>
        <w:pStyle w:val="Title"/>
        <w:rPr>
          <w:noProof/>
        </w:rPr>
      </w:pPr>
      <w:r>
        <w:t>VI. – Dokazi o kriterijima za isključenje</w:t>
      </w:r>
    </w:p>
    <w:p w14:paraId="477A6316" w14:textId="3261E630" w:rsidR="00695D93" w:rsidRDefault="0092592E" w:rsidP="7F6CA770">
      <w:pPr>
        <w:spacing w:before="120" w:after="120"/>
        <w:ind w:firstLine="11"/>
        <w:jc w:val="both"/>
        <w:rPr>
          <w:noProof/>
        </w:rPr>
      </w:pPr>
      <w:r>
        <w:t>U natječajnim specifikacijama detaljno se navodi koji uključeni subjekti moraju dostaviti odgovarajuće dokaze da se ne nalaze u nekoj od situacija za isključenje iz točke (1) i kada se ti dokazi moraju dostaviti.</w:t>
      </w:r>
    </w:p>
    <w:p w14:paraId="3EE64640" w14:textId="03697B6E" w:rsidR="00835E88" w:rsidRPr="00F76ABA" w:rsidRDefault="00CA3ADD" w:rsidP="00835E88">
      <w:pPr>
        <w:spacing w:before="120" w:after="120"/>
        <w:jc w:val="both"/>
        <w:rPr>
          <w:noProof/>
        </w:rPr>
      </w:pPr>
      <w:r>
        <w:t>Kao dokaz mogu poslužiti:</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Za situacije opisane pod (1) (a), (1)(c), (1)(d), (1)(f), (1)(g) i (1)(h) potrebno je dostaviti izvadak iz sudskog registra novijeg datuma ili, ako to nije moguće, istovrijedni dokument novijeg datuma koji je izdalo sudsko ili upravno tijelo zemlje u kojoj osoba ima poslovni </w:t>
      </w:r>
      <w:proofErr w:type="spellStart"/>
      <w:r>
        <w:t>nastan</w:t>
      </w:r>
      <w:proofErr w:type="spellEnd"/>
      <w:r>
        <w:t xml:space="preserve"> kojim se dokazuje da su ti zahtjevi ispunjeni.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Za situacije opisane pod (1)(a) i (1)(b) potrebno je dostaviti potvrde novijeg datuma koje su izdala nadležna tijela zemlje poslovnog </w:t>
      </w:r>
      <w:proofErr w:type="spellStart"/>
      <w:r>
        <w:t>nastana</w:t>
      </w:r>
      <w:proofErr w:type="spellEnd"/>
      <w:r>
        <w:t xml:space="preserve">. Tim se dokumentima mora dokazati da je osoba ispunila sve obveze koje se odnose na plaćanje poreza i doprinosa za socijalno osiguranje, uključujući, primjerice, PDV, porez na dohodak (samo fizičke osobe), porez na dobit (samo pravne osobe) te doprinose za socijalno osiguranje. Ako se u zemlji poslovnog </w:t>
      </w:r>
      <w:proofErr w:type="spellStart"/>
      <w:r>
        <w:t>nastana</w:t>
      </w:r>
      <w:proofErr w:type="spellEnd"/>
      <w:r>
        <w:t xml:space="preserve"> ne izdaju prethodno opisani dokumenti, može ih zamijeniti izjava pod prisegom pred sudskim tijelom ili javnim bilježnikom ili, ako to nije moguće, svečana izjava pred upravnim tijelom ili kvalificiranim strukovnim tijelom u zemlji poslovnog </w:t>
      </w:r>
      <w:proofErr w:type="spellStart"/>
      <w:r>
        <w:t>nastana</w:t>
      </w:r>
      <w:proofErr w:type="spellEnd"/>
      <w:r>
        <w:t>.</w:t>
      </w:r>
    </w:p>
    <w:p w14:paraId="16F448B9" w14:textId="6993ED04" w:rsidR="008C4A00" w:rsidRDefault="00C55150" w:rsidP="051D3D6B">
      <w:pPr>
        <w:spacing w:before="100" w:beforeAutospacing="1" w:after="100" w:afterAutospacing="1"/>
        <w:jc w:val="both"/>
      </w:pPr>
      <w:r>
        <w:t>Osoba ne mora dostaviti dokaze ako su već dostavljeni za drugi postupak dodjele istog javnog naručitelja</w:t>
      </w:r>
      <w:r w:rsidR="00F4376C" w:rsidRPr="051D3D6B">
        <w:rPr>
          <w:rStyle w:val="FootnoteReference"/>
        </w:rPr>
        <w:footnoteReference w:id="5"/>
      </w:r>
      <w:r>
        <w:t xml:space="preserve">. Dokumenti moraju biti izdani najviše godinu dana prije datuma zahtjeva javnog naručitelja i moraju biti valjani na taj datum. </w:t>
      </w:r>
    </w:p>
    <w:p w14:paraId="16F448BA" w14:textId="1463A7B7" w:rsidR="008C4A00" w:rsidRDefault="00A40405" w:rsidP="051D3D6B">
      <w:pPr>
        <w:spacing w:before="100" w:beforeAutospacing="1" w:after="100" w:afterAutospacing="1"/>
        <w:jc w:val="both"/>
      </w:pPr>
      <w:r>
        <w:t xml:space="preserve">Potpisnik izjavljuje da je osoba već dostavila dokaznu dokumentaciju za prethodni postupak i potvrđuje da se njezina situacija nije promijenila: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Potpuno upućivanje na prethodni postupak</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Dodati retke prema potrebi.</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Osoba ne mora dostaviti dokaze ako im se može pristupiti bez naknade u nacionalnoj bazi podataka. </w:t>
      </w:r>
    </w:p>
    <w:p w14:paraId="0F58ED09" w14:textId="2FB86EF0" w:rsidR="00CF0C80" w:rsidRDefault="00602579" w:rsidP="051D3D6B">
      <w:pPr>
        <w:spacing w:before="100" w:beforeAutospacing="1" w:after="100" w:afterAutospacing="1"/>
        <w:jc w:val="both"/>
      </w:pPr>
      <w:r>
        <w:t>Potpisnik izjavljuje da se putem sljedeće internetske adrese baze podataka / identifikacijskih podataka može pristupiti potrebnim dokazima.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lastRenderedPageBreak/>
              <w:t>Internetska adresa baze podataka</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Identifikacijski podaci dokumenta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Dodati retke prema potrebi.</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Izjava o kriterijima za odabir </w:t>
      </w:r>
    </w:p>
    <w:p w14:paraId="2D59BB2A" w14:textId="01DD445D" w:rsidR="743C92D7" w:rsidRDefault="743C92D7" w:rsidP="051D3D6B">
      <w:pPr>
        <w:spacing w:beforeAutospacing="1" w:afterAutospacing="1"/>
        <w:jc w:val="both"/>
      </w:pPr>
      <w:r>
        <w:t>U slučaju postupka s grupama izjave u ovom dijelu B primjenjuju se na grupe za koje se podnosi zahtjev za sudjelovanje / ponuda.</w:t>
      </w:r>
    </w:p>
    <w:p w14:paraId="7232500E" w14:textId="59A72938" w:rsidR="00E25A58" w:rsidRDefault="00E25A58" w:rsidP="00E25A58">
      <w:pPr>
        <w:pStyle w:val="Title"/>
        <w:rPr>
          <w:noProof/>
        </w:rPr>
      </w:pPr>
      <w:r>
        <w:t>I. – Kriteriji za odabir</w:t>
      </w:r>
    </w:p>
    <w:p w14:paraId="7CE533D0" w14:textId="16A9A02E" w:rsidR="00B74E92" w:rsidRPr="00897E28" w:rsidRDefault="00CA2C74" w:rsidP="051D3D6B">
      <w:pPr>
        <w:jc w:val="both"/>
        <w:rPr>
          <w:b/>
          <w:bCs/>
          <w:u w:val="single"/>
        </w:rPr>
      </w:pPr>
      <w:r>
        <w:rPr>
          <w:b/>
          <w:u w:val="single"/>
        </w:rPr>
        <w:t xml:space="preserve">Kriteriji za odabir koji se primjenjuju na natjecatelja/ponuditelja u cjelini – konsolidirana procjena </w:t>
      </w:r>
    </w:p>
    <w:p w14:paraId="1E43862B" w14:textId="28BF9BC9" w:rsidR="006E23B3" w:rsidRPr="00897E28" w:rsidRDefault="006E23B3" w:rsidP="00897E28">
      <w:pPr>
        <w:spacing w:before="120" w:after="120"/>
        <w:ind w:firstLine="1"/>
        <w:jc w:val="both"/>
        <w:rPr>
          <w:b/>
          <w:bCs/>
          <w:i/>
          <w:iCs/>
          <w:noProof/>
        </w:rPr>
      </w:pPr>
      <w:bookmarkStart w:id="29" w:name="_Hlk203596443"/>
      <w:r>
        <w:rPr>
          <w:b/>
          <w:i/>
        </w:rPr>
        <w:t>(ispunjava ISKLJUČIVO jedini natjecatelj/ponuditelj ili vodeći ponuditelj u slučaju zajedničkog zahtjeva za sudjelovanje / zajedničke ponude)</w:t>
      </w:r>
    </w:p>
    <w:p w14:paraId="580B2348" w14:textId="36EFDB8E" w:rsidR="00F04B97" w:rsidRDefault="00F04B97" w:rsidP="00F04B97">
      <w:pPr>
        <w:spacing w:before="120" w:after="120"/>
        <w:ind w:firstLine="1"/>
        <w:jc w:val="both"/>
        <w:rPr>
          <w:noProof/>
        </w:rPr>
      </w:pPr>
      <w:r>
        <w:t>Osoba koja podnosi zahtjev za sudjelovanje / ponudu za prethodno navedeni postupak kao jedini natjecatelj / ponuditelj / vodeći ponuditelj u zajedničkom zahtjevu za sudjelovanje / zajedničkoj ponudi: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 xml:space="preserve">(6) izjavljuje da natjecatelj/ponuditelj, uključujući sve članove zajednice u slučaju zajedničkog zahtjeva za sudjelovanje / zajedničke ponude te, ako je primjenjivo, </w:t>
            </w:r>
            <w:proofErr w:type="spellStart"/>
            <w:r>
              <w:t>podugovaratelje</w:t>
            </w:r>
            <w:proofErr w:type="spellEnd"/>
            <w:r>
              <w:t xml:space="preserve"> i subjekte na čiju se sposobnost natjecatelj/ponuditelj namjerava osloniti:</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NE</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ispunjava sve kriterije za odabir koji će biti predmet konsolidirane procjene kako je utvrđeno u natječajnim specifikacijama.</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9"/>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Opciju u nastavku unosi javni naručitelj ako je to u skladu s dokumentacijom o nabavi. Javni naručitelj mora izbrisati odjeljak u nastavku ako ne postoje kriteriji za odabir koji se pojedinačno primjenjuju. Ako takvi kriteriji postoje, javni naručitelj mora prilagoditi tablicu kriterijima navedenima u natječajnim specifikacijama.</w:t>
      </w:r>
    </w:p>
    <w:p w14:paraId="5CFBC1F8" w14:textId="7B867C43" w:rsidR="00CA2C74" w:rsidRPr="00897E28" w:rsidRDefault="00C4227A">
      <w:pPr>
        <w:jc w:val="both"/>
        <w:rPr>
          <w:b/>
          <w:bCs/>
          <w:u w:val="single"/>
        </w:rPr>
      </w:pPr>
      <w:r>
        <w:rPr>
          <w:b/>
          <w:u w:val="single"/>
        </w:rPr>
        <w:t>Kriteriji za odabir koji se pojedinačno primjenjuju na uključene subjekte – pojedinačna ocjena</w:t>
      </w:r>
    </w:p>
    <w:p w14:paraId="78C15FF3" w14:textId="0676A81C" w:rsidR="00723411" w:rsidRPr="00897E28" w:rsidRDefault="00723411" w:rsidP="7F6CA770">
      <w:pPr>
        <w:spacing w:before="120" w:after="120"/>
        <w:ind w:firstLine="1"/>
        <w:jc w:val="both"/>
        <w:rPr>
          <w:b/>
          <w:bCs/>
          <w:i/>
          <w:iCs/>
          <w:noProof/>
        </w:rPr>
      </w:pPr>
      <w:r>
        <w:rPr>
          <w:b/>
          <w:i/>
        </w:rPr>
        <w:t>(pojedinačno ispunjavaju uključeni subjekti na koje se kriteriji za odabir pojedinačno primjenjuju u skladu s natječajnim specifikacijama)</w:t>
      </w:r>
    </w:p>
    <w:p w14:paraId="64745216" w14:textId="17979E7F" w:rsidR="00E80BCE" w:rsidRPr="00897E28" w:rsidRDefault="00E80BCE" w:rsidP="6FB7994E">
      <w:pPr>
        <w:spacing w:before="120" w:after="120"/>
        <w:ind w:firstLine="1"/>
        <w:jc w:val="both"/>
        <w:rPr>
          <w:b/>
          <w:bCs/>
          <w:i/>
          <w:iCs/>
          <w:noProof/>
        </w:rPr>
      </w:pPr>
      <w:r>
        <w:t xml:space="preserve">Osoba koja podnosi zahtjev za sudjelovanje / ponudu za prethodno navedeni postupak ili u njima sudjeluje kao jedini natjecatelj/ponuditelj, član zajedničkog zahtjeva za sudjelovanje / zajedničke ponude ili </w:t>
      </w:r>
      <w:proofErr w:type="spellStart"/>
      <w:r>
        <w:t>podugovaratelj</w:t>
      </w:r>
      <w:proofErr w:type="spellEnd"/>
      <w:r>
        <w: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5"/>
        <w:gridCol w:w="686"/>
        <w:gridCol w:w="599"/>
        <w:gridCol w:w="1336"/>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izjavljuje da zadovoljava kriterije za odabir koji se na nju pojedinačno primjenjuju:</w:t>
            </w:r>
          </w:p>
        </w:tc>
        <w:tc>
          <w:tcPr>
            <w:tcW w:w="704" w:type="dxa"/>
          </w:tcPr>
          <w:p w14:paraId="13DAA78F" w14:textId="77777777" w:rsidR="00A551F6" w:rsidRDefault="00A551F6" w:rsidP="00C37A34">
            <w:pPr>
              <w:spacing w:before="240" w:after="120"/>
              <w:jc w:val="center"/>
              <w:rPr>
                <w:noProof/>
              </w:rPr>
            </w:pPr>
            <w:r>
              <w:t>DA</w:t>
            </w:r>
          </w:p>
        </w:tc>
        <w:tc>
          <w:tcPr>
            <w:tcW w:w="608" w:type="dxa"/>
          </w:tcPr>
          <w:p w14:paraId="465AC66E" w14:textId="77777777" w:rsidR="00A551F6" w:rsidRDefault="00A551F6" w:rsidP="00C37A34">
            <w:pPr>
              <w:spacing w:before="240" w:after="120"/>
              <w:jc w:val="center"/>
              <w:rPr>
                <w:noProof/>
              </w:rPr>
            </w:pPr>
            <w:r>
              <w:t>NE</w:t>
            </w:r>
          </w:p>
        </w:tc>
        <w:tc>
          <w:tcPr>
            <w:tcW w:w="630" w:type="dxa"/>
          </w:tcPr>
          <w:p w14:paraId="237B4D9E" w14:textId="77777777" w:rsidR="00A551F6" w:rsidRDefault="00A551F6" w:rsidP="00C37A34">
            <w:pPr>
              <w:spacing w:before="240" w:after="120"/>
              <w:jc w:val="center"/>
              <w:rPr>
                <w:noProof/>
              </w:rPr>
            </w:pPr>
            <w:r>
              <w:t>nije primjenjivo</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da je pravno i regulatorno sposobna za obavljanje profesionalne aktivnosti potrebne za izvršenje ugovora, kako se zahtijeva u natječajnim specifikacijama;</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da ispunjava primjenjive ekonomske i financijske kriterije navedene u natječajnim specifikacijama;</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da ispunjava primjenjive tehničke i stručne kriterije navedene u odjeljku natječajnim specifikacijama;</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lastRenderedPageBreak/>
        <w:t xml:space="preserve">II. Kriteriji za odabir – suprotstavljeni poslovni interesi </w:t>
      </w:r>
    </w:p>
    <w:p w14:paraId="6D4253AB" w14:textId="6F28DDE5" w:rsidR="00850397" w:rsidRPr="00897E28" w:rsidRDefault="00850397" w:rsidP="00EE7E2B">
      <w:pPr>
        <w:spacing w:before="120" w:after="120"/>
        <w:ind w:firstLine="1"/>
        <w:rPr>
          <w:b/>
          <w:bCs/>
          <w:i/>
          <w:iCs/>
          <w:noProof/>
        </w:rPr>
      </w:pPr>
      <w:r>
        <w:rPr>
          <w:b/>
          <w:i/>
        </w:rPr>
        <w:t>(ispunjavaju svi uključeni subjekti)</w:t>
      </w:r>
    </w:p>
    <w:p w14:paraId="4E52E5EC" w14:textId="6CF73761" w:rsidR="00850397" w:rsidRDefault="00850397" w:rsidP="00850397">
      <w:pPr>
        <w:jc w:val="both"/>
        <w:rPr>
          <w:b/>
          <w:bCs/>
          <w:u w:val="single"/>
        </w:rPr>
      </w:pPr>
      <w:r>
        <w:t xml:space="preserve">Osoba koja podnosi zahtjev za sudjelovanje / ponudu za prethodno navedeni postupak ili u tome sudjeluje kao jedini natjecatelj/ponuditelj, član zajedničkog zahtjeva za sudjelovanje / zajedničke ponude ili </w:t>
      </w:r>
      <w:proofErr w:type="spellStart"/>
      <w:r>
        <w:t>podugovaratelj</w:t>
      </w:r>
      <w:proofErr w:type="spellEnd"/>
      <w:r>
        <w: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izjavljuje: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NE</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da je u sukobu interesa koji bi mogli negativno utjecati na izvršenje ugovora.</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Dokazi o kriterijima za isključenje </w:t>
      </w:r>
    </w:p>
    <w:p w14:paraId="6C38D641" w14:textId="3F0D33E7" w:rsidR="00F04B97" w:rsidRDefault="00F04B97" w:rsidP="051D3D6B">
      <w:pPr>
        <w:spacing w:before="100" w:beforeAutospacing="1" w:after="100" w:afterAutospacing="1"/>
        <w:jc w:val="both"/>
      </w:pPr>
      <w:r>
        <w:t>U natječajnim specifikacijama detaljno se navodi koje dokaze treba dostaviti, kada ih treba dostaviti i koji ih uključeni subjekti trebaju dostaviti kako bi dokazali da natjecatelj/ponuditelj ispunjava kriterije za odabir.</w:t>
      </w:r>
    </w:p>
    <w:p w14:paraId="1699FA0D" w14:textId="0C53EE83" w:rsidR="00F04B97" w:rsidRPr="00A64C2E" w:rsidRDefault="00F04B97" w:rsidP="00897E28">
      <w:pPr>
        <w:spacing w:before="100" w:beforeAutospacing="1" w:after="100" w:afterAutospacing="1"/>
        <w:jc w:val="both"/>
        <w:rPr>
          <w:noProof/>
        </w:rPr>
      </w:pPr>
      <w:r>
        <w:t xml:space="preserve">Ako uz zahtjev za sudjelovanje / ponudu nije potrebno dostaviti dokaze, osoba bi trebala unaprijed pripremiti dokaznu dokumentaciju jer bi javni naručitelj mogao zatražiti da je u kratkom roku dostavi. </w:t>
      </w:r>
    </w:p>
    <w:p w14:paraId="1279E35F" w14:textId="2584B0D8" w:rsidR="0073022B" w:rsidRDefault="0073022B" w:rsidP="051D3D6B">
      <w:pPr>
        <w:spacing w:before="100" w:beforeAutospacing="1" w:after="100" w:afterAutospacing="1"/>
        <w:jc w:val="both"/>
      </w:pPr>
      <w:r>
        <w:t>Osoba ne mora dostaviti dokaze ako su već dostavljeni za drugi postupak dodjele istog javnog naručitelja</w:t>
      </w:r>
      <w:r w:rsidRPr="051D3D6B">
        <w:rPr>
          <w:rStyle w:val="FootnoteReference"/>
        </w:rPr>
        <w:footnoteReference w:id="6"/>
      </w:r>
      <w:r>
        <w:t xml:space="preserve"> i dokumenti su ažurni.</w:t>
      </w:r>
    </w:p>
    <w:p w14:paraId="0FBE3FFA" w14:textId="51DD42D5" w:rsidR="00F04B97" w:rsidRDefault="00F04B97" w:rsidP="051D3D6B">
      <w:pPr>
        <w:spacing w:before="100" w:beforeAutospacing="1" w:after="100" w:afterAutospacing="1"/>
        <w:jc w:val="both"/>
      </w:pPr>
      <w:r>
        <w:t xml:space="preserve">Potpisnik izjavljuje da je osoba već dostavila dokaznu dokumentaciju za prethodni postupak i potvrđuje da se njezina situacija nije promijenila: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Potpuno upućivanje na prethodni postupak</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Dodati retke prema potrebi.</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Osoba ne mora dostaviti dokaze ako im se može pristupiti bez naknade u nacionalnoj bazi podataka. </w:t>
      </w:r>
    </w:p>
    <w:p w14:paraId="03A26509" w14:textId="77777777" w:rsidR="008B35EE" w:rsidRDefault="008B35EE" w:rsidP="051D3D6B">
      <w:pPr>
        <w:spacing w:before="100" w:beforeAutospacing="1" w:after="100" w:afterAutospacing="1"/>
        <w:jc w:val="both"/>
      </w:pPr>
      <w:r>
        <w:t>Potpisnik izjavljuje da se putem sljedeće internetske adrese baze podataka / identifikacijskih podataka može pristupiti potrebnim dokazima.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Internetska adresa baze podataka</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Identifikacijski podaci dokumenta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Dodati retke prema potrebi.</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Izjava o mjerama ograničavanja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 xml:space="preserve">(9) izjavljuje da se na natjecatelja/ponuditelja, uključujući sve članove zajednice u slučaju zajedničkog zahtjeva za sudjelovanje / zajedničke ponude te, ako je primjenjivo, </w:t>
            </w:r>
            <w:proofErr w:type="spellStart"/>
            <w:r>
              <w:t>podugovaratelje</w:t>
            </w:r>
            <w:proofErr w:type="spellEnd"/>
            <w:r>
              <w:t xml:space="preserve"> i subjekte na čiju se sposobnost natjecatelj/ponuditelj namjerava osloniti:</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DA</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NE</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ne primjenjuju </w:t>
            </w:r>
            <w:hyperlink r:id="rId12" w:history="1">
              <w:r>
                <w:rPr>
                  <w:rStyle w:val="Hyperlink"/>
                </w:rPr>
                <w:t>mjere ograničavanja EU-a</w:t>
              </w:r>
            </w:hyperlink>
            <w:r>
              <w:t xml:space="preserve"> donesene na temelju članka 29. Ugovora o Europskoj uniji (UEU) ili članka 215. Ugovora o </w:t>
            </w:r>
            <w:r>
              <w:lastRenderedPageBreak/>
              <w:t>funkcioniranju EU-a (UFEU)</w:t>
            </w:r>
            <w:r w:rsidR="0008506D" w:rsidRPr="00403CC8">
              <w:rPr>
                <w:vertAlign w:val="superscript"/>
              </w:rPr>
              <w:footnoteReference w:id="7"/>
            </w:r>
            <w:r>
              <w:t xml:space="preserve"> koje se sastoje od zabrane stavljanja na raspolaganje ili prijenosa financijskih sredstava ili gospodarskih izvora ili izravnog ili neizravnog pružanja financiranja ili financijske pomoći, ili od zamrzavanja imovine.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rsidRPr="00403CC8">
              <w:lastRenderedPageBreak/>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t>Izjava</w:t>
      </w:r>
      <w:bookmarkEnd w:id="30"/>
      <w:r>
        <w:t xml:space="preserve"> o utvrđenim dugovima prema Uniji </w:t>
      </w:r>
    </w:p>
    <w:p w14:paraId="1DCBB562" w14:textId="03CF733F" w:rsidR="006B2B45" w:rsidRPr="006B0A89" w:rsidRDefault="0013073C" w:rsidP="6FB7994E">
      <w:pPr>
        <w:spacing w:before="120" w:after="120"/>
        <w:jc w:val="both"/>
        <w:rPr>
          <w:b/>
          <w:bCs/>
          <w:i/>
          <w:iCs/>
          <w:noProof/>
        </w:rPr>
      </w:pPr>
      <w:r>
        <w:rPr>
          <w:b/>
          <w:i/>
        </w:rPr>
        <w:t xml:space="preserve"> (ispunjava jedini natjecatelj/ponuditelj ili svaki član zajednice u slučaju zajedničkog zahtjeva za sudjelovanje / zajedničke ponude)</w:t>
      </w:r>
    </w:p>
    <w:p w14:paraId="5915DC59" w14:textId="752F5BD7" w:rsidR="00EE7E2B" w:rsidRDefault="00EE7E2B" w:rsidP="00EE7E2B">
      <w:pPr>
        <w:jc w:val="both"/>
        <w:rPr>
          <w:noProof/>
        </w:rPr>
      </w:pPr>
      <w:r>
        <w:t>Osoba koja podnosi zahtjev za sudjelovanje / ponudu za prethodno navedeni postupak kao jedini natjecatelj/ponuditelj ili član zajedničkog zahtjeva za sudjelovanje / zajedničke ponude: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t>(10) izjavljuje:</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NE</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da ima utvrđeni dug prema Uniji, Europskoj zajednici za atomsku energiju ili izvršnoj agenciji koja izvršava proračun Unije.</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Izjava o podnesenoj ponudi </w:t>
      </w:r>
    </w:p>
    <w:p w14:paraId="7D66B10A" w14:textId="0B06DCCD" w:rsidR="00765179" w:rsidRPr="000C6B51" w:rsidRDefault="00765179" w:rsidP="570F7154">
      <w:pPr>
        <w:spacing w:beforeAutospacing="1" w:afterAutospacing="1"/>
        <w:jc w:val="both"/>
        <w:rPr>
          <w:b/>
          <w:bCs/>
          <w:i/>
          <w:iCs/>
          <w:noProof/>
        </w:rPr>
      </w:pPr>
      <w:r>
        <w:rPr>
          <w:b/>
          <w:i/>
        </w:rPr>
        <w:t>(pojedinačno ispunjava jedini natjecatelj/ponuditelj ili vodeći ponuditelj u slučaju zajedničkog zahtjeva za sudjelovanje / zajedničke ponude)</w:t>
      </w:r>
    </w:p>
    <w:p w14:paraId="44652C08" w14:textId="3B2F458F" w:rsidR="743C92D7" w:rsidRDefault="743C92D7" w:rsidP="30C4CF82">
      <w:pPr>
        <w:spacing w:beforeAutospacing="1" w:afterAutospacing="1"/>
        <w:jc w:val="both"/>
      </w:pPr>
      <w:r>
        <w:t>U slučaju postupka s grupama izjave u ovom dijelu E primjenjuju se na grupe za koje se podnosi zahtjev za sudjelovanje / ponuda.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t>(11) izjavljuje:</w:t>
            </w:r>
          </w:p>
        </w:tc>
        <w:tc>
          <w:tcPr>
            <w:tcW w:w="670" w:type="dxa"/>
          </w:tcPr>
          <w:p w14:paraId="59250AC2" w14:textId="77777777" w:rsidR="000F6EA2" w:rsidRDefault="000F6EA2" w:rsidP="00C54FCE">
            <w:pPr>
              <w:spacing w:before="240" w:after="120"/>
              <w:jc w:val="center"/>
              <w:rPr>
                <w:noProof/>
              </w:rPr>
            </w:pPr>
            <w:r>
              <w:t>DA</w:t>
            </w:r>
          </w:p>
        </w:tc>
        <w:tc>
          <w:tcPr>
            <w:tcW w:w="759" w:type="dxa"/>
          </w:tcPr>
          <w:p w14:paraId="7D1AA4B7" w14:textId="77777777" w:rsidR="000F6EA2" w:rsidRDefault="000F6EA2" w:rsidP="00C54FCE">
            <w:pPr>
              <w:spacing w:before="240" w:after="120"/>
              <w:jc w:val="center"/>
              <w:rPr>
                <w:noProof/>
              </w:rPr>
            </w:pPr>
            <w:r>
              <w:t>NE</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da je izradila podnesenu ponudu</w:t>
            </w:r>
            <w:r>
              <w:rPr>
                <w:rFonts w:ascii="Arial" w:hAnsi="Arial"/>
              </w:rPr>
              <w:t>]</w:t>
            </w:r>
            <w:r>
              <w:t xml:space="preserve"> </w:t>
            </w:r>
            <w:r>
              <w:rPr>
                <w:rFonts w:ascii="Arial" w:hAnsi="Arial"/>
              </w:rPr>
              <w:t>[</w:t>
            </w:r>
            <w:r>
              <w:t>da namjerava izraditi ponudu (ako bude pozvana da dostavi ponudu)</w:t>
            </w:r>
            <w:r>
              <w:rPr>
                <w:rFonts w:ascii="Arial" w:hAnsi="Arial"/>
              </w:rPr>
              <w:t>]</w:t>
            </w:r>
            <w:r>
              <w:t xml:space="preserve"> potpuno samostalno i neovisno o drugim podnesenim ponudama u okviru istog postupka javne nabave.</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Osoba mora odmah obavijestiti javnog naručitelja o svakoj promjeni situacija iz ove izjave.</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Može joj se odbiti sudjelovanje u ovom postupku i izreći administrativna kazna (isključenje ili novčana kazna) ako se dostavljene izjave ili informacije koje su bile uvjet za sudjelovanje u postupku pokažu neistinitima.</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Ime i prezime:</w:t>
      </w:r>
      <w:r>
        <w:tab/>
      </w:r>
    </w:p>
    <w:p w14:paraId="4F5C3CA0" w14:textId="4ADE4B77" w:rsidR="00522736" w:rsidRDefault="00DA410F" w:rsidP="004A4B4A">
      <w:pPr>
        <w:tabs>
          <w:tab w:val="left" w:pos="4395"/>
          <w:tab w:val="left" w:pos="7797"/>
        </w:tabs>
        <w:spacing w:before="40" w:after="40"/>
        <w:jc w:val="both"/>
        <w:rPr>
          <w:noProof/>
        </w:rPr>
      </w:pPr>
      <w:r>
        <w:t>Datum:</w:t>
      </w:r>
      <w:r>
        <w:tab/>
      </w:r>
    </w:p>
    <w:p w14:paraId="16F448F0" w14:textId="42F52720" w:rsidR="00DA410F" w:rsidRPr="00F76ABA" w:rsidRDefault="00DA410F" w:rsidP="004A4B4A">
      <w:pPr>
        <w:tabs>
          <w:tab w:val="left" w:pos="4395"/>
          <w:tab w:val="left" w:pos="7797"/>
        </w:tabs>
        <w:spacing w:before="40" w:after="40"/>
        <w:jc w:val="both"/>
        <w:rPr>
          <w:noProof/>
        </w:rPr>
      </w:pPr>
      <w:r>
        <w:t>Potpis: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Izjavu treba potpisati:</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Elektroničkim potpisom (preporučena opcija):</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lastRenderedPageBreak/>
        <w:t xml:space="preserve">Ako postoji mogućnost kvalificiranog elektroničkog potpisa (QES), izjavu treba elektronički potpisati vaš ovlašteni zastupnik. Prihvaćamo samo kvalificirani elektronički potpis (QES) u smislu Uredbe (EU) br. 910/2014 (Uredba </w:t>
      </w:r>
      <w:proofErr w:type="spellStart"/>
      <w:r>
        <w:rPr>
          <w:i/>
          <w:highlight w:val="lightGray"/>
        </w:rPr>
        <w:t>eIDAS</w:t>
      </w:r>
      <w:proofErr w:type="spellEnd"/>
      <w:r>
        <w:rPr>
          <w:i/>
          <w:highlight w:val="lightGray"/>
        </w:rPr>
        <w:t xml:space="preserve">).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Prije slanja elektronički potpisanog dokumenta provjerite potpis i valjanost potvrde s pomoću sljedećih alata:</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Alat „DSS </w:t>
      </w:r>
      <w:proofErr w:type="spellStart"/>
      <w:r>
        <w:rPr>
          <w:i/>
          <w:highlight w:val="lightGray"/>
        </w:rPr>
        <w:t>Demonstration</w:t>
      </w:r>
      <w:proofErr w:type="spellEnd"/>
      <w:r>
        <w:rPr>
          <w:i/>
          <w:highlight w:val="lightGray"/>
        </w:rPr>
        <w:t xml:space="preserve"> </w:t>
      </w:r>
      <w:proofErr w:type="spellStart"/>
      <w:r>
        <w:rPr>
          <w:i/>
          <w:highlight w:val="lightGray"/>
        </w:rPr>
        <w:t>validation</w:t>
      </w:r>
      <w:proofErr w:type="spellEnd"/>
      <w:r>
        <w:rPr>
          <w:i/>
          <w:highlight w:val="lightGray"/>
        </w:rPr>
        <w:t xml:space="preserve">”, koji je dostupan na </w:t>
      </w:r>
      <w:hyperlink r:id="rId13">
        <w:r>
          <w:rPr>
            <w:highlight w:val="lightGray"/>
          </w:rPr>
          <w:t xml:space="preserve">https://ec.europa.eu/cefdigital/DSS/webapp-demo/validation </w:t>
        </w:r>
      </w:hyperlink>
      <w:r>
        <w:rPr>
          <w:i/>
          <w:highlight w:val="lightGray"/>
        </w:rPr>
        <w:t>, omogućuje provjeru valjanosti potvrde utvrđivanjem broja i vrste valjanih potpisa u dokumentu.</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S pomoću alata za pretraživanje „EU </w:t>
      </w:r>
      <w:proofErr w:type="spellStart"/>
      <w:r>
        <w:rPr>
          <w:i/>
          <w:highlight w:val="lightGray"/>
        </w:rPr>
        <w:t>Trusted</w:t>
      </w:r>
      <w:proofErr w:type="spellEnd"/>
      <w:r>
        <w:rPr>
          <w:i/>
          <w:highlight w:val="lightGray"/>
        </w:rPr>
        <w:t xml:space="preserve"> List Browser” možete provjeriti jesu li pružatelj elektroničkog potpisa i usluga povjerenja koju pruža navedeni na Pouzdanom popisu Europske unije: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Kako biste bili sigurni da je kvalificirani elektronički potpis u skladu s Uredbom </w:t>
      </w:r>
      <w:proofErr w:type="spellStart"/>
      <w:r>
        <w:rPr>
          <w:i/>
          <w:highlight w:val="lightGray"/>
        </w:rPr>
        <w:t>eIDAS</w:t>
      </w:r>
      <w:proofErr w:type="spellEnd"/>
      <w:r>
        <w:rPr>
          <w:i/>
          <w:highlight w:val="lightGray"/>
        </w:rPr>
        <w:t>, provjerite jesu li i pružatelj usluge i usluga generiranja elektroničkog potpisa navedeni na Pouzdanom popisu EU-a.</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Vlastoručni potpis:</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Ako ne postoji mogućnost elektroničkog potpisa, izjavu elektronički ispunite, ispišite i proslijedite vašem ovlaštenom zastupniku da je vlastoručno potpiše i datira.</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Stranica </w:t>
            </w:r>
            <w:r w:rsidRPr="00EC7E2B">
              <w:rPr>
                <w:sz w:val="20"/>
              </w:rPr>
              <w:fldChar w:fldCharType="begin"/>
            </w:r>
            <w:r w:rsidRPr="00EC7E2B">
              <w:rPr>
                <w:sz w:val="20"/>
              </w:rPr>
              <w:instrText xml:space="preserve"> PAGE </w:instrText>
            </w:r>
            <w:r w:rsidRPr="00EC7E2B">
              <w:rPr>
                <w:sz w:val="20"/>
              </w:rPr>
              <w:fldChar w:fldCharType="separate"/>
            </w:r>
            <w:r w:rsidR="00AB1D69">
              <w:rPr>
                <w:sz w:val="20"/>
              </w:rPr>
              <w:t>5</w:t>
            </w:r>
            <w:r w:rsidRPr="00EC7E2B">
              <w:rPr>
                <w:sz w:val="20"/>
              </w:rPr>
              <w:fldChar w:fldCharType="end"/>
            </w:r>
            <w:r>
              <w:rPr>
                <w:sz w:val="20"/>
              </w:rPr>
              <w:t xml:space="preserve"> od </w:t>
            </w:r>
            <w:r w:rsidRPr="00EC7E2B">
              <w:rPr>
                <w:sz w:val="20"/>
              </w:rPr>
              <w:fldChar w:fldCharType="begin"/>
            </w:r>
            <w:r w:rsidRPr="00EC7E2B">
              <w:rPr>
                <w:sz w:val="20"/>
              </w:rPr>
              <w:instrText xml:space="preserve"> NUMPAGES  </w:instrText>
            </w:r>
            <w:r w:rsidRPr="00EC7E2B">
              <w:rPr>
                <w:sz w:val="20"/>
              </w:rPr>
              <w:fldChar w:fldCharType="separate"/>
            </w:r>
            <w:r w:rsidR="00AB1D69">
              <w:rPr>
                <w:sz w:val="20"/>
              </w:rPr>
              <w:t>9</w:t>
            </w:r>
            <w:r w:rsidRPr="00EC7E2B">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Ista institucija, agencija, tijelo ili ured EU-a.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sz w:val="20"/>
        </w:rPr>
        <w:t xml:space="preserve"> </w:t>
      </w:r>
      <w:r>
        <w:rPr>
          <w:sz w:val="20"/>
        </w:rPr>
        <w:t>„</w:t>
      </w:r>
      <w:r>
        <w:rPr>
          <w:b/>
          <w:sz w:val="20"/>
        </w:rPr>
        <w:t>Uključeni subjekt</w:t>
      </w:r>
      <w:r>
        <w:rPr>
          <w:sz w:val="20"/>
        </w:rPr>
        <w:t>” je svaki gospodarski subjekt koji je uključen u zahtjev za sudjelovanje / ponudu. To obuhvaća sljedeće četiri kategorije gospodarskih subjekata:</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jedini natjecatelj/ponuditelj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članovi zajednice (uključujući vodećeg ponuditelja) u slučaju zajedničkog zahtjeva za sudjelovanje / zajedničke ponude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utvrđene </w:t>
      </w:r>
      <w:proofErr w:type="spellStart"/>
      <w:r>
        <w:rPr>
          <w:sz w:val="20"/>
        </w:rPr>
        <w:t>podugovaratelje</w:t>
      </w:r>
      <w:proofErr w:type="spellEnd"/>
      <w:r>
        <w:rPr>
          <w:sz w:val="20"/>
        </w:rPr>
        <w:t xml:space="preserve"> i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 xml:space="preserve">druge subjekte (koji nisu </w:t>
      </w:r>
      <w:proofErr w:type="spellStart"/>
      <w:r>
        <w:rPr>
          <w:sz w:val="20"/>
        </w:rPr>
        <w:t>podugovaratelji</w:t>
      </w:r>
      <w:proofErr w:type="spellEnd"/>
      <w:r>
        <w:rPr>
          <w:sz w:val="20"/>
        </w:rPr>
        <w:t>), na čiju se sposobnost natjecatelj/ponuditelj oslanja da bi ispunio kriterije za odabir.</w:t>
      </w:r>
    </w:p>
    <w:p w14:paraId="5BE9C146" w14:textId="10CA3A5B" w:rsidR="00585B73" w:rsidRPr="00FF60D1" w:rsidRDefault="00585B73" w:rsidP="004C0A40">
      <w:pPr>
        <w:pStyle w:val="FootnoteText"/>
        <w:ind w:left="0" w:firstLine="0"/>
      </w:pPr>
    </w:p>
  </w:footnote>
  <w:footnote w:id="4">
    <w:p w14:paraId="60E27032" w14:textId="36A1F68E" w:rsidR="002254B5" w:rsidRPr="00295BCF" w:rsidRDefault="002254B5" w:rsidP="00295BCF">
      <w:pPr>
        <w:pStyle w:val="FootnoteText"/>
        <w:ind w:left="0" w:firstLine="0"/>
      </w:pPr>
      <w:r>
        <w:rPr>
          <w:rStyle w:val="FootnoteReference"/>
        </w:rPr>
        <w:footnoteRef/>
      </w:r>
      <w:r>
        <w:t xml:space="preserve"> </w:t>
      </w:r>
      <w:r>
        <w:t>Izjava iz ove točke (2) daje se dobrovoljno i ne može imati negativne pravne posljedice za poslovni subjekt dok se ne ispune uvjeti iz članka 143. stavka 1. točke (a) Financijske uredbe.</w:t>
      </w:r>
    </w:p>
  </w:footnote>
  <w:footnote w:id="5">
    <w:p w14:paraId="79038C83" w14:textId="46E5ADA1" w:rsidR="00585B73" w:rsidRPr="00EA6BA4" w:rsidRDefault="00585B73">
      <w:pPr>
        <w:pStyle w:val="FootnoteText"/>
      </w:pPr>
      <w:r>
        <w:rPr>
          <w:rStyle w:val="FootnoteReference"/>
        </w:rPr>
        <w:footnoteRef/>
      </w:r>
      <w:r>
        <w:t xml:space="preserve"> </w:t>
      </w:r>
      <w:r>
        <w:t>Ista institucija, agencija, tijelo ili ured EU-a.</w:t>
      </w:r>
    </w:p>
  </w:footnote>
  <w:footnote w:id="6">
    <w:p w14:paraId="691476B8" w14:textId="175A7801" w:rsidR="00585B73" w:rsidRPr="00EA6BA4" w:rsidRDefault="00585B73" w:rsidP="0073022B">
      <w:pPr>
        <w:pStyle w:val="FootnoteText"/>
      </w:pPr>
      <w:r>
        <w:rPr>
          <w:rStyle w:val="FootnoteReference"/>
        </w:rPr>
        <w:footnoteRef/>
      </w:r>
      <w:r>
        <w:t xml:space="preserve"> </w:t>
      </w:r>
      <w:r>
        <w:t>Ista institucija, agencija, tijelo ili ured EU-a.</w:t>
      </w:r>
    </w:p>
  </w:footnote>
  <w:footnote w:id="7">
    <w:p w14:paraId="778927A2" w14:textId="77777777" w:rsidR="0008506D" w:rsidRPr="00E07552" w:rsidRDefault="0008506D" w:rsidP="0008506D">
      <w:pPr>
        <w:pStyle w:val="FootnoteText"/>
      </w:pPr>
      <w:r>
        <w:rPr>
          <w:rStyle w:val="FootnoteReference"/>
        </w:rPr>
        <w:footnoteRef/>
      </w:r>
      <w:r>
        <w:tab/>
      </w:r>
      <w:r>
        <w:t>Službeni popis nalazi se u Službenom listu EU-a te, u slučaju proturječnosti, njegov sadržaj ima prednost</w:t>
      </w:r>
    </w:p>
    <w:p w14:paraId="63C271E7" w14:textId="77777777" w:rsidR="0008506D" w:rsidRPr="00E07552" w:rsidRDefault="0008506D" w:rsidP="0008506D">
      <w:pPr>
        <w:pStyle w:val="FootnoteText"/>
      </w:pPr>
      <w:r>
        <w:t xml:space="preserve">pred sadržajem </w:t>
      </w:r>
      <w:hyperlink w:anchor="/main" w:history="1">
        <w:r>
          <w:rPr>
            <w:rStyle w:val="Hyperlink"/>
          </w:rPr>
          <w:t>prikaza sankcija EU-a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Verzija iz srpnja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Verzija iz srpnja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42C"/>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067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5A26"/>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D7F1D"/>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2B84"/>
    <w:rsid w:val="00FB5E6A"/>
    <w:rsid w:val="00FB7052"/>
    <w:rsid w:val="00FC4DD7"/>
    <w:rsid w:val="00FD2C3B"/>
    <w:rsid w:val="00FE1333"/>
    <w:rsid w:val="00FE2DA6"/>
    <w:rsid w:val="00FE353A"/>
    <w:rsid w:val="00FE407C"/>
    <w:rsid w:val="00FE4B90"/>
    <w:rsid w:val="00FF0711"/>
    <w:rsid w:val="00FF1108"/>
    <w:rsid w:val="00FF34E8"/>
    <w:rsid w:val="00FF60D1"/>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hr-H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hr-HR"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hr-HR"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hr-H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hr-H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Croatian</TermName>
          <TermId xmlns="http://schemas.microsoft.com/office/infopath/2007/PartnerControls">b95fa02f-7f58-3a48-42a9-1e1c2fb007f3</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2490</Value>
      <Value>1691</Value>
      <Value>122</Value>
      <Value>1708</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795B6CEE-8B81-4F10-A355-AED08509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3348</Words>
  <Characters>19720</Characters>
  <Application>Microsoft Office Word</Application>
  <DocSecurity>0</DocSecurity>
  <Lines>563</Lines>
  <Paragraphs>344</Paragraphs>
  <ScaleCrop>false</ScaleCrop>
  <Company>European Commission</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2018-07-24T17:42:00Z</cp:lastPrinted>
  <dcterms:created xsi:type="dcterms:W3CDTF">2025-09-25T12:41:00Z</dcterms:created>
  <dcterms:modified xsi:type="dcterms:W3CDTF">2025-09-25T12:41:00Z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2490;#Croatian|b95fa02f-7f58-3a48-42a9-1e1c2fb007f3</vt:lpwstr>
  </property>
  <property fmtid="{D5CDD505-2E9C-101B-9397-08002B2CF9AE}" pid="18" name="Pillar">
    <vt:lpwstr>122;#LEGAL FRAMEWORK|9afda264-c8b9-45ff-9bb8-61ede7f6cb10</vt:lpwstr>
  </property>
</Properties>
</file>