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Poissulkemis- ja valintaperusteita koskeva</w:t>
      </w:r>
      <w:r>
        <w:t xml:space="preserve"> </w:t>
      </w:r>
      <w:r>
        <w:br/>
      </w:r>
      <w:r>
        <w:rPr>
          <w:b/>
          <w:sz w:val="28"/>
        </w:rPr>
        <w:t>kunnian ja omantunnon kautta annettu vakuutus</w:t>
      </w:r>
    </w:p>
    <w:p w14:paraId="1A26E185" w14:textId="206E0B8A" w:rsidR="00702372" w:rsidRPr="00370A7F" w:rsidRDefault="00702372" w:rsidP="00370A7F">
      <w:pPr>
        <w:spacing w:before="100" w:beforeAutospacing="1" w:after="100" w:afterAutospacing="1"/>
        <w:jc w:val="both"/>
        <w:rPr>
          <w:b/>
          <w:bCs/>
        </w:rPr>
      </w:pPr>
      <w:r>
        <w:rPr>
          <w:b/>
        </w:rPr>
        <w:t>Menettelyn viite:</w:t>
      </w:r>
    </w:p>
    <w:p w14:paraId="60A66E87" w14:textId="242ECE30" w:rsidR="00702372" w:rsidRPr="00370A7F" w:rsidRDefault="00702372" w:rsidP="7F6CA770">
      <w:pPr>
        <w:spacing w:before="100" w:beforeAutospacing="1" w:after="100" w:afterAutospacing="1"/>
        <w:jc w:val="both"/>
        <w:rPr>
          <w:b/>
          <w:bCs/>
        </w:rPr>
      </w:pPr>
      <w:r>
        <w:rPr>
          <w:b/>
        </w:rPr>
        <w:t>Menettelyn nimi:</w:t>
      </w:r>
    </w:p>
    <w:p w14:paraId="03B168D8" w14:textId="3C04CAF4" w:rsidR="00702372" w:rsidRDefault="00702372" w:rsidP="7F6CA770">
      <w:pPr>
        <w:spacing w:beforeAutospacing="1" w:afterAutospacing="1"/>
        <w:jc w:val="both"/>
        <w:rPr>
          <w:i/>
          <w:iCs/>
          <w:noProof/>
          <w:highlight w:val="lightGray"/>
        </w:rPr>
      </w:pPr>
      <w:r>
        <w:rPr>
          <w:i/>
          <w:highlight w:val="lightGray"/>
        </w:rPr>
        <w:t>[Vaihtoehto 1: oikeushenkilöt]</w:t>
      </w:r>
    </w:p>
    <w:p w14:paraId="11F056D1" w14:textId="45B7275C" w:rsidR="00DA410F" w:rsidRDefault="00DA410F" w:rsidP="7F6CA770">
      <w:pPr>
        <w:jc w:val="both"/>
        <w:rPr>
          <w:noProof/>
        </w:rPr>
      </w:pPr>
      <w:r>
        <w:t>Allekirjoittanut [</w:t>
      </w:r>
      <w:r>
        <w:rPr>
          <w:i/>
          <w:highlight w:val="lightGray"/>
        </w:rPr>
        <w:t>tämän lomakkeen allekirjoittajan etu- ja sukunimi</w:t>
      </w:r>
      <w:r>
        <w:t>], joka edustaa seuraavaa oikeushenkilöä:</w:t>
      </w:r>
    </w:p>
    <w:p w14:paraId="629278CB" w14:textId="77777777" w:rsidR="7F6CA770" w:rsidRDefault="7F6CA770"/>
    <w:p w14:paraId="556E93A3" w14:textId="7FA43BB3" w:rsidR="00D17C08" w:rsidRDefault="00D17C08" w:rsidP="7F6CA770">
      <w:pPr>
        <w:rPr>
          <w:b/>
          <w:bCs/>
        </w:rPr>
      </w:pPr>
      <w:r>
        <w:t>Täydellinen virallinen nimi:</w:t>
      </w:r>
    </w:p>
    <w:p w14:paraId="60A1F64A" w14:textId="32A8BCF0" w:rsidR="00D17C08" w:rsidRDefault="00D17C08">
      <w:r>
        <w:t>Virallinen oikeudellinen muoto:</w:t>
      </w:r>
    </w:p>
    <w:p w14:paraId="775FC49B" w14:textId="77777777" w:rsidR="00D17C08" w:rsidRDefault="00D17C08" w:rsidP="7F6CA770">
      <w:pPr>
        <w:rPr>
          <w:b/>
          <w:bCs/>
        </w:rPr>
      </w:pPr>
      <w:r>
        <w:t>Yritys- ja yhteisötunnus:</w:t>
      </w:r>
      <w:r>
        <w:rPr>
          <w:b/>
        </w:rPr>
        <w:t xml:space="preserve"> </w:t>
      </w:r>
    </w:p>
    <w:p w14:paraId="3AE2909A" w14:textId="77777777" w:rsidR="00D17C08" w:rsidRDefault="00D17C08" w:rsidP="7F6CA770">
      <w:pPr>
        <w:rPr>
          <w:b/>
          <w:bCs/>
        </w:rPr>
      </w:pPr>
      <w:r>
        <w:t xml:space="preserve">Täydellinen virallinen osoite: </w:t>
      </w:r>
    </w:p>
    <w:p w14:paraId="69884DE8" w14:textId="77777777" w:rsidR="00D17C08" w:rsidRDefault="00D17C08">
      <w:r>
        <w:t xml:space="preserve">Alv-tunnus: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jäljempänä </w:t>
      </w:r>
      <w:r>
        <w:rPr>
          <w:b/>
        </w:rPr>
        <w:t>’toimija’</w:t>
      </w:r>
      <w:r>
        <w:t>,</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[Vaihtoehto 2: luonnolliset henkilöt]</w:t>
      </w:r>
    </w:p>
    <w:p w14:paraId="63C4093D" w14:textId="66FB4351" w:rsidR="00D17C08" w:rsidRDefault="00D17C08" w:rsidP="7F6CA770">
      <w:pPr>
        <w:jc w:val="both"/>
        <w:rPr>
          <w:noProof/>
        </w:rPr>
      </w:pPr>
      <w:r>
        <w:t>Allekirjoittanut [</w:t>
      </w:r>
      <w:r>
        <w:rPr>
          <w:i/>
          <w:highlight w:val="lightGray"/>
        </w:rPr>
        <w:t>tämän lomakkeen allekirjoittajan etu- ja sukunimi</w:t>
      </w:r>
      <w:r>
        <w:t>], jonka henkilötodistuksen tai passin numero on [</w:t>
      </w:r>
      <w:r>
        <w:rPr>
          <w:i/>
          <w:highlight w:val="lightGray"/>
        </w:rPr>
        <w:t>lisätään numero</w:t>
      </w:r>
      <w:r>
        <w:t>] ja joka edustaa itseään:</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jäljempänä </w:t>
      </w:r>
      <w:r>
        <w:rPr>
          <w:b/>
        </w:rPr>
        <w:t>’toimija’</w:t>
      </w:r>
      <w:r>
        <w:t>,</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Poissulkemisperusteita koskeva kunnian ja omantunnon kautta annettu vakuutus</w:t>
      </w:r>
    </w:p>
    <w:p w14:paraId="67F47E4E" w14:textId="637AF68D" w:rsidR="00B74CFF" w:rsidRDefault="007F3628" w:rsidP="00370A7F">
      <w:pPr>
        <w:spacing w:before="100" w:beforeAutospacing="1" w:after="100" w:afterAutospacing="1"/>
        <w:jc w:val="both"/>
      </w:pPr>
      <w:r>
        <w:t>Jos toimija on jo antanut vakuutuksen (</w:t>
      </w:r>
      <w:r>
        <w:tab/>
        <w:t>poissulkemisperusteita koskeva kunnian ja omantunnon kautta annettu vakuutus) saman hankintaviranomaisen</w:t>
      </w:r>
      <w:r>
        <w:rPr>
          <w:rStyle w:val="FootnoteReference"/>
        </w:rPr>
        <w:footnoteReference w:id="2"/>
      </w:r>
      <w:r>
        <w:t xml:space="preserve"> käynnistämää toista ratkaisu- tai myöntämismenettelyä varten, sen ei tarvitse täyttää vakuutuksen A-osaa edellyttäen, että tilanne ei ole muuttunut ja että vakuutuksen antamisajankohdasta on kulunut enintään vuosi.</w:t>
      </w:r>
    </w:p>
    <w:p w14:paraId="64B20EEE" w14:textId="78AEE0D7" w:rsidR="00AE5C0E" w:rsidRDefault="00AE5C0E" w:rsidP="051D3D6B">
      <w:pPr>
        <w:spacing w:before="100" w:beforeAutospacing="1" w:after="100" w:afterAutospacing="1"/>
        <w:jc w:val="both"/>
      </w:pPr>
      <w:r>
        <w:t xml:space="preserve">Tässä tapauksessa allekirjoittanut vakuuttaa, että toimija on jo toimittanut saman poissulkemisperusteita koskevan vakuutuksen aikaisemman menettelyn yhteydessä, ja vahvistaa, ettei toimijan tilanteessa ole tapahtunut muutosta: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Vakuutuksen päiväys</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Täydellinen viittaus aiempaan menettelyyn</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lastRenderedPageBreak/>
        <w:t>I – Poissulkemiseen johtavat tilanteet</w:t>
      </w:r>
    </w:p>
    <w:p w14:paraId="368816DB" w14:textId="1E6A9513" w:rsidR="00CD4DDC" w:rsidRPr="00897E28" w:rsidRDefault="00CD4A13" w:rsidP="7F6CA770">
      <w:pPr>
        <w:spacing w:before="120" w:after="120"/>
        <w:ind w:firstLine="1"/>
        <w:jc w:val="both"/>
        <w:rPr>
          <w:b/>
          <w:bCs/>
          <w:i/>
          <w:iCs/>
          <w:noProof/>
        </w:rPr>
      </w:pPr>
      <w:r>
        <w:rPr>
          <w:b/>
          <w:i/>
        </w:rPr>
        <w:t>(Kunkin osallistuvan yhteisön</w:t>
      </w:r>
      <w:r>
        <w:rPr>
          <w:rStyle w:val="FootnoteReference"/>
          <w:b/>
          <w:bCs/>
          <w:i/>
          <w:iCs/>
          <w:noProof/>
        </w:rPr>
        <w:footnoteReference w:id="3"/>
      </w:r>
      <w:r>
        <w:rPr>
          <w:b/>
          <w:i/>
        </w:rPr>
        <w:t xml:space="preserve"> on täytettävä tämä kohta.)</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8"/>
        <w:gridCol w:w="1172"/>
        <w:gridCol w:w="813"/>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ilmoittaa, onko toimija jossakin seuraavassa mainituista tilanteista:</w:t>
            </w:r>
          </w:p>
        </w:tc>
        <w:tc>
          <w:tcPr>
            <w:tcW w:w="930" w:type="dxa"/>
          </w:tcPr>
          <w:p w14:paraId="16F44831" w14:textId="77777777" w:rsidR="00F7691A" w:rsidRDefault="00F7691A" w:rsidP="006B0A89">
            <w:pPr>
              <w:spacing w:before="40" w:after="40"/>
              <w:ind w:left="142"/>
              <w:jc w:val="center"/>
              <w:rPr>
                <w:noProof/>
              </w:rPr>
            </w:pPr>
            <w:r>
              <w:t>KYLLÄ</w:t>
            </w:r>
          </w:p>
        </w:tc>
        <w:tc>
          <w:tcPr>
            <w:tcW w:w="825" w:type="dxa"/>
          </w:tcPr>
          <w:p w14:paraId="16F44832" w14:textId="77777777" w:rsidR="00F7691A" w:rsidRDefault="00F7691A" w:rsidP="006B0A89">
            <w:pPr>
              <w:spacing w:before="40" w:after="40"/>
              <w:ind w:left="142"/>
              <w:jc w:val="center"/>
              <w:rPr>
                <w:noProof/>
              </w:rPr>
            </w:pPr>
            <w:r>
              <w:t>EI</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se on tehnyt konkurssin, sen osalta on käynnistetty maksukyvyttömyys- tai likvidaatiomenettelyjä, sen varoja hallinnoi selvitysmies tai tuomioistuin, sille on vahvistettu akordi, sen liiketoiminta on keskeytetty tai se on muun vastaavan, unionin oikeuden tai kansallisiin lakeihin perustuvan menettelyn alainen;</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lainvoimaisessa tuomiossa tai lopullisessa hallinnollisessa päätöksessä on todettu, että toimija on laiminlyönyt sovellettavan lainsäädännön mukaisen velvollisuutensa maksaa veroja tai sosiaaliturvamaksuja;</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t>lainvoimaisessa tuomiossa tai lopullisessa hallinnollisessa päätöksessä on todettu, että toimija on syyllistynyt ammatin harjoittamiseen liittyvään vakavaan virheeseen rikkomalla sovellettavia lakeja tai määräyksiä tai ammattikuntansa eettisiä sääntöjä tai osallistumalla mihin tahansa muuhun virheelliseen toimintaan, joka vahingoittaa toimijan ammatillista uskottavuutta, jos kyseinen toiminta osoittaa vilpillistä aikomusta tai vakavaa laiminlyöntiä, mukaan lukien erityisesti jokin seuraavista:</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i) väärien tietojen antaminen vilpillisesti tai tuottamuksellisesti, kun näitä tietoja vaaditaan sen tarkistamiseksi, ettei poissulkemisperusteita ole tai että kelpoisuus- tai valintaperusteet täyttyvät, tai oikeudellisen sitoumuksen täytäntöönpanossa;</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Pr>
                <w:color w:val="000000"/>
              </w:rPr>
              <w:t>ii) sopimuksen tekeminen muiden toimijoiden tai yhteisöjen kanssa kilpailun vääristämiseksi;</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Pr>
                <w:color w:val="000000"/>
              </w:rPr>
              <w:t>iii) teollis- ja tekijänoikeuksien loukkaaminen;</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t>iv) epäasianmukainen vaikuttaminen tai yritys vaikuttaa epäasianmukaisesti päätöksentekoprosessiin unionin varojen saamiseksi käyttämällä vääriä tietoja antamalla hyväksi sellaista eturistiriitaa, jossa on osallisina varainhoitoasetuksen 61 artiklan 1 kohdassa tarkoitettuja taloushallinnon toimijoita tai muita henkilöitä;</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t>v) yritys saada luottamuksellisia tietoja, joiden avulla on mahdollista saada perusteettomia etuja ratkaisu- tai myöntämismenettelyssä</w:t>
            </w:r>
            <w:bookmarkEnd w:id="5"/>
            <w:r>
              <w:t>;</w:t>
            </w:r>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rPr>
            </w:pPr>
            <w:r>
              <w:rPr>
                <w:color w:val="000000"/>
              </w:rPr>
              <w:t>vi) yllyttäminen syrjintään, vihaan tai väkivaltaan henkilöryhmää tai ryhmän jäsentä kohtaan tai vastaava toiminta, joka on niiden SEU-sopimuksen 2 artiklassa vahvistettujen arvojen vastaista, joihin unioni perustuu, jos tällaisella moitittavalla toiminnalla on sellainen vaikutus henkilön integriteettiin, joka vaikuttaa tai konkreettisesti uhkaa vaikuttaa kielteisesti sopimuksen toimintaan;</w:t>
            </w:r>
          </w:p>
        </w:tc>
        <w:tc>
          <w:tcPr>
            <w:tcW w:w="930" w:type="dxa"/>
          </w:tcPr>
          <w:p w14:paraId="29A2A49A" w14:textId="4FEC417F"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lastRenderedPageBreak/>
              <w:t>lainvoimaisessa tuomiossa on todettu, että toimija on syyllistynyt johonkin seuraavista:</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t>i) petos, sellaisena kuin sitä tarkoitetaan direktiivin (EU) 2017/1371 3 artiklassa ja 26 päivänä heinäkuuta 1995 annetulla neuvoston säädöksellä tehdyn yhteisöjen taloudellisten etujen suojaamista koskevan yleissopimuksen 1 artiklassa</w:t>
            </w:r>
            <w:bookmarkStart w:id="6" w:name="_DV_C378"/>
            <w:r>
              <w:t>;</w:t>
            </w:r>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r>
              <w:t>ii) lahjuksen ottaminen tai antaminen, sellaisena kuin se on määritelty direktiivin (EU) 2017/1371 4 artiklan 2 kohdassa, tai lahjuksen antaminen, sellaisena kuin se on määriteltynä 26 päivänä toukokuuta 1997 annetulla neuvoston säädöksellä tehdyn, sellaisen lahjonnan torjumista, jossa on osallisena Euroopan yhteisöjen virkamiehiä tai Euroopan unionin jäsenvaltioiden virkamiehiä</w:t>
            </w:r>
            <w:bookmarkStart w:id="8" w:name="_DV_C381"/>
            <w:bookmarkEnd w:id="7"/>
            <w:r>
              <w:t xml:space="preserve">, koskevan yleissopimuksen 3 artiklassa, tai neuvoston puitepäätöksen 2003/568/YOS </w:t>
            </w:r>
            <w:bookmarkStart w:id="9" w:name="_DV_C383"/>
            <w:bookmarkEnd w:id="8"/>
            <w:r>
              <w:t>2 artiklan 1 kohdassa tarkoitetut menettelyt, tai lahjonta sellaisena kuin se on määritelty muussa sovellettavassa lainsäädännössä;</w:t>
            </w:r>
            <w:bookmarkEnd w:id="9"/>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bookmarkStart w:id="10" w:name="_DV_C384"/>
            <w:r>
              <w:t>iii) </w:t>
            </w:r>
            <w:bookmarkStart w:id="11" w:name="_DV_M250"/>
            <w:bookmarkEnd w:id="10"/>
            <w:bookmarkEnd w:id="11"/>
            <w:r>
              <w:t xml:space="preserve">neuvoston puitepäätöksen 2008/841/YOS 2 artiklassa </w:t>
            </w:r>
            <w:bookmarkStart w:id="12" w:name="_DV_C385"/>
            <w:r>
              <w:t>tarkoitetut rikollisjärjestöön liittyvät menettelyt</w:t>
            </w:r>
            <w:bookmarkStart w:id="13" w:name="_DV_C387"/>
            <w:bookmarkEnd w:id="12"/>
            <w:r>
              <w:t>;</w:t>
            </w:r>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r>
              <w:t>iv) </w:t>
            </w:r>
            <w:bookmarkStart w:id="14" w:name="_DV_M251"/>
            <w:bookmarkEnd w:id="14"/>
            <w:r>
              <w:t xml:space="preserve">rahanpesu </w:t>
            </w:r>
            <w:bookmarkStart w:id="15" w:name="_DV_C391"/>
            <w:r>
              <w:t>tai</w:t>
            </w:r>
            <w:bookmarkStart w:id="16" w:name="_DV_M252"/>
            <w:bookmarkEnd w:id="15"/>
            <w:bookmarkEnd w:id="16"/>
            <w:r>
              <w:t xml:space="preserve"> terrorismin rahoitus, </w:t>
            </w:r>
            <w:bookmarkStart w:id="17" w:name="_DV_C392"/>
            <w:r>
              <w:t>sellaisina kuin niitä tarkoitetaan Euroopan parlamentin ja neuvoston direktiivin (EU) 2015/849 1 artiklan 3, 4 ja 5 kohdassa</w:t>
            </w:r>
            <w:bookmarkStart w:id="18" w:name="_DV_C394"/>
            <w:bookmarkEnd w:id="17"/>
            <w:r>
              <w:t>;</w:t>
            </w:r>
            <w:bookmarkEnd w:id="18"/>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r>
              <w:t>v)</w:t>
            </w:r>
            <w:bookmarkStart w:id="20" w:name="_DV_M253"/>
            <w:bookmarkEnd w:id="19"/>
            <w:bookmarkEnd w:id="20"/>
            <w:r>
              <w:t xml:space="preserve"> terrorismirikokset </w:t>
            </w:r>
            <w:bookmarkStart w:id="21" w:name="_DV_C397"/>
            <w:r>
              <w:t>tai terroritoimintaan liittyvät rikokset, sellaisina kuin ne on määritelty Euroopan parlamentin ja neuvoston direktiivin (EU) 2017/541 3–12 artiklassa</w:t>
            </w:r>
            <w:bookmarkStart w:id="22" w:name="_DV_C399"/>
            <w:bookmarkEnd w:id="21"/>
            <w:r>
              <w:t>, tai mainitun direktiivin 14 artiklassa tarkoitettu tällaisiin rikoksiin yllyttäminen, avunanto niihin tai niiden yritys;</w:t>
            </w:r>
            <w:bookmarkEnd w:id="22"/>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bookmarkStart w:id="23" w:name="_DV_C400"/>
            <w:r>
              <w:t>vi)</w:t>
            </w:r>
            <w:bookmarkStart w:id="24" w:name="_DV_M254"/>
            <w:bookmarkEnd w:id="23"/>
            <w:bookmarkEnd w:id="24"/>
            <w:r>
              <w:t xml:space="preserve"> lapsityövoiman käyttö tai muut ihmiskauppaa koskevat rikokset, </w:t>
            </w:r>
            <w:bookmarkStart w:id="25" w:name="_DV_C402"/>
            <w:r>
              <w:t>sellaisina kuin niitä tarkoitetaan Euroopan parlamentin ja neuvoston direktiivin 2011/36/EU 2 artiklassa</w:t>
            </w:r>
            <w:bookmarkStart w:id="26" w:name="_DV_C404"/>
            <w:bookmarkEnd w:id="25"/>
            <w:r>
              <w:t>;</w:t>
            </w:r>
            <w:bookmarkEnd w:id="26"/>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t xml:space="preserve">unionin talousarviosta rahoitetun oikeudellisen sitoumuksen täytäntöönpanossa on ollut sen osalta merkittäviä puutteita keskeisten velvoitteiden täytäntöönpanossa, mikä on johtanut kyseisen sitoumuksen ennenaikaiseen irtisanomiseen, sopimussakkojen soveltamiseen tai muihin sopimuksen mukaisiin seuraamuksiin tai minkä tulojen ja menojen hyväksyjä, Euroopan petostentorjuntavirasto (OLAF), tilintarkastustuomioistuin tai Euroopan syyttäjänvirasto (EPPO) on havainnut tarkastusten, tilintarkastusten, tutkimusten tai tutkintojen yhteydessä;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r>
              <w:t>lainvoimaisessa tuomiossa tai lopullisessa hallinnollisessa päätöksessä on todettu, että toimija on syyllistynyt neuvoston asetuksen (EY, Euratom) N:o 2988/95 1 artiklan 2 kohdassa tarkoitettuun väärinkäytökseen</w:t>
            </w:r>
            <w:bookmarkEnd w:id="27"/>
            <w:r>
              <w: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Pr>
                <w:color w:val="000000" w:themeColor="text1"/>
              </w:rPr>
              <w:t>lainvoimaisessa tuomiossa tai lopullisessa hallinnollisessa päätöksessä on todettu, että toimija on perustanut eri lainkäyttöalueelle yhteisön tarkoituksena kiertää sellaisia vero- tai sosiaalilainsäädäntöön perustuvia velvoitteita tai muita lakisääteisiä velvoitteita, myös niitä, jotka liittyvät työelämäoikeuksiin, työllisyyteen ja työoloihin, lainkäyttöalueella, jossa yhteisön sääntömääräinen kotipaikka, keskushallinto tai päätoimipaikka sijaitsee;</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t>(</w:t>
            </w:r>
            <w:r>
              <w:rPr>
                <w:i/>
              </w:rPr>
              <w:t>vain oikeushenkilöiden osalta</w:t>
            </w:r>
            <w:r>
              <w:t>) lainvoimaisessa tuomiossa tai lopullisessa hallinnollisessa päätöksessä on todettu, että toimija on perustettu g alakohdassa tarkoitetussa tarkoituksessa;</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5A52FFD3" w:rsidR="002254B5" w:rsidRPr="0024350A" w:rsidRDefault="002254B5" w:rsidP="002254B5">
            <w:pPr>
              <w:pStyle w:val="Text1"/>
              <w:numPr>
                <w:ilvl w:val="0"/>
                <w:numId w:val="15"/>
              </w:numPr>
              <w:spacing w:before="40" w:after="40"/>
              <w:rPr>
                <w:noProof/>
              </w:rPr>
            </w:pPr>
            <w:r>
              <w:lastRenderedPageBreak/>
              <w:t xml:space="preserve"> toimija on tahallisesti ja ilman asianmukaisia perusteluja vastustanut hankintaviranomaisen tai sen edustajan taikka tarkastajan, OLAFin, EPPOn tai tilintarkastustuomioistuimen suorittamaa tutkimusta, tutkintaa, tarkastusta tai tilintarkastusta. On katsottava, että toimija vastustaa tutkimusta, tutkintaa, tarkastusta tai tilintarkastusta, kun se toteuttaa toimia, joiden tarkoituksena on estää, vaikeuttaa tai viivästyttää tutkimuksen, tutkinnan, tarkastuksen tai tilintarkastuksen tekemiseksi tarvittavien toimenpiteiden toteuttamista tai joista on seurauksena tällaisten toimenpiteiden estyminen, vaikeutuminen tai viivästyminen. Tällaisiin toimiin sisältyvät erityisesti kieltäytyminen antamasta tarvittavaa pääsyä tiloihin tai muille liiketoimintatarkoituksiin käytettäville alueille, tietojen salaaminen tai niiden luovuttamisesta kieltäytyminen tai väärien tietojen antaminen.</w:t>
            </w:r>
          </w:p>
        </w:tc>
        <w:tc>
          <w:tcPr>
            <w:tcW w:w="930" w:type="dxa"/>
          </w:tcPr>
          <w:p w14:paraId="0F27857E" w14:textId="1175AA9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62074E4A" w:rsidR="002254B5" w:rsidRPr="0024350A" w:rsidRDefault="002254B5" w:rsidP="002254B5">
            <w:pPr>
              <w:numPr>
                <w:ilvl w:val="0"/>
                <w:numId w:val="17"/>
              </w:numPr>
              <w:spacing w:before="40" w:after="40"/>
              <w:jc w:val="both"/>
              <w:rPr>
                <w:noProof/>
              </w:rPr>
            </w:pPr>
            <w:r>
              <w:t>vakuuttaa, että jos lainvoimaista tuomiota tai lopullista hallinnollista päätöstä ei ole annettu, 1 kohdan c–i alakohdassa tarkoitetuissa tilanteissa toimijaan sovelletaan varainhoitoasetuksen 138 artiklan 3 kohdassa mainittuja tosiseikkoja ja havaintoja ja erityisesti seuraavia:</w:t>
            </w:r>
          </w:p>
        </w:tc>
        <w:tc>
          <w:tcPr>
            <w:tcW w:w="930" w:type="dxa"/>
          </w:tcPr>
          <w:p w14:paraId="68C9A1B2" w14:textId="05B15687" w:rsidR="002254B5" w:rsidRDefault="002254B5" w:rsidP="002254B5">
            <w:pPr>
              <w:spacing w:before="240" w:after="120"/>
              <w:jc w:val="center"/>
              <w:rPr>
                <w:noProof/>
              </w:rPr>
            </w:pPr>
            <w:r>
              <w:t>KYLLÄ</w:t>
            </w:r>
            <w:r>
              <w:rPr>
                <w:rStyle w:val="FootnoteReference"/>
                <w:noProof/>
              </w:rPr>
              <w:footnoteReference w:id="4"/>
            </w:r>
          </w:p>
        </w:tc>
        <w:tc>
          <w:tcPr>
            <w:tcW w:w="825" w:type="dxa"/>
          </w:tcPr>
          <w:p w14:paraId="1A4D1557" w14:textId="4113B6AB" w:rsidR="002254B5" w:rsidRDefault="002254B5" w:rsidP="002254B5">
            <w:pPr>
              <w:spacing w:before="240" w:after="120"/>
              <w:jc w:val="center"/>
              <w:rPr>
                <w:noProof/>
              </w:rPr>
            </w:pPr>
            <w:r>
              <w:t>EI</w:t>
            </w:r>
          </w:p>
        </w:tc>
      </w:tr>
      <w:tr w:rsidR="002254B5" w14:paraId="16F4487E" w14:textId="77777777" w:rsidTr="6BD695A2">
        <w:trPr>
          <w:trHeight w:val="1579"/>
        </w:trPr>
        <w:tc>
          <w:tcPr>
            <w:tcW w:w="8238" w:type="dxa"/>
          </w:tcPr>
          <w:p w14:paraId="16F4487B" w14:textId="4D535A5A" w:rsidR="002254B5" w:rsidRPr="00583379" w:rsidRDefault="002254B5" w:rsidP="002254B5">
            <w:pPr>
              <w:pStyle w:val="Text1"/>
              <w:numPr>
                <w:ilvl w:val="0"/>
                <w:numId w:val="25"/>
              </w:numPr>
              <w:spacing w:before="40" w:after="40"/>
              <w:ind w:left="709" w:firstLine="0"/>
              <w:rPr>
                <w:color w:val="000000"/>
              </w:rPr>
            </w:pPr>
            <w:r>
              <w:rPr>
                <w:color w:val="000000"/>
              </w:rPr>
              <w:t xml:space="preserve"> tosiseikat, jotka on todettu Euroopan syyttäjänviraston asetuksen (EU) 2017/1939 mukaiseen tiiviimpään yhteistyöhön osallistuvien jäsenvaltioiden osalta, tilintarkastustuomioistuimen, OLAFin tai sisäisen tarkastuksen suorittaman tarkastuksen, tutkimuksen tai tutkinnan taikka EU:n toimielimen, EU:n toimipaikan tai EU:n viraston tai elimen tulojen ja menojen hyväksyjän vastuulla suoritettavan muun tarkastuksen, tilintarkastuksen tai valvonnan yhteydessä;</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4485087B"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muut kuin lainvoimaiset tuomiot tai muut kuin lopulliset hallinnolliset päätökset, joihin voi sisältyä ammattietiikkaa koskevien normien noudattamisen varmistamisesta vastaavan toimivaltaisen valvontaelimen toteuttamia kurinpitotoimia;</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3EA33A57" w:rsidR="002254B5" w:rsidDel="00977B4E" w:rsidRDefault="002254B5" w:rsidP="002254B5">
            <w:pPr>
              <w:pStyle w:val="Text1"/>
              <w:numPr>
                <w:ilvl w:val="0"/>
                <w:numId w:val="25"/>
              </w:numPr>
              <w:spacing w:before="40" w:after="40"/>
              <w:ind w:left="709" w:firstLine="0"/>
              <w:rPr>
                <w:color w:val="000000"/>
              </w:rPr>
            </w:pPr>
            <w:r>
              <w:rPr>
                <w:color w:val="000000"/>
              </w:rPr>
              <w:t>EU:n talousarvion toteuttamistehtäviä hoitavien yhteisöjen tai henkilöiden päätöksissä tarkoitetut tosiseikat;</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701E56A"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w:t>
            </w:r>
            <w:r>
              <w:t>unionin varoja hallinnoivien jäsenvaltioiden toimittamat tiedot, erityisesti kansallisen tason lainvoimaisen tuomion tai lopullisen hallinnollisen päätöksen yhteydessä todetut tosiseikat ja havainnot, jotka koskevat c alakohdan iv alakohdassa tai d alakohdassa tarkoitettujen poissulkemistilanteiden olemassaoloa;</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3ECAC3C3"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komission päätökset unionin kilpailuoikeuden rikkomisista tai toimivaltaisen kansallisen viranomaisen päätökset unionin tai kansallisen kilpailuoikeuden rikkomisista; </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03C4E8C9" w:rsidR="002254B5" w:rsidRPr="00182B46" w:rsidDel="00977B4E" w:rsidRDefault="002254B5" w:rsidP="002254B5">
            <w:pPr>
              <w:pStyle w:val="Text1"/>
              <w:numPr>
                <w:ilvl w:val="0"/>
                <w:numId w:val="25"/>
              </w:numPr>
              <w:spacing w:before="40" w:after="40"/>
              <w:ind w:left="709" w:firstLine="0"/>
              <w:rPr>
                <w:color w:val="000000"/>
              </w:rPr>
            </w:pPr>
            <w:bookmarkStart w:id="28" w:name="_Hlk208482090"/>
            <w:r>
              <w:rPr>
                <w:color w:val="000000" w:themeColor="text1"/>
              </w:rPr>
              <w:t xml:space="preserve"> toimijalle on annettu tiedoksi millä tahansa tavalla, että se on Euroopan petostentorjuntaviraston (OLAF) tutkimuksen kohteena joko sen vuoksi, että OLAF on antanut toimijalle tilaisuuden esittää huomautuksia itseään koskevista seikoista, tai sen vuoksi, että OLAF on tutkimuksensa kuluessa kohdistanut toimijaan paikalla tehtäviä tarkastuksia, tai sen vuoksi, että toimijalle on ilmoitettu sitä koskevan OLAFin tutkimuksen aloittamisesta, päättämisestä tai mistä tahansa tällaiseen tutkimukseen liittyvästä seikasta;</w:t>
            </w:r>
          </w:p>
        </w:tc>
        <w:tc>
          <w:tcPr>
            <w:tcW w:w="930" w:type="dxa"/>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E044C" w14:paraId="206BE170" w14:textId="77777777" w:rsidTr="000E044C">
        <w:trPr>
          <w:trHeight w:val="614"/>
        </w:trPr>
        <w:tc>
          <w:tcPr>
            <w:tcW w:w="8238" w:type="dxa"/>
            <w:tcBorders>
              <w:top w:val="single" w:sz="4" w:space="0" w:color="auto"/>
              <w:left w:val="single" w:sz="4" w:space="0" w:color="auto"/>
              <w:bottom w:val="single" w:sz="4" w:space="0" w:color="auto"/>
              <w:right w:val="single" w:sz="4" w:space="0" w:color="auto"/>
            </w:tcBorders>
          </w:tcPr>
          <w:p w14:paraId="30B48811" w14:textId="72297BA5" w:rsidR="000E044C" w:rsidRPr="000E044C" w:rsidDel="00977B4E" w:rsidRDefault="00890229" w:rsidP="006C4CDC">
            <w:pPr>
              <w:pStyle w:val="Text1"/>
              <w:numPr>
                <w:ilvl w:val="0"/>
                <w:numId w:val="25"/>
              </w:numPr>
              <w:spacing w:before="40" w:after="40"/>
              <w:ind w:left="709" w:firstLine="0"/>
              <w:rPr>
                <w:color w:val="000000" w:themeColor="text1"/>
              </w:rPr>
            </w:pPr>
            <w:bookmarkStart w:id="29" w:name="_DV_C376"/>
            <w:bookmarkEnd w:id="28"/>
            <w:r>
              <w:rPr>
                <w:color w:val="000000" w:themeColor="text1"/>
              </w:rPr>
              <w:t xml:space="preserve"> muissa samankaltaisissa tilanteissa. </w:t>
            </w:r>
          </w:p>
        </w:tc>
        <w:tc>
          <w:tcPr>
            <w:tcW w:w="930" w:type="dxa"/>
            <w:tcBorders>
              <w:top w:val="single" w:sz="4" w:space="0" w:color="auto"/>
              <w:left w:val="single" w:sz="4" w:space="0" w:color="auto"/>
              <w:bottom w:val="single" w:sz="4" w:space="0" w:color="auto"/>
              <w:right w:val="single" w:sz="4" w:space="0" w:color="auto"/>
            </w:tcBorders>
          </w:tcPr>
          <w:p w14:paraId="18D4CD0B" w14:textId="77777777" w:rsidR="000E044C" w:rsidRDefault="000E044C" w:rsidP="006C4CDC">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Borders>
              <w:top w:val="single" w:sz="4" w:space="0" w:color="auto"/>
              <w:left w:val="single" w:sz="4" w:space="0" w:color="auto"/>
              <w:bottom w:val="single" w:sz="4" w:space="0" w:color="auto"/>
              <w:right w:val="single" w:sz="4" w:space="0" w:color="auto"/>
            </w:tcBorders>
          </w:tcPr>
          <w:p w14:paraId="36CAE2CF" w14:textId="77777777" w:rsidR="000E044C" w:rsidRDefault="000E044C" w:rsidP="006C4CD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r>
        <w:lastRenderedPageBreak/>
        <w:t>II – Poissulkemiseen johtavat tilanteet, jotka koskevat sellaisia luonnollisia henkilöitä tai oikeushenkilöitä, joilla on edustus-, päätös- tai valvontavalta oikeushenkilön osalta, tai tosiasiallisia omistajia ja edunsaajia</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Ei sovelleta silloin kun toimija on luonnollinen henkilö, jäsenvaltio tai paikallisviranomainen. Kaikissa muissa tapauksissa kunkin osallistuvan yhteisön on täytettävä tämä kohta.</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3"/>
        <w:gridCol w:w="1030"/>
        <w:gridCol w:w="889"/>
        <w:gridCol w:w="1310"/>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t xml:space="preserve">ilmoittaa, onko luonnollinen henkilö tai oikeushenkilö, joka on oikeushenkilön hallinto-, johto- tai valvontaelimen jäsen tai joka käyttää edustus-, päätös- tai valvontavaltaa oikeushenkilön osalta (tämä kattaa esim. yritysten johtajat, johto- tai valvontaelinten jäsenet ja tapaukset, joissa yksi luonnollinen henkilö tai oikeushenkilö omistaa enemmistön osakkeista), tai toimijan (direktiivin (EU) 2015/849 3 artiklan 6 kohdassa määritelty) tosiasiallinen omistaja ja edunsaaja jossakin seuraavassa mainituista tilanteista: </w:t>
            </w:r>
          </w:p>
        </w:tc>
        <w:tc>
          <w:tcPr>
            <w:tcW w:w="858" w:type="dxa"/>
          </w:tcPr>
          <w:p w14:paraId="16F44882" w14:textId="77777777" w:rsidR="001F135A" w:rsidRDefault="001F135A" w:rsidP="00C37A34">
            <w:pPr>
              <w:spacing w:before="240" w:after="120"/>
              <w:jc w:val="center"/>
              <w:rPr>
                <w:noProof/>
              </w:rPr>
            </w:pPr>
            <w:r>
              <w:t>KYLLÄ</w:t>
            </w:r>
          </w:p>
        </w:tc>
        <w:tc>
          <w:tcPr>
            <w:tcW w:w="952" w:type="dxa"/>
          </w:tcPr>
          <w:p w14:paraId="16F44883" w14:textId="77777777" w:rsidR="001F135A" w:rsidRDefault="001F135A" w:rsidP="00C37A34">
            <w:pPr>
              <w:spacing w:before="240" w:after="120"/>
              <w:jc w:val="center"/>
              <w:rPr>
                <w:noProof/>
              </w:rPr>
            </w:pPr>
            <w:r>
              <w:t>EI</w:t>
            </w:r>
          </w:p>
        </w:tc>
        <w:tc>
          <w:tcPr>
            <w:tcW w:w="813" w:type="dxa"/>
          </w:tcPr>
          <w:p w14:paraId="16F44884" w14:textId="77777777" w:rsidR="001F135A" w:rsidRDefault="001F135A" w:rsidP="00C37A34">
            <w:pPr>
              <w:spacing w:before="240" w:after="120"/>
              <w:jc w:val="center"/>
              <w:rPr>
                <w:noProof/>
              </w:rPr>
            </w:pPr>
            <w:r>
              <w:t>EI SOVELLU</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t>edellä 1 kohdan c alakohdassa tarkoitettu tilanne (ammatin harjoittamiseen liittyvä vakava virhe);</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edellä 1 kohdan d alakohdassa tarkoitettu tilanne (petos, korruptio tai muu rikos);</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t>edellä 1 kohdan e alakohdassa tarkoitettu tilanne (sopimuksen täytäntöönpanoon liittyvät merkittävät puutteet);</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edellä 1 kohdan f alakohdassa tarkoitettu tilanne (väärinkäytös);</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edellä 1 kohdan g alakohdassa tarkoitettu tilanne (yhteisön perustaminen tarkoituksena kiertää lakisääteisiä velvoitteita);</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edellä 1 kohdan h alakohdassa tarkoitettu tilanne (toimijan perustaminen tarkoituksena kiertää lakisääteisiä velvoitteita)</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edellä 1 kohdan i alakohdassa tarkoitettu tilanne (tutkimuksen, tutkinnan, tarkastuksen tai tilintarkastuksen vastustaminen tahallisesti ja ilman asianmukaisia perusteluja)</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Poissulkemiseen johtavat tilanteet, jotka koskevat oikeushenkilön veloista rajoittamattomassa vastuussa olevia luonnollisia henkilöitä tai oikeushenkilöitä</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Ei sovelleta silloin kun toimija on luonnollinen henkilö, jäsenvaltio, paikallisviranomainen tai oikeushenkilö, jolla on rajoitettu vastuu. Kaikissa muissa tapauksissa kunkin osallistuvan yhteisön on täytettävä tämä kohta.</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2"/>
        <w:gridCol w:w="1030"/>
        <w:gridCol w:w="589"/>
        <w:gridCol w:w="1310"/>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lastRenderedPageBreak/>
              <w:t xml:space="preserve"> ilmoittaa, onko oikeushenkilön veloista rajoittamattomassa vastuussa oleva luonnollinen henkilö tai oikeushenkilö jossakin seuraavista tilanteista: </w:t>
            </w:r>
          </w:p>
        </w:tc>
        <w:tc>
          <w:tcPr>
            <w:tcW w:w="670" w:type="dxa"/>
          </w:tcPr>
          <w:p w14:paraId="16F4489C" w14:textId="77777777" w:rsidR="003E5E5C" w:rsidRDefault="003E5E5C" w:rsidP="00C37A34">
            <w:pPr>
              <w:spacing w:before="240" w:after="120"/>
              <w:jc w:val="center"/>
              <w:rPr>
                <w:noProof/>
              </w:rPr>
            </w:pPr>
            <w:r>
              <w:t>KYLLÄ</w:t>
            </w:r>
          </w:p>
        </w:tc>
        <w:tc>
          <w:tcPr>
            <w:tcW w:w="614" w:type="dxa"/>
          </w:tcPr>
          <w:p w14:paraId="16F4489D" w14:textId="77777777" w:rsidR="003E5E5C" w:rsidRDefault="003E5E5C" w:rsidP="00C37A34">
            <w:pPr>
              <w:spacing w:before="240" w:after="120"/>
              <w:jc w:val="center"/>
              <w:rPr>
                <w:noProof/>
              </w:rPr>
            </w:pPr>
            <w:r>
              <w:t>EI</w:t>
            </w:r>
          </w:p>
        </w:tc>
        <w:tc>
          <w:tcPr>
            <w:tcW w:w="630" w:type="dxa"/>
          </w:tcPr>
          <w:p w14:paraId="16F4489E" w14:textId="77777777" w:rsidR="003E5E5C" w:rsidRDefault="003E5E5C" w:rsidP="00C37A34">
            <w:pPr>
              <w:spacing w:before="240" w:after="120"/>
              <w:jc w:val="center"/>
              <w:rPr>
                <w:noProof/>
              </w:rPr>
            </w:pPr>
            <w:r>
              <w:t>EI SOVELLU</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edellä alakohdassa a tarkoitettu tilanne (konkurssi);</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t>edellä alakohdassa b tarkoitettu tilanne (verojen tai sosiaaliturvamaksujen laiminlyönti);</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IV – Tässä menettelyssä sovellettavat muut hylkäysperusteet</w:t>
      </w:r>
    </w:p>
    <w:p w14:paraId="49EFC66C" w14:textId="603EB082" w:rsidR="00B05C76" w:rsidRPr="00897E28" w:rsidRDefault="00B05C76" w:rsidP="00B05C76">
      <w:pPr>
        <w:spacing w:before="120" w:after="120"/>
        <w:ind w:firstLine="1"/>
        <w:jc w:val="both"/>
        <w:rPr>
          <w:b/>
          <w:bCs/>
          <w:i/>
          <w:iCs/>
          <w:noProof/>
        </w:rPr>
      </w:pPr>
      <w:r>
        <w:rPr>
          <w:b/>
          <w:i/>
        </w:rPr>
        <w:t>(Kunkin yksittäisen ehdokkaan/tarjoajan tai yhteisen osallistumishakemuksen/tarjouksen tapauksessa ryhmän kunkin jäsenen on täytettävä tämä kohta.)</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3"/>
        <w:gridCol w:w="1030"/>
        <w:gridCol w:w="743"/>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t>5) vakuuttaa, että toimija</w:t>
            </w:r>
          </w:p>
        </w:tc>
        <w:tc>
          <w:tcPr>
            <w:tcW w:w="670" w:type="dxa"/>
          </w:tcPr>
          <w:p w14:paraId="1361E30C" w14:textId="77777777" w:rsidR="00B05C76" w:rsidRDefault="00B05C76" w:rsidP="00D6012C">
            <w:pPr>
              <w:spacing w:before="240" w:after="120"/>
              <w:jc w:val="center"/>
              <w:rPr>
                <w:noProof/>
              </w:rPr>
            </w:pPr>
            <w:r>
              <w:t>KYLLÄ</w:t>
            </w:r>
          </w:p>
        </w:tc>
        <w:tc>
          <w:tcPr>
            <w:tcW w:w="759" w:type="dxa"/>
          </w:tcPr>
          <w:p w14:paraId="2D50029A" w14:textId="77777777" w:rsidR="00B05C76" w:rsidRDefault="00B05C76" w:rsidP="00D6012C">
            <w:pPr>
              <w:spacing w:before="240" w:after="120"/>
              <w:jc w:val="center"/>
              <w:rPr>
                <w:noProof/>
              </w:rPr>
            </w:pPr>
            <w:r>
              <w:t>EI</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t xml:space="preserve">a) on aikaisemmin osallistunut tässä ratkaisu- tai myöntämismenettelyssä käytettävien hankinta-asiakirjojen laatimiseen, jos tämä merkitsee sellaista tasapuolisen kohtelun periaatteen rikkomista, mukaan lukien kilpailun vääristyminen, jota ei voida korjata muulla keinoin.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9"/>
      <w:r>
        <w:rPr>
          <w:rFonts w:ascii="Times New Roman Bold" w:hAnsi="Times New Roman Bold"/>
          <w:b/>
          <w:smallCaps/>
        </w:rPr>
        <w:t>V – Korjaavat toimenpiteet</w:t>
      </w:r>
    </w:p>
    <w:p w14:paraId="16F448B4" w14:textId="0E80E9C8" w:rsidR="005C6293" w:rsidRDefault="005C6293" w:rsidP="051D3D6B">
      <w:pPr>
        <w:spacing w:before="120" w:after="120"/>
        <w:jc w:val="both"/>
        <w:rPr>
          <w:color w:val="000000"/>
        </w:rPr>
      </w:pPr>
      <w:r>
        <w:t>Jos toimija ilmoittaa olevansa jossakin edellä mainituista poissulkemiseen johtavista tilanteista, se voi ilmoittaa toimenpiteet, jotka se on toteuttanut tilanteen korjaamiseksi, jotta tulojen ja menojen hyväksyjä voi määrittää, ovatko tällaiset toimenpiteet riittäviä toimijan luotettavuuden osoittamiseksi.</w:t>
      </w:r>
      <w:r>
        <w:rPr>
          <w:color w:val="000000" w:themeColor="text1"/>
        </w:rPr>
        <w:t xml:space="preserve"> Näihin toimenpiteisiin voi sisältyä esimerkiksi teknisiä, organisatorisia ja henkilöstöön liittyviä toimenpiteitä, joilla on tarkoitus estää vastaavien tilanteiden toistuminen, sekä vahinkojen korvaaminen tai sakkojen taikka verojen tai sosiaaliturvamaksujen maksaminen. </w:t>
      </w:r>
    </w:p>
    <w:p w14:paraId="773D5FBD" w14:textId="6FDC2569" w:rsidR="0020320A" w:rsidRDefault="0020320A" w:rsidP="051D3D6B">
      <w:pPr>
        <w:spacing w:before="120" w:after="120"/>
        <w:jc w:val="both"/>
        <w:rPr>
          <w:color w:val="000000"/>
        </w:rPr>
      </w:pPr>
      <w:r>
        <w:rPr>
          <w:color w:val="000000" w:themeColor="text1"/>
        </w:rPr>
        <w:t>Toimijan tai yhteisön on esitettävä korjaavia toimenpiteitä, jotka ulkopuolinen riippumaton tarkastaja on arvioinut tai jotka on katsottu riittäviksi kansallisen tai unionin viranomaisen päätöksellä, sanotun kuitenkaan rajoittamatta toimivaltaisen tulojen ja menojen hyväksyjän suorittamaa arviointia. Tähän vakuutukseen on liitettävä asiakirjat, jotka osoittavat, millaisia korjaavia toimenpiteitä on toteutettu, ja arvio toimenpiteistä. Korjaavia toimenpiteitä ei sovelleta tämän vakuutuksen I osan 1 kohdan d alakohdassa tarkoitettuihin tilanteisiin.</w:t>
      </w:r>
    </w:p>
    <w:p w14:paraId="16F448B5" w14:textId="3FE5177B" w:rsidR="00F96EAB" w:rsidRPr="007D7A5F" w:rsidRDefault="00B05C76" w:rsidP="0024225B">
      <w:pPr>
        <w:pStyle w:val="Title"/>
        <w:rPr>
          <w:noProof/>
        </w:rPr>
      </w:pPr>
      <w:r>
        <w:t>VI – Poissulkemisperusteita koskevat todisteet</w:t>
      </w:r>
    </w:p>
    <w:p w14:paraId="477A6316" w14:textId="3261E630" w:rsidR="00695D93" w:rsidRDefault="0092592E" w:rsidP="7F6CA770">
      <w:pPr>
        <w:spacing w:before="120" w:after="120"/>
        <w:ind w:firstLine="11"/>
        <w:jc w:val="both"/>
        <w:rPr>
          <w:noProof/>
        </w:rPr>
      </w:pPr>
      <w:r>
        <w:t>Tarjouseritelmässä esitetään yksityiskohtaisesti, minkä osallistuvien yhteisöjen on toimitettava asianmukaiset todisteet sen osoittamiseksi, että ne eivät ole 1 kohdassa tarkoitetussa poissulkemiseen johtavassa tilanteessa, ja milloin todisteet on toimitettava.</w:t>
      </w:r>
    </w:p>
    <w:p w14:paraId="3EE64640" w14:textId="03697B6E" w:rsidR="00835E88" w:rsidRPr="00F76ABA" w:rsidRDefault="00CA3ADD" w:rsidP="00835E88">
      <w:pPr>
        <w:spacing w:before="120" w:after="120"/>
        <w:jc w:val="both"/>
        <w:rPr>
          <w:noProof/>
        </w:rPr>
      </w:pPr>
      <w:r>
        <w:t>Todisteiksi kelpaavat seuraavat:</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Edellä olevan 1 kohdan a, c, d, f, g ja h alakohdan osalta voidaan pyytää hiljattain annettu rikosrekisteriote tai tällaisen puuttuessa asianomaisen sijoittautumisvaltion oikeus- tai hallintoviranomaisen hiljattain antama vastaava asiakirja, josta ilmenee, että nämä edellytykset täyttyvät.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 xml:space="preserve">Edellä olevan 1 kohdan a ja b alakohdan osalta voidaan pyytää sijoittautumisvaltion toimivaltaisten viranomaisten hiljattain antamat todistukset. Asiakirjoissa on oltava todisteet kaikista toimijalle kuuluvista vero- ja sosiaaliturvamaksuista, joita ovat </w:t>
      </w:r>
      <w:r>
        <w:lastRenderedPageBreak/>
        <w:t>esimerkiksi alv, tulovero (vain luonnolliset henkilöt), yhtiövero (vain oikeushenkilöt) ja sosiaaliturvamaksut. Jos sijoittautumisvaltiossa ei anneta jotakin edellä tarkoitetuista asiakirjoista, sen sijasta voidaan toimittaa oikeusviranomaiselle tai notaarille annettu valaehtoinen vakuutus tai tällaisen puuttuessa sijoittautumisvaltion hallintoviranomaiselle tai asiassa toimivaltaiselle toimialaa edustavalle järjestölle annettu virallinen vakuutus.</w:t>
      </w:r>
    </w:p>
    <w:p w14:paraId="16F448B9" w14:textId="6993ED04" w:rsidR="008C4A00" w:rsidRDefault="00C55150" w:rsidP="051D3D6B">
      <w:pPr>
        <w:spacing w:before="100" w:beforeAutospacing="1" w:after="100" w:afterAutospacing="1"/>
        <w:jc w:val="both"/>
      </w:pPr>
      <w:r>
        <w:t>Toimija ei ole velvollinen toimittamaan todisteita, jos ne on jo toimitettu saman hankintaviranomaisen</w:t>
      </w:r>
      <w:r>
        <w:rPr>
          <w:rStyle w:val="FootnoteReference"/>
        </w:rPr>
        <w:footnoteReference w:id="5"/>
      </w:r>
      <w:r>
        <w:t xml:space="preserve"> käynnistämän toisen ratkaisu- tai myöntämismenettelyn yhteydessä. Asiakirjojen on oltava sellaiset, että ne on annettu enintään vuotta ennen kuin hankintaviranomainen pyytää niitä, ja niiden on oltava edelleen voimassa kyseisenä ajankohtana. </w:t>
      </w:r>
    </w:p>
    <w:p w14:paraId="16F448BA" w14:textId="1463A7B7" w:rsidR="008C4A00" w:rsidRDefault="00A40405" w:rsidP="051D3D6B">
      <w:pPr>
        <w:spacing w:before="100" w:beforeAutospacing="1" w:after="100" w:afterAutospacing="1"/>
        <w:jc w:val="both"/>
      </w:pPr>
      <w:r>
        <w:t xml:space="preserve">Allekirjoittanut vakuuttaa, että toimija on jo toimittanut asiakirjatodisteet aikaisemman menettelyn yhteydessä, ja vahvistaa, ettei toimijan tilanteessa ole tapahtunut muutosta: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Asiakirja</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Täydellinen viittaus aiempaan menettelyyn</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Lisätään tarvittava määrä rivejä.</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Toimijan ei tarvitse toimittaa todisteita, jos ne ovat saatavilla maksutta kansallisessa tietokannassa.  </w:t>
      </w:r>
    </w:p>
    <w:p w14:paraId="0F58ED09" w14:textId="2FB86EF0" w:rsidR="00CF0C80" w:rsidRDefault="00602579" w:rsidP="051D3D6B">
      <w:pPr>
        <w:spacing w:before="100" w:beforeAutospacing="1" w:after="100" w:afterAutospacing="1"/>
        <w:jc w:val="both"/>
      </w:pPr>
      <w:r>
        <w:t>Allekirjoittaja vakuuttaa, että vaaditut todisteet ovat käytettävissä seuraavassa tietokannan internetosoitteessa / seuraavilla asiakirjan tunnistetiedoilla.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Tietokannan internetosoite</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Asiakirjan tunnistetiedot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Lisätään tarvittava määrä rivejä.</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Valintaperusteita koskeva kunnian ja omantunnon kautta annettu vakuutus </w:t>
      </w:r>
    </w:p>
    <w:p w14:paraId="2D59BB2A" w14:textId="01DD445D" w:rsidR="743C92D7" w:rsidRDefault="743C92D7" w:rsidP="051D3D6B">
      <w:pPr>
        <w:spacing w:beforeAutospacing="1" w:afterAutospacing="1"/>
        <w:jc w:val="both"/>
      </w:pPr>
      <w:r>
        <w:t>Jos menettely on jaettu eriin, B-osan lausumat koskevat sitä erää (niitä eriä), jonka (joiden) osalta osallistumishakemus/tarjous on toimitettu.</w:t>
      </w:r>
    </w:p>
    <w:p w14:paraId="7232500E" w14:textId="59A72938" w:rsidR="00E25A58" w:rsidRDefault="00E25A58" w:rsidP="00E25A58">
      <w:pPr>
        <w:pStyle w:val="Title"/>
        <w:rPr>
          <w:noProof/>
        </w:rPr>
      </w:pPr>
      <w:r>
        <w:t>I – Valintaperusteet</w:t>
      </w:r>
    </w:p>
    <w:p w14:paraId="7CE533D0" w14:textId="16A9A02E" w:rsidR="00B74E92" w:rsidRPr="00897E28" w:rsidRDefault="00CA2C74" w:rsidP="051D3D6B">
      <w:pPr>
        <w:jc w:val="both"/>
        <w:rPr>
          <w:b/>
          <w:bCs/>
          <w:u w:val="single"/>
        </w:rPr>
      </w:pPr>
      <w:r>
        <w:rPr>
          <w:b/>
          <w:u w:val="single"/>
        </w:rPr>
        <w:t xml:space="preserve">Ehdokkaaseen/tarjoajaan sovellettavat valintaperusteet (kokonaisarviointi) </w:t>
      </w:r>
    </w:p>
    <w:p w14:paraId="1E43862B" w14:textId="28BF9BC9" w:rsidR="006E23B3" w:rsidRPr="00897E28" w:rsidRDefault="006E23B3" w:rsidP="00897E28">
      <w:pPr>
        <w:spacing w:before="120" w:after="120"/>
        <w:ind w:firstLine="1"/>
        <w:jc w:val="both"/>
        <w:rPr>
          <w:b/>
          <w:bCs/>
          <w:i/>
          <w:iCs/>
          <w:noProof/>
        </w:rPr>
      </w:pPr>
      <w:bookmarkStart w:id="30" w:name="_Hlk203596443"/>
      <w:r>
        <w:rPr>
          <w:b/>
          <w:i/>
        </w:rPr>
        <w:t>(VAIN yksittäisen ehdokkaan/tarjoajan tai yhteisen osallistumishakemuksen/tarjouksen tapauksessa ryhmän johtajan on täytettävä tämä kohta.)</w:t>
      </w:r>
    </w:p>
    <w:p w14:paraId="580B2348" w14:textId="36EFDB8E" w:rsidR="00F04B97" w:rsidRDefault="00F04B97" w:rsidP="00F04B97">
      <w:pPr>
        <w:spacing w:before="120" w:after="120"/>
        <w:ind w:firstLine="1"/>
        <w:jc w:val="both"/>
        <w:rPr>
          <w:noProof/>
        </w:rPr>
      </w:pPr>
      <w:r>
        <w:t>Toimija, joka on yksittäinen ehdokas / yksittäinen tarjoaja / ryhmän johtaja, kun on kyse yhteisestä osallistumishakemuksesta/tarjouksesta, ja joka toimittaa osallistumishakemuksen/tarjouksen edellä mainittua menettelyä varten,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9"/>
        <w:gridCol w:w="1030"/>
        <w:gridCol w:w="983"/>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6) vakuuttaa, että ehdokas/tarjoaja, mukaan lukien yhteisen osallistumishakemuksen/tarjouksen tapauksessa kaikki ryhmän jäsenet sekä alihankkijat ja tapauksen mukaan ne yhteisöt, joiden valmiuksia ehdokas/tarjoaja aikoo hyödyntää,</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KYLLÄ</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EI</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lastRenderedPageBreak/>
              <w:t>täyttää kaikki valintaperusteet, joiden osalta tehdään kokonaisarviointi tarjouseritelmän mukaisesti.</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30"/>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Hankintaviranomainen lisää tarvittaessa seuraavan vaihtoehdon hankinta-asiakirjojen mukaisesti. Hankintaviranomaisen on poistettava seuraava kohta, jos erikseen sovellettavia valinperusteita ei ole. Jos tällaisia valintaperusteita on, hankintaviranomaisen on mukautettava taulukkoa tarjouseritelmään sisältyvien perusteiden mukaan.</w:t>
      </w:r>
    </w:p>
    <w:p w14:paraId="5CFBC1F8" w14:textId="7B867C43" w:rsidR="00CA2C74" w:rsidRPr="00897E28" w:rsidRDefault="00C4227A">
      <w:pPr>
        <w:jc w:val="both"/>
        <w:rPr>
          <w:b/>
          <w:bCs/>
          <w:u w:val="single"/>
        </w:rPr>
      </w:pPr>
      <w:r>
        <w:rPr>
          <w:b/>
          <w:u w:val="single"/>
        </w:rPr>
        <w:t>Osallistuviin yhteisöihin erikseen sovellettavat valintaperusteet – yksilöllinen arviointi</w:t>
      </w:r>
    </w:p>
    <w:p w14:paraId="78C15FF3" w14:textId="0676A81C" w:rsidR="00723411" w:rsidRPr="00897E28" w:rsidRDefault="00723411" w:rsidP="7F6CA770">
      <w:pPr>
        <w:spacing w:before="120" w:after="120"/>
        <w:ind w:firstLine="1"/>
        <w:jc w:val="both"/>
        <w:rPr>
          <w:b/>
          <w:bCs/>
          <w:i/>
          <w:iCs/>
          <w:noProof/>
        </w:rPr>
      </w:pPr>
      <w:r>
        <w:rPr>
          <w:b/>
          <w:i/>
        </w:rPr>
        <w:t>(Kunkin osallistuvan yhteisön, johon valintaperusteita sovelletaan yksilöllisesti tarjouseritelmän mukaisesti, on täytettävä tämä kohta.)</w:t>
      </w:r>
    </w:p>
    <w:p w14:paraId="64745216" w14:textId="17979E7F" w:rsidR="00E80BCE" w:rsidRPr="00897E28" w:rsidRDefault="00E80BCE" w:rsidP="6FB7994E">
      <w:pPr>
        <w:spacing w:before="120" w:after="120"/>
        <w:ind w:firstLine="1"/>
        <w:jc w:val="both"/>
        <w:rPr>
          <w:b/>
          <w:bCs/>
          <w:i/>
          <w:iCs/>
          <w:noProof/>
        </w:rPr>
      </w:pPr>
      <w:r>
        <w:t>Toimija, joka on yksittäinen ehdokas / yksittäinen tarjoaja / ryhmän jäsen, kun on kyse yhteisestä osallistumishakemuksesta/tarjouksesta, / alihankkija ja joka toimittaa osallistumishakemuksen/tarjouksen tai osallistuu sellaiseen edellä mainittua menettelyä varten,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3"/>
        <w:gridCol w:w="1030"/>
        <w:gridCol w:w="583"/>
        <w:gridCol w:w="1310"/>
      </w:tblGrid>
      <w:tr w:rsidR="00A551F6" w14:paraId="4C5D7034" w14:textId="77777777" w:rsidTr="740E3E08">
        <w:tc>
          <w:tcPr>
            <w:tcW w:w="7344" w:type="dxa"/>
          </w:tcPr>
          <w:p w14:paraId="66242635" w14:textId="50DF55FA" w:rsidR="00A551F6" w:rsidRPr="006C5B50" w:rsidRDefault="00850397" w:rsidP="006020BD">
            <w:pPr>
              <w:spacing w:before="120" w:after="120"/>
              <w:ind w:firstLine="1"/>
              <w:jc w:val="both"/>
              <w:rPr>
                <w:b/>
                <w:bCs/>
                <w:i/>
                <w:iCs/>
                <w:noProof/>
              </w:rPr>
            </w:pPr>
            <w:r>
              <w:t>7) vakuuttaa, että toimija täyttää seuraavat siihen erikseen sovellettavat valintaperusteet:</w:t>
            </w:r>
          </w:p>
        </w:tc>
        <w:tc>
          <w:tcPr>
            <w:tcW w:w="704" w:type="dxa"/>
          </w:tcPr>
          <w:p w14:paraId="13DAA78F" w14:textId="77777777" w:rsidR="00A551F6" w:rsidRDefault="00A551F6" w:rsidP="00C37A34">
            <w:pPr>
              <w:spacing w:before="240" w:after="120"/>
              <w:jc w:val="center"/>
              <w:rPr>
                <w:noProof/>
              </w:rPr>
            </w:pPr>
            <w:r>
              <w:t>KYLLÄ</w:t>
            </w:r>
          </w:p>
        </w:tc>
        <w:tc>
          <w:tcPr>
            <w:tcW w:w="608" w:type="dxa"/>
          </w:tcPr>
          <w:p w14:paraId="465AC66E" w14:textId="77777777" w:rsidR="00A551F6" w:rsidRDefault="00A551F6" w:rsidP="00C37A34">
            <w:pPr>
              <w:spacing w:before="240" w:after="120"/>
              <w:jc w:val="center"/>
              <w:rPr>
                <w:noProof/>
              </w:rPr>
            </w:pPr>
            <w:r>
              <w:t>EI</w:t>
            </w:r>
          </w:p>
        </w:tc>
        <w:tc>
          <w:tcPr>
            <w:tcW w:w="630" w:type="dxa"/>
          </w:tcPr>
          <w:p w14:paraId="237B4D9E" w14:textId="77777777" w:rsidR="00A551F6" w:rsidRDefault="00A551F6" w:rsidP="00C37A34">
            <w:pPr>
              <w:spacing w:before="240" w:after="120"/>
              <w:jc w:val="center"/>
              <w:rPr>
                <w:noProof/>
              </w:rPr>
            </w:pPr>
            <w:r>
              <w:t>EI SOVELLU</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toimijalla on oikeustoimikelpoisuus ja sääntelyllinen kelpoisuus harjoittaa sopimuksen täyttämiseen tarjouseritelmän mukaisesti tarvittavaa ammattitoimintaa;</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t>toimija täyttää tarjouseritelmässä asetetut sovellettavat taloudelliset ja rahoitukseen liittyvät perusteet;</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toimija täyttää tarjouseritelmässä asetetut sovellettavat tekniset ja ammatilliset perusteet;</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Valintaperusteet – ammatilliset eturistiriidat </w:t>
      </w:r>
    </w:p>
    <w:p w14:paraId="6D4253AB" w14:textId="6F28DDE5" w:rsidR="00850397" w:rsidRPr="00897E28" w:rsidRDefault="00850397" w:rsidP="00EE7E2B">
      <w:pPr>
        <w:spacing w:before="120" w:after="120"/>
        <w:ind w:firstLine="1"/>
        <w:rPr>
          <w:b/>
          <w:bCs/>
          <w:i/>
          <w:iCs/>
          <w:noProof/>
        </w:rPr>
      </w:pPr>
      <w:r>
        <w:rPr>
          <w:b/>
          <w:i/>
        </w:rPr>
        <w:t>(Kunkin osallistuvan yhteisön on täytettävä tämä kohta.)</w:t>
      </w:r>
    </w:p>
    <w:p w14:paraId="4E52E5EC" w14:textId="6CF73761" w:rsidR="00850397" w:rsidRDefault="00850397" w:rsidP="00850397">
      <w:pPr>
        <w:jc w:val="both"/>
        <w:rPr>
          <w:b/>
          <w:bCs/>
          <w:u w:val="single"/>
        </w:rPr>
      </w:pPr>
      <w:r>
        <w:t>Toimija, joka on yksittäinen ehdokas / yksittäinen tarjoaja / ryhmän jäsen, kun on kyse yhteisestä osallistumishakemuksesta/tarjouksesta, / alihankkija ja joka toimittaa osallistumishakemuksen/tarjouksen tai osallistuu sellaiseen edellä mainittua menettelyä varten,</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7"/>
        <w:gridCol w:w="1030"/>
        <w:gridCol w:w="985"/>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vakuuttaa, että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KYLLÄ</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EI</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toimijalla on eturistiriitoja, jotka voisivat vaikuttaa kielteisesti sopimuksen täyttämiseen.</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 – Valintaperusteita koskevat todisteet </w:t>
      </w:r>
    </w:p>
    <w:p w14:paraId="6C38D641" w14:textId="3F0D33E7" w:rsidR="00F04B97" w:rsidRDefault="00F04B97" w:rsidP="051D3D6B">
      <w:pPr>
        <w:spacing w:before="100" w:beforeAutospacing="1" w:after="100" w:afterAutospacing="1"/>
        <w:jc w:val="both"/>
      </w:pPr>
      <w:r>
        <w:t>Tarjouseritelmässä esitetään yksityiskohtaisesti, mitä todisteita minkäkin osallistuvan yhteisön on toimitettava ja milloin, jotta voidaan osoittaa, että ehdokas/tarjoaja täyttää valintaperusteet.</w:t>
      </w:r>
    </w:p>
    <w:p w14:paraId="1699FA0D" w14:textId="0C53EE83" w:rsidR="00F04B97" w:rsidRPr="00A64C2E" w:rsidRDefault="00F04B97" w:rsidP="00897E28">
      <w:pPr>
        <w:spacing w:before="100" w:beforeAutospacing="1" w:after="100" w:afterAutospacing="1"/>
        <w:jc w:val="both"/>
        <w:rPr>
          <w:noProof/>
        </w:rPr>
      </w:pPr>
      <w:r>
        <w:t xml:space="preserve">Jos todisteita ei tarvitse toimittaa yhtä aikaa osallistumishakemuksen/tarjouksen kanssa, toimijaa kehotetaan hankkimaan todisteisiin liittyvät asiakirjat etukäteen, sillä hankintaviranomainen saattaa pyytää niitä lyhyellä määräajalla. </w:t>
      </w:r>
    </w:p>
    <w:p w14:paraId="1279E35F" w14:textId="2584B0D8" w:rsidR="0073022B" w:rsidRDefault="0073022B" w:rsidP="051D3D6B">
      <w:pPr>
        <w:spacing w:before="100" w:beforeAutospacing="1" w:after="100" w:afterAutospacing="1"/>
        <w:jc w:val="both"/>
      </w:pPr>
      <w:r>
        <w:lastRenderedPageBreak/>
        <w:t>Toimija ei ole velvollinen toimittamaan todisteita, jos ne on jo toimitettu saman hankintaviranomaisen</w:t>
      </w:r>
      <w:r>
        <w:rPr>
          <w:rStyle w:val="FootnoteReference"/>
        </w:rPr>
        <w:footnoteReference w:id="6"/>
      </w:r>
      <w:r>
        <w:t xml:space="preserve"> käynnistämän toisen hankintamenettelyn yhteydessä ja ovat edelleen ajantasaisia.</w:t>
      </w:r>
    </w:p>
    <w:p w14:paraId="0FBE3FFA" w14:textId="51DD42D5" w:rsidR="00F04B97" w:rsidRDefault="00F04B97" w:rsidP="051D3D6B">
      <w:pPr>
        <w:spacing w:before="100" w:beforeAutospacing="1" w:after="100" w:afterAutospacing="1"/>
        <w:jc w:val="both"/>
      </w:pPr>
      <w:r>
        <w:t xml:space="preserve">Allekirjoittanut vakuuttaa, että toimija on jo toimittanut asiakirjatodisteet aikaisemman menettelyn yhteydessä, ja vahvistaa, ettei toimijan tilanteessa ole tapahtunut muutosta: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Asiakirja</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Täydellinen viittaus aiempaan menettelyyn</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Lisätään tarvittava määrä rivejä.</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Toimijan ei tarvitse toimittaa todisteita, jos ne ovat saatavilla maksutta kansallisessa tietokannassa. </w:t>
      </w:r>
    </w:p>
    <w:p w14:paraId="03A26509" w14:textId="77777777" w:rsidR="008B35EE" w:rsidRDefault="008B35EE" w:rsidP="051D3D6B">
      <w:pPr>
        <w:spacing w:before="100" w:beforeAutospacing="1" w:after="100" w:afterAutospacing="1"/>
        <w:jc w:val="both"/>
      </w:pPr>
      <w:r>
        <w:t>Allekirjoittaja vakuuttaa, että vaaditut todisteet ovat käytettävissä seuraavassa tietokannan internetosoitteessa / seuraavilla asiakirjan tunnistetiedoilla.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Tietokannan internetosoite</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Asiakirjan tunnistetiedot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Lisätään tarvittava määrä rivejä.</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Kunnian ja omantunnon kautta annettu vakuutus rajoittavista toimenpiteistä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9"/>
        <w:gridCol w:w="1030"/>
        <w:gridCol w:w="983"/>
      </w:tblGrid>
      <w:tr w:rsidR="00781ACA" w:rsidRPr="00781ACA" w14:paraId="3DC7322F" w14:textId="77777777" w:rsidTr="00193EB5">
        <w:tc>
          <w:tcPr>
            <w:tcW w:w="730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t>9) vakuuttaa, että ehdokkaaseen/tarjoajaan, mukaan lukien yhteisen osallistumishakemuksen/tarjouksen tapauksessa kaikki ryhmän jäsenet sekä alihankkijat ja tapauksen mukaan ne yhteisöt, joiden valmiuksia ehdokas/tarjoaja aikoo hyödyntää,</w:t>
            </w:r>
          </w:p>
        </w:tc>
        <w:tc>
          <w:tcPr>
            <w:tcW w:w="1030"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KYLLÄ</w:t>
            </w:r>
          </w:p>
        </w:tc>
        <w:tc>
          <w:tcPr>
            <w:tcW w:w="983"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EI</w:t>
            </w:r>
          </w:p>
        </w:tc>
      </w:tr>
      <w:tr w:rsidR="00781ACA" w:rsidRPr="00781ACA" w14:paraId="360E0C62" w14:textId="77777777" w:rsidTr="00193EB5">
        <w:tc>
          <w:tcPr>
            <w:tcW w:w="730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t xml:space="preserve">a) ei sovelleta Euroopan unionista tehdyn sopimuksen (SEU) 29 artiklan tai Euroopan unionin toiminnasta tehdyn sopimuksen (SEUT) 215 artiklan nojalla hyväksyttyjä </w:t>
            </w:r>
            <w:hyperlink r:id="rId12" w:history="1">
              <w:r>
                <w:rPr>
                  <w:rStyle w:val="Hyperlink"/>
                </w:rPr>
                <w:t>EU:n rajoittavia toimenpiteitä</w:t>
              </w:r>
            </w:hyperlink>
            <w:r>
              <w:rPr>
                <w:vertAlign w:val="superscript"/>
              </w:rPr>
              <w:footnoteReference w:id="7"/>
            </w:r>
            <w:r>
              <w:t xml:space="preserve">, joilla kielletään varojen tai taloudellisten resurssien asettaminen niiden saataville ja siirtäminen niille tai rahoituksen ja rahoitusavun antaminen niille suoraan tai välillisesti tai niiden varojen jäädyttäminen. </w:t>
            </w:r>
          </w:p>
        </w:tc>
        <w:tc>
          <w:tcPr>
            <w:tcW w:w="1030"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83"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93EB5" w:rsidRPr="00781ACA" w14:paraId="2883AACD" w14:textId="77777777" w:rsidTr="00193EB5">
        <w:tc>
          <w:tcPr>
            <w:tcW w:w="7309" w:type="dxa"/>
            <w:tcBorders>
              <w:top w:val="single" w:sz="4" w:space="0" w:color="auto"/>
              <w:left w:val="single" w:sz="4" w:space="0" w:color="auto"/>
              <w:bottom w:val="single" w:sz="4" w:space="0" w:color="auto"/>
              <w:right w:val="single" w:sz="4" w:space="0" w:color="auto"/>
            </w:tcBorders>
          </w:tcPr>
          <w:p w14:paraId="5D38482C" w14:textId="498AA9B0" w:rsidR="00193EB5" w:rsidRDefault="00193EB5" w:rsidP="00193EB5">
            <w:r>
              <w:t>10) ilmoittaa, onko luonnollinen henkilö tai oikeushenkilö, joka on oikeushenkilön hallinto-, johto- tai valvontaelimen jäsen tai joka käyttää edustus-, päätös- tai valvontavaltaa oikeushenkilön osalta (tämä kattaa esim. yritysten johtajat, johto- tai valvontaelinten jäsenet ja tapaukset, joissa yksi luonnollinen henkilö tai oikeushenkilö omistaa enemmistön osakkeista), tai toimijan (direktiivin (EU) 2015/849 3 artiklan 6 kohdassa määritelty) tosiasiallinen omistaja ja edunsaaja jossakin seuraavassa mainituista tilanteista:</w:t>
            </w:r>
          </w:p>
        </w:tc>
        <w:tc>
          <w:tcPr>
            <w:tcW w:w="1030" w:type="dxa"/>
            <w:tcBorders>
              <w:top w:val="single" w:sz="4" w:space="0" w:color="auto"/>
              <w:left w:val="single" w:sz="4" w:space="0" w:color="auto"/>
              <w:bottom w:val="single" w:sz="4" w:space="0" w:color="auto"/>
              <w:right w:val="single" w:sz="4" w:space="0" w:color="auto"/>
            </w:tcBorders>
          </w:tcPr>
          <w:p w14:paraId="5335A49D" w14:textId="7910D643" w:rsidR="00193EB5" w:rsidRDefault="00193EB5" w:rsidP="00193EB5">
            <w:r>
              <w:t>KYLLÄ</w:t>
            </w:r>
          </w:p>
        </w:tc>
        <w:tc>
          <w:tcPr>
            <w:tcW w:w="983" w:type="dxa"/>
            <w:tcBorders>
              <w:top w:val="single" w:sz="4" w:space="0" w:color="auto"/>
              <w:left w:val="single" w:sz="4" w:space="0" w:color="auto"/>
              <w:bottom w:val="single" w:sz="4" w:space="0" w:color="auto"/>
              <w:right w:val="single" w:sz="4" w:space="0" w:color="auto"/>
            </w:tcBorders>
          </w:tcPr>
          <w:p w14:paraId="4BF8F2B3" w14:textId="199A417A" w:rsidR="00193EB5" w:rsidRDefault="00193EB5" w:rsidP="00193EB5">
            <w:r>
              <w:t>EI</w:t>
            </w:r>
          </w:p>
        </w:tc>
      </w:tr>
      <w:tr w:rsidR="00193EB5" w:rsidRPr="00781ACA" w14:paraId="4393BD2A" w14:textId="77777777" w:rsidTr="00193EB5">
        <w:tc>
          <w:tcPr>
            <w:tcW w:w="7309" w:type="dxa"/>
            <w:tcBorders>
              <w:top w:val="single" w:sz="4" w:space="0" w:color="auto"/>
              <w:left w:val="single" w:sz="4" w:space="0" w:color="auto"/>
              <w:bottom w:val="single" w:sz="4" w:space="0" w:color="auto"/>
              <w:right w:val="single" w:sz="4" w:space="0" w:color="auto"/>
            </w:tcBorders>
          </w:tcPr>
          <w:p w14:paraId="23559418" w14:textId="0EBD2255" w:rsidR="00193EB5" w:rsidRDefault="00193EB5" w:rsidP="00193EB5">
            <w:r>
              <w:t xml:space="preserve">a) ei sovelleta Euroopan unionista tehdyn sopimuksen (SEU) 29 artiklan tai Euroopan unionin toiminnasta tehdyn sopimuksen (SEUT) 215 artiklan nojalla hyväksyttyjä </w:t>
            </w:r>
            <w:hyperlink r:id="rId13" w:history="1">
              <w:r>
                <w:rPr>
                  <w:rStyle w:val="Hyperlink"/>
                </w:rPr>
                <w:t>EU:n rajoittavia toimenpiteitä</w:t>
              </w:r>
            </w:hyperlink>
            <w:r>
              <w:rPr>
                <w:vertAlign w:val="superscript"/>
              </w:rPr>
              <w:footnoteReference w:id="8"/>
            </w:r>
            <w:r>
              <w:t>, joilla kielletään varojen tai taloudellisten resurssien asettaminen niiden saataville ja siirtäminen niille tai rahoituksen ja rahoitusavun antaminen niille suoraan tai välillisesti tai niiden varojen jäädyttäminen.</w:t>
            </w:r>
          </w:p>
        </w:tc>
        <w:tc>
          <w:tcPr>
            <w:tcW w:w="1030" w:type="dxa"/>
            <w:tcBorders>
              <w:top w:val="single" w:sz="4" w:space="0" w:color="auto"/>
              <w:left w:val="single" w:sz="4" w:space="0" w:color="auto"/>
              <w:bottom w:val="single" w:sz="4" w:space="0" w:color="auto"/>
              <w:right w:val="single" w:sz="4" w:space="0" w:color="auto"/>
            </w:tcBorders>
          </w:tcPr>
          <w:p w14:paraId="251F2DA5" w14:textId="10E661CB" w:rsidR="00193EB5" w:rsidRDefault="00193EB5" w:rsidP="00193EB5">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83" w:type="dxa"/>
            <w:tcBorders>
              <w:top w:val="single" w:sz="4" w:space="0" w:color="auto"/>
              <w:left w:val="single" w:sz="4" w:space="0" w:color="auto"/>
              <w:bottom w:val="single" w:sz="4" w:space="0" w:color="auto"/>
              <w:right w:val="single" w:sz="4" w:space="0" w:color="auto"/>
            </w:tcBorders>
          </w:tcPr>
          <w:p w14:paraId="3826CD03" w14:textId="7D13F490" w:rsidR="00193EB5" w:rsidRDefault="00193EB5" w:rsidP="00193EB5">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1" w:name="_Hlk203596381"/>
      <w:r>
        <w:lastRenderedPageBreak/>
        <w:t>Kunnian ja omantunnon kautta annettu vakuutus</w:t>
      </w:r>
      <w:bookmarkEnd w:id="31"/>
      <w:r>
        <w:t xml:space="preserve"> vahvistetusta velasta unionille </w:t>
      </w:r>
    </w:p>
    <w:p w14:paraId="1DCBB562" w14:textId="03CF733F" w:rsidR="006B2B45" w:rsidRPr="006B0A89" w:rsidRDefault="0013073C" w:rsidP="6FB7994E">
      <w:pPr>
        <w:spacing w:before="120" w:after="120"/>
        <w:jc w:val="both"/>
        <w:rPr>
          <w:b/>
          <w:bCs/>
          <w:i/>
          <w:iCs/>
          <w:noProof/>
        </w:rPr>
      </w:pPr>
      <w:r>
        <w:rPr>
          <w:b/>
          <w:i/>
        </w:rPr>
        <w:t xml:space="preserve"> (Kunkin yksittäisen ehdokkaan/tarjoajan tai yhteisen osallistumishakemuksen/tarjouksen tapauksessa ryhmän kunkin jäsenen on täytettävä tämä kohta.)</w:t>
      </w:r>
    </w:p>
    <w:p w14:paraId="5915DC59" w14:textId="752F5BD7" w:rsidR="00EE7E2B" w:rsidRDefault="00EE7E2B" w:rsidP="00EE7E2B">
      <w:pPr>
        <w:jc w:val="both"/>
        <w:rPr>
          <w:noProof/>
        </w:rPr>
      </w:pPr>
      <w:r>
        <w:t>Toimija, joka on yksittäinen ehdokas/ yksittäinen tarjoaja / ryhmän jäsen, kun on kyse yhteisestä osallistumishakemuksesta/tarjouksesta, ja joka toimittaa osallistumishakemuksen/tarjouksen edellä mainittua menettelyä varten,</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7"/>
        <w:gridCol w:w="1030"/>
        <w:gridCol w:w="985"/>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19967931" w:rsidR="006B2B45" w:rsidRPr="006B0A89" w:rsidRDefault="00920214" w:rsidP="006B0A89">
            <w:pPr>
              <w:spacing w:before="120" w:after="120"/>
              <w:jc w:val="both"/>
            </w:pPr>
            <w:r>
              <w:t>1</w:t>
            </w:r>
            <w:r w:rsidR="0027662E">
              <w:t>1</w:t>
            </w:r>
            <w:r>
              <w:t>) vakuuttaa, että</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KYLLÄ</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EI</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00409D01" w:rsidR="006B2B45" w:rsidRPr="006B0A89" w:rsidRDefault="00380772" w:rsidP="051D3D6B">
            <w:pPr>
              <w:pStyle w:val="Text1"/>
              <w:spacing w:before="40" w:after="40"/>
              <w:ind w:left="0"/>
              <w:rPr>
                <w:noProof/>
              </w:rPr>
            </w:pPr>
            <w:r>
              <w:t>a</w:t>
            </w:r>
            <w:r w:rsidR="00EE7E2B">
              <w:t>) toimijalla on vahvistettu velka unionille, Euroopan atomienergiayhteisölle tai toimeenpanovirastolle viimeksi mainitun toteuttaessa unionin talousarviota.</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Tehtyä tarjousta koskeva kunnian ja omantunnon kautta annettu vakuutus </w:t>
      </w:r>
    </w:p>
    <w:p w14:paraId="7D66B10A" w14:textId="0B06DCCD" w:rsidR="00765179" w:rsidRPr="000C6B51" w:rsidRDefault="00765179" w:rsidP="570F7154">
      <w:pPr>
        <w:spacing w:beforeAutospacing="1" w:afterAutospacing="1"/>
        <w:jc w:val="both"/>
        <w:rPr>
          <w:b/>
          <w:bCs/>
          <w:i/>
          <w:iCs/>
          <w:noProof/>
        </w:rPr>
      </w:pPr>
      <w:r>
        <w:rPr>
          <w:b/>
          <w:i/>
        </w:rPr>
        <w:t>(Kunkin yksittäisen ehdokkaan/tarjoajan tai yhteisen osallistumishakemuksen/tarjouksen tapauksessa ryhmän johtajan on täytettävä tämä kohta.)</w:t>
      </w:r>
    </w:p>
    <w:p w14:paraId="44652C08" w14:textId="3B2F458F" w:rsidR="743C92D7" w:rsidRDefault="743C92D7" w:rsidP="30C4CF82">
      <w:pPr>
        <w:spacing w:beforeAutospacing="1" w:afterAutospacing="1"/>
        <w:jc w:val="both"/>
      </w:pPr>
      <w:r>
        <w:t>Jos menettely on jaettu eriin, E-osan lausumat koskevat sitä erää (niitä eriä), jonka (joiden) osalta osallistumishakemus/tarjous on toimitettu.</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2"/>
        <w:gridCol w:w="1030"/>
        <w:gridCol w:w="744"/>
      </w:tblGrid>
      <w:tr w:rsidR="000F6EA2" w14:paraId="022E046F" w14:textId="77777777" w:rsidTr="051D3D6B">
        <w:tc>
          <w:tcPr>
            <w:tcW w:w="8327" w:type="dxa"/>
          </w:tcPr>
          <w:p w14:paraId="09C4ACC7" w14:textId="6463C875" w:rsidR="000F6EA2" w:rsidRDefault="00C210FF" w:rsidP="00C210FF">
            <w:pPr>
              <w:spacing w:before="120" w:after="120"/>
              <w:jc w:val="both"/>
              <w:rPr>
                <w:noProof/>
              </w:rPr>
            </w:pPr>
            <w:r>
              <w:t>1</w:t>
            </w:r>
            <w:r w:rsidR="0027662E">
              <w:t>2</w:t>
            </w:r>
            <w:r>
              <w:t>) vakuuttaa, että toimija</w:t>
            </w:r>
          </w:p>
        </w:tc>
        <w:tc>
          <w:tcPr>
            <w:tcW w:w="670" w:type="dxa"/>
          </w:tcPr>
          <w:p w14:paraId="59250AC2" w14:textId="77777777" w:rsidR="000F6EA2" w:rsidRDefault="000F6EA2" w:rsidP="00C54FCE">
            <w:pPr>
              <w:spacing w:before="240" w:after="120"/>
              <w:jc w:val="center"/>
              <w:rPr>
                <w:noProof/>
              </w:rPr>
            </w:pPr>
            <w:r>
              <w:t>KYLLÄ</w:t>
            </w:r>
          </w:p>
        </w:tc>
        <w:tc>
          <w:tcPr>
            <w:tcW w:w="759" w:type="dxa"/>
          </w:tcPr>
          <w:p w14:paraId="7D1AA4B7" w14:textId="77777777" w:rsidR="000F6EA2" w:rsidRDefault="000F6EA2" w:rsidP="00C54FCE">
            <w:pPr>
              <w:spacing w:before="240" w:after="120"/>
              <w:jc w:val="center"/>
              <w:rPr>
                <w:noProof/>
              </w:rPr>
            </w:pPr>
            <w:r>
              <w:t>EI</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t>a) </w:t>
            </w:r>
            <w:r>
              <w:rPr>
                <w:rFonts w:ascii="Arial" w:hAnsi="Arial"/>
              </w:rPr>
              <w:t>[</w:t>
            </w:r>
            <w:r>
              <w:t>on valmistellut jätetyn tarjouksen</w:t>
            </w:r>
            <w:r>
              <w:rPr>
                <w:rFonts w:ascii="Arial" w:hAnsi="Arial"/>
              </w:rPr>
              <w:t>]</w:t>
            </w:r>
            <w:r>
              <w:t xml:space="preserve"> </w:t>
            </w:r>
            <w:r>
              <w:rPr>
                <w:rFonts w:ascii="Arial" w:hAnsi="Arial"/>
              </w:rPr>
              <w:t>[</w:t>
            </w:r>
            <w:r>
              <w:t>sitoutuu valmistelemaan tarjouksen (jos sitä pyydetään tekemään tarjous)</w:t>
            </w:r>
            <w:r>
              <w:rPr>
                <w:rFonts w:ascii="Arial" w:hAnsi="Arial"/>
              </w:rPr>
              <w:t>]</w:t>
            </w:r>
            <w:r>
              <w:t xml:space="preserve"> täysin riippumattomasti ja itsenäisesti muista samassa hankintamenettelyssä tehdyistä tarjouksista.</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Toimijan on viipymättä ilmoitettava hankintaviranomaiselle ilmoitetuissa tilanteissa tapahtuneista muutoksista.</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Toimija voidaan hylätä tässä menettelyssä ja toimijaan voidaan soveltaa hallinnollisia seuraamuksia (poissulkeminen tai taloudellinen seuraamus), jos jokin tähän menettelyyn osallistumiseksi annettu vakuutus tai tieto osoittautuu vääräksi.</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Täydellinen nimi:</w:t>
      </w:r>
      <w:r>
        <w:tab/>
      </w:r>
    </w:p>
    <w:p w14:paraId="4F5C3CA0" w14:textId="4ADE4B77" w:rsidR="00522736" w:rsidRDefault="00DA410F" w:rsidP="004A4B4A">
      <w:pPr>
        <w:tabs>
          <w:tab w:val="left" w:pos="4395"/>
          <w:tab w:val="left" w:pos="7797"/>
        </w:tabs>
        <w:spacing w:before="40" w:after="40"/>
        <w:jc w:val="both"/>
        <w:rPr>
          <w:noProof/>
        </w:rPr>
      </w:pPr>
      <w:r>
        <w:t>Päiväys:</w:t>
      </w:r>
      <w:r>
        <w:tab/>
      </w:r>
    </w:p>
    <w:p w14:paraId="16F448F0" w14:textId="42F52720" w:rsidR="00DA410F" w:rsidRPr="00F76ABA" w:rsidRDefault="00DA410F" w:rsidP="004A4B4A">
      <w:pPr>
        <w:tabs>
          <w:tab w:val="left" w:pos="4395"/>
          <w:tab w:val="left" w:pos="7797"/>
        </w:tabs>
        <w:spacing w:before="40" w:after="40"/>
        <w:jc w:val="both"/>
        <w:rPr>
          <w:noProof/>
        </w:rPr>
      </w:pPr>
      <w:r>
        <w:t>Allekirjoitus:</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Vakuutus on allekirjoitettava seuraavasti:</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Sähköinen allekirjoitus (suositeltava vaihtoehto):</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 xml:space="preserve">Jos teillä on mahdollisuus allekirjoittaa vakuutus käyttämällä hyväksyttyä sähköistä allekirjoitusta, pyydämme, että valtuutettu edustajanne allekirjoittaa (valtuutetut edustajanne allekirjoittavat) vakuutuksen sähköisesti. Ainoastaan asetuksessa (EU) N:o 910/2014 (eIDAS-asetus) tarkoitettu hyväksytty sähköinen allekirjoitus hyväksytään.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Pyydämme tarkistamaan allekirjoituksen sekä varmenteen voimassaolon ennen sähköisesti allekirjoitetun asiakirjan palauttamista jollakin seuraavista välineistä:</w:t>
      </w:r>
    </w:p>
    <w:p w14:paraId="51E4A90D" w14:textId="77777777" w:rsidR="00454D84" w:rsidRPr="002870DB" w:rsidRDefault="00454D84" w:rsidP="051D3D6B">
      <w:pPr>
        <w:pStyle w:val="ListParagraph"/>
        <w:numPr>
          <w:ilvl w:val="0"/>
          <w:numId w:val="32"/>
        </w:numPr>
        <w:rPr>
          <w:i/>
          <w:iCs/>
          <w:highlight w:val="lightGray"/>
        </w:rPr>
      </w:pPr>
      <w:r>
        <w:rPr>
          <w:i/>
          <w:highlight w:val="lightGray"/>
        </w:rPr>
        <w:t xml:space="preserve">Varmenteen voimassaolon tarkistamiseen voi käyttää osoitteessa </w:t>
      </w:r>
      <w:hyperlink r:id="rId14">
        <w:r>
          <w:rPr>
            <w:highlight w:val="lightGray"/>
          </w:rPr>
          <w:t xml:space="preserve">https://ec.europa.eu/cefdigital/DSS/webapp-demo/validation </w:t>
        </w:r>
      </w:hyperlink>
      <w:r>
        <w:rPr>
          <w:i/>
          <w:highlight w:val="lightGray"/>
        </w:rPr>
        <w:t>saatavilla olevaa DSS Demonstration -validointityökalua, joka ilmoittaa hyväksyttävien allekirjoitusten lukumäärän ja tyypin asiakirjassa.</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EU:n luotetusta luettelosta (EU Trusted List Browser) voi tarkistaa, ovatko sähköisen allekirjoituksen tarjoaja ja sen tarjoama luottamuspalvelu kyseisessä luettelossa: </w:t>
      </w:r>
      <w:hyperlink r:id="rId15"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Varmistaaksenne, että käytätte eIDAS-asetuksen mukaista hyväksyttyä sähköistä allekirjoitusta, tarkistakaa, että sekä palveluntarjoaja että hyväksytty varmennepalvelu sisältyvät EU:n luotettavaan luetteloon.</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Käsinkirjoitettu allekirjoitus:</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Jos teillä ei ole mahdollisuutta allekirjoittaa vakuutusta käyttämällä hyväksyttyä sähköistä allekirjoitusta, pyydämme teitä täyttämään vakuutuksen sähköisesti ja sen jälkeen tulostamaan sen ja antamaan sen valtuutetulle edustajallenne (valtuutetuille edustajillenne) käsin allekirjoitettavaksi ja päivättäväksi.</w:t>
      </w:r>
    </w:p>
    <w:sectPr w:rsidR="00454D84" w:rsidRPr="006B2B45" w:rsidSect="001D72E4">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FEA0" w14:textId="77777777" w:rsidR="009E038E" w:rsidRDefault="009E038E">
      <w:r>
        <w:separator/>
      </w:r>
    </w:p>
  </w:endnote>
  <w:endnote w:type="continuationSeparator" w:id="0">
    <w:p w14:paraId="76C33E51" w14:textId="77777777" w:rsidR="009E038E" w:rsidRDefault="009E038E">
      <w:r>
        <w:continuationSeparator/>
      </w:r>
    </w:p>
  </w:endnote>
  <w:endnote w:type="continuationNotice" w:id="1">
    <w:p w14:paraId="51D87646"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 xml:space="preserve">Sivu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w:t>
            </w:r>
            <w:r>
              <w:rPr>
                <w:sz w:val="20"/>
              </w:rPr>
              <w:fldChar w:fldCharType="begin"/>
            </w:r>
            <w:r>
              <w:rPr>
                <w:sz w:val="20"/>
              </w:rPr>
              <w:instrText xml:space="preserve"> NUMPAGES  </w:instrText>
            </w:r>
            <w:r>
              <w:rPr>
                <w:sz w:val="20"/>
              </w:rPr>
              <w:fldChar w:fldCharType="separate"/>
            </w:r>
            <w:r>
              <w:rPr>
                <w:sz w:val="20"/>
              </w:rPr>
              <w:t>9</w:t>
            </w:r>
            <w:r>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B4D0" w14:textId="77777777" w:rsidR="009E038E" w:rsidRDefault="009E038E">
      <w:r>
        <w:separator/>
      </w:r>
    </w:p>
  </w:footnote>
  <w:footnote w:type="continuationSeparator" w:id="0">
    <w:p w14:paraId="333A5CC8" w14:textId="77777777" w:rsidR="009E038E" w:rsidRDefault="009E038E">
      <w:r>
        <w:continuationSeparator/>
      </w:r>
    </w:p>
  </w:footnote>
  <w:footnote w:type="continuationNotice" w:id="1">
    <w:p w14:paraId="434E5136"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Sama EU:n toimielin, virasto, elin tai toimisto.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rPr>
          <w:b/>
          <w:sz w:val="20"/>
        </w:rPr>
        <w:t>’Osallistuvalla yhteisöllä’</w:t>
      </w:r>
      <w:r>
        <w:rPr>
          <w:sz w:val="20"/>
        </w:rPr>
        <w:t xml:space="preserve"> tarkoitetaan kaikkia talouden toimijoita, jotka ovat mukana osallistumishakemuksessa/tarjouksessa. Niitä ovat seuraavat neljä talouden toimijoiden ryhmää:</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yksittäinen ehdokas/tarjoaja,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ryhmän jäsenet (myös ryhmän johtaja), jos kyseessä on yhteinen osallistumishakemus/tarjous,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yksilöidyt alihankkijat ja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muut yhteisöt (jotka eivät ole alihankkijoita), joiden valmiuksia ehdokas/tarjoaja hyödyntää voidakseen täyttää valintaperusteet.</w:t>
      </w:r>
    </w:p>
    <w:p w14:paraId="5BE9C146" w14:textId="10CA3A5B" w:rsidR="00585B73" w:rsidRPr="006D075A" w:rsidRDefault="00585B73" w:rsidP="004C0A40">
      <w:pPr>
        <w:pStyle w:val="FootnoteText"/>
        <w:ind w:left="0" w:firstLine="0"/>
      </w:pPr>
    </w:p>
  </w:footnote>
  <w:footnote w:id="4">
    <w:p w14:paraId="7F511AE8" w14:textId="5800C21C" w:rsidR="00211706" w:rsidRPr="00211706" w:rsidRDefault="00211706">
      <w:pPr>
        <w:pStyle w:val="FootnoteText"/>
      </w:pPr>
      <w:r>
        <w:rPr>
          <w:rStyle w:val="FootnoteReference"/>
        </w:rPr>
        <w:footnoteRef/>
      </w:r>
      <w:r>
        <w:t> Jos vastaus johonkin kysymykseen on ”kyllä”, antakaa aiheellisina pitämiänne lisätietoja.</w:t>
      </w:r>
    </w:p>
  </w:footnote>
  <w:footnote w:id="5">
    <w:p w14:paraId="79038C83" w14:textId="46E5ADA1" w:rsidR="00585B73" w:rsidRPr="00EA6BA4" w:rsidRDefault="00585B73">
      <w:pPr>
        <w:pStyle w:val="FootnoteText"/>
      </w:pPr>
      <w:r>
        <w:rPr>
          <w:rStyle w:val="FootnoteReference"/>
        </w:rPr>
        <w:footnoteRef/>
      </w:r>
      <w:r>
        <w:t xml:space="preserve"> Sama EU:n toimielin, virasto, elin tai toimisto.</w:t>
      </w:r>
    </w:p>
  </w:footnote>
  <w:footnote w:id="6">
    <w:p w14:paraId="691476B8" w14:textId="175A7801" w:rsidR="00585B73" w:rsidRPr="00EA6BA4" w:rsidRDefault="00585B73" w:rsidP="0073022B">
      <w:pPr>
        <w:pStyle w:val="FootnoteText"/>
      </w:pPr>
      <w:r>
        <w:rPr>
          <w:rStyle w:val="FootnoteReference"/>
        </w:rPr>
        <w:footnoteRef/>
      </w:r>
      <w:r>
        <w:t xml:space="preserve"> Sama EU:n toimielin, virasto, elin tai toimisto.</w:t>
      </w:r>
    </w:p>
  </w:footnote>
  <w:footnote w:id="7">
    <w:p w14:paraId="778927A2" w14:textId="77777777" w:rsidR="0008506D" w:rsidRPr="00E07552" w:rsidRDefault="0008506D" w:rsidP="0008506D">
      <w:pPr>
        <w:pStyle w:val="FootnoteText"/>
      </w:pPr>
      <w:r>
        <w:rPr>
          <w:rStyle w:val="FootnoteReference"/>
        </w:rPr>
        <w:footnoteRef/>
      </w:r>
      <w:r>
        <w:t xml:space="preserve"> Euroopan unionin virallinen lehti sisältää virallisen luettelon, ja ristiriitatilanteissa sen sisältö on etusijalla</w:t>
      </w:r>
    </w:p>
    <w:p w14:paraId="63C271E7" w14:textId="77777777" w:rsidR="0008506D" w:rsidRPr="00E07552" w:rsidRDefault="0008506D" w:rsidP="0008506D">
      <w:pPr>
        <w:pStyle w:val="FootnoteText"/>
      </w:pPr>
      <w:hyperlink w:anchor="/main" w:history="1">
        <w:r>
          <w:rPr>
            <w:rStyle w:val="Hyperlink"/>
          </w:rPr>
          <w:t>EU:n pakotekartan</w:t>
        </w:r>
      </w:hyperlink>
      <w:r>
        <w:t xml:space="preserve"> sisältöön nähden.</w:t>
      </w:r>
    </w:p>
  </w:footnote>
  <w:footnote w:id="8">
    <w:p w14:paraId="08DAD958" w14:textId="77777777" w:rsidR="00193EB5" w:rsidRPr="00E07552" w:rsidRDefault="00193EB5" w:rsidP="00193EB5">
      <w:pPr>
        <w:pStyle w:val="FootnoteText"/>
      </w:pPr>
      <w:r>
        <w:rPr>
          <w:rStyle w:val="FootnoteReference"/>
        </w:rPr>
        <w:footnoteRef/>
      </w:r>
      <w:r>
        <w:t xml:space="preserve"> Euroopan unionin virallinen lehti sisältää virallisen luettelon, ja ristiriitatilanteissa sen sisältö on etusijalla</w:t>
      </w:r>
    </w:p>
    <w:p w14:paraId="4ED0BCDD" w14:textId="77777777" w:rsidR="00193EB5" w:rsidRPr="00E07552" w:rsidRDefault="00193EB5" w:rsidP="00193EB5">
      <w:pPr>
        <w:pStyle w:val="FootnoteText"/>
      </w:pPr>
      <w:hyperlink w:anchor="/main" w:history="1">
        <w:r>
          <w:rPr>
            <w:rStyle w:val="Hyperlink"/>
          </w:rPr>
          <w:t>EU:n pakotekartan</w:t>
        </w:r>
      </w:hyperlink>
      <w:r>
        <w:t xml:space="preserve"> sisältöön nähden.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75EBB3FE" w:rsidR="00585B73" w:rsidRDefault="00585B73" w:rsidP="001D72E4">
    <w:pPr>
      <w:pStyle w:val="Header"/>
      <w:jc w:val="right"/>
      <w:rPr>
        <w:sz w:val="20"/>
        <w:szCs w:val="20"/>
      </w:rPr>
    </w:pPr>
    <w:r>
      <w:rPr>
        <w:sz w:val="20"/>
      </w:rPr>
      <w:t>Versio: lokakuu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Versio: heinäkuu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975043B8"/>
    <w:lvl w:ilvl="0" w:tplc="18090017">
      <w:start w:val="1"/>
      <w:numFmt w:val="lowerLetter"/>
      <w:lvlText w:val="%1)"/>
      <w:lvlJc w:val="lef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17AC6B7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028AAA40"/>
    <w:lvl w:ilvl="0" w:tplc="1809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FE34CE38"/>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B094C358"/>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FD8A1ED8"/>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7E9"/>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044C"/>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57B8"/>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2D13"/>
    <w:rsid w:val="00184B3F"/>
    <w:rsid w:val="00191BB4"/>
    <w:rsid w:val="00193EB5"/>
    <w:rsid w:val="001969D1"/>
    <w:rsid w:val="001A2EAD"/>
    <w:rsid w:val="001A6E91"/>
    <w:rsid w:val="001A7789"/>
    <w:rsid w:val="001A7C0B"/>
    <w:rsid w:val="001B17EB"/>
    <w:rsid w:val="001B3771"/>
    <w:rsid w:val="001B5619"/>
    <w:rsid w:val="001C14D3"/>
    <w:rsid w:val="001C31D5"/>
    <w:rsid w:val="001C4395"/>
    <w:rsid w:val="001C4F29"/>
    <w:rsid w:val="001C5CDF"/>
    <w:rsid w:val="001C5E03"/>
    <w:rsid w:val="001D72E4"/>
    <w:rsid w:val="001D7FA6"/>
    <w:rsid w:val="001E0D73"/>
    <w:rsid w:val="001E1AF4"/>
    <w:rsid w:val="001E25F2"/>
    <w:rsid w:val="001E33AE"/>
    <w:rsid w:val="001F135A"/>
    <w:rsid w:val="001F4321"/>
    <w:rsid w:val="0020320A"/>
    <w:rsid w:val="00204059"/>
    <w:rsid w:val="00206746"/>
    <w:rsid w:val="002071B5"/>
    <w:rsid w:val="00210CBD"/>
    <w:rsid w:val="00211706"/>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2483"/>
    <w:rsid w:val="00262DC7"/>
    <w:rsid w:val="00265657"/>
    <w:rsid w:val="00267A4E"/>
    <w:rsid w:val="00267DD7"/>
    <w:rsid w:val="00272C76"/>
    <w:rsid w:val="002737A5"/>
    <w:rsid w:val="0027592E"/>
    <w:rsid w:val="00276307"/>
    <w:rsid w:val="0027662E"/>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B7953"/>
    <w:rsid w:val="002C1324"/>
    <w:rsid w:val="002C3BC2"/>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431C"/>
    <w:rsid w:val="003761DA"/>
    <w:rsid w:val="00376A09"/>
    <w:rsid w:val="00380772"/>
    <w:rsid w:val="0038404C"/>
    <w:rsid w:val="00384EE5"/>
    <w:rsid w:val="003865BE"/>
    <w:rsid w:val="0039104C"/>
    <w:rsid w:val="0039338B"/>
    <w:rsid w:val="0039595B"/>
    <w:rsid w:val="003974B8"/>
    <w:rsid w:val="003A427B"/>
    <w:rsid w:val="003A44AB"/>
    <w:rsid w:val="003A74F8"/>
    <w:rsid w:val="003B3A9F"/>
    <w:rsid w:val="003B478B"/>
    <w:rsid w:val="003B523C"/>
    <w:rsid w:val="003B63B8"/>
    <w:rsid w:val="003B6ACF"/>
    <w:rsid w:val="003B7314"/>
    <w:rsid w:val="003C155E"/>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5070"/>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C4841"/>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1C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075A"/>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473F9"/>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63FB"/>
    <w:rsid w:val="00797829"/>
    <w:rsid w:val="007A27CB"/>
    <w:rsid w:val="007A4E2A"/>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229"/>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0F3D"/>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1386"/>
    <w:rsid w:val="00921B07"/>
    <w:rsid w:val="0092592E"/>
    <w:rsid w:val="009361C3"/>
    <w:rsid w:val="0093667C"/>
    <w:rsid w:val="00936963"/>
    <w:rsid w:val="009402EB"/>
    <w:rsid w:val="009418B3"/>
    <w:rsid w:val="00947AEE"/>
    <w:rsid w:val="00951A6D"/>
    <w:rsid w:val="00952EBA"/>
    <w:rsid w:val="00954EF6"/>
    <w:rsid w:val="0095531E"/>
    <w:rsid w:val="00956F6C"/>
    <w:rsid w:val="00960B4E"/>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6ED"/>
    <w:rsid w:val="009D3AD3"/>
    <w:rsid w:val="009D5BBB"/>
    <w:rsid w:val="009D5C97"/>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55E6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1905"/>
    <w:rsid w:val="00B7482B"/>
    <w:rsid w:val="00B74CFF"/>
    <w:rsid w:val="00B74E92"/>
    <w:rsid w:val="00B8145D"/>
    <w:rsid w:val="00B83860"/>
    <w:rsid w:val="00B84C49"/>
    <w:rsid w:val="00B851CA"/>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498A"/>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ACE"/>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39"/>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411"/>
    <w:rsid w:val="00D92FF1"/>
    <w:rsid w:val="00D9381D"/>
    <w:rsid w:val="00D95750"/>
    <w:rsid w:val="00D96509"/>
    <w:rsid w:val="00D96D0D"/>
    <w:rsid w:val="00DA286B"/>
    <w:rsid w:val="00DA410F"/>
    <w:rsid w:val="00DA59FF"/>
    <w:rsid w:val="00DB62BC"/>
    <w:rsid w:val="00DB6753"/>
    <w:rsid w:val="00DC07C3"/>
    <w:rsid w:val="00DC2EA1"/>
    <w:rsid w:val="00DC3E96"/>
    <w:rsid w:val="00DC56F6"/>
    <w:rsid w:val="00DC65B1"/>
    <w:rsid w:val="00DD1570"/>
    <w:rsid w:val="00DD32B0"/>
    <w:rsid w:val="00DE3C34"/>
    <w:rsid w:val="00DE49B6"/>
    <w:rsid w:val="00DE5E11"/>
    <w:rsid w:val="00DE5FF6"/>
    <w:rsid w:val="00DF45B2"/>
    <w:rsid w:val="00E00149"/>
    <w:rsid w:val="00E012CB"/>
    <w:rsid w:val="00E016E1"/>
    <w:rsid w:val="00E07CD2"/>
    <w:rsid w:val="00E1084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4295"/>
    <w:rsid w:val="00E7518C"/>
    <w:rsid w:val="00E75451"/>
    <w:rsid w:val="00E763EB"/>
    <w:rsid w:val="00E807C2"/>
    <w:rsid w:val="00E80BCE"/>
    <w:rsid w:val="00E82022"/>
    <w:rsid w:val="00E822D8"/>
    <w:rsid w:val="00E832A1"/>
    <w:rsid w:val="00E864F4"/>
    <w:rsid w:val="00E9007B"/>
    <w:rsid w:val="00E9316B"/>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D087C"/>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108E2"/>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i-FI"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fi-FI"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i-FI"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fi-FI"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i-FI"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ignature.ec.europa.eu/efda/tl-brows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cefdigital/DSS/webapp-demo/valid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e836202efd29cace7c2fabec502365a7">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9e6f9e247516d9cb950c3bd405bfef73"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EU institutions, bodies ＆ agencies</TermName>
          <TermId xmlns="http://schemas.microsoft.com/office/infopath/2007/PartnerControls">916e17ef-be4d-4f91-83bb-ce2934b42185</TermId>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122</Value>
      <Value>1</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D3538-1E7B-4921-A30C-3DDB7FFCA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4.xml><?xml version="1.0" encoding="utf-8"?>
<ds:datastoreItem xmlns:ds="http://schemas.openxmlformats.org/officeDocument/2006/customXml" ds:itemID="{77760897-B459-4CD0-A06E-D69B610A254A}">
  <ds:schemaRefs>
    <ds:schemaRef ds:uri="http://schemas.microsoft.com/office/2006/metadata/properties"/>
    <ds:schemaRef ds:uri="http://schemas.microsoft.com/office/infopath/2007/PartnerControls"/>
    <ds:schemaRef ds:uri="d3c1eb4e-7577-42ef-991f-7d064735e0e5"/>
    <ds:schemaRef ds:uri="709adcc9-ab81-486f-827d-c1c5fd362e71"/>
    <ds:schemaRef ds:uri="http://schemas.microsoft.com/sharepoint/v3"/>
  </ds:schemaRefs>
</ds:datastoreItem>
</file>

<file path=customXml/itemProps5.xml><?xml version="1.0" encoding="utf-8"?>
<ds:datastoreItem xmlns:ds="http://schemas.openxmlformats.org/officeDocument/2006/customXml" ds:itemID="{4BCBAA60-B0BF-4530-86F7-A4A8D0901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2826</Words>
  <Characters>24859</Characters>
  <Application>Microsoft Office Word</Application>
  <DocSecurity>0</DocSecurity>
  <Lines>621</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27348</CharactersWithSpaces>
  <SharedDoc>false</SharedDoc>
  <HLinks>
    <vt:vector size="24" baseType="variant">
      <vt:variant>
        <vt:i4>6160473</vt:i4>
      </vt:variant>
      <vt:variant>
        <vt:i4>300</vt:i4>
      </vt:variant>
      <vt:variant>
        <vt:i4>0</vt:i4>
      </vt:variant>
      <vt:variant>
        <vt:i4>5</vt:i4>
      </vt:variant>
      <vt:variant>
        <vt:lpwstr>https://esignature.ec.europa.eu/efda/tl-browser/</vt:lpwstr>
      </vt:variant>
      <vt:variant>
        <vt:lpwstr>/screen/home</vt:lpwstr>
      </vt:variant>
      <vt:variant>
        <vt:i4>6619252</vt:i4>
      </vt:variant>
      <vt:variant>
        <vt:i4>297</vt:i4>
      </vt:variant>
      <vt:variant>
        <vt:i4>0</vt:i4>
      </vt:variant>
      <vt:variant>
        <vt:i4>5</vt:i4>
      </vt:variant>
      <vt:variant>
        <vt:lpwstr>https://ec.europa.eu/cefdigital/DSS/webapp-demo/validation</vt:lpwstr>
      </vt:variant>
      <vt:variant>
        <vt:lpwstr/>
      </vt:variant>
      <vt:variant>
        <vt:i4>6553645</vt:i4>
      </vt:variant>
      <vt:variant>
        <vt:i4>276</vt:i4>
      </vt:variant>
      <vt:variant>
        <vt:i4>0</vt:i4>
      </vt:variant>
      <vt:variant>
        <vt:i4>5</vt:i4>
      </vt:variant>
      <vt:variant>
        <vt:lpwstr>http://www.sanctionsmap.eu/</vt:lpwstr>
      </vt:variant>
      <vt:variant>
        <vt:lpwstr/>
      </vt:variant>
      <vt:variant>
        <vt:i4>1966145</vt:i4>
      </vt:variant>
      <vt:variant>
        <vt:i4>0</vt:i4>
      </vt:variant>
      <vt:variant>
        <vt:i4>0</vt:i4>
      </vt:variant>
      <vt:variant>
        <vt:i4>5</vt:i4>
      </vt:variant>
      <vt:variant>
        <vt:lpwstr>https://www.sanctionsmap.eu/</vt:lpwstr>
      </vt:variant>
      <vt:variant>
        <vt:lpwstr>/main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2025-12-15T11:48:00Z</dcterms:created>
  <dcterms:modified xsi:type="dcterms:W3CDTF">2025-12-15T11:48:00Z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2025-10-16T09:01:23Z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54d8cb8f-fd40-4c51-91ec-b01447880cdc</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0x01010074388D2DB7B9A549BEDEA63191CFE647</vt:lpwstr>
  </property>
</Properties>
</file>