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Poissulkemis- ja valintaperusteita koskeva</w:t>
      </w:r>
      <w:r>
        <w:t xml:space="preserve"> </w:t>
      </w:r>
      <w:r>
        <w:br/>
      </w:r>
      <w:r>
        <w:rPr>
          <w:b/>
          <w:sz w:val="28"/>
        </w:rPr>
        <w:t>kunnian ja omantunnon kautta annettu vakuutus</w:t>
      </w:r>
    </w:p>
    <w:p w14:paraId="1A26E185" w14:textId="206E0B8A" w:rsidR="00702372" w:rsidRPr="00370A7F" w:rsidRDefault="00702372" w:rsidP="00370A7F">
      <w:pPr>
        <w:spacing w:before="100" w:beforeAutospacing="1" w:after="100" w:afterAutospacing="1"/>
        <w:jc w:val="both"/>
        <w:rPr>
          <w:b/>
          <w:bCs/>
        </w:rPr>
      </w:pPr>
      <w:r>
        <w:rPr>
          <w:b/>
        </w:rPr>
        <w:t>Menettelyn viite:</w:t>
      </w:r>
    </w:p>
    <w:p w14:paraId="60A66E87" w14:textId="242ECE30" w:rsidR="00702372" w:rsidRPr="00370A7F" w:rsidRDefault="00702372" w:rsidP="7F6CA770">
      <w:pPr>
        <w:spacing w:before="100" w:beforeAutospacing="1" w:after="100" w:afterAutospacing="1"/>
        <w:jc w:val="both"/>
        <w:rPr>
          <w:b/>
          <w:bCs/>
        </w:rPr>
      </w:pPr>
      <w:r>
        <w:rPr>
          <w:b/>
        </w:rPr>
        <w:t>Menettelyn nimi:</w:t>
      </w:r>
    </w:p>
    <w:p w14:paraId="03B168D8" w14:textId="3C04CAF4" w:rsidR="00702372" w:rsidRDefault="00702372" w:rsidP="7F6CA770">
      <w:pPr>
        <w:spacing w:beforeAutospacing="1" w:afterAutospacing="1"/>
        <w:jc w:val="both"/>
        <w:rPr>
          <w:i/>
          <w:iCs/>
          <w:noProof/>
          <w:highlight w:val="lightGray"/>
        </w:rPr>
      </w:pPr>
      <w:r>
        <w:rPr>
          <w:i/>
          <w:highlight w:val="lightGray"/>
        </w:rPr>
        <w:t>[Vaihtoehto 1: oikeushenkilöt]</w:t>
      </w:r>
    </w:p>
    <w:p w14:paraId="11F056D1" w14:textId="45B7275C" w:rsidR="00DA410F" w:rsidRDefault="00DA410F" w:rsidP="7F6CA770">
      <w:pPr>
        <w:jc w:val="both"/>
        <w:rPr>
          <w:noProof/>
        </w:rPr>
      </w:pPr>
      <w:r>
        <w:t>Allekirjoittanut [</w:t>
      </w:r>
      <w:r>
        <w:rPr>
          <w:i/>
          <w:highlight w:val="lightGray"/>
        </w:rPr>
        <w:t>tämän lomakkeen allekirjoittajan etu- ja sukunimi</w:t>
      </w:r>
      <w:r>
        <w:t>], joka edustaa seuraavaa oikeushenkilöä:</w:t>
      </w:r>
    </w:p>
    <w:p w14:paraId="629278CB" w14:textId="77777777" w:rsidR="7F6CA770" w:rsidRDefault="7F6CA770"/>
    <w:p w14:paraId="556E93A3" w14:textId="7FA43BB3" w:rsidR="00D17C08" w:rsidRDefault="00D17C08" w:rsidP="7F6CA770">
      <w:pPr>
        <w:rPr>
          <w:b/>
          <w:bCs/>
        </w:rPr>
      </w:pPr>
      <w:r>
        <w:t>Täydellinen virallinen nimi:</w:t>
      </w:r>
    </w:p>
    <w:p w14:paraId="60A1F64A" w14:textId="32A8BCF0" w:rsidR="00D17C08" w:rsidRDefault="00D17C08">
      <w:r>
        <w:t>Virallinen oikeudellinen muoto:</w:t>
      </w:r>
    </w:p>
    <w:p w14:paraId="775FC49B" w14:textId="77777777" w:rsidR="00D17C08" w:rsidRDefault="00D17C08" w:rsidP="7F6CA770">
      <w:pPr>
        <w:rPr>
          <w:b/>
          <w:bCs/>
        </w:rPr>
      </w:pPr>
      <w:r>
        <w:t>Yritys- ja yhteisötunnus:</w:t>
      </w:r>
      <w:r>
        <w:rPr>
          <w:b/>
        </w:rPr>
        <w:t xml:space="preserve"> </w:t>
      </w:r>
    </w:p>
    <w:p w14:paraId="3AE2909A" w14:textId="77777777" w:rsidR="00D17C08" w:rsidRDefault="00D17C08" w:rsidP="7F6CA770">
      <w:pPr>
        <w:rPr>
          <w:b/>
          <w:bCs/>
        </w:rPr>
      </w:pPr>
      <w:r>
        <w:t xml:space="preserve">Täydellinen virallinen osoite: </w:t>
      </w:r>
    </w:p>
    <w:p w14:paraId="69884DE8" w14:textId="77777777" w:rsidR="00D17C08" w:rsidRDefault="00D17C08">
      <w:r>
        <w:t xml:space="preserve">alv-tunnus: </w:t>
      </w:r>
    </w:p>
    <w:p w14:paraId="09788ACB" w14:textId="1E881CAA" w:rsidR="7F6CA770" w:rsidRDefault="7F6CA770" w:rsidP="7F6CA770">
      <w:pPr>
        <w:jc w:val="both"/>
        <w:rPr>
          <w:noProof/>
        </w:rPr>
      </w:pPr>
    </w:p>
    <w:p w14:paraId="028EC11F" w14:textId="2C0E507F" w:rsidR="005F261A" w:rsidRDefault="005F261A" w:rsidP="7F6CA770">
      <w:pPr>
        <w:jc w:val="both"/>
        <w:rPr>
          <w:b/>
          <w:bCs/>
          <w:noProof/>
        </w:rPr>
      </w:pPr>
      <w:r>
        <w:t xml:space="preserve">jäljempänä </w:t>
      </w:r>
      <w:r>
        <w:rPr>
          <w:b/>
        </w:rPr>
        <w:t>’toimija’</w:t>
      </w:r>
      <w:r w:rsidR="00954D1F">
        <w:t>,</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[Vaihtoehto 2: luonnolliset henkilöt]</w:t>
      </w:r>
    </w:p>
    <w:p w14:paraId="63C4093D" w14:textId="66FB4351" w:rsidR="00D17C08" w:rsidRDefault="00D17C08" w:rsidP="7F6CA770">
      <w:pPr>
        <w:jc w:val="both"/>
        <w:rPr>
          <w:noProof/>
        </w:rPr>
      </w:pPr>
      <w:r>
        <w:t>Allekirjoittanut [</w:t>
      </w:r>
      <w:r>
        <w:rPr>
          <w:i/>
          <w:highlight w:val="lightGray"/>
        </w:rPr>
        <w:t>tämän lomakkeen allekirjoittajan etu- ja sukunimi</w:t>
      </w:r>
      <w:r>
        <w:t>], jonka henkilötodistuksen tai passin numero on [</w:t>
      </w:r>
      <w:r>
        <w:rPr>
          <w:i/>
          <w:highlight w:val="lightGray"/>
        </w:rPr>
        <w:t>lisätään numero</w:t>
      </w:r>
      <w:r>
        <w:t>] ja joka edustaa itseään:</w:t>
      </w:r>
    </w:p>
    <w:p w14:paraId="2AA7D8F1" w14:textId="77777777" w:rsidR="7F6CA770" w:rsidRDefault="7F6CA770" w:rsidP="7F6CA770">
      <w:pPr>
        <w:jc w:val="both"/>
        <w:rPr>
          <w:noProof/>
        </w:rPr>
      </w:pPr>
    </w:p>
    <w:p w14:paraId="5C2865AF" w14:textId="7EFAD23C" w:rsidR="005F261A" w:rsidRDefault="005F261A" w:rsidP="7F6CA770">
      <w:pPr>
        <w:jc w:val="both"/>
        <w:rPr>
          <w:b/>
          <w:bCs/>
          <w:noProof/>
        </w:rPr>
      </w:pPr>
      <w:r>
        <w:t xml:space="preserve">jäljempänä </w:t>
      </w:r>
      <w:r>
        <w:rPr>
          <w:b/>
        </w:rPr>
        <w:t>’toimija’</w:t>
      </w:r>
      <w:r w:rsidR="00954D1F">
        <w:rPr>
          <w:b/>
        </w:rPr>
        <w:t>,</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Poissulkemisperusteita koskeva kunnian ja omantunnon kautta annettu vakuutus</w:t>
      </w:r>
    </w:p>
    <w:p w14:paraId="67F47E4E" w14:textId="637AF68D" w:rsidR="00B74CFF" w:rsidRDefault="007F3628" w:rsidP="00370A7F">
      <w:pPr>
        <w:spacing w:before="100" w:beforeAutospacing="1" w:after="100" w:afterAutospacing="1"/>
        <w:jc w:val="both"/>
      </w:pPr>
      <w:r>
        <w:t>Jos toimija on jo antanut vakuutuksen (</w:t>
      </w:r>
      <w:r>
        <w:tab/>
        <w:t>poissulkemisperusteita koskeva kunnian ja omantunnon kautta annettu vakuutus) saman hankintaviranomaisen</w:t>
      </w:r>
      <w:r>
        <w:rPr>
          <w:rStyle w:val="FootnoteReference"/>
        </w:rPr>
        <w:footnoteReference w:id="2"/>
      </w:r>
      <w:r>
        <w:t xml:space="preserve"> käynnistämää toista ratkaisu- tai myöntämismenettelyä varten, sen ei tarvitse täyttää vakuutuksen A-osaa edellyttäen, että tilanne ei ole muuttunut ja että vakuutuksen antamisajankohdasta on kulunut enintään vuosi.</w:t>
      </w:r>
    </w:p>
    <w:p w14:paraId="64B20EEE" w14:textId="78AEE0D7" w:rsidR="00AE5C0E" w:rsidRDefault="00AE5C0E" w:rsidP="00370A7F">
      <w:pPr>
        <w:spacing w:before="100" w:beforeAutospacing="1" w:after="100" w:afterAutospacing="1"/>
        <w:jc w:val="both"/>
      </w:pPr>
      <w:r>
        <w:t xml:space="preserve">Tässä tapauksessa allekirjoittanut vakuuttaa, että toimija on jo toimittanut saman poissulkemisperusteita koskevan vakuutuksen aikaisemman menettelyn yhteydessä, ja vahvistaa, ettei toimijan tilanteessa ole tapahtunut muutosta: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Vakuutuksen päiväys</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Täydellinen viittaus aiempaan menettelyyn</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lastRenderedPageBreak/>
        <w:t>I – Poissulkemiseen johtavat tilanteet</w:t>
      </w:r>
    </w:p>
    <w:p w14:paraId="368816DB" w14:textId="342CDC95" w:rsidR="00CD4DDC" w:rsidRPr="00897E28" w:rsidRDefault="00CD4A13" w:rsidP="7F6CA770">
      <w:pPr>
        <w:spacing w:before="120" w:after="120"/>
        <w:ind w:firstLine="1"/>
        <w:jc w:val="both"/>
        <w:rPr>
          <w:b/>
          <w:bCs/>
          <w:i/>
          <w:iCs/>
          <w:noProof/>
        </w:rPr>
      </w:pPr>
      <w:r>
        <w:rPr>
          <w:b/>
          <w:i/>
        </w:rPr>
        <w:t>(</w:t>
      </w:r>
      <w:r w:rsidR="00954D1F">
        <w:rPr>
          <w:b/>
          <w:i/>
        </w:rPr>
        <w:t>K</w:t>
      </w:r>
      <w:r w:rsidR="00C01A52">
        <w:rPr>
          <w:b/>
          <w:i/>
        </w:rPr>
        <w:t>unkin</w:t>
      </w:r>
      <w:r>
        <w:rPr>
          <w:b/>
          <w:i/>
        </w:rPr>
        <w:t xml:space="preserve"> osallistuv</w:t>
      </w:r>
      <w:r w:rsidR="00C01A52">
        <w:rPr>
          <w:b/>
          <w:i/>
        </w:rPr>
        <w:t>a</w:t>
      </w:r>
      <w:r>
        <w:rPr>
          <w:b/>
          <w:i/>
        </w:rPr>
        <w:t>n yhteisön</w:t>
      </w:r>
      <w:r>
        <w:rPr>
          <w:rStyle w:val="FootnoteReference"/>
          <w:b/>
          <w:bCs/>
          <w:i/>
          <w:iCs/>
          <w:noProof/>
        </w:rPr>
        <w:footnoteReference w:id="3"/>
      </w:r>
      <w:r>
        <w:rPr>
          <w:b/>
          <w:i/>
        </w:rPr>
        <w:t xml:space="preserve"> </w:t>
      </w:r>
      <w:r w:rsidR="00954D1F">
        <w:rPr>
          <w:b/>
          <w:i/>
        </w:rPr>
        <w:t xml:space="preserve">on </w:t>
      </w:r>
      <w:r>
        <w:rPr>
          <w:b/>
          <w:i/>
        </w:rPr>
        <w:t>täytettävä</w:t>
      </w:r>
      <w:r w:rsidR="00954D1F">
        <w:rPr>
          <w:b/>
          <w:i/>
        </w:rPr>
        <w:t xml:space="preserve"> tämä kohta</w:t>
      </w:r>
      <w:r w:rsidR="002A62A7">
        <w:rPr>
          <w:b/>
          <w:i/>
        </w:rPr>
        <w:t>.</w:t>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7"/>
        <w:gridCol w:w="1172"/>
        <w:gridCol w:w="696"/>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ilmoittaa, onko toimija jossakin seuraavassa mainituista tilanteista:</w:t>
            </w:r>
          </w:p>
        </w:tc>
        <w:tc>
          <w:tcPr>
            <w:tcW w:w="812" w:type="dxa"/>
            <w:shd w:val="clear" w:color="auto" w:fill="auto"/>
          </w:tcPr>
          <w:p w14:paraId="16F44831" w14:textId="77777777" w:rsidR="00F7691A" w:rsidRDefault="00F7691A" w:rsidP="006B0A89">
            <w:pPr>
              <w:spacing w:before="40" w:after="40"/>
              <w:ind w:left="142"/>
              <w:jc w:val="center"/>
              <w:rPr>
                <w:noProof/>
              </w:rPr>
            </w:pPr>
            <w:r>
              <w:t>KYLLÄ</w:t>
            </w:r>
          </w:p>
        </w:tc>
        <w:tc>
          <w:tcPr>
            <w:tcW w:w="705" w:type="dxa"/>
            <w:shd w:val="clear" w:color="auto" w:fill="auto"/>
          </w:tcPr>
          <w:p w14:paraId="16F44832" w14:textId="77777777" w:rsidR="00F7691A" w:rsidRDefault="00F7691A" w:rsidP="006B0A89">
            <w:pPr>
              <w:spacing w:before="40" w:after="40"/>
              <w:ind w:left="142"/>
              <w:jc w:val="center"/>
              <w:rPr>
                <w:noProof/>
              </w:rPr>
            </w:pPr>
            <w:r>
              <w:t>EI</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se on tehnyt konkurssin, sen osalta on käynnistetty maksukyvyttömyys- tai likvidaatiomenettelyjä, sen varoja hallinnoi selvitysmies tai tuomioistuin, sille on vahvistettu akordi, sen liiketoiminta on keskeytetty tai se on muun vastaavan, unionin oikeuden tai kansallisiin lakeihin perustuvan menettelyn alainen;</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lainvoimaisessa tuomiossa tai lopullisessa hallinnollisessa päätöksessä on todettu, että toimija on laiminlyönyt sovellettavan lainsäädännön mukaisen velvollisuutensa maksaa veroja tai sosiaaliturvamaksuja;</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B531A6">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lainvoimaisessa tuomiossa tai lopullisessa hallinnollisessa päätöksessä on todettu, että toimija on syyllistynyt ammatin harjoittamiseen liittyvään vakavaan virheeseen rikkomalla sovellettavia lakeja tai määräyksiä tai ammattikuntansa eettisiä sääntöjä tai osallistumalla mihin tahansa muuhun virheelliseen toimintaan, joka vahingoittaa toimijan ammatillista uskottavuutta, jos kyseinen toiminta osoittaa vilpillistä aikomusta tai vakavaa laiminlyöntiä, mukaan lukien erityisesti jokin seuraavista:</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väärien tietojen antaminen vilpillisesti tai tuottamuksellisesti, kun näitä tietoja vaaditaan sen tarkistamiseksi, ettei poissulkemisperusteita ole tai että kelpoisuus- tai valintaperusteet täyttyvät, tai sopimuksen täytäntöönpanossa;</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sopimuksen tekeminen muiden toimijoiden tai yhteisöjen kanssa kilpailun vääristämiseksi;</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teollis- ja tekijänoikeuksien loukkaaminen;</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yritys vaikuttaa hankintaviranomaisen päätöksentekoon ratkaisu- tai myöntämismenettelyssä;</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Pr>
                <w:color w:val="000000"/>
              </w:rPr>
              <w:t>v) yritys saada luottamuksellisia tietoja, joiden avulla on mahdollista saada perusteettomia etuja ratkaisu- tai myöntämismenettelyssä;</w:t>
            </w:r>
            <w:bookmarkEnd w:id="5"/>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lainvoimaisessa tuomiossa on todettu, että toimija on syyllistynyt johonkin seuraavista:</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i) petos, sellaisena kuin sitä tarkoitetaan direktiivin (EU) 2017/1371 3 artiklassa ja 26 päivänä heinäkuuta 1995 annetulla neuvoston säädöksellä tehdyn yhteisöjen taloudellisten etujen suojaamista koskevan yleissopimuksen 1 artiklassa</w:t>
            </w:r>
            <w:bookmarkStart w:id="6" w:name="_DV_C378"/>
            <w:r>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Pr>
                <w:color w:val="000000"/>
              </w:rPr>
              <w:t xml:space="preserve">ii) lahjuksen ottaminen tai antaminen, sellaisena kuin se on määritelty direktiivin (EU) 2017/1371 4 artiklan 2 kohdassa, tai lahjuksen </w:t>
            </w:r>
            <w:r>
              <w:rPr>
                <w:color w:val="000000"/>
              </w:rPr>
              <w:lastRenderedPageBreak/>
              <w:t>antaminen, sellaisena kuin se on määriteltynä 26 päivänä toukokuuta 1997 annetulla neuvoston säädöksellä tehdyn, sellaisen lahjonnan torjumista, jossa on osallisena Euroopan yhteisöjen virkamiehiä tai Euroopan unionin jäsenvaltioiden virkamiehiä</w:t>
            </w:r>
            <w:bookmarkStart w:id="8" w:name="_DV_C381"/>
            <w:bookmarkEnd w:id="7"/>
            <w:r>
              <w:rPr>
                <w:color w:val="000000"/>
              </w:rPr>
              <w:t>, koskevan yleissopimuksen 3 artiklassa, tai neuvoston puitepäätöksen 2003/568/YOS</w:t>
            </w:r>
            <w:bookmarkStart w:id="9" w:name="_DV_C383"/>
            <w:bookmarkEnd w:id="8"/>
            <w:r>
              <w:rPr>
                <w:color w:val="000000"/>
              </w:rPr>
              <w:t xml:space="preserve"> 2 artiklan 1 kohdassa tarkoitetut menettelyt tai korruptio sellaisena kuin se on määritelty muussa sovellettavassa lainsäädännössä;</w:t>
            </w:r>
            <w:bookmarkEnd w:id="9"/>
          </w:p>
        </w:tc>
        <w:tc>
          <w:tcPr>
            <w:tcW w:w="812" w:type="dxa"/>
            <w:shd w:val="clear" w:color="auto" w:fill="auto"/>
          </w:tcPr>
          <w:p w14:paraId="16F4485B" w14:textId="77777777" w:rsidR="00C475D8" w:rsidRDefault="00C475D8" w:rsidP="006B0A89">
            <w:pPr>
              <w:spacing w:before="240" w:after="120"/>
              <w:jc w:val="center"/>
              <w:rPr>
                <w:noProof/>
              </w:rPr>
            </w:pPr>
            <w:r>
              <w:lastRenderedPageBreak/>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Pr>
                <w:color w:val="000000"/>
              </w:rPr>
              <w:t>iii)</w:t>
            </w:r>
            <w:bookmarkStart w:id="11" w:name="_DV_M250"/>
            <w:bookmarkEnd w:id="10"/>
            <w:bookmarkEnd w:id="11"/>
            <w:r>
              <w:rPr>
                <w:color w:val="000000"/>
              </w:rPr>
              <w:t xml:space="preserve"> neuvoston puitepäätöksen 2008/841/YOS 2 artiklassa tarkoitetut rikollisjärjestöön liittyvät menettelyt</w:t>
            </w:r>
            <w:bookmarkStart w:id="12" w:name="_DV_C385"/>
            <w:bookmarkStart w:id="13" w:name="_DV_C387"/>
            <w:bookmarkEnd w:id="12"/>
            <w:r>
              <w:rPr>
                <w:color w:val="000000"/>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4" w:name="_DV_M251"/>
            <w:bookmarkEnd w:id="14"/>
            <w:r>
              <w:rPr>
                <w:color w:val="000000"/>
              </w:rPr>
              <w:t xml:space="preserve"> </w:t>
            </w:r>
            <w:r>
              <w:t>rahanpesu</w:t>
            </w:r>
            <w:bookmarkStart w:id="15" w:name="_DV_C391"/>
            <w:r>
              <w:rPr>
                <w:color w:val="000000"/>
              </w:rPr>
              <w:t xml:space="preserve"> tai</w:t>
            </w:r>
            <w:bookmarkStart w:id="16" w:name="_DV_M252"/>
            <w:bookmarkEnd w:id="15"/>
            <w:bookmarkEnd w:id="16"/>
            <w:r>
              <w:t xml:space="preserve"> terrorismin rahoitus, </w:t>
            </w:r>
            <w:bookmarkStart w:id="17" w:name="_DV_C392"/>
            <w:r>
              <w:rPr>
                <w:color w:val="000000"/>
              </w:rPr>
              <w:t>sellaisina kuin niitä tarkoitetaan Euroopan parlamentin ja neuvoston direktiivin (EU) 2015/849 1 artiklan 3, 4 ja 5 kohdassa</w:t>
            </w:r>
            <w:bookmarkStart w:id="18" w:name="_DV_C394"/>
            <w:bookmarkEnd w:id="17"/>
            <w:r>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Pr>
                <w:color w:val="000000"/>
              </w:rPr>
              <w:t xml:space="preserve">v) </w:t>
            </w:r>
            <w:bookmarkStart w:id="20" w:name="_DV_M253"/>
            <w:bookmarkEnd w:id="19"/>
            <w:bookmarkEnd w:id="20"/>
            <w:r>
              <w:t>terrorismirikokset</w:t>
            </w:r>
            <w:bookmarkStart w:id="21" w:name="_DV_C397"/>
            <w:r>
              <w:rPr>
                <w:color w:val="000000"/>
              </w:rPr>
              <w:t xml:space="preserve"> tai terroritoimintaan liittyvät rikokset sekä tällaisiin rikoksiin yllyttäminen, avunanto niihin tai niiden yritys, sellaisina kuin ne on määritelty terrorismin torjumisesta 15 päivänä maaliskuuta 2017 annetun Euroopan parlamentin ja neuvoston direktiivin (EU) 2017/541 3 ja 14 artiklassa ja III osastossa</w:t>
            </w:r>
            <w:bookmarkStart w:id="22" w:name="_DV_C399"/>
            <w:bookmarkEnd w:id="21"/>
            <w:r>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 xml:space="preserve">lapsityövoiman käyttö tai muut ihmiskauppaa koskevat rikokset, </w:t>
            </w:r>
            <w:bookmarkStart w:id="25" w:name="_DV_C402"/>
            <w:r>
              <w:rPr>
                <w:color w:val="000000"/>
              </w:rPr>
              <w:t>sellaisina kuin niitä tarkoitetaan Euroopan parlamentin ja neuvoston direktiivin 2011/36/EU 2 artiklassa</w:t>
            </w:r>
            <w:bookmarkStart w:id="26" w:name="_DV_C404"/>
            <w:bookmarkEnd w:id="25"/>
            <w:r>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unionin talousarviosta rahoitetun sopimuksen täytäntöönpanossa on ollut toimijan osalta merkittäviä puutteita keskeisten velvoitteiden täyttämisessä, mikä on johtanut kyseisen sopimuksen ennenaikaiseen irtisanomiseen, sopimussakkojen soveltamiseen tai muihin sopimuksen mukaisiin seuraamuksiin tai minkä hankintaviranomainen, Euroopan petostentorjuntavirasto (OLAF) tai tilintarkastustuomioistuin on havainnut tarkastusten, tilintarkastusten tai tutkinnan yhteydessä;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bookmarkEnd w:id="27"/>
            <w:r>
              <w:t>lainvoimaisessa tuomiossa tai lopullisessa hallinnollisessa päätöksessä on todettu, että toimija on syyllistynyt neuvoston asetuksen (EY, Euratom) N:o 2988/95 1 artiklan 2 kohdassa tarkoitettuun väärinkäytökseen;</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lainvoimaisessa tuomiossa tai lopullisessa hallinnollisessa päätöksessä on todettu, että toimija on perustanut eri lainkäyttöalueelle yhteisön tarkoituksena kiertää sellaisia vero- tai sosiaalilainsäädäntöön perustuvia velvoitteita tai muita lakisääteisiä velvoitteita lainkäyttöalueella, jossa yhteisön sääntömääräinen kotipaikka, keskushallinto tai päätoimipaikka sijaitsee;</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iCs/>
              </w:rPr>
              <w:t>vain oikeushenkilöiden osalta</w:t>
            </w:r>
            <w:r>
              <w:t>) lainvoimaisessa tuomiossa tai lopullisessa hallinnollisessa päätöksessä on todettu, että toimija on perustettu g alakohdassa tarkoitetussa tarkoituksessa;</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vakuuttaa, että jos lainvoimaista tuomiota tai lopullista hallinnollista päätöstä ei ole annettu, edellä 1 kohdan c–h alakohdassa tarkoitetuissa tilanteissa</w:t>
            </w:r>
            <w:r>
              <w:rPr>
                <w:rStyle w:val="FootnoteReference"/>
                <w:noProof/>
              </w:rPr>
              <w:footnoteReference w:id="4"/>
            </w:r>
          </w:p>
        </w:tc>
        <w:tc>
          <w:tcPr>
            <w:tcW w:w="812" w:type="dxa"/>
            <w:shd w:val="clear" w:color="auto" w:fill="auto"/>
          </w:tcPr>
          <w:p w14:paraId="68C9A1B2" w14:textId="46B95573" w:rsidR="00977B4E" w:rsidRDefault="00977B4E" w:rsidP="006B0A89">
            <w:pPr>
              <w:spacing w:before="240" w:after="120"/>
              <w:jc w:val="center"/>
              <w:rPr>
                <w:noProof/>
              </w:rPr>
            </w:pPr>
            <w:r>
              <w:t>KYLLÄ</w:t>
            </w:r>
          </w:p>
        </w:tc>
        <w:tc>
          <w:tcPr>
            <w:tcW w:w="705" w:type="dxa"/>
            <w:shd w:val="clear" w:color="auto" w:fill="auto"/>
          </w:tcPr>
          <w:p w14:paraId="1A4D1557" w14:textId="4113B6AB" w:rsidR="00977B4E" w:rsidRDefault="00977B4E" w:rsidP="006B0A89">
            <w:pPr>
              <w:spacing w:before="240" w:after="120"/>
              <w:jc w:val="center"/>
              <w:rPr>
                <w:noProof/>
              </w:rPr>
            </w:pPr>
            <w:r>
              <w:t>EI</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lastRenderedPageBreak/>
              <w:t xml:space="preserve"> toimijaan sovelletaan tosiseikkoja, jotka on havaittu Euroopan syyttäjänviraston, tilintarkastustuomioistuimen tai sisäisen tarkastuksen suorittaman tarkastuksen taikka tutkinnan tai EU:n toimielimen, EU:n toimipaikan tai EU:n viraston tai elimen tulojen ja menojen hyväksyjän vastuulla suoritettavan muun tarkastuksen, tilintarkastuksen tai valvonnan yhteydessä;</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toimijaan sovelletaan muita kuin lainvoimaisia tuomioita tai muita kuin lopullisia hallinnollisia päätöksiä, joihin voi sisältyä ammattietiikkaa koskevien normien noudattamisen varmentamisesta vastaavan toimivaltaisen valvontaelimen toteuttamia kurinpitotoimia;</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toimijaan sovelletaan EU:n talousarvion toteuttamistehtäviä hoitavien yhteisöjen tai henkilöiden päätöksissä tarkoitettuja tosiseikkoja;</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toimijaan sovelletaan unionin varoja toteuttavien jäsenvaltioiden toimittamia tietoja;</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toimijaan sovelletaan komission päätöksiä unionin kilpailulainsäädännön rikkomisista tai toimivaltaisen kansallisen viranomaisen päätöksiä unionin tai kansallisen kilpailulainsäädännön rikkomisista;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toimijalle on annettu tiedoksi millä tahansa tavalla, että se on Euroopan petostentorjuntaviraston (OLAF) tutkimuksen kohteena joko sen vuoksi, että OLAF on antanut toimijalle tilaisuuden esittää huomautuksia itseään koskevista seikoista, tai sen vuoksi, että OLAF on tutkimuksensa kuluessa kohdistanut toimijaan paikalla tehtäviä tarkastuksia, tai sen vuoksi, että toimijalle on ilmoitettu sitä koskevan OLAFin tutkimuksen aloittamisesta, päättämisestä tai mistä tahansa tällaiseen tutkimukseen liittyvästä seikasta.</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B531A6">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bl>
    <w:p w14:paraId="16F4487F" w14:textId="3C305866" w:rsidR="00897553" w:rsidRDefault="00897553" w:rsidP="00422300">
      <w:pPr>
        <w:pStyle w:val="Title"/>
        <w:jc w:val="both"/>
      </w:pPr>
      <w:bookmarkStart w:id="28" w:name="_DV_C376"/>
      <w:r>
        <w:t>II – Poissulkemiseen johtavat tilanteet, jotka koskevat sellaisia luonnollisia henkilöitä tai oikeushenkilöitä, joilla on edustus-, päätös- tai valvontavalta oikeushenkilön osalta, tai tosiasiallisia omistajia ja edunsaajia</w:t>
      </w:r>
    </w:p>
    <w:p w14:paraId="16F44880" w14:textId="5ACABE4A" w:rsidR="00897553" w:rsidRDefault="001F135A" w:rsidP="7F6CA770">
      <w:pPr>
        <w:autoSpaceDE w:val="0"/>
        <w:autoSpaceDN w:val="0"/>
        <w:adjustRightInd w:val="0"/>
        <w:spacing w:before="120" w:after="240"/>
        <w:jc w:val="center"/>
        <w:rPr>
          <w:b/>
          <w:bCs/>
          <w:i/>
          <w:iCs/>
          <w:noProof/>
          <w:u w:val="single"/>
        </w:rPr>
      </w:pPr>
      <w:r>
        <w:rPr>
          <w:b/>
          <w:i/>
          <w:u w:val="single"/>
        </w:rPr>
        <w:t>Ei sovelleta silloin kun toimija on luonnollinen henkilö, jäsenvaltio tai paikallisviranomainen</w:t>
      </w:r>
      <w:r w:rsidR="00954D1F">
        <w:rPr>
          <w:b/>
          <w:i/>
          <w:u w:val="single"/>
        </w:rPr>
        <w:t>.</w:t>
      </w:r>
      <w:r>
        <w:rPr>
          <w:b/>
          <w:i/>
          <w:u w:val="single"/>
        </w:rPr>
        <w:t xml:space="preserve"> Kaikissa muissa tapauksissa k</w:t>
      </w:r>
      <w:r w:rsidR="00D34020">
        <w:rPr>
          <w:b/>
          <w:i/>
          <w:u w:val="single"/>
        </w:rPr>
        <w:t>unki</w:t>
      </w:r>
      <w:r>
        <w:rPr>
          <w:b/>
          <w:i/>
          <w:u w:val="single"/>
        </w:rPr>
        <w:t>n osallistuv</w:t>
      </w:r>
      <w:r w:rsidR="00D34020">
        <w:rPr>
          <w:b/>
          <w:i/>
          <w:u w:val="single"/>
        </w:rPr>
        <w:t>a</w:t>
      </w:r>
      <w:r>
        <w:rPr>
          <w:b/>
          <w:i/>
          <w:u w:val="single"/>
        </w:rPr>
        <w:t>n yhteisön on täytettävä tämä kohta.</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8"/>
        <w:gridCol w:w="1030"/>
        <w:gridCol w:w="893"/>
        <w:gridCol w:w="1310"/>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ilmoittaa, onko luonnollinen henkilö tai oikeushenkilö, joka on oikeushenkilön hallinto-, johto- tai valvontaelimen jäsen tai joka käyttää edustus-, päätös- tai valvontavaltaa oikeushenkilön osalta (tämä kattaa esim. yritysten johtajat, johto- tai valvontaelinten jäsenet ja tapaukset, joissa yksi luonnollinen henkilö tai oikeushenkilö omistaa enemmistön osakkeista), tai toimijan (direktiivin (EU) 2015/849 3 artiklan 6 kohdassa määritelty) tosiasiallinen omistaja ja edunsaaja jossakin seuraavassa mainituista tilanteista: </w:t>
            </w:r>
          </w:p>
        </w:tc>
        <w:tc>
          <w:tcPr>
            <w:tcW w:w="858" w:type="dxa"/>
            <w:shd w:val="clear" w:color="auto" w:fill="auto"/>
          </w:tcPr>
          <w:p w14:paraId="16F44882" w14:textId="77777777" w:rsidR="001F135A" w:rsidRDefault="001F135A" w:rsidP="00C37A34">
            <w:pPr>
              <w:spacing w:before="240" w:after="120"/>
              <w:jc w:val="center"/>
              <w:rPr>
                <w:noProof/>
              </w:rPr>
            </w:pPr>
            <w:r>
              <w:t>KYLLÄ</w:t>
            </w:r>
          </w:p>
        </w:tc>
        <w:tc>
          <w:tcPr>
            <w:tcW w:w="952" w:type="dxa"/>
            <w:shd w:val="clear" w:color="auto" w:fill="auto"/>
          </w:tcPr>
          <w:p w14:paraId="16F44883" w14:textId="77777777" w:rsidR="001F135A" w:rsidRDefault="001F135A" w:rsidP="00C37A34">
            <w:pPr>
              <w:spacing w:before="240" w:after="120"/>
              <w:jc w:val="center"/>
              <w:rPr>
                <w:noProof/>
              </w:rPr>
            </w:pPr>
            <w:r>
              <w:t>EI</w:t>
            </w:r>
          </w:p>
        </w:tc>
        <w:tc>
          <w:tcPr>
            <w:tcW w:w="813" w:type="dxa"/>
          </w:tcPr>
          <w:p w14:paraId="16F44884" w14:textId="77777777" w:rsidR="001F135A" w:rsidRDefault="001F135A" w:rsidP="00C37A34">
            <w:pPr>
              <w:spacing w:before="240" w:after="120"/>
              <w:jc w:val="center"/>
              <w:rPr>
                <w:noProof/>
              </w:rPr>
            </w:pPr>
            <w:r>
              <w:t>EI SOVELLU</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edellä 1 kohdan c alakohdassa tarkoitettu tilanne (ammatin harjoittamiseen liittyvä vakava virhe);</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edellä 1 kohdan d alakohdassa tarkoitettu tilanne (petos, korruptio tai muu rikos);</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lastRenderedPageBreak/>
              <w:t>edellä 1 kohdan e alakohdassa tarkoitettu tilanne (sopimuksen täytäntöönpanoon liittyvät merkittävät puutteet);</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edellä 1 kohdan f alakohdassa tarkoitettu tilanne (väärinkäytös);</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edellä 1 kohdan g alakohdassa tarkoitettu tilanne (yhteisön perustaminen tarkoituksena kiertää lakisääteisiä velvoitteita);</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edellä 1 kohdan h alakohdassa tarkoitettu tilanne (toimijan perustaminen tarkoituksena kiertää lakisääteisiä velvoitteita)</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bl>
    <w:p w14:paraId="16F4489A" w14:textId="52E718DF" w:rsidR="00CA27B0" w:rsidRDefault="00CA27B0" w:rsidP="00422300">
      <w:pPr>
        <w:pStyle w:val="Title"/>
        <w:jc w:val="both"/>
      </w:pPr>
      <w:r>
        <w:t>III – Poissulkemiseen johtavat tilanteet, jotka koskevat oikeushenkilön veloista rajoittamattomassa vastuussa olevia luonnollisia henkilöitä tai oikeushenkilöitä</w:t>
      </w:r>
    </w:p>
    <w:p w14:paraId="35672559" w14:textId="70C88101" w:rsidR="00CF1E63" w:rsidRPr="00370A7F" w:rsidRDefault="00CF1E63" w:rsidP="6FB7994E">
      <w:pPr>
        <w:autoSpaceDE w:val="0"/>
        <w:autoSpaceDN w:val="0"/>
        <w:adjustRightInd w:val="0"/>
        <w:spacing w:before="120" w:after="240"/>
        <w:jc w:val="center"/>
        <w:rPr>
          <w:i/>
          <w:iCs/>
        </w:rPr>
      </w:pPr>
      <w:r>
        <w:rPr>
          <w:b/>
          <w:i/>
          <w:u w:val="single"/>
        </w:rPr>
        <w:t>Ei sovelleta silloin kun toimija on luonnollinen henkilö, jäsenvaltio, paikallisviranomainen tai oikeushenkilö, jolla on rajoitettu vastuu. Kaikissa muissa tapauksissa k</w:t>
      </w:r>
      <w:r w:rsidR="006E054A">
        <w:rPr>
          <w:b/>
          <w:i/>
          <w:u w:val="single"/>
        </w:rPr>
        <w:t>unki</w:t>
      </w:r>
      <w:r>
        <w:rPr>
          <w:b/>
          <w:i/>
          <w:u w:val="single"/>
        </w:rPr>
        <w:t>n osallistuv</w:t>
      </w:r>
      <w:r w:rsidR="006E054A">
        <w:rPr>
          <w:b/>
          <w:i/>
          <w:u w:val="single"/>
        </w:rPr>
        <w:t>a</w:t>
      </w:r>
      <w:r>
        <w:rPr>
          <w:b/>
          <w:i/>
          <w:u w:val="single"/>
        </w:rPr>
        <w:t>n yhteisön on täytettävä tämä kohta.</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030"/>
        <w:gridCol w:w="589"/>
        <w:gridCol w:w="131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ilmoittaa, onko oikeushenkilön veloista rajoittamattomassa vastuussa oleva luonnollinen henkilö tai oikeushenkilö jossakin seuraavista tilanteista: </w:t>
            </w:r>
          </w:p>
        </w:tc>
        <w:tc>
          <w:tcPr>
            <w:tcW w:w="670" w:type="dxa"/>
            <w:shd w:val="clear" w:color="auto" w:fill="auto"/>
          </w:tcPr>
          <w:p w14:paraId="16F4489C" w14:textId="77777777" w:rsidR="003E5E5C" w:rsidRDefault="003E5E5C" w:rsidP="00C37A34">
            <w:pPr>
              <w:spacing w:before="240" w:after="120"/>
              <w:jc w:val="center"/>
              <w:rPr>
                <w:noProof/>
              </w:rPr>
            </w:pPr>
            <w:r>
              <w:t>KYLLÄ</w:t>
            </w:r>
          </w:p>
        </w:tc>
        <w:tc>
          <w:tcPr>
            <w:tcW w:w="614" w:type="dxa"/>
          </w:tcPr>
          <w:p w14:paraId="16F4489D" w14:textId="77777777" w:rsidR="003E5E5C" w:rsidRDefault="003E5E5C" w:rsidP="00C37A34">
            <w:pPr>
              <w:spacing w:before="240" w:after="120"/>
              <w:jc w:val="center"/>
              <w:rPr>
                <w:noProof/>
              </w:rPr>
            </w:pPr>
            <w:r>
              <w:t>EI</w:t>
            </w:r>
          </w:p>
        </w:tc>
        <w:tc>
          <w:tcPr>
            <w:tcW w:w="630" w:type="dxa"/>
            <w:shd w:val="clear" w:color="auto" w:fill="auto"/>
          </w:tcPr>
          <w:p w14:paraId="16F4489E" w14:textId="77777777" w:rsidR="003E5E5C" w:rsidRDefault="003E5E5C" w:rsidP="00C37A34">
            <w:pPr>
              <w:spacing w:before="240" w:after="120"/>
              <w:jc w:val="center"/>
              <w:rPr>
                <w:noProof/>
              </w:rPr>
            </w:pPr>
            <w:r>
              <w:t>EI SOVELLU</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edellä alakohdassa a tarkoitettu tilanne (konkurssi);</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edellä alakohdassa b tarkoitettu tilanne (verojen tai sosiaaliturvamaksujen laiminlyönti);</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bl>
    <w:p w14:paraId="28F7EA99" w14:textId="76AEE25F" w:rsidR="00B05C76" w:rsidRDefault="00B05C76" w:rsidP="00B05C76">
      <w:pPr>
        <w:pStyle w:val="Title"/>
        <w:rPr>
          <w:noProof/>
        </w:rPr>
      </w:pPr>
      <w:r>
        <w:t>IV – Tässä menettelyssä sovellettavat muut hylkäysperusteet</w:t>
      </w:r>
    </w:p>
    <w:p w14:paraId="49EFC66C" w14:textId="70F26E99" w:rsidR="00B05C76" w:rsidRPr="00897E28" w:rsidRDefault="00B05C76" w:rsidP="00B05C76">
      <w:pPr>
        <w:spacing w:before="120" w:after="120"/>
        <w:ind w:firstLine="1"/>
        <w:jc w:val="both"/>
        <w:rPr>
          <w:b/>
          <w:bCs/>
          <w:i/>
          <w:iCs/>
          <w:noProof/>
        </w:rPr>
      </w:pPr>
      <w:r>
        <w:rPr>
          <w:b/>
          <w:i/>
        </w:rPr>
        <w:t>(</w:t>
      </w:r>
      <w:r w:rsidR="002A62A7">
        <w:rPr>
          <w:b/>
          <w:i/>
        </w:rPr>
        <w:t>Kunkin y</w:t>
      </w:r>
      <w:r>
        <w:rPr>
          <w:b/>
          <w:i/>
        </w:rPr>
        <w:t xml:space="preserve">ksittäisen ehdokkaan/tarjoajan tai yhteisen osallistumishakemuksen/tarjouksen tapauksessa ryhmän </w:t>
      </w:r>
      <w:r w:rsidR="002A62A7">
        <w:rPr>
          <w:b/>
          <w:i/>
        </w:rPr>
        <w:t xml:space="preserve">kunkin </w:t>
      </w:r>
      <w:r>
        <w:rPr>
          <w:b/>
          <w:i/>
        </w:rPr>
        <w:t xml:space="preserve">jäsenen </w:t>
      </w:r>
      <w:r w:rsidR="00954D1F">
        <w:rPr>
          <w:b/>
          <w:i/>
        </w:rPr>
        <w:t xml:space="preserve">on </w:t>
      </w:r>
      <w:r>
        <w:rPr>
          <w:b/>
          <w:i/>
        </w:rPr>
        <w:t xml:space="preserve">täytettävä </w:t>
      </w:r>
      <w:r w:rsidR="002A62A7">
        <w:rPr>
          <w:b/>
          <w:i/>
        </w:rPr>
        <w:t>tämä kohta.</w:t>
      </w:r>
      <w:r>
        <w:rPr>
          <w:b/>
          <w:i/>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3"/>
        <w:gridCol w:w="1030"/>
        <w:gridCol w:w="743"/>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vakuuttaa, että toimija</w:t>
            </w:r>
          </w:p>
        </w:tc>
        <w:tc>
          <w:tcPr>
            <w:tcW w:w="670" w:type="dxa"/>
            <w:shd w:val="clear" w:color="auto" w:fill="auto"/>
          </w:tcPr>
          <w:p w14:paraId="1361E30C" w14:textId="77777777" w:rsidR="00B05C76" w:rsidRDefault="00B05C76" w:rsidP="00D6012C">
            <w:pPr>
              <w:spacing w:before="240" w:after="120"/>
              <w:jc w:val="center"/>
              <w:rPr>
                <w:noProof/>
              </w:rPr>
            </w:pPr>
            <w:r>
              <w:t>KYLLÄ</w:t>
            </w:r>
          </w:p>
        </w:tc>
        <w:tc>
          <w:tcPr>
            <w:tcW w:w="759" w:type="dxa"/>
            <w:shd w:val="clear" w:color="auto" w:fill="auto"/>
          </w:tcPr>
          <w:p w14:paraId="2D50029A" w14:textId="77777777" w:rsidR="00B05C76" w:rsidRDefault="00B05C76" w:rsidP="00D6012C">
            <w:pPr>
              <w:spacing w:before="240" w:after="120"/>
              <w:jc w:val="center"/>
              <w:rPr>
                <w:noProof/>
              </w:rPr>
            </w:pPr>
            <w:r>
              <w:t>EI</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on aikaisemmin osallistunut tässä ratkaisu- tai myöntämismenettelyssä käytettävien hankinta-asiakirjojen laatimiseen, jos tämä merkitsee sellaista tasapuolisen kohtelun periaatteen rikkomista, mukaan lukien kilpailun vääristyminen, jota ei voida korjata muulla keinoin.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bl>
    <w:p w14:paraId="7C03A2FA" w14:textId="77777777" w:rsidR="00995B35" w:rsidRPr="008652A3" w:rsidRDefault="00995B35" w:rsidP="008652A3"/>
    <w:bookmarkEnd w:id="28"/>
    <w:p w14:paraId="16F448B3" w14:textId="392C3A78" w:rsidR="00F96EAB" w:rsidRPr="006C6DFD" w:rsidRDefault="00340E14" w:rsidP="002F6C60">
      <w:pPr>
        <w:spacing w:before="120" w:after="120"/>
        <w:ind w:firstLine="1"/>
        <w:jc w:val="both"/>
        <w:rPr>
          <w:noProof/>
        </w:rPr>
      </w:pPr>
      <w:r>
        <w:rPr>
          <w:rFonts w:ascii="Times New Roman Bold" w:hAnsi="Times New Roman Bold"/>
          <w:b/>
          <w:smallCaps/>
        </w:rPr>
        <w:t>V – Korjaavat toimenpiteet</w:t>
      </w:r>
    </w:p>
    <w:p w14:paraId="16F448B4" w14:textId="432FB097" w:rsidR="005C6293" w:rsidRDefault="005C6293" w:rsidP="007C6650">
      <w:pPr>
        <w:spacing w:before="120" w:after="120"/>
        <w:jc w:val="both"/>
        <w:rPr>
          <w:color w:val="000000"/>
        </w:rPr>
      </w:pPr>
      <w:r>
        <w:t>Jos toimija ilmoittaa olevansa jossakin edellä mainituista poissulkemiseen johtavista tilanteista, se voi ilmoittaa toimenpiteet, jotka se on toteuttanut tilanteen korjaamiseksi, jotta tulojen ja menojen hyväksyjä voi määrittää, ovatko tällaiset toimenpiteet riittäviä toimijan luotettavuuden osoittamiseksi.</w:t>
      </w:r>
      <w:r>
        <w:rPr>
          <w:color w:val="000000"/>
        </w:rPr>
        <w:t xml:space="preserve"> Näihin toimenpiteisiin voi sisältyä esimerkiksi teknisiä, organisatorisia ja henkilöstöön liittyviä toimenpiteitä, joilla on tarkoitus estää vastaavien tilanteiden toistuminen, sekä vahinkojen korvaaminen tai sakkojen taikka verojen tai sosiaaliturvamaksujen maksaminen. Tähän vakuutukseen on liitettävä asiakirjat, jotka osoittavat, millaisia korjaavia toimenpiteitä on toteutettu. Tätä ei sovelleta tämän vakuutuksen 1 kohdan d alakohdassa tarkoitettuihin tilanteisiin.</w:t>
      </w:r>
    </w:p>
    <w:p w14:paraId="16F448B5" w14:textId="3FE5177B" w:rsidR="00F96EAB" w:rsidRPr="007D7A5F" w:rsidRDefault="00B05C76" w:rsidP="0024225B">
      <w:pPr>
        <w:pStyle w:val="Title"/>
        <w:rPr>
          <w:noProof/>
        </w:rPr>
      </w:pPr>
      <w:r>
        <w:lastRenderedPageBreak/>
        <w:t>VI – Poissulkemisperusteita koskevat todisteet</w:t>
      </w:r>
    </w:p>
    <w:p w14:paraId="477A6316" w14:textId="3261E630" w:rsidR="00695D93" w:rsidRDefault="0092592E" w:rsidP="7F6CA770">
      <w:pPr>
        <w:spacing w:before="120" w:after="120"/>
        <w:ind w:firstLine="11"/>
        <w:jc w:val="both"/>
        <w:rPr>
          <w:noProof/>
        </w:rPr>
      </w:pPr>
      <w:r>
        <w:t>Tarjouseritelmässä esitetään yksityiskohtaisesti, minkä osallistuvien yhteisöjen on toimitettava asianmukaiset todisteet sen osoittamiseksi, että ne eivät ole 1 kohdassa tarkoitetussa poissulkemiseen johtavassa tilanteessa, ja milloin todisteet on toimitettava.</w:t>
      </w:r>
    </w:p>
    <w:p w14:paraId="3EE64640" w14:textId="03697B6E" w:rsidR="00835E88" w:rsidRPr="00F76ABA" w:rsidRDefault="00CA3ADD" w:rsidP="00835E88">
      <w:pPr>
        <w:spacing w:before="120" w:after="120"/>
        <w:jc w:val="both"/>
        <w:rPr>
          <w:noProof/>
        </w:rPr>
      </w:pPr>
      <w:r>
        <w:t>Todisteiksi kelpaavat seuraavat:</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Edellä olevan 1 kohdan a, c, d, f, g ja h alakohdan osalta voidaan pyytää hiljattain annettu rikosrekisteriote tai tällaisen puuttuessa asianomaisen sijoittautumisvaltion oikeus- tai hallintoviranomaisen hiljattain antama vastaava asiakirja, josta ilmenee, että nämä edellytykset täyttyvät.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Edellä olevan 1 kohdan a ja b alakohdan osalta voidaan pyytää sijoittautumisvaltion toimivaltaisten viranomaisten hiljattain antamat todistukset. Asiakirjoissa on oltava todisteet kaikista toimijalle kuuluvista vero- ja sosiaaliturvamaksuista, joita ovat esimerkiksi alv, tulovero (vain luonnolliset henkilöt), yhtiövero (vain oikeushenkilöt) ja sosiaaliturvamaksut. Jos sijoittautumisvaltiossa ei anneta jotakin edellä tarkoitetuista asiakirjoista, sen sijasta voidaan toimittaa oikeusviranomaiselle tai notaarille annettu valaehtoinen vakuutus tai tällaisen puuttuessa sijoittautumisvaltion hallintoviranomaiselle tai asiassa toimivaltaiselle toimialaa edustavalle järjestölle annettu virallinen vakuutus.</w:t>
      </w:r>
    </w:p>
    <w:p w14:paraId="16F448B9" w14:textId="6993ED04" w:rsidR="008C4A00" w:rsidRDefault="00C55150" w:rsidP="00897E28">
      <w:pPr>
        <w:spacing w:before="100" w:beforeAutospacing="1" w:after="100" w:afterAutospacing="1"/>
        <w:jc w:val="both"/>
      </w:pPr>
      <w:r>
        <w:t>Toimija ei ole velvollinen toimittamaan todisteita, jos ne on jo toimitettu saman hankintaviranomaisen</w:t>
      </w:r>
      <w:r>
        <w:rPr>
          <w:rStyle w:val="FootnoteReference"/>
        </w:rPr>
        <w:footnoteReference w:id="5"/>
      </w:r>
      <w:r>
        <w:t xml:space="preserve"> käynnistämän toisen ratkaisu- tai myöntämismenettelyn yhteydessä. Asiakirjojen on oltava sellaiset, että ne on annettu enintään vuotta ennen kuin hankintaviranomainen pyytää niitä, ja niiden on oltava edelleen voimassa kyseisenä ajankohtana. </w:t>
      </w:r>
    </w:p>
    <w:p w14:paraId="16F448BA" w14:textId="1463A7B7" w:rsidR="008C4A00" w:rsidRDefault="00A40405" w:rsidP="00897E28">
      <w:pPr>
        <w:spacing w:before="100" w:beforeAutospacing="1" w:after="100" w:afterAutospacing="1"/>
        <w:jc w:val="both"/>
      </w:pPr>
      <w:r>
        <w:t xml:space="preserve">Allekirjoittanut vakuuttaa, että toimija on jo toimittanut asiakirjatodisteet aikaisemman menettelyn yhteydessä, ja vahvistaa, ettei toimijan tilanteessa ole tapahtunut muutosta: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Asiakirja</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Täydellinen viittaus aiempaan menettelyyn</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Lisätään tarvittava määrä rivejä.</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Toimijan ei tarvitse toimittaa todisteita, jos ne ovat saatavilla maksutta kansallisessa tietokannassa.  </w:t>
      </w:r>
    </w:p>
    <w:p w14:paraId="0F58ED09" w14:textId="2FB86EF0" w:rsidR="00CF0C80" w:rsidRDefault="00602579" w:rsidP="00897E28">
      <w:pPr>
        <w:spacing w:before="100" w:beforeAutospacing="1" w:after="100" w:afterAutospacing="1"/>
        <w:jc w:val="both"/>
      </w:pPr>
      <w:r>
        <w:t>Allekirjoittaja vakuuttaa, että vaaditut todisteet ovat käytettävissä seuraavassa tietokannan internetosoitteessa / seuraavilla asiakirjan tunnistetiedoilla.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Tietokannan internetosoite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Asiakirjan tunnistetiedot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Lisätään tarvittava määrä rivejä.</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Valintaperusteita koskeva kunnian ja omantunnon kautta annettu vakuutus </w:t>
      </w:r>
    </w:p>
    <w:p w14:paraId="2D59BB2A" w14:textId="01DD445D" w:rsidR="743C92D7" w:rsidRDefault="743C92D7" w:rsidP="001B5619">
      <w:pPr>
        <w:spacing w:beforeAutospacing="1" w:afterAutospacing="1"/>
        <w:jc w:val="both"/>
      </w:pPr>
      <w:r>
        <w:t>Jos menettely on jaettu eriin, B-osan lausumat koskevat sitä erää (niitä eriä), jonka (joiden) osalta osallistumishakemus/tarjous on toimitettu.</w:t>
      </w:r>
    </w:p>
    <w:p w14:paraId="7232500E" w14:textId="59A72938" w:rsidR="00E25A58" w:rsidRDefault="00E25A58" w:rsidP="00E25A58">
      <w:pPr>
        <w:pStyle w:val="Title"/>
        <w:rPr>
          <w:noProof/>
        </w:rPr>
      </w:pPr>
      <w:r>
        <w:lastRenderedPageBreak/>
        <w:t>I – Valintaperusteet</w:t>
      </w:r>
    </w:p>
    <w:p w14:paraId="7CE533D0" w14:textId="16A9A02E" w:rsidR="00B74E92" w:rsidRPr="00897E28" w:rsidRDefault="00CA2C74">
      <w:pPr>
        <w:jc w:val="both"/>
        <w:rPr>
          <w:b/>
          <w:bCs/>
          <w:u w:val="single"/>
        </w:rPr>
      </w:pPr>
      <w:r>
        <w:rPr>
          <w:b/>
          <w:u w:val="single"/>
        </w:rPr>
        <w:t xml:space="preserve">Ehdokkaaseen/tarjoajaan sovellettavat valintaperusteet (kokonaisarviointi) </w:t>
      </w:r>
    </w:p>
    <w:p w14:paraId="1E43862B" w14:textId="668ABA26" w:rsidR="006E23B3" w:rsidRPr="00897E28" w:rsidRDefault="002A62A7" w:rsidP="00897E28">
      <w:pPr>
        <w:spacing w:before="120" w:after="120"/>
        <w:ind w:firstLine="1"/>
        <w:jc w:val="both"/>
        <w:rPr>
          <w:b/>
          <w:bCs/>
          <w:i/>
          <w:iCs/>
          <w:noProof/>
        </w:rPr>
      </w:pPr>
      <w:r>
        <w:rPr>
          <w:b/>
          <w:i/>
        </w:rPr>
        <w:t>(VAIN yksittäis</w:t>
      </w:r>
      <w:r w:rsidR="006E23B3">
        <w:rPr>
          <w:b/>
          <w:i/>
        </w:rPr>
        <w:t>en ehdok</w:t>
      </w:r>
      <w:r>
        <w:rPr>
          <w:b/>
          <w:i/>
        </w:rPr>
        <w:t>k</w:t>
      </w:r>
      <w:r w:rsidR="006E23B3">
        <w:rPr>
          <w:b/>
          <w:i/>
        </w:rPr>
        <w:t>a</w:t>
      </w:r>
      <w:r>
        <w:rPr>
          <w:b/>
          <w:i/>
        </w:rPr>
        <w:t>an</w:t>
      </w:r>
      <w:r w:rsidR="006E23B3">
        <w:rPr>
          <w:b/>
          <w:i/>
        </w:rPr>
        <w:t>/tarjoaja</w:t>
      </w:r>
      <w:r>
        <w:rPr>
          <w:b/>
          <w:i/>
        </w:rPr>
        <w:t>n</w:t>
      </w:r>
      <w:r w:rsidR="006E23B3">
        <w:rPr>
          <w:b/>
          <w:i/>
        </w:rPr>
        <w:t xml:space="preserve"> tai yhteisen osallistumishakemuksen/tarjouksen tapauksessa ryhmän johtaja</w:t>
      </w:r>
      <w:r>
        <w:rPr>
          <w:b/>
          <w:i/>
        </w:rPr>
        <w:t>n on</w:t>
      </w:r>
      <w:r w:rsidR="006E23B3">
        <w:rPr>
          <w:b/>
          <w:i/>
        </w:rPr>
        <w:t xml:space="preserve"> täyt</w:t>
      </w:r>
      <w:r>
        <w:rPr>
          <w:b/>
          <w:i/>
        </w:rPr>
        <w:t>ett</w:t>
      </w:r>
      <w:r w:rsidR="006E23B3">
        <w:rPr>
          <w:b/>
          <w:i/>
        </w:rPr>
        <w:t>ä</w:t>
      </w:r>
      <w:r>
        <w:rPr>
          <w:b/>
          <w:i/>
        </w:rPr>
        <w:t>v</w:t>
      </w:r>
      <w:r w:rsidR="006E23B3">
        <w:rPr>
          <w:b/>
          <w:i/>
        </w:rPr>
        <w:t>ä</w:t>
      </w:r>
      <w:r>
        <w:rPr>
          <w:b/>
          <w:i/>
        </w:rPr>
        <w:t xml:space="preserve"> tämä kohta.</w:t>
      </w:r>
      <w:r w:rsidR="006E23B3">
        <w:rPr>
          <w:b/>
          <w:i/>
        </w:rPr>
        <w:t>)</w:t>
      </w:r>
    </w:p>
    <w:p w14:paraId="580B2348" w14:textId="36EFDB8E" w:rsidR="00F04B97" w:rsidRDefault="00F04B97" w:rsidP="00F04B97">
      <w:pPr>
        <w:spacing w:before="120" w:after="120"/>
        <w:ind w:firstLine="1"/>
        <w:jc w:val="both"/>
        <w:rPr>
          <w:noProof/>
        </w:rPr>
      </w:pPr>
      <w:r>
        <w:t>Toimija, joka on yksittäinen ehdokas / yksittäinen tarjoaja / ryhmän johtaja, kun on kyse yhteisestä osallistumishakemuksesta/tarjouksesta, ja joka toimittaa osallistumishakemuksen/tarjouksen edellä mainittua menettelyä varten,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9"/>
        <w:gridCol w:w="1030"/>
        <w:gridCol w:w="983"/>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vakuuttaa, että ehdokas/tarjoaja, mukaan lukien yhteisen osallistumishakemuksen/tarjouksen tapauksessa kaikki ryhmän jäsenet sekä alihankkijat ja tapauksen mukaan ne yhteisöt, joiden valmiuksia ehdokas/tarjoaja aikoo hyödyntää,</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KYLLÄ</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EI</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täyttää kaikki valintaperusteet, joiden osalta tehdään kokonaisarviointi tarjouseritelmän mukaisesti.</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Hankintaviranomainen lisää tarvittaessa seuraavan vaihtoehdon hankinta-asiakirjojen mukaisesti. Hankintaviranomaisen on poistettava seuraava kohta, jos erikseen sovellettavia valinperusteita ei ole. Jos tällaisia valintaperusteita on, hankintaviranomaisen on mukautettava taulukkoa tarjouseritelmään sisältyvien perusteiden mukaan.</w:t>
      </w:r>
    </w:p>
    <w:p w14:paraId="5CFBC1F8" w14:textId="7B867C43" w:rsidR="00CA2C74" w:rsidRPr="00897E28" w:rsidRDefault="00C4227A">
      <w:pPr>
        <w:jc w:val="both"/>
        <w:rPr>
          <w:b/>
          <w:bCs/>
          <w:u w:val="single"/>
        </w:rPr>
      </w:pPr>
      <w:r>
        <w:rPr>
          <w:b/>
          <w:u w:val="single"/>
        </w:rPr>
        <w:t>Osallistuviin yhteisöihin erikseen sovellettavat valintaperusteet – yksilöllinen arviointi</w:t>
      </w:r>
    </w:p>
    <w:p w14:paraId="78C15FF3" w14:textId="02003343" w:rsidR="00723411" w:rsidRPr="00897E28" w:rsidRDefault="00723411" w:rsidP="7F6CA770">
      <w:pPr>
        <w:spacing w:before="120" w:after="120"/>
        <w:ind w:firstLine="1"/>
        <w:jc w:val="both"/>
        <w:rPr>
          <w:b/>
          <w:bCs/>
          <w:i/>
          <w:iCs/>
          <w:noProof/>
        </w:rPr>
      </w:pPr>
      <w:r>
        <w:rPr>
          <w:b/>
          <w:i/>
        </w:rPr>
        <w:t>(</w:t>
      </w:r>
      <w:r w:rsidR="00EC5B7A">
        <w:rPr>
          <w:b/>
          <w:i/>
        </w:rPr>
        <w:t xml:space="preserve">Kunkin </w:t>
      </w:r>
      <w:r>
        <w:rPr>
          <w:b/>
          <w:i/>
        </w:rPr>
        <w:t>osallistuva</w:t>
      </w:r>
      <w:r w:rsidR="00EC5B7A">
        <w:rPr>
          <w:b/>
          <w:i/>
        </w:rPr>
        <w:t>n</w:t>
      </w:r>
      <w:r>
        <w:rPr>
          <w:b/>
          <w:i/>
        </w:rPr>
        <w:t xml:space="preserve"> yhteisö</w:t>
      </w:r>
      <w:r w:rsidR="00EC5B7A">
        <w:rPr>
          <w:b/>
          <w:i/>
        </w:rPr>
        <w:t>n</w:t>
      </w:r>
      <w:r>
        <w:rPr>
          <w:b/>
          <w:i/>
        </w:rPr>
        <w:t>, joh</w:t>
      </w:r>
      <w:r w:rsidR="00EC5B7A">
        <w:rPr>
          <w:b/>
          <w:i/>
        </w:rPr>
        <w:t>o</w:t>
      </w:r>
      <w:r>
        <w:rPr>
          <w:b/>
          <w:i/>
        </w:rPr>
        <w:t xml:space="preserve">n valintaperusteita sovelletaan yksilöllisesti tarjouseritelmän mukaisesti, </w:t>
      </w:r>
      <w:r w:rsidR="00EC5B7A">
        <w:rPr>
          <w:b/>
          <w:i/>
        </w:rPr>
        <w:t xml:space="preserve">on </w:t>
      </w:r>
      <w:r>
        <w:rPr>
          <w:b/>
          <w:i/>
        </w:rPr>
        <w:t>täyt</w:t>
      </w:r>
      <w:r w:rsidR="00EC5B7A">
        <w:rPr>
          <w:b/>
          <w:i/>
        </w:rPr>
        <w:t>e</w:t>
      </w:r>
      <w:r>
        <w:rPr>
          <w:b/>
          <w:i/>
        </w:rPr>
        <w:t>t</w:t>
      </w:r>
      <w:r w:rsidR="00EC5B7A">
        <w:rPr>
          <w:b/>
          <w:i/>
        </w:rPr>
        <w:t>t</w:t>
      </w:r>
      <w:r>
        <w:rPr>
          <w:b/>
          <w:i/>
        </w:rPr>
        <w:t>ävä</w:t>
      </w:r>
      <w:r w:rsidR="00EC5B7A">
        <w:rPr>
          <w:b/>
          <w:i/>
        </w:rPr>
        <w:t xml:space="preserve"> tämä kohta.</w:t>
      </w:r>
      <w:r>
        <w:rPr>
          <w:b/>
          <w:i/>
        </w:rPr>
        <w:t>)</w:t>
      </w:r>
    </w:p>
    <w:p w14:paraId="64745216" w14:textId="17979E7F" w:rsidR="00E80BCE" w:rsidRPr="00897E28" w:rsidRDefault="00E80BCE" w:rsidP="6FB7994E">
      <w:pPr>
        <w:spacing w:before="120" w:after="120"/>
        <w:ind w:firstLine="1"/>
        <w:jc w:val="both"/>
        <w:rPr>
          <w:b/>
          <w:bCs/>
          <w:i/>
          <w:iCs/>
          <w:noProof/>
        </w:rPr>
      </w:pPr>
      <w:r>
        <w:t>Toimija, joka on yksittäinen ehdokas / yksittäinen tarjoaja / ryhmän jäsen, kun on kyse yhteisestä osallistumishakemuksesta/tarjouksesta, / alihankkija ja joka toimittaa osallistumishakemuksen/tarjouksen tai osallistuu sellaiseen edellä mainittua menettelyä varten,</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3"/>
        <w:gridCol w:w="1030"/>
        <w:gridCol w:w="583"/>
        <w:gridCol w:w="1310"/>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vakuuttaa, että toimija täyttää seuraavat siihen erikseen sovellettavat valintaperusteet:</w:t>
            </w:r>
          </w:p>
        </w:tc>
        <w:tc>
          <w:tcPr>
            <w:tcW w:w="704" w:type="dxa"/>
            <w:shd w:val="clear" w:color="auto" w:fill="auto"/>
          </w:tcPr>
          <w:p w14:paraId="13DAA78F" w14:textId="77777777" w:rsidR="00A551F6" w:rsidRDefault="00A551F6" w:rsidP="00C37A34">
            <w:pPr>
              <w:spacing w:before="240" w:after="120"/>
              <w:jc w:val="center"/>
              <w:rPr>
                <w:noProof/>
              </w:rPr>
            </w:pPr>
            <w:r>
              <w:t>KYLLÄ</w:t>
            </w:r>
          </w:p>
        </w:tc>
        <w:tc>
          <w:tcPr>
            <w:tcW w:w="608" w:type="dxa"/>
            <w:shd w:val="clear" w:color="auto" w:fill="auto"/>
          </w:tcPr>
          <w:p w14:paraId="465AC66E" w14:textId="77777777" w:rsidR="00A551F6" w:rsidRDefault="00A551F6" w:rsidP="00C37A34">
            <w:pPr>
              <w:spacing w:before="240" w:after="120"/>
              <w:jc w:val="center"/>
              <w:rPr>
                <w:noProof/>
              </w:rPr>
            </w:pPr>
            <w:r>
              <w:t>EI</w:t>
            </w:r>
          </w:p>
        </w:tc>
        <w:tc>
          <w:tcPr>
            <w:tcW w:w="630" w:type="dxa"/>
            <w:shd w:val="clear" w:color="auto" w:fill="auto"/>
          </w:tcPr>
          <w:p w14:paraId="237B4D9E" w14:textId="77777777" w:rsidR="00A551F6" w:rsidRDefault="00A551F6" w:rsidP="00C37A34">
            <w:pPr>
              <w:spacing w:before="240" w:after="120"/>
              <w:jc w:val="center"/>
              <w:rPr>
                <w:noProof/>
              </w:rPr>
            </w:pPr>
            <w:r>
              <w:t>EI SOVELLU</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toimijalla on oikeustoimikelpoisuus ja sääntelyllinen kelpoisuus harjoittaa sopimuksen täyttämiseen tarjouseritelmän mukaisesti tarvittavaa ammattitoimintaa;</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toimija täyttää tarjouseritelmässä asetetut sovellettavat taloudelliset ja rahoitukseen liittyvät perusteet;</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toimija täyttää tarjouseritelmässä asetetut sovellettavat tekniset ja ammatilliset perusteet;</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Valintaperusteet – ammatilliset eturistiriidat </w:t>
      </w:r>
    </w:p>
    <w:p w14:paraId="6D4253AB" w14:textId="0131D444" w:rsidR="00850397" w:rsidRPr="00897E28" w:rsidRDefault="00850397" w:rsidP="00EE7E2B">
      <w:pPr>
        <w:spacing w:before="120" w:after="120"/>
        <w:ind w:firstLine="1"/>
        <w:rPr>
          <w:b/>
          <w:bCs/>
          <w:i/>
          <w:iCs/>
          <w:noProof/>
        </w:rPr>
      </w:pPr>
      <w:r>
        <w:rPr>
          <w:b/>
          <w:i/>
        </w:rPr>
        <w:t>(</w:t>
      </w:r>
      <w:r w:rsidR="00EC5B7A">
        <w:rPr>
          <w:b/>
          <w:i/>
        </w:rPr>
        <w:t>Kunki</w:t>
      </w:r>
      <w:r>
        <w:rPr>
          <w:b/>
          <w:i/>
        </w:rPr>
        <w:t>n osallistuv</w:t>
      </w:r>
      <w:r w:rsidR="00EC5B7A">
        <w:rPr>
          <w:b/>
          <w:i/>
        </w:rPr>
        <w:t>a</w:t>
      </w:r>
      <w:r>
        <w:rPr>
          <w:b/>
          <w:i/>
        </w:rPr>
        <w:t xml:space="preserve">n yhteisön </w:t>
      </w:r>
      <w:r w:rsidR="00EC5B7A">
        <w:rPr>
          <w:b/>
          <w:i/>
        </w:rPr>
        <w:t xml:space="preserve">on </w:t>
      </w:r>
      <w:r>
        <w:rPr>
          <w:b/>
          <w:i/>
        </w:rPr>
        <w:t>täytettävä</w:t>
      </w:r>
      <w:r w:rsidR="00EC5B7A">
        <w:rPr>
          <w:b/>
          <w:i/>
        </w:rPr>
        <w:t xml:space="preserve"> tämä kohta.</w:t>
      </w:r>
      <w:r>
        <w:rPr>
          <w:b/>
          <w:i/>
        </w:rPr>
        <w:t>)</w:t>
      </w:r>
    </w:p>
    <w:p w14:paraId="4E52E5EC" w14:textId="27000ACC" w:rsidR="00850397" w:rsidRDefault="00850397" w:rsidP="00850397">
      <w:pPr>
        <w:jc w:val="both"/>
        <w:rPr>
          <w:b/>
          <w:bCs/>
          <w:u w:val="single"/>
        </w:rPr>
      </w:pPr>
      <w:r>
        <w:t>Toimija, joka on yksittäinen ehdokas / yksittäinen tarjoaja / ryhmän jäsen, kun on kyse yhteisestä osallistumishakemuksesta/tarjouksesta, / alihankkija ja joka toimittaa osallistumishakemuksen/tarjouksen tai osallistuu sellaiseen edellä mainittua menettelyä varten,</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7"/>
        <w:gridCol w:w="1030"/>
        <w:gridCol w:w="985"/>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vakuuttaa, että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KYLLÄ</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EI</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lastRenderedPageBreak/>
              <w:t>toimijalla on eturistiriitoja, jotka voisivat vaikuttaa kielteisesti sopimuksen täyttämiseen.</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bl>
    <w:p w14:paraId="790CAC98" w14:textId="130FE33D" w:rsidR="00C4227A" w:rsidRDefault="00C4227A" w:rsidP="00C4227A">
      <w:pPr>
        <w:pStyle w:val="Title"/>
        <w:rPr>
          <w:noProof/>
        </w:rPr>
      </w:pPr>
      <w:r>
        <w:t xml:space="preserve">III – Valintaperusteita koskevat todisteet </w:t>
      </w:r>
    </w:p>
    <w:p w14:paraId="6C38D641" w14:textId="3F0D33E7" w:rsidR="00F04B97" w:rsidRDefault="00F04B97" w:rsidP="7F6CA770">
      <w:pPr>
        <w:spacing w:before="100" w:beforeAutospacing="1" w:after="100" w:afterAutospacing="1"/>
        <w:jc w:val="both"/>
      </w:pPr>
      <w:r>
        <w:t>Tarjouseritelmässä esitetään yksityiskohtaisesti, mitä todisteita minkäkin osallistuvan yhteisön on toimitettava ja milloin, jotta voidaan osoittaa, että ehdokas/tarjoaja täyttää valintaperusteet.</w:t>
      </w:r>
    </w:p>
    <w:p w14:paraId="1699FA0D" w14:textId="0C53EE83" w:rsidR="00F04B97" w:rsidRPr="00A64C2E" w:rsidRDefault="00F04B97" w:rsidP="00897E28">
      <w:pPr>
        <w:spacing w:before="100" w:beforeAutospacing="1" w:after="100" w:afterAutospacing="1"/>
        <w:jc w:val="both"/>
        <w:rPr>
          <w:noProof/>
        </w:rPr>
      </w:pPr>
      <w:r>
        <w:t xml:space="preserve">Jos todisteita ei tarvitse toimittaa yhtä aikaa osallistumishakemuksen/tarjouksen kanssa, toimijaa kehotetaan hankkimaan todisteisiin liittyvät asiakirjat etukäteen, sillä hankintaviranomainen saattaa pyytää niitä lyhyellä määräajalla. </w:t>
      </w:r>
    </w:p>
    <w:p w14:paraId="1279E35F" w14:textId="2584B0D8" w:rsidR="0073022B" w:rsidRDefault="0073022B" w:rsidP="0073022B">
      <w:pPr>
        <w:spacing w:before="100" w:beforeAutospacing="1" w:after="100" w:afterAutospacing="1"/>
        <w:jc w:val="both"/>
      </w:pPr>
      <w:r>
        <w:t>Toimija ei ole velvollinen toimittamaan todisteita, jos ne on jo toimitettu saman hankintaviranomaisen</w:t>
      </w:r>
      <w:r>
        <w:rPr>
          <w:rStyle w:val="FootnoteReference"/>
        </w:rPr>
        <w:footnoteReference w:id="6"/>
      </w:r>
      <w:r>
        <w:t xml:space="preserve"> käynnistämän toisen hankintamenettelyn yhteydessä ja ovat edelleen ajantasaisia.</w:t>
      </w:r>
    </w:p>
    <w:p w14:paraId="0FBE3FFA" w14:textId="51DD42D5" w:rsidR="00F04B97" w:rsidRDefault="00F04B97" w:rsidP="00897E28">
      <w:pPr>
        <w:spacing w:before="100" w:beforeAutospacing="1" w:after="100" w:afterAutospacing="1"/>
        <w:jc w:val="both"/>
      </w:pPr>
      <w:r>
        <w:t xml:space="preserve">Allekirjoittanut vakuuttaa, että toimija on jo toimittanut asiakirjatodisteet aikaisemman menettelyn yhteydessä, ja vahvistaa, ettei toimijan tilanteessa ole tapahtunut muutosta: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Asiakirja</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Täydellinen viittaus aiempaan menettelyyn</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Lisätään tarvittava määrä rivejä.</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Toimijan ei tarvitse toimittaa todisteita, jos ne ovat saatavilla maksutta kansallisessa tietokannassa. </w:t>
      </w:r>
    </w:p>
    <w:p w14:paraId="03A26509" w14:textId="77777777" w:rsidR="008B35EE" w:rsidRDefault="008B35EE" w:rsidP="00897E28">
      <w:pPr>
        <w:spacing w:before="100" w:beforeAutospacing="1" w:after="100" w:afterAutospacing="1"/>
        <w:jc w:val="both"/>
      </w:pPr>
      <w:r>
        <w:t>Allekirjoittaja vakuuttaa, että vaaditut todisteet ovat käytettävissä seuraavassa tietokannan internetosoitteessa / seuraavilla asiakirjan tunnistetiedoilla.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Tietokannan internetosoite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Asiakirjan tunnistetiedot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Lisätään tarvittava määrä rivejä.</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Kunnian ja omantunnon kautta annettu vakuutus vahvistetusta velasta unionille </w:t>
      </w:r>
    </w:p>
    <w:p w14:paraId="1DCBB562" w14:textId="1FD6980A" w:rsidR="006B2B45" w:rsidRPr="006B0A89" w:rsidRDefault="0013073C" w:rsidP="6FB7994E">
      <w:pPr>
        <w:spacing w:before="120" w:after="120"/>
        <w:jc w:val="both"/>
        <w:rPr>
          <w:b/>
          <w:bCs/>
          <w:i/>
          <w:iCs/>
          <w:noProof/>
        </w:rPr>
      </w:pPr>
      <w:r>
        <w:rPr>
          <w:b/>
          <w:i/>
        </w:rPr>
        <w:t>(</w:t>
      </w:r>
      <w:r w:rsidR="00283753">
        <w:rPr>
          <w:b/>
          <w:i/>
        </w:rPr>
        <w:t xml:space="preserve">Kunkin </w:t>
      </w:r>
      <w:r>
        <w:rPr>
          <w:b/>
          <w:i/>
        </w:rPr>
        <w:t>yksittäi</w:t>
      </w:r>
      <w:r w:rsidR="00283753">
        <w:rPr>
          <w:b/>
          <w:i/>
        </w:rPr>
        <w:t>s</w:t>
      </w:r>
      <w:r>
        <w:rPr>
          <w:b/>
          <w:i/>
        </w:rPr>
        <w:t>en ehdok</w:t>
      </w:r>
      <w:r w:rsidR="00283753">
        <w:rPr>
          <w:b/>
          <w:i/>
        </w:rPr>
        <w:t>kaan</w:t>
      </w:r>
      <w:r>
        <w:rPr>
          <w:b/>
          <w:i/>
        </w:rPr>
        <w:t>/tarjoaja</w:t>
      </w:r>
      <w:r w:rsidR="00283753">
        <w:rPr>
          <w:b/>
          <w:i/>
        </w:rPr>
        <w:t>n</w:t>
      </w:r>
      <w:r>
        <w:rPr>
          <w:b/>
          <w:i/>
        </w:rPr>
        <w:t xml:space="preserve"> tai yhteisen osallistumishakemuksen/tarjouksen tapauksessa ryhmän ku</w:t>
      </w:r>
      <w:r w:rsidR="00283753">
        <w:rPr>
          <w:b/>
          <w:i/>
        </w:rPr>
        <w:t>n</w:t>
      </w:r>
      <w:r>
        <w:rPr>
          <w:b/>
          <w:i/>
        </w:rPr>
        <w:t>kin jäsen</w:t>
      </w:r>
      <w:r w:rsidR="00283753">
        <w:rPr>
          <w:b/>
          <w:i/>
        </w:rPr>
        <w:t>en on</w:t>
      </w:r>
      <w:r>
        <w:rPr>
          <w:b/>
          <w:i/>
        </w:rPr>
        <w:t xml:space="preserve"> täyt</w:t>
      </w:r>
      <w:r w:rsidR="00283753">
        <w:rPr>
          <w:b/>
          <w:i/>
        </w:rPr>
        <w:t>e</w:t>
      </w:r>
      <w:r>
        <w:rPr>
          <w:b/>
          <w:i/>
        </w:rPr>
        <w:t>t</w:t>
      </w:r>
      <w:r w:rsidR="00283753">
        <w:rPr>
          <w:b/>
          <w:i/>
        </w:rPr>
        <w:t>t</w:t>
      </w:r>
      <w:r>
        <w:rPr>
          <w:b/>
          <w:i/>
        </w:rPr>
        <w:t>ä</w:t>
      </w:r>
      <w:r w:rsidR="00283753">
        <w:rPr>
          <w:b/>
          <w:i/>
        </w:rPr>
        <w:t>v</w:t>
      </w:r>
      <w:r>
        <w:rPr>
          <w:b/>
          <w:i/>
        </w:rPr>
        <w:t>ä</w:t>
      </w:r>
      <w:r w:rsidR="00283753">
        <w:rPr>
          <w:b/>
          <w:i/>
        </w:rPr>
        <w:t xml:space="preserve"> tämä kohta.</w:t>
      </w:r>
      <w:r>
        <w:rPr>
          <w:b/>
          <w:i/>
        </w:rPr>
        <w:t>)</w:t>
      </w:r>
    </w:p>
    <w:p w14:paraId="5915DC59" w14:textId="752F5BD7" w:rsidR="00EE7E2B" w:rsidRDefault="00EE7E2B" w:rsidP="00EE7E2B">
      <w:pPr>
        <w:jc w:val="both"/>
        <w:rPr>
          <w:noProof/>
        </w:rPr>
      </w:pPr>
      <w:r>
        <w:t>Toimija, joka on yksittäinen ehdokas/ yksittäinen tarjoaja / ryhmän jäsen, kun on kyse yhteisestä osallistumishakemuksesta/tarjouksesta, ja joka toimittaa osallistumishakemuksen/tarjouksen edellä mainittua menettelyä varten,</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7"/>
        <w:gridCol w:w="1030"/>
        <w:gridCol w:w="985"/>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vakuuttaa, että</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KYLLÄ</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EI</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27B32816" w:rsidR="006B2B45" w:rsidRPr="006B0A89" w:rsidRDefault="005D6868" w:rsidP="003F19C9">
            <w:pPr>
              <w:pStyle w:val="Text1"/>
              <w:spacing w:before="40" w:after="40"/>
              <w:ind w:left="0"/>
              <w:rPr>
                <w:noProof/>
              </w:rPr>
            </w:pPr>
            <w:r>
              <w:t>a</w:t>
            </w:r>
            <w:r w:rsidR="00EE7E2B">
              <w:t>) toimijalla on vahvistettu velka unionille, Euroopan atomienergiayhteisölle tai toimeenpanovirastolle viimeksi mainitun toteuttaessa unionin talousarviota.</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lastRenderedPageBreak/>
        <w:t xml:space="preserve">Tehtyä tarjousta koskeva kunnian ja omantunnon kautta annettu vakuutus </w:t>
      </w:r>
    </w:p>
    <w:p w14:paraId="7D66B10A" w14:textId="14D95535" w:rsidR="00765179" w:rsidRPr="000C6B51" w:rsidRDefault="00765179" w:rsidP="570F7154">
      <w:pPr>
        <w:spacing w:beforeAutospacing="1" w:afterAutospacing="1"/>
        <w:jc w:val="both"/>
        <w:rPr>
          <w:b/>
          <w:bCs/>
          <w:i/>
          <w:iCs/>
          <w:noProof/>
        </w:rPr>
      </w:pPr>
      <w:r>
        <w:rPr>
          <w:b/>
          <w:i/>
        </w:rPr>
        <w:t>(</w:t>
      </w:r>
      <w:r w:rsidR="006C0BB8">
        <w:rPr>
          <w:b/>
          <w:i/>
        </w:rPr>
        <w:t xml:space="preserve">Kunkin </w:t>
      </w:r>
      <w:r>
        <w:rPr>
          <w:b/>
          <w:i/>
        </w:rPr>
        <w:t>yksittäi</w:t>
      </w:r>
      <w:r w:rsidR="006C0BB8">
        <w:rPr>
          <w:b/>
          <w:i/>
        </w:rPr>
        <w:t>s</w:t>
      </w:r>
      <w:r>
        <w:rPr>
          <w:b/>
          <w:i/>
        </w:rPr>
        <w:t>en ehdok</w:t>
      </w:r>
      <w:r w:rsidR="006C0BB8">
        <w:rPr>
          <w:b/>
          <w:i/>
        </w:rPr>
        <w:t>kaan</w:t>
      </w:r>
      <w:r>
        <w:rPr>
          <w:b/>
          <w:i/>
        </w:rPr>
        <w:t>/tarjoaja</w:t>
      </w:r>
      <w:r w:rsidR="006C0BB8">
        <w:rPr>
          <w:b/>
          <w:i/>
        </w:rPr>
        <w:t>n</w:t>
      </w:r>
      <w:r>
        <w:rPr>
          <w:b/>
          <w:i/>
        </w:rPr>
        <w:t xml:space="preserve"> tai yhteisen osallistumishakemuksen/tarjouksen tapauksessa ryhmän johtaja</w:t>
      </w:r>
      <w:r w:rsidR="006C0BB8">
        <w:rPr>
          <w:b/>
          <w:i/>
        </w:rPr>
        <w:t>n on</w:t>
      </w:r>
      <w:r>
        <w:rPr>
          <w:b/>
          <w:i/>
        </w:rPr>
        <w:t xml:space="preserve"> täyt</w:t>
      </w:r>
      <w:r w:rsidR="006C0BB8">
        <w:rPr>
          <w:b/>
          <w:i/>
        </w:rPr>
        <w:t>e</w:t>
      </w:r>
      <w:r>
        <w:rPr>
          <w:b/>
          <w:i/>
        </w:rPr>
        <w:t>t</w:t>
      </w:r>
      <w:r w:rsidR="006C0BB8">
        <w:rPr>
          <w:b/>
          <w:i/>
        </w:rPr>
        <w:t>t</w:t>
      </w:r>
      <w:r>
        <w:rPr>
          <w:b/>
          <w:i/>
        </w:rPr>
        <w:t>ä</w:t>
      </w:r>
      <w:r w:rsidR="006C0BB8">
        <w:rPr>
          <w:b/>
          <w:i/>
        </w:rPr>
        <w:t>v</w:t>
      </w:r>
      <w:r>
        <w:rPr>
          <w:b/>
          <w:i/>
        </w:rPr>
        <w:t>ä</w:t>
      </w:r>
      <w:r w:rsidR="006C0BB8">
        <w:rPr>
          <w:b/>
          <w:i/>
        </w:rPr>
        <w:t xml:space="preserve"> tämä kohta.</w:t>
      </w:r>
      <w:r>
        <w:rPr>
          <w:b/>
          <w:i/>
        </w:rPr>
        <w:t>)</w:t>
      </w:r>
    </w:p>
    <w:p w14:paraId="44652C08" w14:textId="3F669C66" w:rsidR="743C92D7" w:rsidRDefault="743C92D7" w:rsidP="570F7154">
      <w:pPr>
        <w:spacing w:beforeAutospacing="1" w:afterAutospacing="1"/>
        <w:jc w:val="both"/>
      </w:pPr>
      <w:r>
        <w:t>Jos menettely on jaettu eriin, D-osan lausumat koskevat sitä erää (niitä eriä), jonka (joiden) osalta osallistumishakemus/tarjous on toimitettu.</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2"/>
        <w:gridCol w:w="1030"/>
        <w:gridCol w:w="744"/>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vakuuttaa, että toimija</w:t>
            </w:r>
          </w:p>
        </w:tc>
        <w:tc>
          <w:tcPr>
            <w:tcW w:w="670" w:type="dxa"/>
            <w:shd w:val="clear" w:color="auto" w:fill="auto"/>
          </w:tcPr>
          <w:p w14:paraId="59250AC2" w14:textId="77777777" w:rsidR="000F6EA2" w:rsidRDefault="000F6EA2" w:rsidP="00C54FCE">
            <w:pPr>
              <w:spacing w:before="240" w:after="120"/>
              <w:jc w:val="center"/>
              <w:rPr>
                <w:noProof/>
              </w:rPr>
            </w:pPr>
            <w:r>
              <w:t>KYLLÄ</w:t>
            </w:r>
          </w:p>
        </w:tc>
        <w:tc>
          <w:tcPr>
            <w:tcW w:w="759" w:type="dxa"/>
            <w:shd w:val="clear" w:color="auto" w:fill="auto"/>
          </w:tcPr>
          <w:p w14:paraId="7D1AA4B7" w14:textId="77777777" w:rsidR="000F6EA2" w:rsidRDefault="000F6EA2" w:rsidP="00C54FCE">
            <w:pPr>
              <w:spacing w:before="240" w:after="120"/>
              <w:jc w:val="center"/>
              <w:rPr>
                <w:noProof/>
              </w:rPr>
            </w:pPr>
            <w:r>
              <w:t>EI</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a) </w:t>
            </w:r>
            <w:r>
              <w:rPr>
                <w:rFonts w:ascii="Arial" w:hAnsi="Arial"/>
              </w:rPr>
              <w:t>[</w:t>
            </w:r>
            <w:r>
              <w:t>on valmistellut jätetyn tarjouksen</w:t>
            </w:r>
            <w:r>
              <w:rPr>
                <w:rFonts w:ascii="Arial" w:hAnsi="Arial"/>
              </w:rPr>
              <w:t>]</w:t>
            </w:r>
            <w:r>
              <w:t xml:space="preserve"> </w:t>
            </w:r>
            <w:r>
              <w:rPr>
                <w:rFonts w:ascii="Arial" w:hAnsi="Arial"/>
              </w:rPr>
              <w:t>[</w:t>
            </w:r>
            <w:r>
              <w:t>sitoutuu valmistelemaan tarjouksen (jos sitä pyydetään tekemään tarjous)</w:t>
            </w:r>
            <w:r>
              <w:rPr>
                <w:rFonts w:ascii="Arial" w:hAnsi="Arial"/>
              </w:rPr>
              <w:t>]</w:t>
            </w:r>
            <w:r>
              <w:t xml:space="preserve"> täysin riippumattomasti ja itsenäisesti muista samassa hankintamenettelyssä tehdyistä tarjouksista.</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B531A6">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Toimijan on viipymättä ilmoitettava hankintaviranomaiselle ilmoitetuissa tilanteissa tapahtuneista muutoksista.</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Toimija voidaan hylätä tässä menettelyssä ja toimijaan voidaan soveltaa hallinnollisia seuraamuksia (poissulkeminen tai taloudellinen seuraamus), jos jokin tähän menettelyyn osallistumiseksi annettu vakuutus tai tieto osoittautuu vääräksi.</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Täydellinen nimi:</w:t>
      </w:r>
      <w:r>
        <w:tab/>
      </w:r>
    </w:p>
    <w:p w14:paraId="4F5C3CA0" w14:textId="4ADE4B77" w:rsidR="00522736" w:rsidRDefault="00DA410F" w:rsidP="004A4B4A">
      <w:pPr>
        <w:tabs>
          <w:tab w:val="left" w:pos="4395"/>
          <w:tab w:val="left" w:pos="7797"/>
        </w:tabs>
        <w:spacing w:before="40" w:after="40"/>
        <w:jc w:val="both"/>
        <w:rPr>
          <w:noProof/>
        </w:rPr>
      </w:pPr>
      <w:r>
        <w:t>Päiväys:</w:t>
      </w:r>
      <w:r>
        <w:tab/>
      </w:r>
    </w:p>
    <w:p w14:paraId="16F448F0" w14:textId="42F52720" w:rsidR="00DA410F" w:rsidRPr="00F76ABA" w:rsidRDefault="00DA410F" w:rsidP="004A4B4A">
      <w:pPr>
        <w:tabs>
          <w:tab w:val="left" w:pos="4395"/>
          <w:tab w:val="left" w:pos="7797"/>
        </w:tabs>
        <w:spacing w:before="40" w:after="40"/>
        <w:jc w:val="both"/>
        <w:rPr>
          <w:noProof/>
        </w:rPr>
      </w:pPr>
      <w:r>
        <w:t>Allekirjoitus:</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Vakuutus on allekirjoitettava seuraavasti:</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Sähköinen allekirjoitus (suositeltava vaihtoehto):</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Jos teillä on mahdollisuus allekirjoittaa vakuutus käyttämällä hyväksyttyä sähköistä allekirjoitusta, pyydämme, että valtuutettu edustajanne allekirjoittaa (valtuutetut edustajanne allekirjoittavat) vakuutuksen sähköisesti. Ainoastaan asetuksessa (EU) N:o 910/2014 (eIDAS-asetus) tarkoitettu hyväksytty sähköinen allekirjoitus hyväksytään.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Pyydämme tarkistamaan allekirjoituksen sekä varmenteen voimassaolon ennen sähköisesti allekirjoitetun asiakirjan palauttamista jollakin seuraavista välineistä:</w:t>
      </w:r>
    </w:p>
    <w:p w14:paraId="51E4A90D" w14:textId="77777777" w:rsidR="00454D84" w:rsidRPr="002870DB" w:rsidRDefault="00454D84">
      <w:pPr>
        <w:pStyle w:val="ListParagraph"/>
        <w:numPr>
          <w:ilvl w:val="0"/>
          <w:numId w:val="32"/>
        </w:numPr>
        <w:rPr>
          <w:i/>
          <w:iCs/>
          <w:highlight w:val="lightGray"/>
        </w:rPr>
      </w:pPr>
      <w:r>
        <w:rPr>
          <w:i/>
          <w:highlight w:val="lightGray"/>
        </w:rPr>
        <w:t xml:space="preserve">Varmenteen voimassaolon tarkistamiseen voi käyttää osoitteessa </w:t>
      </w:r>
      <w:hyperlink r:id="rId12" w:history="1">
        <w:r>
          <w:rPr>
            <w:highlight w:val="lightGray"/>
          </w:rPr>
          <w:t xml:space="preserve">https://ec.europa.eu/cefdigital/DSS/webapp-demo/validation </w:t>
        </w:r>
      </w:hyperlink>
      <w:r>
        <w:rPr>
          <w:i/>
          <w:highlight w:val="lightGray"/>
        </w:rPr>
        <w:t>saatavilla olevaa DSS Demonstration -validointityökalua, joka ilmoittaa hyväksyttävien allekirjoitusten lukumäärän ja tyypin asiakirjassa.</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EU:n luotetusta luettelosta (EU Trusted List Browser) voi tarkistaa, ovatko sähköisen allekirjoituksen tarjoaja ja sen tarjoama luottamuspalvelu kyseisessä luettelossa: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Varmistaaksenne, että käytätte eIDAS-asetuksen mukaista hyväksyttyä sähköistä allekirjoitusta, tarkistakaa, että sekä palveluntarjoaja että hyväksytty varmennepalvelu sisältyvät EU:n luotettavaan luetteloon.</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Käsinkirjoitettu allekirjoitus:</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Jos teillä ei ole mahdollisuutta allekirjoittaa vakuutusta käyttämällä hyväksyttyä sähköistä allekirjoitusta, pyydämme teitä täyttämään vakuutuksen sähköisesti ja sen jälkeen tulostamaan sen ja antamaan sen valtuutetulle edustajallenne (valtuutetuille edustajillenne) käsin allekirjoitettavaksi ja päivättäväksi.</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954D1F" w:rsidRDefault="00954D1F">
      <w:r>
        <w:separator/>
      </w:r>
    </w:p>
  </w:endnote>
  <w:endnote w:type="continuationSeparator" w:id="0">
    <w:p w14:paraId="6E938B31" w14:textId="77777777" w:rsidR="00954D1F" w:rsidRDefault="00954D1F">
      <w:r>
        <w:continuationSeparator/>
      </w:r>
    </w:p>
  </w:endnote>
  <w:endnote w:type="continuationNotice" w:id="1">
    <w:p w14:paraId="6ACA152D" w14:textId="77777777" w:rsidR="00954D1F" w:rsidRDefault="00954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F3E9130" w:rsidR="00954D1F" w:rsidRDefault="00954D1F" w:rsidP="00370A7F">
            <w:pPr>
              <w:pStyle w:val="Footer"/>
              <w:jc w:val="center"/>
            </w:pPr>
            <w:r>
              <w:rPr>
                <w:sz w:val="20"/>
              </w:rPr>
              <w:t xml:space="preserve">Sivu </w:t>
            </w:r>
            <w:r>
              <w:rPr>
                <w:sz w:val="20"/>
              </w:rPr>
              <w:fldChar w:fldCharType="begin"/>
            </w:r>
            <w:r>
              <w:rPr>
                <w:sz w:val="20"/>
              </w:rPr>
              <w:instrText xml:space="preserve"> PAGE </w:instrText>
            </w:r>
            <w:r>
              <w:rPr>
                <w:sz w:val="20"/>
              </w:rPr>
              <w:fldChar w:fldCharType="separate"/>
            </w:r>
            <w:r w:rsidR="005D6868">
              <w:rPr>
                <w:noProof/>
                <w:sz w:val="20"/>
              </w:rPr>
              <w:t>9</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5D6868">
              <w:rPr>
                <w:noProof/>
                <w:sz w:val="20"/>
              </w:rPr>
              <w:t>10</w:t>
            </w:r>
            <w:r>
              <w:rPr>
                <w:sz w:val="20"/>
              </w:rPr>
              <w:fldChar w:fldCharType="end"/>
            </w:r>
          </w:p>
        </w:sdtContent>
      </w:sdt>
    </w:sdtContent>
  </w:sdt>
  <w:p w14:paraId="65B8CF84" w14:textId="77777777" w:rsidR="00954D1F" w:rsidRDefault="00954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954D1F" w:rsidRPr="00D6012C" w:rsidRDefault="00954D1F">
    <w:pPr>
      <w:pStyle w:val="Footer"/>
      <w:jc w:val="right"/>
      <w:rPr>
        <w:sz w:val="20"/>
        <w:szCs w:val="20"/>
      </w:rPr>
    </w:pPr>
  </w:p>
  <w:p w14:paraId="247F4E4D" w14:textId="77777777" w:rsidR="00954D1F" w:rsidRDefault="00954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954D1F" w:rsidRDefault="00954D1F">
      <w:r>
        <w:separator/>
      </w:r>
    </w:p>
  </w:footnote>
  <w:footnote w:type="continuationSeparator" w:id="0">
    <w:p w14:paraId="26DD29FA" w14:textId="77777777" w:rsidR="00954D1F" w:rsidRDefault="00954D1F">
      <w:r>
        <w:continuationSeparator/>
      </w:r>
    </w:p>
  </w:footnote>
  <w:footnote w:type="continuationNotice" w:id="1">
    <w:p w14:paraId="51915B9B" w14:textId="77777777" w:rsidR="00954D1F" w:rsidRDefault="00954D1F"/>
  </w:footnote>
  <w:footnote w:id="2">
    <w:p w14:paraId="61539AC3" w14:textId="46EF5ACC" w:rsidR="00954D1F" w:rsidRPr="009857B0" w:rsidRDefault="00954D1F">
      <w:pPr>
        <w:pStyle w:val="FootnoteText"/>
      </w:pPr>
      <w:r>
        <w:rPr>
          <w:rStyle w:val="FootnoteReference"/>
        </w:rPr>
        <w:footnoteRef/>
      </w:r>
      <w:r>
        <w:t xml:space="preserve"> Sama EU:n toimielin, virasto, elin tai toimisto. </w:t>
      </w:r>
    </w:p>
  </w:footnote>
  <w:footnote w:id="3">
    <w:p w14:paraId="77A259E1" w14:textId="37F9C71D" w:rsidR="00954D1F" w:rsidRPr="00B74CFF" w:rsidRDefault="00954D1F" w:rsidP="004C0A40">
      <w:pPr>
        <w:rPr>
          <w:spacing w:val="-3"/>
          <w:sz w:val="20"/>
          <w:szCs w:val="20"/>
        </w:rPr>
      </w:pPr>
      <w:r>
        <w:rPr>
          <w:rStyle w:val="FootnoteReference"/>
          <w:sz w:val="20"/>
          <w:szCs w:val="20"/>
        </w:rPr>
        <w:footnoteRef/>
      </w:r>
      <w:r>
        <w:rPr>
          <w:b/>
          <w:sz w:val="20"/>
        </w:rPr>
        <w:t>’Osallistuvalla yhteisöllä’</w:t>
      </w:r>
      <w:r>
        <w:rPr>
          <w:sz w:val="20"/>
        </w:rPr>
        <w:t xml:space="preserve"> tarkoitetaan kaikkia talouden toimijoita, jotka ovat mukana osallistumishakemuksessa/tarjouksessa. Niitä ovat seuraavat neljä talouden toimijoiden ryhmää:</w:t>
      </w:r>
    </w:p>
    <w:p w14:paraId="2A5F011B" w14:textId="797285D5" w:rsidR="00954D1F" w:rsidRPr="00B74CFF" w:rsidRDefault="00954D1F" w:rsidP="004C0A40">
      <w:pPr>
        <w:pStyle w:val="ListParagraph"/>
        <w:numPr>
          <w:ilvl w:val="0"/>
          <w:numId w:val="52"/>
        </w:numPr>
        <w:contextualSpacing w:val="0"/>
        <w:jc w:val="both"/>
        <w:rPr>
          <w:spacing w:val="-3"/>
          <w:sz w:val="20"/>
          <w:szCs w:val="20"/>
        </w:rPr>
      </w:pPr>
      <w:r>
        <w:rPr>
          <w:sz w:val="20"/>
        </w:rPr>
        <w:t xml:space="preserve">yksittäinen ehdokas/tarjoaja, </w:t>
      </w:r>
    </w:p>
    <w:p w14:paraId="19BA1FBC" w14:textId="0458761C" w:rsidR="00954D1F" w:rsidRPr="00B74CFF" w:rsidRDefault="00954D1F"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ryhmän jäsenet (myös ryhmän johtaja), jos kyseessä on yhteinen osallistumishakemus/tarjous, </w:t>
      </w:r>
    </w:p>
    <w:p w14:paraId="1460283F" w14:textId="114CC700" w:rsidR="00954D1F" w:rsidRPr="00B74CFF" w:rsidRDefault="00954D1F" w:rsidP="004C0A40">
      <w:pPr>
        <w:pStyle w:val="ListParagraph"/>
        <w:numPr>
          <w:ilvl w:val="0"/>
          <w:numId w:val="52"/>
        </w:numPr>
        <w:contextualSpacing w:val="0"/>
        <w:jc w:val="both"/>
        <w:rPr>
          <w:spacing w:val="-3"/>
          <w:sz w:val="20"/>
          <w:szCs w:val="20"/>
        </w:rPr>
      </w:pPr>
      <w:r>
        <w:rPr>
          <w:sz w:val="20"/>
        </w:rPr>
        <w:t xml:space="preserve">yksilöidyt alihankkijat ja </w:t>
      </w:r>
    </w:p>
    <w:p w14:paraId="47F4AE29" w14:textId="50B7CA17" w:rsidR="00954D1F" w:rsidRPr="00B74CFF" w:rsidRDefault="00954D1F" w:rsidP="004C0A40">
      <w:pPr>
        <w:pStyle w:val="ListParagraph"/>
        <w:numPr>
          <w:ilvl w:val="0"/>
          <w:numId w:val="52"/>
        </w:numPr>
        <w:contextualSpacing w:val="0"/>
        <w:jc w:val="both"/>
        <w:rPr>
          <w:spacing w:val="-3"/>
          <w:sz w:val="20"/>
          <w:szCs w:val="20"/>
        </w:rPr>
      </w:pPr>
      <w:r>
        <w:rPr>
          <w:sz w:val="20"/>
        </w:rPr>
        <w:t>muut yhteisöt (jotka eivät ole alihankkijoita), joiden valmiuksia ehdokas/tarjoaja hyödyntää voidakseen täyttää valintaperusteet.</w:t>
      </w:r>
    </w:p>
    <w:p w14:paraId="5BE9C146" w14:textId="10CA3A5B" w:rsidR="00954D1F" w:rsidRPr="00954D1F" w:rsidRDefault="00954D1F" w:rsidP="004C0A40">
      <w:pPr>
        <w:pStyle w:val="FootnoteText"/>
        <w:ind w:left="0" w:firstLine="0"/>
      </w:pPr>
    </w:p>
  </w:footnote>
  <w:footnote w:id="4">
    <w:p w14:paraId="60E27032" w14:textId="05EBE0E1" w:rsidR="00954D1F" w:rsidRPr="00295BCF" w:rsidRDefault="00954D1F" w:rsidP="00295BCF">
      <w:pPr>
        <w:pStyle w:val="FootnoteText"/>
        <w:ind w:left="0" w:firstLine="0"/>
      </w:pPr>
      <w:r>
        <w:rPr>
          <w:rStyle w:val="FootnoteReference"/>
        </w:rPr>
        <w:footnoteRef/>
      </w:r>
      <w:r>
        <w:t xml:space="preserve"> Tämä 2 kohdan mukainen vakuutus on vapaaehtoinen, eikä sillä voi olla kielteisiä oikeusvaikutuksia talouden toimijaan ennen kuin varainhoitoasetuksen 141 artiklan 1 kohdan a alakohdassa asetetut edellytykset täyttyvät.</w:t>
      </w:r>
    </w:p>
  </w:footnote>
  <w:footnote w:id="5">
    <w:p w14:paraId="79038C83" w14:textId="46E5ADA1" w:rsidR="00954D1F" w:rsidRPr="00EA6BA4" w:rsidRDefault="00954D1F">
      <w:pPr>
        <w:pStyle w:val="FootnoteText"/>
      </w:pPr>
      <w:r>
        <w:rPr>
          <w:rStyle w:val="FootnoteReference"/>
        </w:rPr>
        <w:footnoteRef/>
      </w:r>
      <w:r>
        <w:t xml:space="preserve"> Sama EU:n toimielin, virasto, elin tai toimisto.</w:t>
      </w:r>
    </w:p>
  </w:footnote>
  <w:footnote w:id="6">
    <w:p w14:paraId="691476B8" w14:textId="175A7801" w:rsidR="00954D1F" w:rsidRPr="00EA6BA4" w:rsidRDefault="00954D1F" w:rsidP="0073022B">
      <w:pPr>
        <w:pStyle w:val="FootnoteText"/>
      </w:pPr>
      <w:r>
        <w:rPr>
          <w:rStyle w:val="FootnoteReference"/>
        </w:rPr>
        <w:footnoteRef/>
      </w:r>
      <w:r>
        <w:t xml:space="preserve"> Sama EU:n toimielin, virasto, elin tai toimisto.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954D1F" w:rsidRDefault="00954D1F" w:rsidP="001D72E4">
    <w:pPr>
      <w:pStyle w:val="Header"/>
      <w:jc w:val="right"/>
      <w:rPr>
        <w:sz w:val="20"/>
        <w:szCs w:val="20"/>
      </w:rPr>
    </w:pPr>
    <w:r>
      <w:rPr>
        <w:sz w:val="20"/>
      </w:rPr>
      <w:t>Versio: heinäkuu 2022</w:t>
    </w:r>
  </w:p>
  <w:p w14:paraId="42189F54" w14:textId="77777777" w:rsidR="00954D1F" w:rsidRDefault="00954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954D1F" w:rsidRPr="00370A7F" w:rsidRDefault="00954D1F">
    <w:pPr>
      <w:pStyle w:val="Header"/>
      <w:jc w:val="right"/>
      <w:rPr>
        <w:sz w:val="20"/>
        <w:szCs w:val="20"/>
      </w:rPr>
    </w:pPr>
    <w:r>
      <w:rPr>
        <w:sz w:val="20"/>
      </w:rPr>
      <w:t>Versio: heinäkuu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7B7EFE0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AC442E0E"/>
    <w:lvl w:ilvl="0" w:tplc="04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7A6E3F2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FCC80DCE"/>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2F089FAA"/>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91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4220D"/>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3753"/>
    <w:rsid w:val="002870DB"/>
    <w:rsid w:val="00292B05"/>
    <w:rsid w:val="002938BC"/>
    <w:rsid w:val="00293915"/>
    <w:rsid w:val="00295526"/>
    <w:rsid w:val="00295BCF"/>
    <w:rsid w:val="00295EA5"/>
    <w:rsid w:val="002966E6"/>
    <w:rsid w:val="002A09B7"/>
    <w:rsid w:val="002A328B"/>
    <w:rsid w:val="002A62A7"/>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0722E"/>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D6868"/>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0BB8"/>
    <w:rsid w:val="006C5B50"/>
    <w:rsid w:val="006C5DA3"/>
    <w:rsid w:val="006C6DFD"/>
    <w:rsid w:val="006C769B"/>
    <w:rsid w:val="006D6FF6"/>
    <w:rsid w:val="006E054A"/>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D1F"/>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31A6"/>
    <w:rsid w:val="00B55029"/>
    <w:rsid w:val="00B65D2E"/>
    <w:rsid w:val="00B678E6"/>
    <w:rsid w:val="00B7482B"/>
    <w:rsid w:val="00B7486B"/>
    <w:rsid w:val="00B74CFF"/>
    <w:rsid w:val="00B74E92"/>
    <w:rsid w:val="00B83860"/>
    <w:rsid w:val="00B84C49"/>
    <w:rsid w:val="00B86695"/>
    <w:rsid w:val="00B87110"/>
    <w:rsid w:val="00B953D3"/>
    <w:rsid w:val="00B95C2F"/>
    <w:rsid w:val="00BA0431"/>
    <w:rsid w:val="00BA0DED"/>
    <w:rsid w:val="00BA2E28"/>
    <w:rsid w:val="00BA61F8"/>
    <w:rsid w:val="00BA7F56"/>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1A52"/>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4020"/>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5B7A"/>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i-FI"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fi-FI"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i-FI"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fi-FI"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i-FI"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EC52B2A1-B68F-4059-9AB7-0D719AA3F285}">
  <ds:schemaRefs>
    <ds:schemaRef ds:uri="http://schemas.openxmlformats.org/officeDocument/2006/bibliography"/>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2220783A-40C2-4522-BD23-4F6ABDD3E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8E283-07B6-4677-B0CA-86BCC92994C6}">
  <ds:schemaRefs>
    <ds:schemaRef ds:uri="http://schemas.microsoft.com/office/2006/documentManagement/types"/>
    <ds:schemaRef ds:uri="b1901b91-65c1-4a2f-841b-cc424925e6d8"/>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 ds:uri="0c251cd7-9b02-4ee5-868f-f820bb07042c"/>
    <ds:schemaRef ds:uri="http://schemas.microsoft.com/sharepoint/v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2533</Words>
  <Characters>20551</Characters>
  <Application>Microsoft Office Word</Application>
  <DocSecurity>4</DocSecurity>
  <Lines>540</Lines>
  <Paragraphs>303</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2022-12-16T11:23:00Z</dcterms:created>
  <dcterms:modified xsi:type="dcterms:W3CDTF">2022-12-16T11:23:00Z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