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Čestné prohlášení týkající se</w:t>
      </w:r>
      <w:r>
        <w:rPr>
          <w:b/>
          <w:sz w:val="28"/>
        </w:rPr>
        <w:br/>
        <w:t>kritérií pro vyloučení a výběr</w:t>
      </w:r>
    </w:p>
    <w:p w14:paraId="1A26E185" w14:textId="206E0B8A" w:rsidR="00702372" w:rsidRPr="00370A7F" w:rsidRDefault="00702372" w:rsidP="00370A7F">
      <w:pPr>
        <w:spacing w:before="100" w:beforeAutospacing="1" w:after="100" w:afterAutospacing="1"/>
        <w:jc w:val="both"/>
        <w:rPr>
          <w:b/>
          <w:bCs/>
        </w:rPr>
      </w:pPr>
      <w:r>
        <w:rPr>
          <w:b/>
        </w:rPr>
        <w:t>Referenční číslo řízení:</w:t>
      </w:r>
    </w:p>
    <w:p w14:paraId="60A66E87" w14:textId="242ECE30" w:rsidR="00702372" w:rsidRPr="00370A7F" w:rsidRDefault="00702372" w:rsidP="7F6CA770">
      <w:pPr>
        <w:spacing w:before="100" w:beforeAutospacing="1" w:after="100" w:afterAutospacing="1"/>
        <w:jc w:val="both"/>
        <w:rPr>
          <w:b/>
          <w:bCs/>
        </w:rPr>
      </w:pPr>
      <w:r>
        <w:rPr>
          <w:b/>
        </w:rPr>
        <w:t>Název řízení:</w:t>
      </w:r>
    </w:p>
    <w:p w14:paraId="03B168D8" w14:textId="3C04CAF4" w:rsidR="00702372" w:rsidRDefault="00702372" w:rsidP="7F6CA770">
      <w:pPr>
        <w:spacing w:beforeAutospacing="1" w:afterAutospacing="1"/>
        <w:jc w:val="both"/>
        <w:rPr>
          <w:i/>
          <w:iCs/>
          <w:noProof/>
          <w:highlight w:val="lightGray"/>
        </w:rPr>
      </w:pPr>
      <w:r>
        <w:rPr>
          <w:i/>
          <w:highlight w:val="lightGray"/>
        </w:rPr>
        <w:t>[Možnost 1 pro právnické osoby]</w:t>
      </w:r>
    </w:p>
    <w:p w14:paraId="11F056D1" w14:textId="45B7275C" w:rsidR="00DA410F" w:rsidRDefault="00DA410F" w:rsidP="7F6CA770">
      <w:pPr>
        <w:jc w:val="both"/>
        <w:rPr>
          <w:noProof/>
        </w:rPr>
      </w:pPr>
      <w:r>
        <w:t>Níže podepsaný/podepsaná [</w:t>
      </w:r>
      <w:r>
        <w:rPr>
          <w:i/>
          <w:highlight w:val="lightGray"/>
        </w:rPr>
        <w:t>jméno a příjmení osoby podepisující tento formulář</w:t>
      </w:r>
      <w:r>
        <w:t>], jednající jménem této právnické osoby:</w:t>
      </w:r>
    </w:p>
    <w:p w14:paraId="629278CB" w14:textId="77777777" w:rsidR="7F6CA770" w:rsidRDefault="7F6CA770"/>
    <w:p w14:paraId="556E93A3" w14:textId="7FA43BB3" w:rsidR="00D17C08" w:rsidRDefault="00D17C08" w:rsidP="7F6CA770">
      <w:pPr>
        <w:rPr>
          <w:b/>
          <w:bCs/>
        </w:rPr>
      </w:pPr>
      <w:r>
        <w:t>Celý oficiální název:</w:t>
      </w:r>
    </w:p>
    <w:p w14:paraId="60A1F64A" w14:textId="32A8BCF0" w:rsidR="00D17C08" w:rsidRDefault="00D17C08">
      <w:r>
        <w:t>Oficiální právní forma</w:t>
      </w:r>
    </w:p>
    <w:p w14:paraId="775FC49B" w14:textId="77777777" w:rsidR="00D17C08" w:rsidRDefault="00D17C08" w:rsidP="7F6CA770">
      <w:pPr>
        <w:rPr>
          <w:b/>
          <w:bCs/>
        </w:rPr>
      </w:pPr>
      <w:r>
        <w:t>Zákonné identifikační číslo</w:t>
      </w:r>
      <w:r>
        <w:rPr>
          <w:b/>
        </w:rPr>
        <w:t xml:space="preserve">: </w:t>
      </w:r>
    </w:p>
    <w:p w14:paraId="3AE2909A" w14:textId="77777777" w:rsidR="00D17C08" w:rsidRDefault="00D17C08" w:rsidP="7F6CA770">
      <w:pPr>
        <w:rPr>
          <w:b/>
          <w:bCs/>
        </w:rPr>
      </w:pPr>
      <w:r>
        <w:t xml:space="preserve">Úplná oficiální adresa: </w:t>
      </w:r>
    </w:p>
    <w:p w14:paraId="69884DE8" w14:textId="77777777" w:rsidR="00D17C08" w:rsidRDefault="00D17C08">
      <w:r>
        <w:t xml:space="preserve">Identifikační číslo pro účely DPH: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dále jen </w:t>
      </w:r>
      <w:r>
        <w:rPr>
          <w:b/>
        </w:rPr>
        <w:t>„osoba“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[Možnost 2 pro fyzické osoby]</w:t>
      </w:r>
    </w:p>
    <w:p w14:paraId="63C4093D" w14:textId="66FB4351" w:rsidR="00D17C08" w:rsidRDefault="00D17C08" w:rsidP="7F6CA770">
      <w:pPr>
        <w:jc w:val="both"/>
        <w:rPr>
          <w:noProof/>
        </w:rPr>
      </w:pPr>
      <w:r>
        <w:t>Níže podepsaný/podepsaná [</w:t>
      </w:r>
      <w:r>
        <w:rPr>
          <w:i/>
          <w:highlight w:val="lightGray"/>
        </w:rPr>
        <w:t>jméno a příjmení osoby podepisující tento formulář</w:t>
      </w:r>
      <w:r>
        <w:t>], OP / cestovní pas číslo [</w:t>
      </w:r>
      <w:r>
        <w:rPr>
          <w:i/>
          <w:highlight w:val="lightGray"/>
        </w:rPr>
        <w:t>číslo</w:t>
      </w:r>
      <w:r>
        <w:t>], jednající vlastním jménem:</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dále jen </w:t>
      </w:r>
      <w:r>
        <w:rPr>
          <w:b/>
        </w:rPr>
        <w:t>„osoba“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Čestné prohlášení o kritériích pro vyloučení</w:t>
      </w:r>
    </w:p>
    <w:p w14:paraId="67F47E4E" w14:textId="637AF68D" w:rsidR="00B74CFF" w:rsidRDefault="007F3628" w:rsidP="00370A7F">
      <w:pPr>
        <w:spacing w:before="100" w:beforeAutospacing="1" w:after="100" w:afterAutospacing="1"/>
        <w:jc w:val="both"/>
      </w:pPr>
      <w:r>
        <w:t>Osoba není povinna vyplňovat tuto část A prohlášení</w:t>
      </w:r>
      <w:r>
        <w:tab/>
        <w:t>(Čestné prohlášení týkající se kritérií pro vyloučení), jestliže již bylo předloženo v rámci jiného zadávacího řízení téhož veřejného zadavatele</w:t>
      </w:r>
      <w:r w:rsidR="009857B0">
        <w:rPr>
          <w:rStyle w:val="FootnoteReference"/>
        </w:rPr>
        <w:footnoteReference w:id="2"/>
      </w:r>
      <w:r>
        <w:t>, za předpokladu, že nedošlo ke změně situace a od data jeho vydání neuplynul více než jeden rok.</w:t>
      </w:r>
    </w:p>
    <w:p w14:paraId="64B20EEE" w14:textId="78AEE0D7" w:rsidR="00AE5C0E" w:rsidRDefault="00AE5C0E" w:rsidP="051D3D6B">
      <w:pPr>
        <w:spacing w:before="100" w:beforeAutospacing="1" w:after="100" w:afterAutospacing="1"/>
        <w:jc w:val="both"/>
      </w:pPr>
      <w:r>
        <w:t xml:space="preserve">V takovém případě níže podepsaná osoba prohlašuje, že totéž prohlášení o kritériích pro vyloučení již bylo předloženo v rámci předchozího řízení, a potvrzuje, že její situace se nijak nezměnila: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Datum prohlášení</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Úplný odkaz na předchozí řízení</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Situace zakládající vyloučení osoby</w:t>
      </w:r>
    </w:p>
    <w:p w14:paraId="368816DB" w14:textId="1E6A9513" w:rsidR="00CD4DDC" w:rsidRPr="00897E28" w:rsidRDefault="00CD4A13" w:rsidP="7F6CA770">
      <w:pPr>
        <w:spacing w:before="120" w:after="120"/>
        <w:ind w:firstLine="1"/>
        <w:jc w:val="both"/>
        <w:rPr>
          <w:b/>
          <w:bCs/>
          <w:i/>
          <w:iCs/>
          <w:noProof/>
        </w:rPr>
      </w:pPr>
      <w:r>
        <w:rPr>
          <w:b/>
          <w:i/>
        </w:rPr>
        <w:lastRenderedPageBreak/>
        <w:t>(vyplní všechny zapojené subjekty</w:t>
      </w:r>
      <w:r w:rsidR="002523BC">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Prohlašuje, že osoba se nachází v některé z následujících situací:</w:t>
            </w:r>
          </w:p>
        </w:tc>
        <w:tc>
          <w:tcPr>
            <w:tcW w:w="930" w:type="dxa"/>
          </w:tcPr>
          <w:p w14:paraId="16F44831" w14:textId="77777777" w:rsidR="00F7691A" w:rsidRDefault="00F7691A" w:rsidP="006B0A89">
            <w:pPr>
              <w:spacing w:before="40" w:after="40"/>
              <w:ind w:left="142"/>
              <w:jc w:val="center"/>
              <w:rPr>
                <w:noProof/>
              </w:rPr>
            </w:pPr>
            <w:r>
              <w:t>ANO</w:t>
            </w:r>
          </w:p>
        </w:tc>
        <w:tc>
          <w:tcPr>
            <w:tcW w:w="825" w:type="dxa"/>
          </w:tcPr>
          <w:p w14:paraId="16F44832" w14:textId="77777777" w:rsidR="00F7691A" w:rsidRDefault="00F7691A" w:rsidP="006B0A89">
            <w:pPr>
              <w:spacing w:before="40" w:after="40"/>
              <w:ind w:left="142"/>
              <w:jc w:val="center"/>
              <w:rPr>
                <w:noProof/>
              </w:rPr>
            </w:pPr>
            <w:r>
              <w:t>NE</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je v úpadku, je předmětem insolvenční řízení nebo se nachází v likvidaci, její majetek spravuje likvidátor nebo soud, má se svými věřiteli dohodu o vyrovnání, její obchodní činnost je pozastavena nebo je ve srovnatelné situaci vyplývající z podobných řízení podle unijních nebo vnitrostátních právních předpisů;</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bylo vydáno pravomocné soudní nebo konečné správní rozhodnutí, které konstatuje, že osoba porušila své povinnosti týkající se placení daní nebo příspěvků na sociální zabezpečení podle platných právních předpisů;</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bylo vydáno pravomocné soudní nebo konečné správní rozhodnutí, podle něhož se dopustila vážného profesního pochybení tím, že porušila platné právní předpisy či etické zásady platné v oboru, v němž působí, případně tím, že se dopustila protiprávního jednání, jež má dopad na její profesní důvěryhodnost, pokud takové jednání vykazuje známky úmyslu nebo hrubé nedbalosti, zejména, nikoliv však výlučně, následujícího jednání:</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úmyslného či nedbalostního zkreslování informací nezbytných k ověření neexistence důvodů pro vyloučení nebo k ověření splnění kritérií způsobilosti či kritérií pro výběr anebo při plnění právního závazku;</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proofErr w:type="spellStart"/>
            <w:r>
              <w:rPr>
                <w:color w:val="000000"/>
              </w:rPr>
              <w:t>ii</w:t>
            </w:r>
            <w:proofErr w:type="spellEnd"/>
            <w:r>
              <w:rPr>
                <w:color w:val="000000"/>
              </w:rPr>
              <w:t>) uzavření dohody s jinými osobami nebo subjekty s cílem narušit hospodářskou soutěž;</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proofErr w:type="spellStart"/>
            <w:r>
              <w:rPr>
                <w:color w:val="000000"/>
              </w:rPr>
              <w:t>iii</w:t>
            </w:r>
            <w:proofErr w:type="spellEnd"/>
            <w:r>
              <w:rPr>
                <w:color w:val="000000"/>
              </w:rPr>
              <w:t>) porušení práv duševního vlastnictví;</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proofErr w:type="spellStart"/>
            <w:r>
              <w:t>iv</w:t>
            </w:r>
            <w:proofErr w:type="spellEnd"/>
            <w:r>
              <w:t>) neoprávněného ovlivnění nebo pokusu o neoprávněné ovlivnění rozhodovacího postupu vedoucího k získání prostředků Unie, při němž je prostřednictvím zkreslení informací využit střet zájmů zahrnující kterékoli účastníky finančních operací nebo jiné osoby uvedené v čl. 61 odst. 1;</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pokusu získat důvěrné informace, jež by je neoprávněně zvýhodnily v zadávacím řízení</w:t>
            </w:r>
            <w:bookmarkEnd w:id="5"/>
            <w: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proofErr w:type="spellStart"/>
            <w:r>
              <w:rPr>
                <w:color w:val="000000"/>
              </w:rPr>
              <w:t>vi</w:t>
            </w:r>
            <w:proofErr w:type="spellEnd"/>
            <w:r>
              <w:rPr>
                <w:color w:val="000000"/>
              </w:rPr>
              <w:t>) vyzývání k diskriminaci, nenávisti nebo násilí vůči skupině osob nebo členovi skupiny nebo podobné aktivity, které jsou v rozporu s hodnotami, na nichž je Unie založena, zakotvenými v článku 2 Smlouvy o EU, pokud má takové pochybení dopad na integritu dané osoby, což nepříznivě ovlivňuje nebo konkrétně ohrožuje plnění smlouvy nebo dohody;</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bylo vydáno pravomocné soudní rozhodnutí, podle něhož se osoba dopustila některého z následujících činů:</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t>i) podvodu ve smyslu článku 3 směrnice (EU) 2017/1371 a článku 1 Úmluvy o ochraně finančních zájmů Evropských společenství, vypracované aktem Rady ze dne 26. července 1995</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proofErr w:type="spellStart"/>
            <w:r>
              <w:rPr>
                <w:color w:val="000000"/>
              </w:rPr>
              <w:lastRenderedPageBreak/>
              <w:t>ii</w:t>
            </w:r>
            <w:proofErr w:type="spellEnd"/>
            <w:r>
              <w:rPr>
                <w:color w:val="000000"/>
              </w:rPr>
              <w:t>) korupce ve smyslu čl. 4 odst. 2 směrnice (EU) 2017/1371, aktivní korupce ve smyslu článku 3 Úmluvy o boji proti korupci úředníků Evropských společenství nebo členských států</w:t>
            </w:r>
            <w:bookmarkStart w:id="8" w:name="_DV_C381"/>
            <w:bookmarkEnd w:id="7"/>
            <w:r>
              <w:rPr>
                <w:color w:val="000000"/>
              </w:rPr>
              <w:t xml:space="preserve"> Evropské unie, vypracované právním aktem Rady ze dne 26. května 1997, jednání uvedeného v čl. 2 odst. 1 rámcového rozhodnutí Rady 2003/568/SVV</w:t>
            </w:r>
            <w:bookmarkStart w:id="9" w:name="_DV_C383"/>
            <w:bookmarkEnd w:id="8"/>
            <w:r>
              <w:rPr>
                <w:color w:val="000000"/>
              </w:rPr>
              <w:t>, nebo korupce, jak je vymezena v jiných platných právních předpisech;</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proofErr w:type="spellStart"/>
            <w:r>
              <w:rPr>
                <w:color w:val="000000"/>
              </w:rPr>
              <w:t>iii</w:t>
            </w:r>
            <w:proofErr w:type="spellEnd"/>
            <w:r>
              <w:rPr>
                <w:color w:val="000000"/>
              </w:rPr>
              <w:t>)</w:t>
            </w:r>
            <w:bookmarkStart w:id="11" w:name="_DV_M250"/>
            <w:bookmarkEnd w:id="10"/>
            <w:bookmarkEnd w:id="11"/>
            <w:r>
              <w:rPr>
                <w:color w:val="000000"/>
              </w:rPr>
              <w:t xml:space="preserve"> jednání souvisejícího se zločinným spolčením</w:t>
            </w:r>
            <w:bookmarkStart w:id="12" w:name="_DV_C385"/>
            <w:r>
              <w:rPr>
                <w:color w:val="000000"/>
              </w:rPr>
              <w:t xml:space="preserve"> podle článku 2 rámcového rozhodnutí Rady 2008/841/SVV</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proofErr w:type="spellStart"/>
            <w:r>
              <w:rPr>
                <w:color w:val="000000"/>
              </w:rPr>
              <w:t>iv</w:t>
            </w:r>
            <w:proofErr w:type="spellEnd"/>
            <w:r>
              <w:rPr>
                <w:color w:val="000000"/>
              </w:rPr>
              <w:t>)</w:t>
            </w:r>
            <w:bookmarkStart w:id="14" w:name="_DV_M251"/>
            <w:bookmarkEnd w:id="14"/>
            <w:r>
              <w:rPr>
                <w:color w:val="000000"/>
              </w:rPr>
              <w:t xml:space="preserve"> </w:t>
            </w:r>
            <w:r>
              <w:t>praní peněz</w:t>
            </w:r>
            <w:bookmarkStart w:id="15" w:name="_DV_C391"/>
            <w:r>
              <w:rPr>
                <w:color w:val="000000"/>
              </w:rPr>
              <w:t xml:space="preserve"> nebo</w:t>
            </w:r>
            <w:bookmarkStart w:id="16" w:name="_DV_M252"/>
            <w:bookmarkEnd w:id="15"/>
            <w:bookmarkEnd w:id="16"/>
            <w:r>
              <w:t xml:space="preserve"> financování terorismu </w:t>
            </w:r>
            <w:bookmarkStart w:id="17" w:name="_DV_C392"/>
            <w:r>
              <w:rPr>
                <w:color w:val="000000"/>
              </w:rPr>
              <w:t>ve smyslu čl. 1 odst. 3, 4 a 5 směrnice Evropského parlamentu a Rady (EU) 2015/849</w:t>
            </w:r>
            <w:bookmarkStart w:id="18" w:name="_DV_C394"/>
            <w:bookmarkEnd w:id="17"/>
            <w:r>
              <w:rPr>
                <w:color w:val="000000"/>
              </w:rP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teroristických trestných činů</w:t>
            </w:r>
            <w:bookmarkStart w:id="21" w:name="_DV_C397"/>
            <w:r>
              <w:rPr>
                <w:color w:val="000000" w:themeColor="text1"/>
              </w:rPr>
              <w:t xml:space="preserve"> nebo trestných činů souvisejících s teroristickými činnostmi, jak jsou definovány v článcích 3 až 12 směrnice Evropského parlamentu a Rady (EU) 2017/541,</w:t>
            </w:r>
            <w:bookmarkStart w:id="22" w:name="_DV_C399"/>
            <w:bookmarkEnd w:id="21"/>
            <w:r>
              <w:rPr>
                <w:color w:val="000000" w:themeColor="text1"/>
              </w:rPr>
              <w:t xml:space="preserve"> nebo návodu či pomoci při jejich spáchání nebo pokusu o spáchání takových trestných činů ve smyslu článku 14 uvedené směrnice;</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proofErr w:type="spellStart"/>
            <w:r>
              <w:rPr>
                <w:color w:val="000000"/>
              </w:rPr>
              <w:t>vi</w:t>
            </w:r>
            <w:proofErr w:type="spellEnd"/>
            <w:r>
              <w:rPr>
                <w:color w:val="000000"/>
              </w:rPr>
              <w:t xml:space="preserve">) </w:t>
            </w:r>
            <w:bookmarkStart w:id="24" w:name="_DV_M254"/>
            <w:bookmarkEnd w:id="23"/>
            <w:bookmarkEnd w:id="24"/>
            <w:r>
              <w:t xml:space="preserve">dětské práce a jiných trestných činů souvisejících s obchodováním s lidmi </w:t>
            </w:r>
            <w:bookmarkStart w:id="25" w:name="_DV_C402"/>
            <w:r>
              <w:rPr>
                <w:color w:val="000000"/>
              </w:rPr>
              <w:t>podle článku 2 směrnice Evropského parlamentu a Rady 2011/36/EU</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při plnění právního závazku financovaného z rozpočtu Unie se dopustila závažných pochybení, jež vedla k předčasnému ukončení této veřejné zakázky nebo smlouvy, vymáhání náhrady škod nebo jiným smluvním sankcím nebo která byla zjištěna při kontrolách, auditech či šetřeních provedených schvalující osobou, </w:t>
            </w:r>
            <w:r>
              <w:rPr>
                <w:color w:val="000000"/>
              </w:rPr>
              <w:t>Evropským úřadem pro boj proti podvodům (OLAF)</w:t>
            </w:r>
            <w:r>
              <w:t xml:space="preserve">, Účetním dvorem nebo Úřadem evropského veřejného žalobce (EPPO);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bylo vydáno pravomocné soudní nebo konečné správní rozhodnutí, podle něhož se osoba dopustila nesrovnalostí ve smyslu čl. 1 odst. 2 nařízení Rady (ES, Euratom) č. 2988/95</w:t>
            </w:r>
            <w:bookmarkEnd w:id="27"/>
            <w:r>
              <w:rPr>
                <w:color w:val="000000" w:themeColor="text1"/>
              </w:rP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bylo vydáno pravomocné soudní rozhodnutí nebo konečné správní rozhodnutí, podle něhož osoba vytvořila subjekt v jiné jurisdikci s cílem obejít fiskální, sociální nebo jakékoli jiné právní povinnosti – včetně těch, které se týkají pracovních práv, zaměstnání a pracovních podmínek – v jurisdikci, pod kterou spadá jeho sídlo, správní ústředí nebo hlavní místo podnikání;</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pouze u právnických osob</w:t>
            </w:r>
            <w:r>
              <w:t xml:space="preserve">) </w:t>
            </w:r>
            <w:r>
              <w:rPr>
                <w:color w:val="000000" w:themeColor="text1"/>
              </w:rPr>
              <w:t>bylo vydáno pravomocné soudní nebo konečné správní rozhodnutí, podle něhož byla právnická osoba vytvořena s cílem uvedeným v písmeni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záměrně a bez řádného odůvodnění bránila šetření, kontrole nebo auditu prováděnému veřejným zadavatelem nebo jeho zástupcem nebo auditorem, úřadem OLAF, EPPO nebo Účetním dvorem. Má se za to, že osoba brání šetření, kontrole nebo auditu, pokud provádí činnosti, jejichž cílem nebo důsledkem je zabránit jakékoli z činností nezbytných k provedení šetření, kontroly nebo auditu, bránit jim nebo je zdržovat. Mezi takové činnosti patří zejména odmítnutí přístupu do jeho/jejích prostor nebo do jiných prostor využívaných k podnikatelským účelům, zatajení nebo odmítnutí zveřejnění informací nebo poskytnutí nepravdivých informací.</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t>prohlašuje, že v případech uvedených výše v bodě 1 písm. c) až i), pokud neexistuje pravomocný rozsudek nebo pravomocné správní rozhodnutí</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ANO</w:t>
            </w:r>
          </w:p>
        </w:tc>
        <w:tc>
          <w:tcPr>
            <w:tcW w:w="825" w:type="dxa"/>
          </w:tcPr>
          <w:p w14:paraId="1A4D1557" w14:textId="4113B6AB" w:rsidR="002254B5" w:rsidRDefault="002254B5" w:rsidP="002254B5">
            <w:pPr>
              <w:spacing w:before="240" w:after="120"/>
              <w:jc w:val="center"/>
              <w:rPr>
                <w:noProof/>
              </w:rPr>
            </w:pPr>
            <w:r>
              <w:t>NE</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lastRenderedPageBreak/>
              <w:t xml:space="preserve"> na osobu se vztahují skutečnosti zjištěné při auditech nebo vyšetřování Úřadu evropského veřejného žalobce ve vztahu k členským státům, které se účastní posílené spolupráce podle nařízení (EU) 2017/1939, Účetního dvora, úřadu OLAF nebo interního auditora nebo při jakémkoli jiném auditu či kontrole prováděných na pokyn schvalující osoby orgánu EU, evropského úřadu nebo agentury či instituce EU;</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na osobu se vztahují nepravomocné rozsudky nebo správní rozhodnutí, jež nejsou konečná a mohou zahrnovat disciplinární opatření přijatá příslušným orgánem dohledu odpovědným za ověřování dodržování zásad profesní etiky;</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osoby se týkají skutečnosti uvedené v rozhodnutích subjektů či osob pověřených úkoly souvisejícími s plněním rozpočtu EU;</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rPr>
                <w:color w:val="000000"/>
              </w:rPr>
              <w:tab/>
              <w:t xml:space="preserve"> </w:t>
            </w:r>
            <w:r>
              <w:t xml:space="preserve">osoby se týkají informace předané členskými státy vynakládajícími finanční prostředky Unie, zejména skutečnosti a zjištění zjištěná v souvislosti s pravomocným rozsudkem nebo konečným správním rozhodnutím na vnitrostátní úrovni, pokud jde o existenci situací zakládajících vyloučení uvedených v písmeni c) bodě </w:t>
            </w:r>
            <w:proofErr w:type="spellStart"/>
            <w:r>
              <w:t>iv</w:t>
            </w:r>
            <w:proofErr w:type="spellEnd"/>
            <w:r>
              <w:t>) nebo písmeni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rPr>
                <w:color w:val="000000"/>
              </w:rPr>
              <w:tab/>
              <w:t xml:space="preserve"> na osobu se vztahují rozhodnutí Komise týkající se porušení práva Unie v oblasti hospodářské soutěže nebo rozhodnutí příslušného vnitrostátního orgánu týkající se porušení práva Unie nebo členského státu v oblasti hospodářské soutěže;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osoba je jakýmkoli způsobem informována o tom, že je předmětem vyšetřování Evropského úřadu pro boj proti podvodům (OLAF): buď proto, že jí OLAF poskytl možnost vyjádřit se ke skutečnostem, které se jí týkají, nebo byla podrobena kontrole na místě ze strany úřadu OLAF v průběhu vyšetřování, nebo jí bylo oznámeno zahájení nebo ukončení vyšetřování nebo jakákoli okolnost související s vyšetřováním úřadu OLAF, které se jí týká.</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t>II – Situace zakládající vyloučení fyzických nebo právnických osob oprávněných zastupovat právnickou osobu nebo majících v ní rozhodovací či řídící pravomoc a skutečného majitele</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Nepoužije se, jedná-li se o fyzickou osobu, členský stát nebo místní orgán. Ve všech ostatních případech vyplní všechny zapojené subjekty.</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850"/>
        <w:gridCol w:w="924"/>
        <w:gridCol w:w="1176"/>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Prohlašuje, že fyzická nebo právnická osoba, která je členem správního, řídicího nebo dozorčího orgánu uvedené právnické osoby nebo která je oprávněná uvedenou právnickou osobu zastupovat, má v ní rozhodovací či řídicí pravomoc (to zahrnuje např. ředitele, členy řídicích a dozorčích orgánů a případy, kdy jedna fyzická nebo právnická osoba drží většinový podíl), případně skutečný majitel (jak je vymezen v čl. 3 bodě 6 směrnice (EU) 2015/849), se nachází v některé z následujících situací: </w:t>
            </w:r>
          </w:p>
        </w:tc>
        <w:tc>
          <w:tcPr>
            <w:tcW w:w="858" w:type="dxa"/>
          </w:tcPr>
          <w:p w14:paraId="16F44882" w14:textId="77777777" w:rsidR="001F135A" w:rsidRDefault="001F135A" w:rsidP="00C37A34">
            <w:pPr>
              <w:spacing w:before="240" w:after="120"/>
              <w:jc w:val="center"/>
              <w:rPr>
                <w:noProof/>
              </w:rPr>
            </w:pPr>
            <w:r>
              <w:t>ANO</w:t>
            </w:r>
          </w:p>
        </w:tc>
        <w:tc>
          <w:tcPr>
            <w:tcW w:w="952" w:type="dxa"/>
          </w:tcPr>
          <w:p w14:paraId="16F44883" w14:textId="77777777" w:rsidR="001F135A" w:rsidRDefault="001F135A" w:rsidP="00C37A34">
            <w:pPr>
              <w:spacing w:before="240" w:after="120"/>
              <w:jc w:val="center"/>
              <w:rPr>
                <w:noProof/>
              </w:rPr>
            </w:pPr>
            <w:r>
              <w:t>NE</w:t>
            </w:r>
          </w:p>
        </w:tc>
        <w:tc>
          <w:tcPr>
            <w:tcW w:w="813" w:type="dxa"/>
          </w:tcPr>
          <w:p w14:paraId="16F44884" w14:textId="77777777" w:rsidR="001F135A" w:rsidRDefault="001F135A" w:rsidP="00C37A34">
            <w:pPr>
              <w:spacing w:before="240" w:after="120"/>
              <w:jc w:val="center"/>
              <w:rPr>
                <w:noProof/>
              </w:rPr>
            </w:pPr>
            <w:r>
              <w:t>Není relevantní</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situace uvedená výše v bodě 1) písm. c) (vážné profesní pochybení)</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situace uvedená výše v bodě 1) písm. d) (podvod, korupce nebo jiný trestný čin)</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lastRenderedPageBreak/>
              <w:t>situace uvedená výše v bodě 1) písm. e) (závažná pochybení při plnění veřejné zakázky)</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situace uvedená výše v bodě 1) písm. f) (nesrovnalost)</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situace uvedená výše v bodě 1) písm. g) (vytvoření subjektu s cílem obejít právní povinnosti)</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situace uvedená výše v bodě 1) písm. h) (osoba vytvořena s cílem obejít právní povinnosti)</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situace uvedená výše v bodě 1) písm. i) (osoba se záměrně a bez řádného odůvodnění bránila vyšetřování, kontrole nebo auditu)</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Situace zakládající vyloučení fyzických nebo právnických osob, které neomezeně ručí za závazky právnické osoby</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Nepoužije se, je-li osobou fyzická osoba, členský stát, místní orgán nebo právnická osoba s omezenou odpovědností. Ve všech ostatních případech vyplní všechny zapojené subjekty.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36"/>
        <w:gridCol w:w="606"/>
        <w:gridCol w:w="117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Prohlašuje, že fyzická nebo právnická osoba, která neomezeně ručí za závazky uvedené osoby, se nachází v některé z následujících situací: </w:t>
            </w:r>
          </w:p>
        </w:tc>
        <w:tc>
          <w:tcPr>
            <w:tcW w:w="670" w:type="dxa"/>
          </w:tcPr>
          <w:p w14:paraId="16F4489C" w14:textId="77777777" w:rsidR="003E5E5C" w:rsidRDefault="003E5E5C" w:rsidP="00C37A34">
            <w:pPr>
              <w:spacing w:before="240" w:after="120"/>
              <w:jc w:val="center"/>
              <w:rPr>
                <w:noProof/>
              </w:rPr>
            </w:pPr>
            <w:r>
              <w:t>ANO</w:t>
            </w:r>
          </w:p>
        </w:tc>
        <w:tc>
          <w:tcPr>
            <w:tcW w:w="614" w:type="dxa"/>
          </w:tcPr>
          <w:p w14:paraId="16F4489D" w14:textId="77777777" w:rsidR="003E5E5C" w:rsidRDefault="003E5E5C" w:rsidP="00C37A34">
            <w:pPr>
              <w:spacing w:before="240" w:after="120"/>
              <w:jc w:val="center"/>
              <w:rPr>
                <w:noProof/>
              </w:rPr>
            </w:pPr>
            <w:r>
              <w:t>NE</w:t>
            </w:r>
          </w:p>
        </w:tc>
        <w:tc>
          <w:tcPr>
            <w:tcW w:w="630" w:type="dxa"/>
          </w:tcPr>
          <w:p w14:paraId="16F4489E" w14:textId="77777777" w:rsidR="003E5E5C" w:rsidRDefault="003E5E5C" w:rsidP="00C37A34">
            <w:pPr>
              <w:spacing w:before="240" w:after="120"/>
              <w:jc w:val="center"/>
              <w:rPr>
                <w:noProof/>
              </w:rPr>
            </w:pPr>
            <w:r>
              <w:t>Není relevantní</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situace uvedená výše v písmenu a) (úpadek)</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situace uvedená výše v písmenu b) (porušení povinnosti placení daní nebo příspěvků na sociální zabezpečení)</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Ostatní důvody odmítnutí v tomto řízení</w:t>
      </w:r>
    </w:p>
    <w:p w14:paraId="49EFC66C" w14:textId="603EB082" w:rsidR="00B05C76" w:rsidRPr="00897E28" w:rsidRDefault="00B05C76" w:rsidP="00B05C76">
      <w:pPr>
        <w:spacing w:before="120" w:after="120"/>
        <w:ind w:firstLine="1"/>
        <w:jc w:val="both"/>
        <w:rPr>
          <w:b/>
          <w:bCs/>
          <w:i/>
          <w:iCs/>
          <w:noProof/>
        </w:rPr>
      </w:pPr>
      <w:r>
        <w:rPr>
          <w:b/>
          <w:i/>
        </w:rPr>
        <w:t>(vyplní jednotlivě jediný zájemce/uchazeč nebo všichni členové v případě společné žádosti o účast / nabídky)</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3"/>
        <w:gridCol w:w="736"/>
        <w:gridCol w:w="757"/>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prohlašuje, že osoba:</w:t>
            </w:r>
          </w:p>
        </w:tc>
        <w:tc>
          <w:tcPr>
            <w:tcW w:w="670" w:type="dxa"/>
          </w:tcPr>
          <w:p w14:paraId="1361E30C" w14:textId="77777777" w:rsidR="00B05C76" w:rsidRDefault="00B05C76" w:rsidP="00D6012C">
            <w:pPr>
              <w:spacing w:before="240" w:after="120"/>
              <w:jc w:val="center"/>
              <w:rPr>
                <w:noProof/>
              </w:rPr>
            </w:pPr>
            <w:r>
              <w:t>ANO</w:t>
            </w:r>
          </w:p>
        </w:tc>
        <w:tc>
          <w:tcPr>
            <w:tcW w:w="759" w:type="dxa"/>
          </w:tcPr>
          <w:p w14:paraId="2D50029A" w14:textId="77777777" w:rsidR="00B05C76" w:rsidRDefault="00B05C76" w:rsidP="00D6012C">
            <w:pPr>
              <w:spacing w:before="240" w:after="120"/>
              <w:jc w:val="center"/>
              <w:rPr>
                <w:noProof/>
              </w:rPr>
            </w:pPr>
            <w:r>
              <w:t>NE</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byla zapojena do přípravy zadávací dokumentace v zadávacím řízení a tato skutečnost znamená narušení zásady rovného zacházení, včetně narušení hospodářské soutěže, které nelze napravit jiným způsobem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rFonts w:ascii="Times New Roman Bold" w:hAnsi="Times New Roman Bold"/>
          <w:b/>
          <w:smallCaps/>
        </w:rPr>
        <w:t>V – Nápravná opatření</w:t>
      </w:r>
    </w:p>
    <w:p w14:paraId="16F448B4" w14:textId="0E80E9C8" w:rsidR="005C6293" w:rsidRDefault="005C6293" w:rsidP="051D3D6B">
      <w:pPr>
        <w:spacing w:before="120" w:after="120"/>
        <w:jc w:val="both"/>
        <w:rPr>
          <w:color w:val="000000"/>
        </w:rPr>
      </w:pPr>
      <w:r>
        <w:t>Jestliže bylo učiněno prohlášení, podle něhož se osoba nachází v některé z výše uvedených situací zakládajících důvody pro její vyloučení, mohou být uvedena opatření, jež k nápravě takové situace učinila. Schvalující osoba tak bude moci rozhodnout, zda jsou opatření dostačující k prokázání její důvěryhodnosti.</w:t>
      </w:r>
      <w:r>
        <w:rPr>
          <w:color w:val="000000" w:themeColor="text1"/>
        </w:rPr>
        <w:t xml:space="preserve"> Může se jednat např. o technická, organizační a personální opatření, jež mají zamezit trvání dané situace, nebo o náhradu škody či úhradu pokuty, daní nebo příspěvků na sociální zabezpečení. </w:t>
      </w:r>
    </w:p>
    <w:p w14:paraId="773D5FBD" w14:textId="6FDC2569" w:rsidR="0020320A" w:rsidRDefault="0020320A" w:rsidP="051D3D6B">
      <w:pPr>
        <w:spacing w:before="120" w:after="120"/>
        <w:jc w:val="both"/>
        <w:rPr>
          <w:color w:val="000000"/>
        </w:rPr>
      </w:pPr>
      <w:r>
        <w:rPr>
          <w:color w:val="000000" w:themeColor="text1"/>
        </w:rPr>
        <w:lastRenderedPageBreak/>
        <w:t>Aniž je dotčeno posouzení příslušné schvalující osoby, předloží osoba nebo subjekt nápravná opatření, která byla posouzena externím nezávislým auditorem nebo která byla rozhodnutím vnitrostátního orgánu nebo orgánu Unie považována za dostatečná. K tomuto prohlášení musí být přiloženy příslušné písemné doklady, které přijetí nápravných opatření prokazují, a jejich posouzení. Nápravná opatření se neuplatňují na situace uvedené v oddíle I, bodě 1 písm. d) tohoto prohlášení.</w:t>
      </w:r>
    </w:p>
    <w:p w14:paraId="16F448B5" w14:textId="3FE5177B" w:rsidR="00F96EAB" w:rsidRPr="007D7A5F" w:rsidRDefault="00B05C76" w:rsidP="0024225B">
      <w:pPr>
        <w:pStyle w:val="Title"/>
        <w:rPr>
          <w:noProof/>
        </w:rPr>
      </w:pPr>
      <w:r>
        <w:t>VI – Důkazy o kritériích pro vyloučení</w:t>
      </w:r>
    </w:p>
    <w:p w14:paraId="477A6316" w14:textId="3261E630" w:rsidR="00695D93" w:rsidRDefault="0092592E" w:rsidP="7F6CA770">
      <w:pPr>
        <w:spacing w:before="120" w:after="120"/>
        <w:ind w:firstLine="11"/>
        <w:jc w:val="both"/>
        <w:rPr>
          <w:noProof/>
        </w:rPr>
      </w:pPr>
      <w:r>
        <w:t>Zadávací dokumentace podrobně stanoví, které zapojené subjekty musí předložit příslušné důkazy prokazující, že se nenacházejí v některé ze situací zakládajících vyloučení podle odstavce 1, a kdy je třeba předložit důkazy.</w:t>
      </w:r>
    </w:p>
    <w:p w14:paraId="3EE64640" w14:textId="03697B6E" w:rsidR="00835E88" w:rsidRPr="00F76ABA" w:rsidRDefault="00CA3ADD" w:rsidP="00835E88">
      <w:pPr>
        <w:spacing w:before="120" w:after="120"/>
        <w:jc w:val="both"/>
        <w:rPr>
          <w:noProof/>
        </w:rPr>
      </w:pPr>
      <w:r>
        <w:t>Jako důkaz by mohly sloužit tyto důkazy:</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u situací popsaných v bodě 1 písm. a), c), d), f), g) a h) výše: aktuální výpis z trestního rejstříku nebo, pokud to není možné, rovnocenný aktuální doklad vydaný soudním nebo správním orgánem země, v níž má daná osoba své sídlo či bydliště, a z něhož vyplývá, že jsou tyto požadavky splněny,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u situací popsaných v bodě 1 písm. a) a b): aktuální osvědčení vydaná příslušnými orgány země, v níž má osoba své sídlo či bydliště. Tyto dokumenty musí prokazovat zaplacení veškerých daní a poplatků a příspěvků na sociální zabezpečení, které je osoba povinna platit, mimo jiné například DPH, daně z příjmů fyzických osob, daně z příjmu právnických osob a příspěvků na sociální zabezpečení. Není-li některý z výše popsaných dokumentů v zemi, v níž má daná osoba sídlo či bydliště, vydáván, lze jej nahradit přísežným prohlášením učiněným u soudního orgánu nebo notáře nebo, pokud to není možné, čestným prohlášením učiněným u správního orgánu nebo příslušné profesní organizace země, v níž má daná osoba své sídlo či bydliště.</w:t>
      </w:r>
    </w:p>
    <w:p w14:paraId="16F448B9" w14:textId="6993ED04" w:rsidR="008C4A00" w:rsidRDefault="00C55150" w:rsidP="051D3D6B">
      <w:pPr>
        <w:spacing w:before="100" w:beforeAutospacing="1" w:after="100" w:afterAutospacing="1"/>
        <w:jc w:val="both"/>
      </w:pPr>
      <w:r>
        <w:t>Doklady, které již byly předloženy v rámci jiného zadávacího řízení téhož veřejného zadavatele, není třeba předkládat</w:t>
      </w:r>
      <w:r w:rsidR="00F4376C" w:rsidRPr="051D3D6B">
        <w:rPr>
          <w:rStyle w:val="FootnoteReference"/>
        </w:rPr>
        <w:footnoteReference w:id="5"/>
      </w:r>
      <w:r>
        <w:t xml:space="preserve">. Datum vystavení těchto dokladů nesmí být starší než jeden rok před datem žádosti veřejného zadavatele o jejich předložení a musí být k danému datu platné. </w:t>
      </w:r>
    </w:p>
    <w:p w14:paraId="16F448BA" w14:textId="1463A7B7" w:rsidR="008C4A00" w:rsidRDefault="00A40405" w:rsidP="051D3D6B">
      <w:pPr>
        <w:spacing w:before="100" w:beforeAutospacing="1" w:after="100" w:afterAutospacing="1"/>
        <w:jc w:val="both"/>
      </w:pPr>
      <w:r>
        <w:t xml:space="preserve">Podepsaná osoba prohlašuje, že dotyčná osoba již předložila písemné doklady v předchozím řízení, a potvrzuje, že se její situace nezměnila.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Úplný odkaz na předchozí řízení</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Vložte tolik řádků, kolik je potřeba.</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Doklady, k nimž existuje bezplatný přístup ve vnitrostátní databázi, není třeba předkládat. </w:t>
      </w:r>
    </w:p>
    <w:p w14:paraId="0F58ED09" w14:textId="2FB86EF0" w:rsidR="00CF0C80" w:rsidRDefault="00602579" w:rsidP="051D3D6B">
      <w:pPr>
        <w:spacing w:before="100" w:beforeAutospacing="1" w:after="100" w:afterAutospacing="1"/>
        <w:jc w:val="both"/>
      </w:pPr>
      <w:r>
        <w:t>Níže podepsaná osoba prohlašuje, že přístup k požadovaným dokladům lze získat na následující internetové adrese databáze / pomocí následujících identifikačních údajů.</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Internetová adresa databáze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Identifikační údaje dokladu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Vložte tolik řádků, kolik je potřeba.</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Čestné prohlášení o kritériích pro výběr </w:t>
      </w:r>
    </w:p>
    <w:p w14:paraId="2D59BB2A" w14:textId="01DD445D" w:rsidR="743C92D7" w:rsidRDefault="743C92D7" w:rsidP="051D3D6B">
      <w:pPr>
        <w:spacing w:beforeAutospacing="1" w:afterAutospacing="1"/>
        <w:jc w:val="both"/>
      </w:pPr>
      <w:r>
        <w:lastRenderedPageBreak/>
        <w:t>V případě řízení s několika částmi se prohlášení v této části B vztahují na část (části), pro kterou (které) je podána žádost o účast / nabídka.</w:t>
      </w:r>
    </w:p>
    <w:p w14:paraId="7232500E" w14:textId="59A72938" w:rsidR="00E25A58" w:rsidRDefault="00E25A58" w:rsidP="00E25A58">
      <w:pPr>
        <w:pStyle w:val="Title"/>
        <w:rPr>
          <w:noProof/>
        </w:rPr>
      </w:pPr>
      <w:r>
        <w:t>I – Kritéria pro výběr</w:t>
      </w:r>
    </w:p>
    <w:p w14:paraId="7CE533D0" w14:textId="16A9A02E" w:rsidR="00B74E92" w:rsidRPr="00897E28" w:rsidRDefault="00CA2C74" w:rsidP="051D3D6B">
      <w:pPr>
        <w:jc w:val="both"/>
        <w:rPr>
          <w:b/>
          <w:bCs/>
          <w:u w:val="single"/>
        </w:rPr>
      </w:pPr>
      <w:r>
        <w:rPr>
          <w:b/>
          <w:u w:val="single"/>
        </w:rPr>
        <w:t xml:space="preserve">Výběrová kritéria platná pro zájemce/uchazeče jako celek – konsolidované hodnocení </w:t>
      </w:r>
    </w:p>
    <w:p w14:paraId="1E43862B" w14:textId="28BF9BC9" w:rsidR="006E23B3" w:rsidRPr="00897E28" w:rsidRDefault="006E23B3" w:rsidP="00897E28">
      <w:pPr>
        <w:spacing w:before="120" w:after="120"/>
        <w:ind w:firstLine="1"/>
        <w:jc w:val="both"/>
        <w:rPr>
          <w:b/>
          <w:bCs/>
          <w:i/>
          <w:iCs/>
          <w:noProof/>
        </w:rPr>
      </w:pPr>
      <w:bookmarkStart w:id="29" w:name="_Hlk203596443"/>
      <w:r>
        <w:rPr>
          <w:b/>
          <w:i/>
        </w:rPr>
        <w:t>(vyplní POUZE samostatný kandidát/uchazeč nebo vedoucí skupiny v případě společné žádosti o účast / nabídky)</w:t>
      </w:r>
    </w:p>
    <w:p w14:paraId="580B2348" w14:textId="36EFDB8E" w:rsidR="00F04B97" w:rsidRDefault="00F04B97" w:rsidP="00F04B97">
      <w:pPr>
        <w:spacing w:before="120" w:after="120"/>
        <w:ind w:firstLine="1"/>
        <w:jc w:val="both"/>
        <w:rPr>
          <w:noProof/>
        </w:rPr>
      </w:pPr>
      <w:r>
        <w:t>Osoba, která je samostatným kandidátem, uchazečem, případně vedoucím skupiny podávající společnou žádost o účast / nabídku, podávající žádost o účast nebo nabídku v uvedeném řízení: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prohlašuje, že zájemce/uchazeč, včetně všech členů skupiny v případě společné žádosti o účast / nabídky, subdodavatelů a subjektů, jejichž kapacitu zájemce/uchazeč hodlá případně využít: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ANO</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splňuje kritéria pro výběr, jež budou v souladu se specifikací pro nabídku předmětem souhrnného posouzení</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Níže uvedenou variantu vloží veřejný zadavatel v příslušných případech dle zadávací dokumentace. Pokud se neuplatňují žádná individuální kritéria pro výběr, veřejný zadavatel následující oddíl vymaže. Pokud se taková kritéria uplatňují, musí veřejný zadavatel upravit tabulku podle kritérií uvedených ve specifikaci pro nabídku.</w:t>
      </w:r>
    </w:p>
    <w:p w14:paraId="5CFBC1F8" w14:textId="7B867C43" w:rsidR="00CA2C74" w:rsidRPr="00897E28" w:rsidRDefault="00C4227A">
      <w:pPr>
        <w:jc w:val="both"/>
        <w:rPr>
          <w:b/>
          <w:bCs/>
          <w:u w:val="single"/>
        </w:rPr>
      </w:pPr>
      <w:r>
        <w:rPr>
          <w:b/>
          <w:u w:val="single"/>
        </w:rPr>
        <w:t>Kritéria pro výběr platná individuálně pro zapojené subjekty – individuální posouzení</w:t>
      </w:r>
    </w:p>
    <w:p w14:paraId="78C15FF3" w14:textId="0676A81C" w:rsidR="00723411" w:rsidRPr="00897E28" w:rsidRDefault="00723411" w:rsidP="7F6CA770">
      <w:pPr>
        <w:spacing w:before="120" w:after="120"/>
        <w:ind w:firstLine="1"/>
        <w:jc w:val="both"/>
        <w:rPr>
          <w:b/>
          <w:bCs/>
          <w:i/>
          <w:iCs/>
          <w:noProof/>
        </w:rPr>
      </w:pPr>
      <w:r>
        <w:rPr>
          <w:b/>
          <w:i/>
        </w:rPr>
        <w:t>(vyplní jednotlivě zapojené subjekty, na něž se vztahují výběrová kritéria jednotlivě podle zadávací dokumentace)</w:t>
      </w:r>
    </w:p>
    <w:p w14:paraId="64745216" w14:textId="17979E7F" w:rsidR="00E80BCE" w:rsidRPr="00897E28" w:rsidRDefault="00E80BCE" w:rsidP="6FB7994E">
      <w:pPr>
        <w:spacing w:before="120" w:after="120"/>
        <w:ind w:firstLine="1"/>
        <w:jc w:val="both"/>
        <w:rPr>
          <w:b/>
          <w:bCs/>
          <w:i/>
          <w:iCs/>
          <w:noProof/>
        </w:rPr>
      </w:pPr>
      <w:r>
        <w:t>Osoba, která je jediným zájemcem / uchazečem / členem společné žádosti o účast / členem společné nabídky / subdodavatelem, podávajícím žádost o účast / účastnícím se žádosti o účast / nabídky ve výše uvedeném řízení:</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4"/>
        <w:gridCol w:w="736"/>
        <w:gridCol w:w="600"/>
        <w:gridCol w:w="1176"/>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prohlašuje, že osoba splňuje individuální kritéria pro výběr, jež se na ní vztahují:</w:t>
            </w:r>
          </w:p>
        </w:tc>
        <w:tc>
          <w:tcPr>
            <w:tcW w:w="704" w:type="dxa"/>
          </w:tcPr>
          <w:p w14:paraId="13DAA78F" w14:textId="77777777" w:rsidR="00A551F6" w:rsidRDefault="00A551F6" w:rsidP="00C37A34">
            <w:pPr>
              <w:spacing w:before="240" w:after="120"/>
              <w:jc w:val="center"/>
              <w:rPr>
                <w:noProof/>
              </w:rPr>
            </w:pPr>
            <w:r>
              <w:t>ANO</w:t>
            </w:r>
          </w:p>
        </w:tc>
        <w:tc>
          <w:tcPr>
            <w:tcW w:w="608" w:type="dxa"/>
          </w:tcPr>
          <w:p w14:paraId="465AC66E" w14:textId="77777777" w:rsidR="00A551F6" w:rsidRDefault="00A551F6" w:rsidP="00C37A34">
            <w:pPr>
              <w:spacing w:before="240" w:after="120"/>
              <w:jc w:val="center"/>
              <w:rPr>
                <w:noProof/>
              </w:rPr>
            </w:pPr>
            <w:r>
              <w:t>NE</w:t>
            </w:r>
          </w:p>
        </w:tc>
        <w:tc>
          <w:tcPr>
            <w:tcW w:w="630" w:type="dxa"/>
          </w:tcPr>
          <w:p w14:paraId="237B4D9E" w14:textId="77777777" w:rsidR="00A551F6" w:rsidRDefault="00A551F6" w:rsidP="00C37A34">
            <w:pPr>
              <w:spacing w:before="240" w:after="120"/>
              <w:jc w:val="center"/>
              <w:rPr>
                <w:noProof/>
              </w:rPr>
            </w:pPr>
            <w:r>
              <w:t>Není relevantní</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je právně a zákonně způsobilá vykonávat profesní činnost nezbytnou k realizaci zakázky v souladu se zadávací dokumentací;</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splňuje příslušná ekonomická a finanční kritéria uvedená v zadávací dokumentaci;</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splňuje příslušná odborná a profesní kritéria uvedená v zadávací dokumentaci.</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Kritéria pro výběr – protichůdné profesní zájmy </w:t>
      </w:r>
    </w:p>
    <w:p w14:paraId="6D4253AB" w14:textId="6F28DDE5" w:rsidR="00850397" w:rsidRPr="00897E28" w:rsidRDefault="00850397" w:rsidP="00EE7E2B">
      <w:pPr>
        <w:spacing w:before="120" w:after="120"/>
        <w:ind w:firstLine="1"/>
        <w:rPr>
          <w:b/>
          <w:bCs/>
          <w:i/>
          <w:iCs/>
          <w:noProof/>
        </w:rPr>
      </w:pPr>
      <w:r>
        <w:rPr>
          <w:b/>
          <w:i/>
        </w:rPr>
        <w:t>(vyplní všechny zapojené subjekty)</w:t>
      </w:r>
    </w:p>
    <w:p w14:paraId="4E52E5EC" w14:textId="6CF73761" w:rsidR="00850397" w:rsidRDefault="00850397" w:rsidP="00850397">
      <w:pPr>
        <w:jc w:val="both"/>
        <w:rPr>
          <w:b/>
          <w:bCs/>
          <w:u w:val="single"/>
        </w:rPr>
      </w:pPr>
      <w:r>
        <w:t>Osoba, která je jediným zájemcem / uchazečem / členem společné žádosti o účast / členem společné nabídky / subdodavatelem, podávajícím žádost o účast / účastnícím se žádosti o účast / nabídky ve výše uvedeném řízení:</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lastRenderedPageBreak/>
              <w:t xml:space="preserve">8) prohlašuje, že osoba: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ANO</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je ve střetu zájmů, který by mohl negativně ovlivnit realizaci zakázky</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Důkazy o kritériích pro vyloučení </w:t>
      </w:r>
    </w:p>
    <w:p w14:paraId="6C38D641" w14:textId="3F0D33E7" w:rsidR="00F04B97" w:rsidRDefault="00F04B97" w:rsidP="051D3D6B">
      <w:pPr>
        <w:spacing w:before="100" w:beforeAutospacing="1" w:after="100" w:afterAutospacing="1"/>
        <w:jc w:val="both"/>
      </w:pPr>
      <w:r>
        <w:t>Specifikace pro nabídky podrobně stanoví, jaké doklady, kdy a od kterého zapojeného subjektu je třeba předložit, aby prokázal, že zájemce/uchazeč splňuje kritéria pro výběr.</w:t>
      </w:r>
    </w:p>
    <w:p w14:paraId="1699FA0D" w14:textId="0C53EE83" w:rsidR="00F04B97" w:rsidRPr="00A64C2E" w:rsidRDefault="00F04B97" w:rsidP="00897E28">
      <w:pPr>
        <w:spacing w:before="100" w:beforeAutospacing="1" w:after="100" w:afterAutospacing="1"/>
        <w:jc w:val="both"/>
        <w:rPr>
          <w:noProof/>
        </w:rPr>
      </w:pPr>
      <w:r>
        <w:t xml:space="preserve">Podklady vázající se k dokladům, jež není nutné předkládat spolu s žádostí o účast nebo nabídkou, se doporučuje připravit předem, neboť veřejný zadavatel může požádat o jejich předložení v krátké lhůtě. </w:t>
      </w:r>
    </w:p>
    <w:p w14:paraId="1279E35F" w14:textId="2584B0D8" w:rsidR="0073022B" w:rsidRDefault="0073022B" w:rsidP="051D3D6B">
      <w:pPr>
        <w:spacing w:before="100" w:beforeAutospacing="1" w:after="100" w:afterAutospacing="1"/>
        <w:jc w:val="both"/>
      </w:pPr>
      <w:r>
        <w:t>Doklady, které již byly předloženy v rámci jiného zadávacího řízení téhož veřejného zadavatele</w:t>
      </w:r>
      <w:r w:rsidRPr="051D3D6B">
        <w:rPr>
          <w:rStyle w:val="FootnoteReference"/>
        </w:rPr>
        <w:footnoteReference w:id="6"/>
      </w:r>
      <w:r>
        <w:t xml:space="preserve"> a které jsou aktuální, není třeba předkládat.</w:t>
      </w:r>
    </w:p>
    <w:p w14:paraId="0FBE3FFA" w14:textId="51DD42D5" w:rsidR="00F04B97" w:rsidRDefault="00F04B97" w:rsidP="051D3D6B">
      <w:pPr>
        <w:spacing w:before="100" w:beforeAutospacing="1" w:after="100" w:afterAutospacing="1"/>
        <w:jc w:val="both"/>
      </w:pPr>
      <w:r>
        <w:t xml:space="preserve">Podepsaná osoba prohlašuje, že dotyčná osoba již předložila písemné doklady v předchozím řízení, a potvrzuje, že se její situace nezměnila.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Úplný odkaz na předchozí řízení</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Vložte tolik řádků, kolik je potřeba.</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Doklady, k nimž existuje bezplatný přístup ve vnitrostátní databázi, není třeba předkládat. </w:t>
      </w:r>
    </w:p>
    <w:p w14:paraId="03A26509" w14:textId="77777777" w:rsidR="008B35EE" w:rsidRDefault="008B35EE" w:rsidP="051D3D6B">
      <w:pPr>
        <w:spacing w:before="100" w:beforeAutospacing="1" w:after="100" w:afterAutospacing="1"/>
        <w:jc w:val="both"/>
      </w:pPr>
      <w:r>
        <w:t>Níže podepsaná osoba prohlašuje, že přístup k požadovaným dokladům lze získat na následující internetové adrese databáze / pomocí následujících identifikačních údajů.</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Internetová adresa databáze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Identifikační údaje dokladu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Vložte tolik řádků, kolik je potřeba.</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Čestné prohlášení o omezujících opatřeních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prohlašuje, že na zájemce/uchazeče, včetně všech členů skupiny v případě společné žádosti o účast / nabídky, subdodavatelů a subjektů, jejichž kapacitu zájemce/uchazeč hodlá případně využít:</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ANO</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se nevztahují </w:t>
            </w:r>
            <w:hyperlink r:id="rId12" w:history="1">
              <w:r>
                <w:rPr>
                  <w:rStyle w:val="Hyperlink"/>
                </w:rPr>
                <w:t>omezující opatření EU</w:t>
              </w:r>
            </w:hyperlink>
            <w:r>
              <w:t xml:space="preserve"> přijatá podle článku 29 Smlouvy o Evropské unii (SEU) nebo článku 215 Smlouvy o fungování EU (SFEU)</w:t>
            </w:r>
            <w:r w:rsidR="0008506D" w:rsidRPr="00403CC8">
              <w:rPr>
                <w:vertAlign w:val="superscript"/>
              </w:rPr>
              <w:footnoteReference w:id="7"/>
            </w:r>
            <w:r>
              <w:t xml:space="preserve">, která spočívají v zákazu jim přímo či nepřímo zpřístupňovat nebo převádět finanční prostředky či hospodářské zdroje nebo poskytovat financování či finanční pomoc nebo ve zmrazení majetku.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t>Čestné prohlášení</w:t>
      </w:r>
      <w:bookmarkEnd w:id="30"/>
      <w:r>
        <w:t xml:space="preserve"> o závazcích vůči Unii </w:t>
      </w:r>
    </w:p>
    <w:p w14:paraId="1DCBB562" w14:textId="03CF733F" w:rsidR="006B2B45" w:rsidRPr="006B0A89" w:rsidRDefault="0013073C" w:rsidP="6FB7994E">
      <w:pPr>
        <w:spacing w:before="120" w:after="120"/>
        <w:jc w:val="both"/>
        <w:rPr>
          <w:b/>
          <w:bCs/>
          <w:i/>
          <w:iCs/>
          <w:noProof/>
        </w:rPr>
      </w:pPr>
      <w:r>
        <w:rPr>
          <w:b/>
          <w:i/>
        </w:rPr>
        <w:t xml:space="preserve"> (vyplní samostatný kandidát/uchazeč nebo každý člen skupiny v případě společné žádosti o účast / nabídky)</w:t>
      </w:r>
    </w:p>
    <w:p w14:paraId="5915DC59" w14:textId="752F5BD7" w:rsidR="00EE7E2B" w:rsidRDefault="00EE7E2B" w:rsidP="00EE7E2B">
      <w:pPr>
        <w:jc w:val="both"/>
        <w:rPr>
          <w:noProof/>
        </w:rPr>
      </w:pPr>
      <w:r>
        <w:lastRenderedPageBreak/>
        <w:t>Osoba, která je samostatným kandidátem, uchazečem, případně členem skupiny podávající společnou žádost o účast / nabídku o účast, podávající žádost o účast nebo nabídku v uvedeném řízení:</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t>10) prohlašuje, že osoba: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ANO</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má dluh vůči Unii, Evropskému společenství pro atomovou energii nebo výkonné agentuře, pokud tato výkonná agentura plní rozpočet Unie.</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Čestné prohlášení týkající se předložené nabídky </w:t>
      </w:r>
    </w:p>
    <w:p w14:paraId="7D66B10A" w14:textId="0B06DCCD" w:rsidR="00765179" w:rsidRPr="000C6B51" w:rsidRDefault="00765179" w:rsidP="570F7154">
      <w:pPr>
        <w:spacing w:beforeAutospacing="1" w:afterAutospacing="1"/>
        <w:jc w:val="both"/>
        <w:rPr>
          <w:b/>
          <w:bCs/>
          <w:i/>
          <w:iCs/>
          <w:noProof/>
        </w:rPr>
      </w:pPr>
      <w:r>
        <w:rPr>
          <w:b/>
          <w:i/>
        </w:rPr>
        <w:t>(vyplní jednotlivě samostatný kandidát/uchazeč nebo vedoucí skupiny v případě společné žádosti o účast / nabídky)</w:t>
      </w:r>
    </w:p>
    <w:p w14:paraId="44652C08" w14:textId="3B2F458F" w:rsidR="743C92D7" w:rsidRDefault="743C92D7" w:rsidP="30C4CF82">
      <w:pPr>
        <w:spacing w:beforeAutospacing="1" w:afterAutospacing="1"/>
        <w:jc w:val="both"/>
      </w:pPr>
      <w:r>
        <w:t>V případě řízení s několika částmi se prohlášení v této části E vztahují na část (části), pro kterou (které) je podána žádost o účast / nabídka.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3"/>
        <w:gridCol w:w="736"/>
        <w:gridCol w:w="757"/>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t>11) prohlašuje, že osoba:</w:t>
            </w:r>
          </w:p>
        </w:tc>
        <w:tc>
          <w:tcPr>
            <w:tcW w:w="670" w:type="dxa"/>
          </w:tcPr>
          <w:p w14:paraId="59250AC2" w14:textId="77777777" w:rsidR="000F6EA2" w:rsidRDefault="000F6EA2" w:rsidP="00C54FCE">
            <w:pPr>
              <w:spacing w:before="240" w:after="120"/>
              <w:jc w:val="center"/>
              <w:rPr>
                <w:noProof/>
              </w:rPr>
            </w:pPr>
            <w:r>
              <w:t>ANO</w:t>
            </w:r>
          </w:p>
        </w:tc>
        <w:tc>
          <w:tcPr>
            <w:tcW w:w="759" w:type="dxa"/>
          </w:tcPr>
          <w:p w14:paraId="7D1AA4B7" w14:textId="77777777" w:rsidR="000F6EA2" w:rsidRDefault="000F6EA2" w:rsidP="00C54FCE">
            <w:pPr>
              <w:spacing w:before="240" w:after="120"/>
              <w:jc w:val="center"/>
              <w:rPr>
                <w:noProof/>
              </w:rPr>
            </w:pPr>
            <w:r>
              <w:t>NE</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a) [připravuje předloženou nabídku] [zavazuje se připravit nabídku (pokud bude vyzvána k podání nabídky)] zcela nezávisle a nezávisle na ostatních nabídkách podaných v rámci téhož zadávacího řízení.</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Osoba musí veřejného zadavatele okamžitě informovat o jakékoli změně v kterékoli ze situací, o nichž podala prohlášení.</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 xml:space="preserve">Pokud se některé z prohlášení nebo informací učiněných či poskytnutých v rámci plnění podmínek účasti v tomto řízení </w:t>
      </w:r>
      <w:proofErr w:type="gramStart"/>
      <w:r>
        <w:rPr>
          <w:b/>
          <w:i/>
        </w:rPr>
        <w:t>ukáží</w:t>
      </w:r>
      <w:proofErr w:type="gramEnd"/>
      <w:r>
        <w:rPr>
          <w:b/>
          <w:i/>
        </w:rPr>
        <w:t xml:space="preserve"> jako nepravdivé, může být tato osoba v tomto řízení odmítnuta a mohou jí být uloženy správní sankce (vyloučení nebo finanční sankce).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Příjmení a jméno:</w:t>
      </w:r>
      <w:r>
        <w:tab/>
      </w:r>
    </w:p>
    <w:p w14:paraId="4F5C3CA0" w14:textId="4ADE4B77" w:rsidR="00522736" w:rsidRDefault="00DA410F" w:rsidP="004A4B4A">
      <w:pPr>
        <w:tabs>
          <w:tab w:val="left" w:pos="4395"/>
          <w:tab w:val="left" w:pos="7797"/>
        </w:tabs>
        <w:spacing w:before="40" w:after="40"/>
        <w:jc w:val="both"/>
        <w:rPr>
          <w:noProof/>
        </w:rPr>
      </w:pPr>
      <w:r>
        <w:t>Datum:</w:t>
      </w:r>
      <w:r>
        <w:tab/>
      </w:r>
    </w:p>
    <w:p w14:paraId="16F448F0" w14:textId="42F52720" w:rsidR="00DA410F" w:rsidRPr="00F76ABA" w:rsidRDefault="00DA410F" w:rsidP="004A4B4A">
      <w:pPr>
        <w:tabs>
          <w:tab w:val="left" w:pos="4395"/>
          <w:tab w:val="left" w:pos="7797"/>
        </w:tabs>
        <w:spacing w:before="40" w:after="40"/>
        <w:jc w:val="both"/>
        <w:rPr>
          <w:noProof/>
        </w:rPr>
      </w:pPr>
      <w:r>
        <w:t>Podpis: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Toto prohlášení lze podepsat formou:</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Elektronického podpisu (doporučená varianta):</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Pokud máte možnost opatřit prohlášení kvalifikovaným elektronickým podpisem, musí jej elektronicky podepsat váš oprávněný zástupce / vaši oprávnění zástupci. Upozorňujeme, že akceptován bude pouze kvalifikovaný elektronický podpis ve smyslu nařízení (EU) č. 910/2014 (nařízení </w:t>
      </w:r>
      <w:proofErr w:type="spellStart"/>
      <w:r>
        <w:rPr>
          <w:i/>
          <w:highlight w:val="lightGray"/>
        </w:rPr>
        <w:t>eIDAS</w:t>
      </w:r>
      <w:proofErr w:type="spellEnd"/>
      <w:r>
        <w:rPr>
          <w:i/>
          <w:highlight w:val="lightGray"/>
        </w:rPr>
        <w:t xml:space="preserve">).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Předtím, než elektronicky podepsaný dokument odešlete, ověřte podpis a platnost certifikátu pomocí některého z těchto nástrojů:</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validačního nástroje „DSS </w:t>
      </w:r>
      <w:proofErr w:type="spellStart"/>
      <w:r>
        <w:rPr>
          <w:i/>
          <w:highlight w:val="lightGray"/>
        </w:rPr>
        <w:t>Demonstration</w:t>
      </w:r>
      <w:proofErr w:type="spellEnd"/>
      <w:r>
        <w:rPr>
          <w:i/>
          <w:highlight w:val="lightGray"/>
        </w:rPr>
        <w:t>“, který je k dispozici na adrese</w:t>
      </w:r>
      <w:r>
        <w:t xml:space="preserve"> </w:t>
      </w:r>
      <w:hyperlink r:id="rId13">
        <w:r>
          <w:rPr>
            <w:highlight w:val="lightGray"/>
          </w:rPr>
          <w:t>https://ec.europa.eu/cefdigital/DSS/webapp-demo/validation</w:t>
        </w:r>
      </w:hyperlink>
      <w:r>
        <w:t>,</w:t>
      </w:r>
      <w:r>
        <w:rPr>
          <w:i/>
          <w:highlight w:val="lightGray"/>
        </w:rPr>
        <w:t xml:space="preserve"> s jehož pomocí lze ověřit platnost certifikátu zadáním čísla a typu platných podpisů v dokumentu</w:t>
      </w:r>
    </w:p>
    <w:p w14:paraId="4C363E86" w14:textId="114D5DCB" w:rsidR="00454D84" w:rsidRPr="002870DB" w:rsidRDefault="00454D84" w:rsidP="051D3D6B">
      <w:pPr>
        <w:pStyle w:val="ListParagraph"/>
        <w:numPr>
          <w:ilvl w:val="0"/>
          <w:numId w:val="32"/>
        </w:numPr>
        <w:rPr>
          <w:i/>
          <w:iCs/>
          <w:highlight w:val="lightGray"/>
        </w:rPr>
      </w:pPr>
      <w:r>
        <w:rPr>
          <w:i/>
          <w:highlight w:val="lightGray"/>
        </w:rPr>
        <w:lastRenderedPageBreak/>
        <w:t xml:space="preserve">nástroje „EU </w:t>
      </w:r>
      <w:proofErr w:type="spellStart"/>
      <w:r>
        <w:rPr>
          <w:i/>
          <w:highlight w:val="lightGray"/>
        </w:rPr>
        <w:t>Trusted</w:t>
      </w:r>
      <w:proofErr w:type="spellEnd"/>
      <w:r>
        <w:rPr>
          <w:i/>
          <w:highlight w:val="lightGray"/>
        </w:rPr>
        <w:t xml:space="preserve"> List Browser“, pomocí kterého lze ověřit, zda jsou poskytovatel elektronického podpisu a jím poskytovaná elektronická služba vytvářející důvěru uvedeny na seznamu důvěryhodných poskytovatelů vedeném Evropskou unií: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Abyste se ujistili, že kvalifikovaný elektronický podpis, který používáte, je v souladu s nařízením </w:t>
      </w:r>
      <w:proofErr w:type="spellStart"/>
      <w:r>
        <w:rPr>
          <w:i/>
          <w:highlight w:val="lightGray"/>
        </w:rPr>
        <w:t>eIDAS</w:t>
      </w:r>
      <w:proofErr w:type="spellEnd"/>
      <w:r>
        <w:rPr>
          <w:i/>
          <w:highlight w:val="lightGray"/>
        </w:rPr>
        <w:t xml:space="preserve">, musíte zkontrolovat, zda se poskytovatel služby i použitá služba generování kvalifikovaných certifikátů nacházejí na seznamu důvěryhodných poskytovatelů EU (EU </w:t>
      </w:r>
      <w:proofErr w:type="spellStart"/>
      <w:r>
        <w:rPr>
          <w:i/>
          <w:highlight w:val="lightGray"/>
        </w:rPr>
        <w:t>Trusted</w:t>
      </w:r>
      <w:proofErr w:type="spellEnd"/>
      <w:r>
        <w:rPr>
          <w:i/>
          <w:highlight w:val="lightGray"/>
        </w:rPr>
        <w:t xml:space="preserve">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Vlastnoručního podpisu:</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Nemáte-li možnost podepsat prohlášení pomocí kvalifikovaného elektronického podpisu, vyplňte je elektronicky, vytiskněte a opatřete datem a vlastnoručním podpisem oprávněného zástupce (oprávněných zástupců).</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Strana </w:t>
            </w:r>
            <w:r w:rsidRPr="00EC7E2B">
              <w:rPr>
                <w:sz w:val="20"/>
              </w:rPr>
              <w:fldChar w:fldCharType="begin"/>
            </w:r>
            <w:r w:rsidRPr="00EC7E2B">
              <w:rPr>
                <w:sz w:val="20"/>
              </w:rPr>
              <w:instrText xml:space="preserve"> PAGE </w:instrText>
            </w:r>
            <w:r w:rsidRPr="00EC7E2B">
              <w:rPr>
                <w:sz w:val="20"/>
              </w:rPr>
              <w:fldChar w:fldCharType="separate"/>
            </w:r>
            <w:r w:rsidR="00AB1D69">
              <w:rPr>
                <w:sz w:val="20"/>
              </w:rPr>
              <w:t>5</w:t>
            </w:r>
            <w:r w:rsidRPr="00EC7E2B">
              <w:rPr>
                <w:sz w:val="20"/>
              </w:rPr>
              <w:fldChar w:fldCharType="end"/>
            </w:r>
            <w:r>
              <w:rPr>
                <w:sz w:val="20"/>
              </w:rPr>
              <w:t xml:space="preserve"> z </w:t>
            </w:r>
            <w:r w:rsidRPr="00EC7E2B">
              <w:rPr>
                <w:sz w:val="20"/>
              </w:rPr>
              <w:fldChar w:fldCharType="begin"/>
            </w:r>
            <w:r w:rsidRPr="00EC7E2B">
              <w:rPr>
                <w:sz w:val="20"/>
              </w:rPr>
              <w:instrText xml:space="preserve"> NUMPAGES  </w:instrText>
            </w:r>
            <w:r w:rsidRPr="00EC7E2B">
              <w:rPr>
                <w:sz w:val="20"/>
              </w:rPr>
              <w:fldChar w:fldCharType="separate"/>
            </w:r>
            <w:r w:rsidR="00AB1D69">
              <w:rPr>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Tentýž orgán, agentura, instituce nebo úřad EU.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b/>
        </w:rPr>
        <w:t>„Zapojeným subjektem“</w:t>
      </w:r>
      <w:r>
        <w:t xml:space="preserve"> se rozumí každý hospodářský subjekt zapojený do žádosti o účast / nabídky.</w:t>
      </w:r>
      <w:r>
        <w:rPr>
          <w:sz w:val="20"/>
        </w:rPr>
        <w:t xml:space="preserve"> To zahrnuje tyto čtyři kategorie hospodářských subjektů:</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jediný zájemce/uchazeč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členové skupiny (včetně vedoucího skupiny) v případě společné žádosti o účast / nabídky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určení subdodavatelé a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jiné subjekty (které nejsou subdodavateli), jejichž způsobilosti zájemce/uchazeč využívá ke splnění kritérií pro výběr.</w:t>
      </w:r>
    </w:p>
    <w:p w14:paraId="5BE9C146" w14:textId="10CA3A5B" w:rsidR="00585B73" w:rsidRPr="00AE1C85" w:rsidRDefault="00585B73" w:rsidP="004C0A40">
      <w:pPr>
        <w:pStyle w:val="FootnoteText"/>
        <w:ind w:left="0" w:firstLine="0"/>
      </w:pPr>
    </w:p>
  </w:footnote>
  <w:footnote w:id="4">
    <w:p w14:paraId="60E27032" w14:textId="36A1F68E" w:rsidR="002254B5" w:rsidRPr="00295BCF" w:rsidRDefault="002254B5" w:rsidP="00295BCF">
      <w:pPr>
        <w:pStyle w:val="FootnoteText"/>
        <w:ind w:left="0" w:firstLine="0"/>
      </w:pPr>
      <w:r>
        <w:rPr>
          <w:rStyle w:val="FootnoteReference"/>
        </w:rPr>
        <w:footnoteRef/>
      </w:r>
      <w:r>
        <w:t xml:space="preserve"> Prohlášení podle tohoto bodu 2 je dobrovolné a nemůže mít pro hospodářský subjekt nepříznivé právní účinky, dokud nejsou splněny podmínky čl. 143 odst. 1 písm. a) finančního nařízení.</w:t>
      </w:r>
    </w:p>
  </w:footnote>
  <w:footnote w:id="5">
    <w:p w14:paraId="79038C83" w14:textId="46E5ADA1" w:rsidR="00585B73" w:rsidRPr="00EA6BA4" w:rsidRDefault="00585B73">
      <w:pPr>
        <w:pStyle w:val="FootnoteText"/>
      </w:pPr>
      <w:r>
        <w:rPr>
          <w:rStyle w:val="FootnoteReference"/>
        </w:rPr>
        <w:footnoteRef/>
      </w:r>
      <w:r>
        <w:t xml:space="preserve"> Tentýž orgán, agentura, instituce nebo úřad EU.</w:t>
      </w:r>
    </w:p>
  </w:footnote>
  <w:footnote w:id="6">
    <w:p w14:paraId="691476B8" w14:textId="175A7801" w:rsidR="00585B73" w:rsidRPr="00EA6BA4" w:rsidRDefault="00585B73" w:rsidP="0073022B">
      <w:pPr>
        <w:pStyle w:val="FootnoteText"/>
      </w:pPr>
      <w:r>
        <w:rPr>
          <w:rStyle w:val="FootnoteReference"/>
        </w:rPr>
        <w:footnoteRef/>
      </w:r>
      <w:r>
        <w:t xml:space="preserve"> Tentýž orgán, agentura, instituce nebo úřad EU.</w:t>
      </w:r>
    </w:p>
  </w:footnote>
  <w:footnote w:id="7">
    <w:p w14:paraId="778927A2" w14:textId="77777777" w:rsidR="0008506D" w:rsidRPr="00E07552" w:rsidRDefault="0008506D" w:rsidP="0008506D">
      <w:pPr>
        <w:pStyle w:val="FootnoteText"/>
      </w:pPr>
      <w:r>
        <w:rPr>
          <w:rStyle w:val="FootnoteReference"/>
        </w:rPr>
        <w:footnoteRef/>
      </w:r>
      <w:r>
        <w:t xml:space="preserve"> Upozorňujeme, že Úřední věstník EU obsahuje oficiální seznam a v případě konfliktu má jeho obsah přednost</w:t>
      </w:r>
    </w:p>
    <w:p w14:paraId="63C271E7" w14:textId="77777777" w:rsidR="0008506D" w:rsidRPr="00E07552" w:rsidRDefault="0008506D" w:rsidP="0008506D">
      <w:pPr>
        <w:pStyle w:val="FootnoteText"/>
      </w:pPr>
      <w:r>
        <w:t xml:space="preserve">před </w:t>
      </w:r>
      <w:hyperlink w:anchor="/main" w:history="1">
        <w:r>
          <w:rPr>
            <w:rStyle w:val="Hyperlink"/>
          </w:rPr>
          <w:t>mapou sankcí 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Znění z července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Znění z července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CFD6D88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84AC1A16"/>
    <w:lvl w:ilvl="0" w:tplc="1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73E"/>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2870"/>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C85"/>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1C85"/>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148"/>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cs-CZ"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cs-CZ"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cs-CZ"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cs-CZ"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cs-CZ"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Czech</TermName>
          <TermId xmlns="http://schemas.microsoft.com/office/infopath/2007/PartnerControls">00085949-881d-41ed-af30-b3674c5b4850</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2485</Value>
      <Value>1691</Value>
      <Value>122</Value>
      <Value>1708</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18853397-61E0-4A1B-B935-3AFE25504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5.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3405</Words>
  <Characters>19853</Characters>
  <Application>Microsoft Office Word</Application>
  <DocSecurity>0</DocSecurity>
  <Lines>551</Lines>
  <Paragraphs>342</Paragraphs>
  <ScaleCrop>false</ScaleCrop>
  <Company>European Commission</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2025-09-25T12:36:00Z</dcterms:created>
  <dcterms:modified xsi:type="dcterms:W3CDTF">2025-09-25T12:36:00Z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2485;#Czech|00085949-881d-41ed-af30-b3674c5b4850</vt:lpwstr>
  </property>
  <property fmtid="{D5CDD505-2E9C-101B-9397-08002B2CF9AE}" pid="18" name="Pillar">
    <vt:lpwstr>122;#LEGAL FRAMEWORK|9afda264-c8b9-45ff-9bb8-61ede7f6cb10</vt:lpwstr>
  </property>
</Properties>
</file>