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82C50" w:rsidRDefault="00A82C50" w:rsidP="00A82C50">
      <w:pPr>
        <w:jc w:val="center"/>
        <w:rPr>
          <w:b/>
          <w:sz w:val="32"/>
          <w:szCs w:val="32"/>
          <w:lang w:val="pt-PT"/>
        </w:rPr>
      </w:pPr>
      <w:r>
        <w:rPr>
          <w:b/>
          <w:sz w:val="32"/>
          <w:szCs w:val="32"/>
          <w:lang w:val="pt-PT"/>
        </w:rPr>
        <w:t>Frases e e</w:t>
      </w:r>
      <w:r w:rsidRPr="00572A34">
        <w:rPr>
          <w:b/>
          <w:sz w:val="32"/>
          <w:szCs w:val="32"/>
          <w:lang w:val="pt-PT"/>
        </w:rPr>
        <w:t xml:space="preserve">xpressões </w:t>
      </w:r>
      <w:r w:rsidR="00AF5A30">
        <w:rPr>
          <w:b/>
          <w:sz w:val="32"/>
          <w:szCs w:val="32"/>
          <w:lang w:val="pt-PT"/>
        </w:rPr>
        <w:t>frequentes</w:t>
      </w:r>
    </w:p>
    <w:p w:rsidR="00A82C50" w:rsidRDefault="00A82C50" w:rsidP="00A82C50">
      <w:pPr>
        <w:jc w:val="center"/>
        <w:rPr>
          <w:b/>
          <w:sz w:val="32"/>
          <w:szCs w:val="32"/>
          <w:lang w:val="pt-PT"/>
        </w:rPr>
      </w:pPr>
    </w:p>
    <w:tbl>
      <w:tblPr>
        <w:tblStyle w:val="TableGrid"/>
        <w:tblW w:w="9287" w:type="dxa"/>
        <w:jc w:val="center"/>
        <w:tblLook w:val="01E0" w:firstRow="1" w:lastRow="1" w:firstColumn="1" w:lastColumn="1" w:noHBand="0" w:noVBand="0"/>
      </w:tblPr>
      <w:tblGrid>
        <w:gridCol w:w="4643"/>
        <w:gridCol w:w="4644"/>
      </w:tblGrid>
      <w:tr w:rsidR="0001324C" w:rsidRPr="004217D0" w:rsidTr="0001324C">
        <w:trPr>
          <w:jc w:val="center"/>
        </w:trPr>
        <w:tc>
          <w:tcPr>
            <w:tcW w:w="4643" w:type="dxa"/>
            <w:shd w:val="clear" w:color="auto" w:fill="99CC00"/>
          </w:tcPr>
          <w:p w:rsidR="0001324C" w:rsidRPr="00D72641" w:rsidRDefault="0001324C" w:rsidP="0001324C">
            <w:pPr>
              <w:rPr>
                <w:b/>
                <w:sz w:val="28"/>
                <w:szCs w:val="28"/>
                <w:lang w:val="en-US"/>
              </w:rPr>
            </w:pPr>
            <w:r w:rsidRPr="00D72641">
              <w:rPr>
                <w:b/>
                <w:sz w:val="28"/>
                <w:szCs w:val="28"/>
                <w:lang w:val="en-US"/>
              </w:rPr>
              <w:t>EN</w:t>
            </w:r>
          </w:p>
        </w:tc>
        <w:tc>
          <w:tcPr>
            <w:tcW w:w="4644" w:type="dxa"/>
            <w:shd w:val="clear" w:color="auto" w:fill="99CC00"/>
          </w:tcPr>
          <w:p w:rsidR="0001324C" w:rsidRPr="004217D0" w:rsidRDefault="0001324C" w:rsidP="0001324C">
            <w:pPr>
              <w:rPr>
                <w:b/>
                <w:sz w:val="28"/>
                <w:szCs w:val="28"/>
                <w:lang w:val="pt-PT"/>
              </w:rPr>
            </w:pPr>
            <w:r w:rsidRPr="004217D0">
              <w:rPr>
                <w:b/>
                <w:sz w:val="28"/>
                <w:szCs w:val="28"/>
                <w:lang w:val="pt-PT"/>
              </w:rPr>
              <w:t>PT</w:t>
            </w:r>
          </w:p>
        </w:tc>
      </w:tr>
      <w:tr w:rsidR="0001324C" w:rsidRPr="004217D0" w:rsidTr="0001324C">
        <w:trPr>
          <w:jc w:val="center"/>
        </w:trPr>
        <w:tc>
          <w:tcPr>
            <w:tcW w:w="4643" w:type="dxa"/>
          </w:tcPr>
          <w:p w:rsidR="0001324C" w:rsidRPr="00D72641" w:rsidRDefault="0001324C" w:rsidP="0001324C">
            <w:pPr>
              <w:jc w:val="both"/>
              <w:rPr>
                <w:sz w:val="26"/>
                <w:szCs w:val="26"/>
                <w:lang w:val="en-US"/>
              </w:rPr>
            </w:pPr>
            <w:r w:rsidRPr="00D72641">
              <w:rPr>
                <w:sz w:val="26"/>
                <w:szCs w:val="26"/>
                <w:lang w:val="en-US"/>
              </w:rPr>
              <w:t>Annexes to this Convention [Protocol] shall form an integral part thereof and, unless expressly provided otherwise, a reference to this Convention [Protocol] constitutes at the same time a reference to any annexes thereto.</w:t>
            </w:r>
          </w:p>
        </w:tc>
        <w:tc>
          <w:tcPr>
            <w:tcW w:w="4644" w:type="dxa"/>
          </w:tcPr>
          <w:p w:rsidR="0001324C" w:rsidRDefault="0001324C" w:rsidP="0001324C">
            <w:pPr>
              <w:jc w:val="both"/>
              <w:rPr>
                <w:sz w:val="26"/>
                <w:szCs w:val="26"/>
                <w:lang w:val="pt-PT"/>
              </w:rPr>
            </w:pPr>
            <w:r>
              <w:rPr>
                <w:sz w:val="26"/>
                <w:szCs w:val="26"/>
                <w:lang w:val="pt-PT"/>
              </w:rPr>
              <w:t xml:space="preserve">Os anexos da presente Convenção [do presente Acordo/Protocolo] são dela [dele] parte integrante e, salvo disposição expressa em contrário, uma referência à presente Convenção [ao presente Acordo/Protocolo] constitui simultaneamente uma referência aos seus anexos.  </w:t>
            </w:r>
          </w:p>
        </w:tc>
      </w:tr>
      <w:tr w:rsidR="0001324C" w:rsidRPr="004217D0" w:rsidTr="0001324C">
        <w:trPr>
          <w:jc w:val="center"/>
        </w:trPr>
        <w:tc>
          <w:tcPr>
            <w:tcW w:w="4643" w:type="dxa"/>
          </w:tcPr>
          <w:p w:rsidR="0001324C" w:rsidRPr="00D72641" w:rsidRDefault="0001324C" w:rsidP="0001324C">
            <w:pPr>
              <w:jc w:val="both"/>
              <w:rPr>
                <w:sz w:val="26"/>
                <w:szCs w:val="26"/>
                <w:lang w:val="en-US"/>
              </w:rPr>
            </w:pPr>
            <w:r w:rsidRPr="00D72641">
              <w:rPr>
                <w:sz w:val="26"/>
                <w:szCs w:val="26"/>
                <w:lang w:val="en-US"/>
              </w:rPr>
              <w:t>[article] […] shall be renumbered […]</w:t>
            </w:r>
          </w:p>
        </w:tc>
        <w:tc>
          <w:tcPr>
            <w:tcW w:w="4644" w:type="dxa"/>
          </w:tcPr>
          <w:p w:rsidR="0001324C" w:rsidRPr="004217D0" w:rsidRDefault="0001324C" w:rsidP="0001324C">
            <w:pPr>
              <w:jc w:val="both"/>
              <w:rPr>
                <w:sz w:val="26"/>
                <w:szCs w:val="26"/>
                <w:lang w:val="pt-PT"/>
              </w:rPr>
            </w:pPr>
            <w:r>
              <w:rPr>
                <w:sz w:val="26"/>
                <w:szCs w:val="26"/>
                <w:lang w:val="pt-PT"/>
              </w:rPr>
              <w:t>[o artigo] […] passa a [artigo]</w:t>
            </w:r>
          </w:p>
        </w:tc>
      </w:tr>
      <w:tr w:rsidR="0001324C" w:rsidRPr="004217D0" w:rsidTr="0001324C">
        <w:trPr>
          <w:jc w:val="center"/>
        </w:trPr>
        <w:tc>
          <w:tcPr>
            <w:tcW w:w="4643" w:type="dxa"/>
          </w:tcPr>
          <w:p w:rsidR="0001324C" w:rsidRPr="00D72641" w:rsidRDefault="0001324C" w:rsidP="0001324C">
            <w:pPr>
              <w:jc w:val="both"/>
              <w:rPr>
                <w:sz w:val="26"/>
                <w:szCs w:val="26"/>
                <w:lang w:val="en-US"/>
              </w:rPr>
            </w:pPr>
            <w:r>
              <w:rPr>
                <w:sz w:val="26"/>
                <w:szCs w:val="26"/>
                <w:lang w:val="en-US"/>
              </w:rPr>
              <w:t>by common agreement between</w:t>
            </w:r>
          </w:p>
        </w:tc>
        <w:tc>
          <w:tcPr>
            <w:tcW w:w="4644" w:type="dxa"/>
          </w:tcPr>
          <w:p w:rsidR="0001324C" w:rsidRDefault="0001324C" w:rsidP="0001324C">
            <w:pPr>
              <w:jc w:val="both"/>
              <w:rPr>
                <w:sz w:val="26"/>
                <w:szCs w:val="26"/>
                <w:lang w:val="pt-PT"/>
              </w:rPr>
            </w:pPr>
            <w:r>
              <w:rPr>
                <w:sz w:val="26"/>
                <w:szCs w:val="26"/>
                <w:lang w:val="pt-PT"/>
              </w:rPr>
              <w:t>de comum acordo entre</w:t>
            </w:r>
          </w:p>
        </w:tc>
      </w:tr>
      <w:tr w:rsidR="0001324C" w:rsidRPr="004217D0" w:rsidTr="0001324C">
        <w:trPr>
          <w:jc w:val="center"/>
        </w:trPr>
        <w:tc>
          <w:tcPr>
            <w:tcW w:w="4643" w:type="dxa"/>
          </w:tcPr>
          <w:p w:rsidR="0001324C" w:rsidRPr="00C40EA2" w:rsidRDefault="0001324C" w:rsidP="0001324C">
            <w:pPr>
              <w:jc w:val="both"/>
              <w:rPr>
                <w:sz w:val="26"/>
                <w:szCs w:val="26"/>
                <w:lang w:val="en-US"/>
              </w:rPr>
            </w:pPr>
            <w:r w:rsidRPr="00C40EA2">
              <w:rPr>
                <w:sz w:val="26"/>
                <w:szCs w:val="26"/>
                <w:lang w:val="en-US"/>
              </w:rPr>
              <w:t>By way of derogation from</w:t>
            </w:r>
          </w:p>
        </w:tc>
        <w:tc>
          <w:tcPr>
            <w:tcW w:w="4644" w:type="dxa"/>
          </w:tcPr>
          <w:p w:rsidR="0001324C" w:rsidRDefault="0001324C" w:rsidP="0001324C">
            <w:pPr>
              <w:jc w:val="both"/>
              <w:rPr>
                <w:sz w:val="26"/>
                <w:szCs w:val="26"/>
                <w:lang w:val="pt-PT"/>
              </w:rPr>
            </w:pPr>
            <w:r>
              <w:rPr>
                <w:sz w:val="26"/>
                <w:szCs w:val="26"/>
                <w:lang w:val="pt-PT"/>
              </w:rPr>
              <w:t>Em derrogação de</w:t>
            </w:r>
          </w:p>
        </w:tc>
      </w:tr>
      <w:tr w:rsidR="0001324C" w:rsidRPr="004217D0" w:rsidTr="0001324C">
        <w:trPr>
          <w:jc w:val="center"/>
        </w:trPr>
        <w:tc>
          <w:tcPr>
            <w:tcW w:w="4643" w:type="dxa"/>
          </w:tcPr>
          <w:p w:rsidR="0001324C" w:rsidRPr="00D72641" w:rsidRDefault="0001324C" w:rsidP="0001324C">
            <w:pPr>
              <w:jc w:val="both"/>
              <w:rPr>
                <w:sz w:val="26"/>
                <w:szCs w:val="26"/>
                <w:lang w:val="en-US"/>
              </w:rPr>
            </w:pPr>
            <w:r w:rsidRPr="00D72641">
              <w:rPr>
                <w:sz w:val="26"/>
                <w:szCs w:val="26"/>
                <w:lang w:val="en-US"/>
              </w:rPr>
              <w:t xml:space="preserve">Council </w:t>
            </w:r>
            <w:r w:rsidRPr="007E3AB1">
              <w:rPr>
                <w:sz w:val="26"/>
                <w:szCs w:val="26"/>
              </w:rPr>
              <w:t>Decision authorising the Commission to negotiate…</w:t>
            </w:r>
          </w:p>
        </w:tc>
        <w:tc>
          <w:tcPr>
            <w:tcW w:w="4644" w:type="dxa"/>
          </w:tcPr>
          <w:p w:rsidR="0001324C" w:rsidRPr="004217D0" w:rsidRDefault="0001324C" w:rsidP="0001324C">
            <w:pPr>
              <w:jc w:val="both"/>
              <w:rPr>
                <w:sz w:val="26"/>
                <w:szCs w:val="26"/>
                <w:lang w:val="pt-PT"/>
              </w:rPr>
            </w:pPr>
            <w:r w:rsidRPr="004217D0">
              <w:rPr>
                <w:sz w:val="26"/>
                <w:szCs w:val="26"/>
                <w:lang w:val="pt-PT"/>
              </w:rPr>
              <w:t xml:space="preserve">Decisão do Conselho que autoriza a Comissão a negociar... </w:t>
            </w:r>
          </w:p>
        </w:tc>
      </w:tr>
      <w:tr w:rsidR="0001324C" w:rsidRPr="004217D0" w:rsidTr="0001324C">
        <w:trPr>
          <w:jc w:val="center"/>
        </w:trPr>
        <w:tc>
          <w:tcPr>
            <w:tcW w:w="4643" w:type="dxa"/>
          </w:tcPr>
          <w:p w:rsidR="0001324C" w:rsidRPr="00D72641" w:rsidRDefault="0001324C" w:rsidP="0001324C">
            <w:pPr>
              <w:rPr>
                <w:sz w:val="26"/>
                <w:szCs w:val="26"/>
                <w:lang w:val="en-US"/>
              </w:rPr>
            </w:pPr>
            <w:r w:rsidRPr="00D72641">
              <w:rPr>
                <w:sz w:val="26"/>
                <w:szCs w:val="26"/>
                <w:lang w:val="en-US"/>
              </w:rPr>
              <w:t>date of expiry of this Regulation</w:t>
            </w:r>
          </w:p>
        </w:tc>
        <w:tc>
          <w:tcPr>
            <w:tcW w:w="4644" w:type="dxa"/>
          </w:tcPr>
          <w:p w:rsidR="0001324C" w:rsidRPr="00D72641" w:rsidRDefault="0001324C" w:rsidP="0001324C">
            <w:pPr>
              <w:rPr>
                <w:sz w:val="26"/>
                <w:szCs w:val="26"/>
                <w:lang w:val="pt-PT"/>
              </w:rPr>
            </w:pPr>
            <w:r>
              <w:rPr>
                <w:sz w:val="26"/>
                <w:szCs w:val="26"/>
                <w:lang w:val="pt-PT"/>
              </w:rPr>
              <w:t>termo de vigência do presente regulamento</w:t>
            </w:r>
          </w:p>
        </w:tc>
      </w:tr>
      <w:tr w:rsidR="0001324C" w:rsidRPr="004217D0" w:rsidTr="0001324C">
        <w:trPr>
          <w:jc w:val="center"/>
        </w:trPr>
        <w:tc>
          <w:tcPr>
            <w:tcW w:w="4643" w:type="dxa"/>
          </w:tcPr>
          <w:p w:rsidR="0001324C" w:rsidRPr="00D72641" w:rsidRDefault="0001324C" w:rsidP="0001324C">
            <w:pPr>
              <w:rPr>
                <w:sz w:val="26"/>
                <w:szCs w:val="26"/>
                <w:lang w:val="en-US"/>
              </w:rPr>
            </w:pPr>
            <w:r>
              <w:rPr>
                <w:sz w:val="26"/>
                <w:szCs w:val="26"/>
                <w:lang w:val="en-US"/>
              </w:rPr>
              <w:t>derogating from Regulation</w:t>
            </w:r>
          </w:p>
        </w:tc>
        <w:tc>
          <w:tcPr>
            <w:tcW w:w="4644" w:type="dxa"/>
          </w:tcPr>
          <w:p w:rsidR="0001324C" w:rsidRDefault="0001324C" w:rsidP="0001324C">
            <w:pPr>
              <w:rPr>
                <w:sz w:val="26"/>
                <w:szCs w:val="26"/>
                <w:lang w:val="pt-PT"/>
              </w:rPr>
            </w:pPr>
            <w:r>
              <w:rPr>
                <w:sz w:val="26"/>
                <w:szCs w:val="26"/>
                <w:lang w:val="pt-PT"/>
              </w:rPr>
              <w:t>que derroga o Regulamento</w:t>
            </w:r>
          </w:p>
        </w:tc>
      </w:tr>
      <w:tr w:rsidR="0001324C" w:rsidRPr="004217D0" w:rsidTr="0001324C">
        <w:trPr>
          <w:jc w:val="center"/>
        </w:trPr>
        <w:tc>
          <w:tcPr>
            <w:tcW w:w="4643" w:type="dxa"/>
          </w:tcPr>
          <w:p w:rsidR="0001324C" w:rsidRPr="00D72641" w:rsidRDefault="0001324C" w:rsidP="0001324C">
            <w:pPr>
              <w:jc w:val="both"/>
              <w:rPr>
                <w:sz w:val="26"/>
                <w:szCs w:val="26"/>
                <w:lang w:val="en-US"/>
              </w:rPr>
            </w:pPr>
            <w:r w:rsidRPr="00D72641">
              <w:rPr>
                <w:bCs/>
                <w:sz w:val="26"/>
                <w:szCs w:val="26"/>
                <w:lang w:val="en-US"/>
              </w:rPr>
              <w:t>duly empowered to this effect</w:t>
            </w:r>
          </w:p>
        </w:tc>
        <w:tc>
          <w:tcPr>
            <w:tcW w:w="4644" w:type="dxa"/>
          </w:tcPr>
          <w:p w:rsidR="0001324C" w:rsidRPr="004217D0" w:rsidRDefault="0001324C" w:rsidP="0001324C">
            <w:pPr>
              <w:jc w:val="both"/>
              <w:rPr>
                <w:sz w:val="26"/>
                <w:szCs w:val="26"/>
                <w:lang w:val="pt-PT"/>
              </w:rPr>
            </w:pPr>
            <w:r w:rsidRPr="004217D0">
              <w:rPr>
                <w:sz w:val="26"/>
                <w:szCs w:val="26"/>
                <w:lang w:val="pt-PT"/>
              </w:rPr>
              <w:t>com os devidos poderes para o efeito</w:t>
            </w:r>
          </w:p>
        </w:tc>
      </w:tr>
      <w:tr w:rsidR="0001324C" w:rsidRPr="004217D0" w:rsidTr="0001324C">
        <w:trPr>
          <w:jc w:val="center"/>
        </w:trPr>
        <w:tc>
          <w:tcPr>
            <w:tcW w:w="4643" w:type="dxa"/>
          </w:tcPr>
          <w:p w:rsidR="0001324C" w:rsidRPr="00D72641" w:rsidRDefault="0001324C" w:rsidP="0001324C">
            <w:pPr>
              <w:jc w:val="both"/>
              <w:rPr>
                <w:bCs/>
                <w:sz w:val="26"/>
                <w:szCs w:val="26"/>
                <w:lang w:val="en-US"/>
              </w:rPr>
            </w:pPr>
            <w:r w:rsidRPr="00D72641">
              <w:rPr>
                <w:bCs/>
                <w:sz w:val="26"/>
                <w:szCs w:val="26"/>
                <w:lang w:val="en-US"/>
              </w:rPr>
              <w:t>each text [all ……texts] being equally authentic</w:t>
            </w:r>
          </w:p>
        </w:tc>
        <w:tc>
          <w:tcPr>
            <w:tcW w:w="4644" w:type="dxa"/>
          </w:tcPr>
          <w:p w:rsidR="0001324C" w:rsidRPr="002D76E7" w:rsidRDefault="0001324C" w:rsidP="0001324C">
            <w:pPr>
              <w:jc w:val="both"/>
              <w:rPr>
                <w:sz w:val="26"/>
                <w:szCs w:val="26"/>
                <w:lang w:val="pt-PT"/>
              </w:rPr>
            </w:pPr>
            <w:r w:rsidRPr="002D76E7">
              <w:rPr>
                <w:sz w:val="26"/>
                <w:szCs w:val="26"/>
                <w:lang w:val="pt-PT"/>
              </w:rPr>
              <w:t>fazendo igualmente fé todos os textos</w:t>
            </w:r>
          </w:p>
        </w:tc>
      </w:tr>
      <w:tr w:rsidR="0001324C" w:rsidRPr="004217D0" w:rsidTr="0001324C">
        <w:trPr>
          <w:jc w:val="center"/>
        </w:trPr>
        <w:tc>
          <w:tcPr>
            <w:tcW w:w="4643" w:type="dxa"/>
          </w:tcPr>
          <w:p w:rsidR="0001324C" w:rsidRPr="00C214A1" w:rsidRDefault="0001324C" w:rsidP="0001324C">
            <w:pPr>
              <w:jc w:val="both"/>
              <w:rPr>
                <w:sz w:val="26"/>
                <w:szCs w:val="26"/>
                <w:lang w:val="en-US"/>
              </w:rPr>
            </w:pPr>
            <w:r>
              <w:rPr>
                <w:sz w:val="26"/>
                <w:szCs w:val="26"/>
                <w:lang w:val="en-US"/>
              </w:rPr>
              <w:t>e</w:t>
            </w:r>
            <w:r w:rsidRPr="00C214A1">
              <w:rPr>
                <w:sz w:val="26"/>
                <w:szCs w:val="26"/>
                <w:lang w:val="en-US"/>
              </w:rPr>
              <w:t>xcept as provided for in Article X</w:t>
            </w:r>
          </w:p>
        </w:tc>
        <w:tc>
          <w:tcPr>
            <w:tcW w:w="4644" w:type="dxa"/>
          </w:tcPr>
          <w:p w:rsidR="0001324C" w:rsidRPr="00FC51B4" w:rsidRDefault="0001324C" w:rsidP="0001324C">
            <w:pPr>
              <w:jc w:val="both"/>
              <w:rPr>
                <w:sz w:val="26"/>
                <w:szCs w:val="26"/>
                <w:lang w:val="pt-PT"/>
              </w:rPr>
            </w:pPr>
            <w:r>
              <w:rPr>
                <w:sz w:val="26"/>
                <w:szCs w:val="26"/>
                <w:lang w:val="pt-PT"/>
              </w:rPr>
              <w:t xml:space="preserve">sob reserva do disposto no artigo </w:t>
            </w:r>
            <w:r w:rsidRPr="00FC51B4">
              <w:rPr>
                <w:sz w:val="26"/>
                <w:szCs w:val="26"/>
                <w:lang w:val="pt-PT"/>
              </w:rPr>
              <w:t>X</w:t>
            </w:r>
          </w:p>
        </w:tc>
      </w:tr>
      <w:tr w:rsidR="0001324C" w:rsidRPr="004217D0" w:rsidTr="0001324C">
        <w:trPr>
          <w:jc w:val="center"/>
        </w:trPr>
        <w:tc>
          <w:tcPr>
            <w:tcW w:w="4643" w:type="dxa"/>
          </w:tcPr>
          <w:p w:rsidR="0001324C" w:rsidRPr="00D72641" w:rsidRDefault="0001324C" w:rsidP="0001324C">
            <w:pPr>
              <w:jc w:val="both"/>
              <w:rPr>
                <w:sz w:val="26"/>
                <w:szCs w:val="26"/>
                <w:lang w:val="en-US"/>
              </w:rPr>
            </w:pPr>
            <w:r w:rsidRPr="00D72641">
              <w:rPr>
                <w:sz w:val="26"/>
                <w:szCs w:val="26"/>
                <w:lang w:val="en-US"/>
              </w:rPr>
              <w:t>Executive Summary</w:t>
            </w:r>
          </w:p>
        </w:tc>
        <w:tc>
          <w:tcPr>
            <w:tcW w:w="4644" w:type="dxa"/>
          </w:tcPr>
          <w:p w:rsidR="0001324C" w:rsidRPr="004217D0" w:rsidRDefault="0001324C" w:rsidP="0001324C">
            <w:pPr>
              <w:jc w:val="both"/>
              <w:rPr>
                <w:sz w:val="26"/>
                <w:szCs w:val="26"/>
                <w:lang w:val="pt-PT"/>
              </w:rPr>
            </w:pPr>
            <w:r w:rsidRPr="004217D0">
              <w:rPr>
                <w:sz w:val="26"/>
                <w:szCs w:val="26"/>
                <w:lang w:val="pt-PT"/>
              </w:rPr>
              <w:t>Resumo</w:t>
            </w:r>
          </w:p>
        </w:tc>
      </w:tr>
      <w:tr w:rsidR="0001324C" w:rsidRPr="004217D0" w:rsidTr="0001324C">
        <w:trPr>
          <w:jc w:val="center"/>
        </w:trPr>
        <w:tc>
          <w:tcPr>
            <w:tcW w:w="4643" w:type="dxa"/>
          </w:tcPr>
          <w:p w:rsidR="0001324C" w:rsidRPr="00D72641" w:rsidRDefault="0001324C" w:rsidP="0001324C">
            <w:pPr>
              <w:autoSpaceDE w:val="0"/>
              <w:autoSpaceDN w:val="0"/>
              <w:adjustRightInd w:val="0"/>
              <w:jc w:val="both"/>
              <w:rPr>
                <w:rFonts w:ascii="BookmanOldStyle" w:hAnsi="BookmanOldStyle" w:cs="BookmanOldStyle"/>
                <w:sz w:val="26"/>
                <w:szCs w:val="26"/>
                <w:lang w:val="en-US"/>
              </w:rPr>
            </w:pPr>
            <w:r w:rsidRPr="00D72641">
              <w:rPr>
                <w:rFonts w:ascii="BookmanOldStyle" w:hAnsi="BookmanOldStyle" w:cs="BookmanOldStyle"/>
                <w:sz w:val="26"/>
                <w:szCs w:val="26"/>
                <w:lang w:val="en-US"/>
              </w:rPr>
              <w:t xml:space="preserve">For publication/To be published </w:t>
            </w:r>
          </w:p>
        </w:tc>
        <w:tc>
          <w:tcPr>
            <w:tcW w:w="4644" w:type="dxa"/>
          </w:tcPr>
          <w:p w:rsidR="0001324C" w:rsidRPr="004217D0" w:rsidRDefault="0001324C" w:rsidP="0001324C">
            <w:pPr>
              <w:autoSpaceDE w:val="0"/>
              <w:autoSpaceDN w:val="0"/>
              <w:adjustRightInd w:val="0"/>
              <w:jc w:val="both"/>
              <w:rPr>
                <w:rFonts w:ascii="BookmanOldStyle" w:hAnsi="BookmanOldStyle" w:cs="BookmanOldStyle"/>
                <w:sz w:val="26"/>
                <w:szCs w:val="26"/>
                <w:lang w:val="pt-PT"/>
              </w:rPr>
            </w:pPr>
            <w:r w:rsidRPr="004217D0">
              <w:rPr>
                <w:rFonts w:ascii="BookmanOldStyle" w:hAnsi="BookmanOldStyle" w:cs="BookmanOldStyle"/>
                <w:sz w:val="26"/>
                <w:szCs w:val="26"/>
                <w:lang w:val="pt-PT"/>
              </w:rPr>
              <w:t>Para publicação</w:t>
            </w:r>
          </w:p>
        </w:tc>
      </w:tr>
      <w:tr w:rsidR="0001324C" w:rsidRPr="004217D0" w:rsidTr="0001324C">
        <w:trPr>
          <w:jc w:val="center"/>
        </w:trPr>
        <w:tc>
          <w:tcPr>
            <w:tcW w:w="4643" w:type="dxa"/>
          </w:tcPr>
          <w:p w:rsidR="0001324C" w:rsidRPr="00D72641" w:rsidRDefault="0001324C" w:rsidP="0001324C">
            <w:pPr>
              <w:autoSpaceDE w:val="0"/>
              <w:autoSpaceDN w:val="0"/>
              <w:adjustRightInd w:val="0"/>
              <w:jc w:val="both"/>
              <w:rPr>
                <w:rFonts w:ascii="BookmanOldStyle" w:hAnsi="BookmanOldStyle" w:cs="BookmanOldStyle"/>
                <w:sz w:val="26"/>
                <w:szCs w:val="26"/>
                <w:lang w:val="en-US"/>
              </w:rPr>
            </w:pPr>
            <w:r w:rsidRPr="00D72641">
              <w:rPr>
                <w:rFonts w:ascii="BookmanOldStyle" w:hAnsi="BookmanOldStyle" w:cs="BookmanOldStyle"/>
                <w:sz w:val="26"/>
                <w:szCs w:val="26"/>
                <w:lang w:val="en-US"/>
              </w:rPr>
              <w:t>granting a derogation from certain provisions</w:t>
            </w:r>
          </w:p>
        </w:tc>
        <w:tc>
          <w:tcPr>
            <w:tcW w:w="4644" w:type="dxa"/>
          </w:tcPr>
          <w:p w:rsidR="0001324C" w:rsidRPr="004217D0" w:rsidRDefault="0001324C" w:rsidP="0001324C">
            <w:pPr>
              <w:autoSpaceDE w:val="0"/>
              <w:autoSpaceDN w:val="0"/>
              <w:adjustRightInd w:val="0"/>
              <w:jc w:val="both"/>
              <w:rPr>
                <w:rFonts w:ascii="BookmanOldStyle" w:hAnsi="BookmanOldStyle" w:cs="BookmanOldStyle"/>
                <w:sz w:val="26"/>
                <w:szCs w:val="26"/>
                <w:lang w:val="pt-PT"/>
              </w:rPr>
            </w:pPr>
            <w:r>
              <w:rPr>
                <w:rFonts w:ascii="BookmanOldStyle" w:hAnsi="BookmanOldStyle" w:cs="BookmanOldStyle"/>
                <w:sz w:val="26"/>
                <w:szCs w:val="26"/>
                <w:lang w:val="pt-PT"/>
              </w:rPr>
              <w:t xml:space="preserve">que estabelece uma derrogação </w:t>
            </w:r>
            <w:r w:rsidR="005A0851">
              <w:rPr>
                <w:rFonts w:ascii="BookmanOldStyle" w:hAnsi="BookmanOldStyle" w:cs="BookmanOldStyle"/>
                <w:sz w:val="26"/>
                <w:szCs w:val="26"/>
                <w:lang w:val="pt-PT"/>
              </w:rPr>
              <w:t>de</w:t>
            </w:r>
            <w:r>
              <w:rPr>
                <w:rFonts w:ascii="BookmanOldStyle" w:hAnsi="BookmanOldStyle" w:cs="BookmanOldStyle"/>
                <w:sz w:val="26"/>
                <w:szCs w:val="26"/>
                <w:lang w:val="pt-PT"/>
              </w:rPr>
              <w:t xml:space="preserve"> determinadas disposições</w:t>
            </w:r>
          </w:p>
        </w:tc>
      </w:tr>
      <w:tr w:rsidR="004527A0" w:rsidRPr="004217D0" w:rsidTr="0001324C">
        <w:trPr>
          <w:jc w:val="center"/>
        </w:trPr>
        <w:tc>
          <w:tcPr>
            <w:tcW w:w="4643" w:type="dxa"/>
          </w:tcPr>
          <w:p w:rsidR="004527A0" w:rsidRDefault="004527A0" w:rsidP="004527A0">
            <w:pPr>
              <w:autoSpaceDE w:val="0"/>
              <w:autoSpaceDN w:val="0"/>
              <w:adjustRightInd w:val="0"/>
              <w:jc w:val="both"/>
              <w:rPr>
                <w:rFonts w:ascii="BookmanOldStyle" w:hAnsi="BookmanOldStyle" w:cs="BookmanOldStyle"/>
                <w:sz w:val="26"/>
                <w:szCs w:val="26"/>
                <w:lang w:val="en-US"/>
              </w:rPr>
            </w:pPr>
            <w:r>
              <w:rPr>
                <w:rFonts w:ascii="BookmanOldStyle" w:hAnsi="BookmanOldStyle" w:cs="BookmanOldStyle"/>
                <w:sz w:val="26"/>
                <w:szCs w:val="26"/>
                <w:lang w:val="en-US"/>
              </w:rPr>
              <w:t>hereinafter "[...]"</w:t>
            </w:r>
          </w:p>
          <w:p w:rsidR="004527A0" w:rsidRDefault="004527A0" w:rsidP="004527A0">
            <w:pPr>
              <w:autoSpaceDE w:val="0"/>
              <w:autoSpaceDN w:val="0"/>
              <w:adjustRightInd w:val="0"/>
              <w:jc w:val="both"/>
              <w:rPr>
                <w:rFonts w:ascii="BookmanOldStyle" w:hAnsi="BookmanOldStyle" w:cs="BookmanOldStyle"/>
                <w:sz w:val="26"/>
                <w:szCs w:val="26"/>
                <w:lang w:val="en-US"/>
              </w:rPr>
            </w:pPr>
            <w:r>
              <w:rPr>
                <w:rFonts w:ascii="BookmanOldStyle" w:hAnsi="BookmanOldStyle" w:cs="BookmanOldStyle"/>
                <w:sz w:val="26"/>
                <w:szCs w:val="26"/>
                <w:lang w:val="en-US"/>
              </w:rPr>
              <w:t>hereinafter called "[...]"</w:t>
            </w:r>
          </w:p>
          <w:p w:rsidR="004527A0" w:rsidRDefault="004527A0" w:rsidP="0001324C">
            <w:pPr>
              <w:autoSpaceDE w:val="0"/>
              <w:autoSpaceDN w:val="0"/>
              <w:adjustRightInd w:val="0"/>
              <w:jc w:val="both"/>
              <w:rPr>
                <w:rFonts w:ascii="BookmanOldStyle" w:hAnsi="BookmanOldStyle" w:cs="BookmanOldStyle"/>
                <w:sz w:val="26"/>
                <w:szCs w:val="26"/>
                <w:lang w:val="en-US"/>
              </w:rPr>
            </w:pPr>
            <w:r>
              <w:rPr>
                <w:rFonts w:ascii="BookmanOldStyle" w:hAnsi="BookmanOldStyle" w:cs="BookmanOldStyle"/>
                <w:sz w:val="26"/>
                <w:szCs w:val="26"/>
                <w:lang w:val="en-US"/>
              </w:rPr>
              <w:t>hereinafter referred to as "[...]"</w:t>
            </w:r>
          </w:p>
          <w:p w:rsidR="004527A0" w:rsidRPr="00D72641" w:rsidRDefault="004527A0" w:rsidP="0001324C">
            <w:pPr>
              <w:autoSpaceDE w:val="0"/>
              <w:autoSpaceDN w:val="0"/>
              <w:adjustRightInd w:val="0"/>
              <w:jc w:val="both"/>
              <w:rPr>
                <w:rFonts w:ascii="BookmanOldStyle" w:hAnsi="BookmanOldStyle" w:cs="BookmanOldStyle"/>
                <w:sz w:val="26"/>
                <w:szCs w:val="26"/>
                <w:lang w:val="en-US"/>
              </w:rPr>
            </w:pPr>
          </w:p>
        </w:tc>
        <w:tc>
          <w:tcPr>
            <w:tcW w:w="4644" w:type="dxa"/>
          </w:tcPr>
          <w:p w:rsidR="004527A0" w:rsidRDefault="004527A0" w:rsidP="0001324C">
            <w:pPr>
              <w:autoSpaceDE w:val="0"/>
              <w:autoSpaceDN w:val="0"/>
              <w:adjustRightInd w:val="0"/>
              <w:jc w:val="both"/>
              <w:rPr>
                <w:rFonts w:ascii="BookmanOldStyle" w:hAnsi="BookmanOldStyle" w:cs="BookmanOldStyle"/>
                <w:sz w:val="26"/>
                <w:szCs w:val="26"/>
                <w:lang w:val="pt-PT"/>
              </w:rPr>
            </w:pPr>
            <w:r>
              <w:rPr>
                <w:rFonts w:ascii="BookmanOldStyle" w:hAnsi="BookmanOldStyle" w:cs="BookmanOldStyle"/>
                <w:sz w:val="26"/>
                <w:szCs w:val="26"/>
                <w:lang w:val="pt-PT"/>
              </w:rPr>
              <w:t xml:space="preserve">a seguir denominado/os/a/as «[...]» </w:t>
            </w:r>
          </w:p>
        </w:tc>
      </w:tr>
      <w:tr w:rsidR="0001324C" w:rsidRPr="004217D0" w:rsidTr="0001324C">
        <w:trPr>
          <w:jc w:val="center"/>
        </w:trPr>
        <w:tc>
          <w:tcPr>
            <w:tcW w:w="4643" w:type="dxa"/>
          </w:tcPr>
          <w:p w:rsidR="0001324C" w:rsidRPr="00D72641" w:rsidRDefault="0001324C" w:rsidP="0001324C">
            <w:pPr>
              <w:jc w:val="both"/>
              <w:rPr>
                <w:sz w:val="26"/>
                <w:szCs w:val="26"/>
                <w:lang w:val="en-US"/>
              </w:rPr>
            </w:pPr>
            <w:r>
              <w:rPr>
                <w:sz w:val="26"/>
                <w:szCs w:val="26"/>
                <w:lang w:val="en-US"/>
              </w:rPr>
              <w:t>in agreement with</w:t>
            </w:r>
          </w:p>
        </w:tc>
        <w:tc>
          <w:tcPr>
            <w:tcW w:w="4644" w:type="dxa"/>
          </w:tcPr>
          <w:p w:rsidR="0001324C" w:rsidRPr="004217D0" w:rsidRDefault="0001324C" w:rsidP="0001324C">
            <w:pPr>
              <w:jc w:val="both"/>
              <w:rPr>
                <w:sz w:val="26"/>
                <w:szCs w:val="26"/>
                <w:lang w:val="pt-PT"/>
              </w:rPr>
            </w:pPr>
            <w:r>
              <w:rPr>
                <w:sz w:val="26"/>
                <w:szCs w:val="26"/>
                <w:lang w:val="pt-PT"/>
              </w:rPr>
              <w:t>de comum acordo com</w:t>
            </w:r>
          </w:p>
        </w:tc>
      </w:tr>
      <w:tr w:rsidR="0001324C" w:rsidRPr="004217D0" w:rsidTr="0001324C">
        <w:trPr>
          <w:jc w:val="center"/>
        </w:trPr>
        <w:tc>
          <w:tcPr>
            <w:tcW w:w="4643" w:type="dxa"/>
          </w:tcPr>
          <w:p w:rsidR="0001324C" w:rsidRPr="00D72641" w:rsidRDefault="0001324C" w:rsidP="0001324C">
            <w:pPr>
              <w:jc w:val="both"/>
              <w:rPr>
                <w:sz w:val="26"/>
                <w:szCs w:val="26"/>
                <w:lang w:val="en-US"/>
              </w:rPr>
            </w:pPr>
            <w:r w:rsidRPr="00D72641">
              <w:rPr>
                <w:sz w:val="26"/>
                <w:szCs w:val="26"/>
                <w:lang w:val="en-US"/>
              </w:rPr>
              <w:t xml:space="preserve">in order to bind the </w:t>
            </w:r>
            <w:r w:rsidR="007E3AB1">
              <w:rPr>
                <w:sz w:val="26"/>
                <w:szCs w:val="26"/>
                <w:lang w:val="en-US"/>
              </w:rPr>
              <w:t>Union</w:t>
            </w:r>
          </w:p>
        </w:tc>
        <w:tc>
          <w:tcPr>
            <w:tcW w:w="4644" w:type="dxa"/>
          </w:tcPr>
          <w:p w:rsidR="0001324C" w:rsidRPr="004217D0" w:rsidRDefault="0001324C" w:rsidP="0001324C">
            <w:pPr>
              <w:jc w:val="both"/>
              <w:rPr>
                <w:sz w:val="26"/>
                <w:szCs w:val="26"/>
                <w:lang w:val="pt-PT"/>
              </w:rPr>
            </w:pPr>
            <w:r w:rsidRPr="004217D0">
              <w:rPr>
                <w:sz w:val="26"/>
                <w:szCs w:val="26"/>
                <w:lang w:val="pt-PT"/>
              </w:rPr>
              <w:t xml:space="preserve">a fim de vincular a </w:t>
            </w:r>
            <w:r w:rsidR="007E3AB1">
              <w:rPr>
                <w:sz w:val="26"/>
                <w:szCs w:val="26"/>
                <w:lang w:val="pt-PT"/>
              </w:rPr>
              <w:t>União</w:t>
            </w:r>
          </w:p>
        </w:tc>
      </w:tr>
      <w:tr w:rsidR="0001324C" w:rsidRPr="004217D0" w:rsidTr="0001324C">
        <w:trPr>
          <w:jc w:val="center"/>
        </w:trPr>
        <w:tc>
          <w:tcPr>
            <w:tcW w:w="4643" w:type="dxa"/>
          </w:tcPr>
          <w:p w:rsidR="0001324C" w:rsidRPr="00D72641" w:rsidRDefault="0001324C" w:rsidP="0001324C">
            <w:pPr>
              <w:autoSpaceDE w:val="0"/>
              <w:autoSpaceDN w:val="0"/>
              <w:adjustRightInd w:val="0"/>
              <w:jc w:val="both"/>
              <w:rPr>
                <w:rFonts w:ascii="BookmanOldStyle" w:hAnsi="BookmanOldStyle" w:cs="BookmanOldStyle"/>
                <w:sz w:val="26"/>
                <w:szCs w:val="26"/>
                <w:lang w:val="en-US"/>
              </w:rPr>
            </w:pPr>
            <w:r w:rsidRPr="00D72641">
              <w:rPr>
                <w:sz w:val="26"/>
                <w:szCs w:val="26"/>
                <w:lang w:val="en-US"/>
              </w:rPr>
              <w:t>In order to ensure that the measures provided for in this Regulation are effective, this Regulation must enter into force immediately.</w:t>
            </w:r>
          </w:p>
        </w:tc>
        <w:tc>
          <w:tcPr>
            <w:tcW w:w="4644" w:type="dxa"/>
          </w:tcPr>
          <w:p w:rsidR="0001324C" w:rsidRPr="004217D0" w:rsidRDefault="0001324C" w:rsidP="0001324C">
            <w:pPr>
              <w:jc w:val="both"/>
              <w:rPr>
                <w:sz w:val="26"/>
                <w:szCs w:val="26"/>
                <w:lang w:val="pt-PT"/>
              </w:rPr>
            </w:pPr>
            <w:r w:rsidRPr="004217D0">
              <w:rPr>
                <w:sz w:val="26"/>
                <w:szCs w:val="26"/>
                <w:lang w:val="pt-PT"/>
              </w:rPr>
              <w:t>A fim de garantir a eficácia das medidas nele previstas, o presente regulamento deve entrar em vigor imediatamente.</w:t>
            </w:r>
          </w:p>
        </w:tc>
      </w:tr>
      <w:tr w:rsidR="0001324C" w:rsidRPr="004217D0" w:rsidTr="0001324C">
        <w:trPr>
          <w:jc w:val="center"/>
        </w:trPr>
        <w:tc>
          <w:tcPr>
            <w:tcW w:w="4643" w:type="dxa"/>
          </w:tcPr>
          <w:p w:rsidR="0001324C" w:rsidRPr="00D72641" w:rsidRDefault="0001324C" w:rsidP="0001324C">
            <w:pPr>
              <w:jc w:val="both"/>
              <w:rPr>
                <w:sz w:val="26"/>
                <w:szCs w:val="26"/>
                <w:lang w:val="en-US"/>
              </w:rPr>
            </w:pPr>
            <w:r w:rsidRPr="00D72641">
              <w:rPr>
                <w:sz w:val="26"/>
                <w:szCs w:val="26"/>
                <w:lang w:val="en-US"/>
              </w:rPr>
              <w:t xml:space="preserve">in order to express the consent of the [European] </w:t>
            </w:r>
            <w:r w:rsidR="007E3AB1">
              <w:rPr>
                <w:sz w:val="26"/>
                <w:szCs w:val="26"/>
                <w:lang w:val="en-US"/>
              </w:rPr>
              <w:t>Union</w:t>
            </w:r>
            <w:r w:rsidRPr="00D72641">
              <w:rPr>
                <w:sz w:val="26"/>
                <w:szCs w:val="26"/>
                <w:lang w:val="en-US"/>
              </w:rPr>
              <w:t xml:space="preserve"> to be bound</w:t>
            </w:r>
          </w:p>
        </w:tc>
        <w:tc>
          <w:tcPr>
            <w:tcW w:w="4644" w:type="dxa"/>
          </w:tcPr>
          <w:p w:rsidR="0001324C" w:rsidRPr="004217D0" w:rsidRDefault="0001324C" w:rsidP="0001324C">
            <w:pPr>
              <w:jc w:val="both"/>
              <w:rPr>
                <w:sz w:val="26"/>
                <w:szCs w:val="26"/>
                <w:lang w:val="pt-PT"/>
              </w:rPr>
            </w:pPr>
            <w:r w:rsidRPr="004217D0">
              <w:rPr>
                <w:sz w:val="26"/>
                <w:szCs w:val="26"/>
                <w:lang w:val="pt-PT"/>
              </w:rPr>
              <w:t xml:space="preserve">a fim de expressar o consentimento da </w:t>
            </w:r>
            <w:r w:rsidR="007E3AB1">
              <w:rPr>
                <w:sz w:val="26"/>
                <w:szCs w:val="26"/>
                <w:lang w:val="pt-PT"/>
              </w:rPr>
              <w:t>União</w:t>
            </w:r>
            <w:r w:rsidRPr="004217D0">
              <w:rPr>
                <w:sz w:val="26"/>
                <w:szCs w:val="26"/>
                <w:lang w:val="pt-PT"/>
              </w:rPr>
              <w:t xml:space="preserve"> [Europeia] em ficar vinculada</w:t>
            </w:r>
          </w:p>
        </w:tc>
      </w:tr>
      <w:tr w:rsidR="0001324C" w:rsidRPr="004217D0" w:rsidTr="0001324C">
        <w:trPr>
          <w:jc w:val="center"/>
        </w:trPr>
        <w:tc>
          <w:tcPr>
            <w:tcW w:w="4643" w:type="dxa"/>
          </w:tcPr>
          <w:p w:rsidR="0001324C" w:rsidRPr="00D72641" w:rsidRDefault="0001324C" w:rsidP="0001324C">
            <w:pPr>
              <w:jc w:val="both"/>
              <w:rPr>
                <w:sz w:val="26"/>
                <w:szCs w:val="26"/>
                <w:lang w:val="en-US"/>
              </w:rPr>
            </w:pPr>
            <w:r w:rsidRPr="00D72641">
              <w:rPr>
                <w:sz w:val="26"/>
                <w:szCs w:val="26"/>
                <w:lang w:val="en-US"/>
              </w:rPr>
              <w:t>Memorandum of Understanding</w:t>
            </w:r>
          </w:p>
        </w:tc>
        <w:tc>
          <w:tcPr>
            <w:tcW w:w="4644" w:type="dxa"/>
          </w:tcPr>
          <w:p w:rsidR="0001324C" w:rsidRPr="004217D0" w:rsidRDefault="0001324C" w:rsidP="0001324C">
            <w:pPr>
              <w:jc w:val="both"/>
              <w:rPr>
                <w:sz w:val="26"/>
                <w:szCs w:val="26"/>
                <w:lang w:val="pt-PT"/>
              </w:rPr>
            </w:pPr>
            <w:r>
              <w:rPr>
                <w:sz w:val="26"/>
                <w:szCs w:val="26"/>
                <w:lang w:val="pt-PT"/>
              </w:rPr>
              <w:t>Memorando de Entendimento</w:t>
            </w:r>
          </w:p>
        </w:tc>
      </w:tr>
      <w:tr w:rsidR="0001324C" w:rsidRPr="004217D0" w:rsidTr="0001324C">
        <w:trPr>
          <w:jc w:val="center"/>
        </w:trPr>
        <w:tc>
          <w:tcPr>
            <w:tcW w:w="4643" w:type="dxa"/>
          </w:tcPr>
          <w:p w:rsidR="0001324C" w:rsidRPr="00D72641" w:rsidRDefault="0001324C" w:rsidP="0001324C">
            <w:pPr>
              <w:autoSpaceDE w:val="0"/>
              <w:autoSpaceDN w:val="0"/>
              <w:adjustRightInd w:val="0"/>
              <w:jc w:val="both"/>
              <w:rPr>
                <w:rFonts w:ascii="BookmanOldStyle" w:hAnsi="BookmanOldStyle" w:cs="BookmanOldStyle"/>
                <w:sz w:val="26"/>
                <w:szCs w:val="26"/>
                <w:lang w:val="en-US"/>
              </w:rPr>
            </w:pPr>
            <w:r w:rsidRPr="00D72641">
              <w:rPr>
                <w:rFonts w:ascii="BookmanOldStyle" w:hAnsi="BookmanOldStyle" w:cs="BookmanOldStyle"/>
                <w:sz w:val="26"/>
                <w:szCs w:val="26"/>
                <w:lang w:val="en-US"/>
              </w:rPr>
              <w:t>Not for publication/Not to be published</w:t>
            </w:r>
          </w:p>
        </w:tc>
        <w:tc>
          <w:tcPr>
            <w:tcW w:w="4644" w:type="dxa"/>
          </w:tcPr>
          <w:p w:rsidR="0001324C" w:rsidRPr="004217D0" w:rsidRDefault="0001324C" w:rsidP="0001324C">
            <w:pPr>
              <w:jc w:val="both"/>
              <w:rPr>
                <w:sz w:val="26"/>
                <w:szCs w:val="26"/>
                <w:lang w:val="pt-PT"/>
              </w:rPr>
            </w:pPr>
            <w:r w:rsidRPr="004217D0">
              <w:rPr>
                <w:rFonts w:ascii="BookmanOldStyle" w:hAnsi="BookmanOldStyle" w:cs="BookmanOldStyle"/>
                <w:sz w:val="26"/>
                <w:szCs w:val="26"/>
                <w:lang w:val="pt-PT"/>
              </w:rPr>
              <w:t>Não se destina a publicação</w:t>
            </w:r>
          </w:p>
        </w:tc>
      </w:tr>
      <w:tr w:rsidR="0001324C" w:rsidRPr="004217D0" w:rsidTr="0001324C">
        <w:trPr>
          <w:jc w:val="center"/>
        </w:trPr>
        <w:tc>
          <w:tcPr>
            <w:tcW w:w="4643" w:type="dxa"/>
          </w:tcPr>
          <w:p w:rsidR="0001324C" w:rsidRPr="00D72641" w:rsidRDefault="0001324C" w:rsidP="0001324C">
            <w:pPr>
              <w:jc w:val="both"/>
              <w:rPr>
                <w:sz w:val="26"/>
                <w:szCs w:val="26"/>
                <w:lang w:val="en-US"/>
              </w:rPr>
            </w:pPr>
            <w:r w:rsidRPr="00D72641">
              <w:rPr>
                <w:sz w:val="26"/>
                <w:szCs w:val="26"/>
                <w:lang w:val="en-US"/>
              </w:rPr>
              <w:t>Only the […] text is authentic</w:t>
            </w:r>
          </w:p>
        </w:tc>
        <w:tc>
          <w:tcPr>
            <w:tcW w:w="4644" w:type="dxa"/>
          </w:tcPr>
          <w:p w:rsidR="0001324C" w:rsidRPr="004217D0" w:rsidRDefault="0001324C" w:rsidP="0001324C">
            <w:pPr>
              <w:jc w:val="both"/>
              <w:rPr>
                <w:sz w:val="26"/>
                <w:szCs w:val="26"/>
                <w:lang w:val="pt-PT"/>
              </w:rPr>
            </w:pPr>
            <w:r w:rsidRPr="004217D0">
              <w:rPr>
                <w:sz w:val="26"/>
                <w:szCs w:val="26"/>
                <w:lang w:val="pt-PT"/>
              </w:rPr>
              <w:t>Apenas faz fé o texto em língua [….]</w:t>
            </w:r>
          </w:p>
        </w:tc>
      </w:tr>
      <w:tr w:rsidR="0001324C" w:rsidRPr="004217D0" w:rsidTr="0001324C">
        <w:trPr>
          <w:jc w:val="center"/>
        </w:trPr>
        <w:tc>
          <w:tcPr>
            <w:tcW w:w="4643" w:type="dxa"/>
          </w:tcPr>
          <w:p w:rsidR="0001324C" w:rsidRPr="00D72641" w:rsidRDefault="0001324C" w:rsidP="0001324C">
            <w:pPr>
              <w:jc w:val="both"/>
              <w:rPr>
                <w:sz w:val="26"/>
                <w:szCs w:val="26"/>
                <w:lang w:val="en-US"/>
              </w:rPr>
            </w:pPr>
            <w:r w:rsidRPr="00D72641">
              <w:rPr>
                <w:sz w:val="26"/>
                <w:szCs w:val="26"/>
                <w:lang w:val="en-US"/>
              </w:rPr>
              <w:t>Only the […] texts are authentic</w:t>
            </w:r>
          </w:p>
        </w:tc>
        <w:tc>
          <w:tcPr>
            <w:tcW w:w="4644" w:type="dxa"/>
          </w:tcPr>
          <w:p w:rsidR="0001324C" w:rsidRPr="004217D0" w:rsidRDefault="0001324C" w:rsidP="0001324C">
            <w:pPr>
              <w:jc w:val="both"/>
              <w:rPr>
                <w:sz w:val="26"/>
                <w:szCs w:val="26"/>
                <w:lang w:val="pt-PT"/>
              </w:rPr>
            </w:pPr>
            <w:r w:rsidRPr="004217D0">
              <w:rPr>
                <w:sz w:val="26"/>
                <w:szCs w:val="26"/>
                <w:lang w:val="pt-PT"/>
              </w:rPr>
              <w:t>Apenas fazem fé os textos nas línguas [….]</w:t>
            </w:r>
          </w:p>
        </w:tc>
      </w:tr>
      <w:tr w:rsidR="0001324C" w:rsidRPr="004217D0" w:rsidTr="0001324C">
        <w:trPr>
          <w:jc w:val="center"/>
        </w:trPr>
        <w:tc>
          <w:tcPr>
            <w:tcW w:w="4643" w:type="dxa"/>
          </w:tcPr>
          <w:p w:rsidR="0001324C" w:rsidRPr="00D72641" w:rsidRDefault="0001324C" w:rsidP="0001324C">
            <w:pPr>
              <w:jc w:val="both"/>
              <w:rPr>
                <w:sz w:val="26"/>
                <w:szCs w:val="26"/>
                <w:lang w:val="en-US"/>
              </w:rPr>
            </w:pPr>
            <w:r w:rsidRPr="00D72641">
              <w:rPr>
                <w:sz w:val="26"/>
                <w:szCs w:val="26"/>
                <w:lang w:val="en-US"/>
              </w:rPr>
              <w:t xml:space="preserve">person </w:t>
            </w:r>
            <w:r w:rsidRPr="00D72641">
              <w:rPr>
                <w:bCs/>
                <w:sz w:val="26"/>
                <w:szCs w:val="26"/>
                <w:lang w:val="en-US"/>
              </w:rPr>
              <w:t>empowered to sign</w:t>
            </w:r>
          </w:p>
        </w:tc>
        <w:tc>
          <w:tcPr>
            <w:tcW w:w="4644" w:type="dxa"/>
          </w:tcPr>
          <w:p w:rsidR="0001324C" w:rsidRPr="004217D0" w:rsidRDefault="0001324C" w:rsidP="0001324C">
            <w:pPr>
              <w:jc w:val="both"/>
              <w:rPr>
                <w:sz w:val="26"/>
                <w:szCs w:val="26"/>
                <w:lang w:val="pt-PT"/>
              </w:rPr>
            </w:pPr>
            <w:r w:rsidRPr="004217D0">
              <w:rPr>
                <w:sz w:val="26"/>
                <w:szCs w:val="26"/>
                <w:lang w:val="pt-PT"/>
              </w:rPr>
              <w:t>pessoa com poderes para assinar</w:t>
            </w:r>
          </w:p>
        </w:tc>
      </w:tr>
      <w:tr w:rsidR="0001324C" w:rsidRPr="004217D0" w:rsidTr="0001324C">
        <w:trPr>
          <w:jc w:val="center"/>
        </w:trPr>
        <w:tc>
          <w:tcPr>
            <w:tcW w:w="4643" w:type="dxa"/>
          </w:tcPr>
          <w:p w:rsidR="0001324C" w:rsidRPr="00D72641" w:rsidRDefault="0001324C" w:rsidP="0001324C">
            <w:pPr>
              <w:jc w:val="both"/>
              <w:rPr>
                <w:sz w:val="26"/>
                <w:szCs w:val="26"/>
                <w:lang w:val="en-US"/>
              </w:rPr>
            </w:pPr>
            <w:r w:rsidRPr="00D72641">
              <w:rPr>
                <w:sz w:val="26"/>
                <w:szCs w:val="26"/>
                <w:lang w:val="en-US"/>
              </w:rPr>
              <w:lastRenderedPageBreak/>
              <w:t>Recommendation from the Commission to the Council to authorise the Commission to open negotiations…</w:t>
            </w:r>
          </w:p>
        </w:tc>
        <w:tc>
          <w:tcPr>
            <w:tcW w:w="4644" w:type="dxa"/>
          </w:tcPr>
          <w:p w:rsidR="0001324C" w:rsidRPr="004217D0" w:rsidRDefault="0001324C" w:rsidP="0001324C">
            <w:pPr>
              <w:jc w:val="both"/>
              <w:rPr>
                <w:sz w:val="26"/>
                <w:szCs w:val="26"/>
                <w:lang w:val="pt-PT"/>
              </w:rPr>
            </w:pPr>
            <w:r w:rsidRPr="004217D0">
              <w:rPr>
                <w:sz w:val="26"/>
                <w:szCs w:val="26"/>
                <w:lang w:val="pt-PT"/>
              </w:rPr>
              <w:t>Recomendação da Comissão ao Conselho no sentido de autorizar a Comissão a encetar negociações…</w:t>
            </w:r>
          </w:p>
        </w:tc>
      </w:tr>
      <w:tr w:rsidR="00475D84" w:rsidRPr="004217D0" w:rsidTr="0001324C">
        <w:trPr>
          <w:jc w:val="center"/>
        </w:trPr>
        <w:tc>
          <w:tcPr>
            <w:tcW w:w="4643" w:type="dxa"/>
          </w:tcPr>
          <w:p w:rsidR="00475D84" w:rsidRPr="00475D84" w:rsidRDefault="00475D84" w:rsidP="0001324C">
            <w:pPr>
              <w:jc w:val="both"/>
              <w:rPr>
                <w:sz w:val="26"/>
                <w:szCs w:val="26"/>
                <w:lang w:val="en-US"/>
              </w:rPr>
            </w:pPr>
            <w:r w:rsidRPr="00475D84">
              <w:rPr>
                <w:sz w:val="26"/>
                <w:szCs w:val="26"/>
                <w:lang w:val="en-US"/>
              </w:rPr>
              <w:t>References to provisions of the instruments in the Annex shall be construed as being made to those provisions as adapted by this Regulation</w:t>
            </w:r>
            <w:r>
              <w:rPr>
                <w:sz w:val="26"/>
                <w:szCs w:val="26"/>
                <w:lang w:val="en-US"/>
              </w:rPr>
              <w:t>.</w:t>
            </w:r>
          </w:p>
        </w:tc>
        <w:tc>
          <w:tcPr>
            <w:tcW w:w="4644" w:type="dxa"/>
          </w:tcPr>
          <w:p w:rsidR="00475D84" w:rsidRPr="00475D84" w:rsidRDefault="00475D84" w:rsidP="0001324C">
            <w:pPr>
              <w:jc w:val="both"/>
              <w:rPr>
                <w:sz w:val="26"/>
                <w:szCs w:val="26"/>
                <w:lang w:val="pt-PT"/>
              </w:rPr>
            </w:pPr>
            <w:r w:rsidRPr="00475D84">
              <w:rPr>
                <w:sz w:val="26"/>
                <w:szCs w:val="26"/>
                <w:lang w:val="pt-PT"/>
              </w:rPr>
              <w:t>As re</w:t>
            </w:r>
            <w:r w:rsidR="00710B85">
              <w:rPr>
                <w:sz w:val="26"/>
                <w:szCs w:val="26"/>
                <w:lang w:val="pt-PT"/>
              </w:rPr>
              <w:t>missões para as</w:t>
            </w:r>
            <w:r w:rsidRPr="00475D84">
              <w:rPr>
                <w:sz w:val="26"/>
                <w:szCs w:val="26"/>
                <w:lang w:val="pt-PT"/>
              </w:rPr>
              <w:t xml:space="preserve"> disposições dos actos indicados no anexo devem entender</w:t>
            </w:r>
            <w:r w:rsidR="002D668D">
              <w:rPr>
                <w:sz w:val="26"/>
                <w:szCs w:val="26"/>
                <w:lang w:val="pt-PT"/>
              </w:rPr>
              <w:noBreakHyphen/>
            </w:r>
            <w:r w:rsidRPr="00475D84">
              <w:rPr>
                <w:sz w:val="26"/>
                <w:szCs w:val="26"/>
                <w:lang w:val="pt-PT"/>
              </w:rPr>
              <w:t xml:space="preserve">se como </w:t>
            </w:r>
            <w:r w:rsidR="006C7518">
              <w:rPr>
                <w:sz w:val="26"/>
                <w:szCs w:val="26"/>
                <w:lang w:val="pt-PT"/>
              </w:rPr>
              <w:t xml:space="preserve">remissões </w:t>
            </w:r>
            <w:r w:rsidRPr="00475D84">
              <w:rPr>
                <w:sz w:val="26"/>
                <w:szCs w:val="26"/>
                <w:lang w:val="pt-PT"/>
              </w:rPr>
              <w:t>para essas disposições com a redacção que lhes é dada pelo presente regulamento.</w:t>
            </w:r>
          </w:p>
        </w:tc>
      </w:tr>
      <w:tr w:rsidR="0001324C" w:rsidRPr="004217D0" w:rsidTr="0001324C">
        <w:trPr>
          <w:jc w:val="center"/>
        </w:trPr>
        <w:tc>
          <w:tcPr>
            <w:tcW w:w="4643" w:type="dxa"/>
          </w:tcPr>
          <w:p w:rsidR="0001324C" w:rsidRPr="00D72641" w:rsidRDefault="0001324C" w:rsidP="0001324C">
            <w:pPr>
              <w:jc w:val="both"/>
              <w:rPr>
                <w:sz w:val="26"/>
                <w:szCs w:val="26"/>
                <w:lang w:val="en-US"/>
              </w:rPr>
            </w:pPr>
            <w:r w:rsidRPr="00D72641">
              <w:rPr>
                <w:sz w:val="26"/>
                <w:szCs w:val="26"/>
                <w:lang w:val="en-US"/>
              </w:rPr>
              <w:t>Summary of the Impact Assessment</w:t>
            </w:r>
          </w:p>
        </w:tc>
        <w:tc>
          <w:tcPr>
            <w:tcW w:w="4644" w:type="dxa"/>
          </w:tcPr>
          <w:p w:rsidR="0001324C" w:rsidRPr="004217D0" w:rsidRDefault="0001324C" w:rsidP="0001324C">
            <w:pPr>
              <w:jc w:val="both"/>
              <w:rPr>
                <w:sz w:val="26"/>
                <w:szCs w:val="26"/>
                <w:lang w:val="pt-PT"/>
              </w:rPr>
            </w:pPr>
            <w:r w:rsidRPr="004217D0">
              <w:rPr>
                <w:sz w:val="26"/>
                <w:szCs w:val="26"/>
                <w:lang w:val="pt-PT"/>
              </w:rPr>
              <w:t>Resumo da Avaliação de Impacto</w:t>
            </w:r>
          </w:p>
        </w:tc>
      </w:tr>
      <w:tr w:rsidR="0001324C" w:rsidRPr="004217D0" w:rsidTr="0001324C">
        <w:trPr>
          <w:jc w:val="center"/>
        </w:trPr>
        <w:tc>
          <w:tcPr>
            <w:tcW w:w="4643" w:type="dxa"/>
          </w:tcPr>
          <w:p w:rsidR="0001324C" w:rsidRPr="00D72641" w:rsidRDefault="0001324C" w:rsidP="0001324C">
            <w:pPr>
              <w:jc w:val="both"/>
              <w:rPr>
                <w:sz w:val="26"/>
                <w:szCs w:val="26"/>
                <w:lang w:val="en-US"/>
              </w:rPr>
            </w:pPr>
            <w:r w:rsidRPr="00D72641">
              <w:rPr>
                <w:sz w:val="26"/>
                <w:szCs w:val="26"/>
                <w:lang w:val="en-US"/>
              </w:rPr>
              <w:t>(Text with EEA relevance)</w:t>
            </w:r>
          </w:p>
        </w:tc>
        <w:tc>
          <w:tcPr>
            <w:tcW w:w="4644" w:type="dxa"/>
          </w:tcPr>
          <w:p w:rsidR="0001324C" w:rsidRPr="004217D0" w:rsidRDefault="0001324C" w:rsidP="0001324C">
            <w:pPr>
              <w:jc w:val="both"/>
              <w:rPr>
                <w:sz w:val="26"/>
                <w:szCs w:val="26"/>
                <w:lang w:val="pt-PT"/>
              </w:rPr>
            </w:pPr>
            <w:r w:rsidRPr="004217D0">
              <w:rPr>
                <w:sz w:val="26"/>
                <w:szCs w:val="26"/>
                <w:lang w:val="pt-PT"/>
              </w:rPr>
              <w:t>(Texto relevante para efeitos do EEE)</w:t>
            </w:r>
          </w:p>
        </w:tc>
      </w:tr>
      <w:tr w:rsidR="0001324C" w:rsidRPr="004217D0" w:rsidTr="0001324C">
        <w:trPr>
          <w:jc w:val="center"/>
        </w:trPr>
        <w:tc>
          <w:tcPr>
            <w:tcW w:w="4643" w:type="dxa"/>
          </w:tcPr>
          <w:p w:rsidR="0001324C" w:rsidRPr="00D72641" w:rsidRDefault="0001324C" w:rsidP="0001324C">
            <w:pPr>
              <w:jc w:val="both"/>
              <w:rPr>
                <w:sz w:val="26"/>
                <w:szCs w:val="26"/>
                <w:lang w:val="en-US"/>
              </w:rPr>
            </w:pPr>
            <w:r w:rsidRPr="00D72641">
              <w:rPr>
                <w:sz w:val="26"/>
                <w:szCs w:val="26"/>
                <w:lang w:val="en-US"/>
              </w:rPr>
              <w:t>This Protocol shall enter into force on [from] the first day of the first month following the date of the deposit of the last instrument of approval [or ratification].</w:t>
            </w:r>
          </w:p>
        </w:tc>
        <w:tc>
          <w:tcPr>
            <w:tcW w:w="4644" w:type="dxa"/>
          </w:tcPr>
          <w:p w:rsidR="0001324C" w:rsidRPr="008524FE" w:rsidRDefault="0001324C" w:rsidP="0001324C">
            <w:pPr>
              <w:jc w:val="both"/>
              <w:rPr>
                <w:sz w:val="26"/>
                <w:szCs w:val="26"/>
                <w:lang w:val="pt-PT"/>
              </w:rPr>
            </w:pPr>
            <w:r w:rsidRPr="008524FE">
              <w:rPr>
                <w:sz w:val="26"/>
                <w:szCs w:val="26"/>
                <w:lang w:val="pt-PT"/>
              </w:rPr>
              <w:t>O presente Protocolo entra em vigor no primeiro dia do mês seguinte ao do depósito do último instrumento de aprovação</w:t>
            </w:r>
            <w:r>
              <w:rPr>
                <w:sz w:val="26"/>
                <w:szCs w:val="26"/>
                <w:lang w:val="pt-PT"/>
              </w:rPr>
              <w:t xml:space="preserve"> [ou ratificação].</w:t>
            </w:r>
          </w:p>
        </w:tc>
      </w:tr>
      <w:tr w:rsidR="0001324C" w:rsidRPr="004217D0" w:rsidTr="0001324C">
        <w:trPr>
          <w:jc w:val="center"/>
        </w:trPr>
        <w:tc>
          <w:tcPr>
            <w:tcW w:w="4643" w:type="dxa"/>
          </w:tcPr>
          <w:p w:rsidR="0001324C" w:rsidRPr="00D72641" w:rsidRDefault="0001324C" w:rsidP="0001324C">
            <w:pPr>
              <w:jc w:val="both"/>
              <w:rPr>
                <w:sz w:val="26"/>
                <w:szCs w:val="26"/>
                <w:lang w:val="en-US"/>
              </w:rPr>
            </w:pPr>
            <w:r w:rsidRPr="00D72641">
              <w:rPr>
                <w:sz w:val="26"/>
                <w:szCs w:val="26"/>
                <w:lang w:val="en-US"/>
              </w:rPr>
              <w:t>This Protocol shall enter into force on the first day of the month following the date on which the Parties notify each other through diplomatic channels of the completion of their procedures necessary for its entry into force.</w:t>
            </w:r>
          </w:p>
        </w:tc>
        <w:tc>
          <w:tcPr>
            <w:tcW w:w="4644" w:type="dxa"/>
          </w:tcPr>
          <w:p w:rsidR="0001324C" w:rsidRPr="006D2610" w:rsidRDefault="0001324C" w:rsidP="0001324C">
            <w:pPr>
              <w:jc w:val="both"/>
              <w:rPr>
                <w:sz w:val="26"/>
                <w:szCs w:val="26"/>
                <w:lang w:val="pt-PT"/>
              </w:rPr>
            </w:pPr>
            <w:r w:rsidRPr="006D2610">
              <w:rPr>
                <w:sz w:val="26"/>
                <w:szCs w:val="26"/>
                <w:lang w:val="pt-PT"/>
              </w:rPr>
              <w:t>O presente Protocolo entra em vigor no primeiro dia do mês seguinte ao da notificação recíproca pelas Partes, por via diplomática, da conclusão das formalidades necessárias para a sua entrada em vigor.</w:t>
            </w:r>
          </w:p>
        </w:tc>
      </w:tr>
      <w:tr w:rsidR="0001324C" w:rsidRPr="004217D0" w:rsidTr="0001324C">
        <w:trPr>
          <w:jc w:val="center"/>
        </w:trPr>
        <w:tc>
          <w:tcPr>
            <w:tcW w:w="4643" w:type="dxa"/>
          </w:tcPr>
          <w:p w:rsidR="0001324C" w:rsidRPr="00D72641" w:rsidRDefault="0001324C" w:rsidP="0001324C">
            <w:pPr>
              <w:jc w:val="both"/>
              <w:rPr>
                <w:sz w:val="26"/>
                <w:szCs w:val="26"/>
                <w:lang w:val="en-US"/>
              </w:rPr>
            </w:pPr>
            <w:r w:rsidRPr="00D72641">
              <w:rPr>
                <w:sz w:val="26"/>
                <w:szCs w:val="26"/>
                <w:lang w:val="en-US"/>
              </w:rPr>
              <w:t xml:space="preserve">This Regulation/Decision/Directive shall enter into force of the </w:t>
            </w:r>
            <w:r w:rsidRPr="00D72641">
              <w:rPr>
                <w:rStyle w:val="Marker"/>
                <w:sz w:val="26"/>
                <w:szCs w:val="26"/>
                <w:lang w:val="en-US"/>
              </w:rPr>
              <w:t xml:space="preserve">[…] </w:t>
            </w:r>
            <w:r w:rsidRPr="00D72641">
              <w:rPr>
                <w:sz w:val="26"/>
                <w:szCs w:val="26"/>
                <w:lang w:val="en-US"/>
              </w:rPr>
              <w:t xml:space="preserve">day following its publication in the </w:t>
            </w:r>
            <w:r w:rsidRPr="00D72641">
              <w:rPr>
                <w:i/>
                <w:sz w:val="26"/>
                <w:szCs w:val="26"/>
                <w:lang w:val="en-US"/>
              </w:rPr>
              <w:t>Official Journal of the European Union</w:t>
            </w:r>
            <w:r w:rsidRPr="00D72641">
              <w:rPr>
                <w:sz w:val="26"/>
                <w:szCs w:val="26"/>
                <w:lang w:val="en-US"/>
              </w:rPr>
              <w:t>.</w:t>
            </w:r>
          </w:p>
        </w:tc>
        <w:tc>
          <w:tcPr>
            <w:tcW w:w="4644" w:type="dxa"/>
          </w:tcPr>
          <w:p w:rsidR="0001324C" w:rsidRPr="004217D0" w:rsidRDefault="0001324C" w:rsidP="0001324C">
            <w:pPr>
              <w:jc w:val="both"/>
              <w:rPr>
                <w:sz w:val="26"/>
                <w:szCs w:val="26"/>
                <w:lang w:val="pt-PT"/>
              </w:rPr>
            </w:pPr>
            <w:r w:rsidRPr="004217D0">
              <w:rPr>
                <w:sz w:val="26"/>
                <w:szCs w:val="26"/>
                <w:lang w:val="pt-PT"/>
              </w:rPr>
              <w:t xml:space="preserve">[O/ A] presente regulamento/ decisão/ directiva entra em vigor no </w:t>
            </w:r>
            <w:r w:rsidRPr="004217D0">
              <w:rPr>
                <w:rStyle w:val="Marker"/>
                <w:sz w:val="26"/>
                <w:szCs w:val="26"/>
                <w:lang w:val="pt-PT"/>
              </w:rPr>
              <w:t xml:space="preserve">[…] </w:t>
            </w:r>
            <w:r w:rsidRPr="004217D0">
              <w:rPr>
                <w:sz w:val="26"/>
                <w:szCs w:val="26"/>
                <w:lang w:val="pt-PT"/>
              </w:rPr>
              <w:t xml:space="preserve">dia seguinte ao da sua publicação no </w:t>
            </w:r>
            <w:r w:rsidRPr="004217D0">
              <w:rPr>
                <w:i/>
                <w:sz w:val="26"/>
                <w:szCs w:val="26"/>
                <w:lang w:val="pt-PT"/>
              </w:rPr>
              <w:t>Jornal Oficial da União Europeia</w:t>
            </w:r>
            <w:r w:rsidRPr="004217D0">
              <w:rPr>
                <w:sz w:val="26"/>
                <w:szCs w:val="26"/>
                <w:lang w:val="pt-PT"/>
              </w:rPr>
              <w:t>.</w:t>
            </w:r>
          </w:p>
        </w:tc>
      </w:tr>
      <w:tr w:rsidR="0001324C" w:rsidRPr="004217D0" w:rsidTr="0001324C">
        <w:trPr>
          <w:jc w:val="center"/>
        </w:trPr>
        <w:tc>
          <w:tcPr>
            <w:tcW w:w="4643" w:type="dxa"/>
          </w:tcPr>
          <w:p w:rsidR="0001324C" w:rsidRPr="00D72641" w:rsidRDefault="0001324C" w:rsidP="0001324C">
            <w:pPr>
              <w:jc w:val="both"/>
              <w:rPr>
                <w:sz w:val="26"/>
                <w:szCs w:val="26"/>
                <w:lang w:val="en-US"/>
              </w:rPr>
            </w:pPr>
            <w:r w:rsidRPr="00D72641">
              <w:rPr>
                <w:sz w:val="26"/>
                <w:szCs w:val="26"/>
                <w:lang w:val="en-US"/>
              </w:rPr>
              <w:t xml:space="preserve">This Regulation/Decision/Directive shall enter into force on the day of its publication in the </w:t>
            </w:r>
            <w:r w:rsidRPr="00D72641">
              <w:rPr>
                <w:i/>
                <w:sz w:val="26"/>
                <w:szCs w:val="26"/>
                <w:lang w:val="en-US"/>
              </w:rPr>
              <w:t>Official Journal of the European Union</w:t>
            </w:r>
            <w:r w:rsidRPr="00D72641">
              <w:rPr>
                <w:sz w:val="26"/>
                <w:szCs w:val="26"/>
                <w:lang w:val="en-US"/>
              </w:rPr>
              <w:t>.</w:t>
            </w:r>
          </w:p>
        </w:tc>
        <w:tc>
          <w:tcPr>
            <w:tcW w:w="4644" w:type="dxa"/>
          </w:tcPr>
          <w:p w:rsidR="0001324C" w:rsidRPr="004217D0" w:rsidRDefault="0001324C" w:rsidP="0001324C">
            <w:pPr>
              <w:jc w:val="both"/>
              <w:rPr>
                <w:sz w:val="26"/>
                <w:szCs w:val="26"/>
                <w:lang w:val="pt-PT"/>
              </w:rPr>
            </w:pPr>
            <w:r w:rsidRPr="004217D0">
              <w:rPr>
                <w:sz w:val="26"/>
                <w:szCs w:val="26"/>
                <w:lang w:val="pt-PT"/>
              </w:rPr>
              <w:t xml:space="preserve">[O/ A] presente regulamento/ decisão/ directiva entra em vigor no dia da sua publicação no </w:t>
            </w:r>
            <w:r w:rsidRPr="004217D0">
              <w:rPr>
                <w:i/>
                <w:sz w:val="26"/>
                <w:szCs w:val="26"/>
                <w:lang w:val="pt-PT"/>
              </w:rPr>
              <w:t>Jornal Oficial da União Europeia</w:t>
            </w:r>
            <w:r w:rsidRPr="004217D0">
              <w:rPr>
                <w:sz w:val="26"/>
                <w:szCs w:val="26"/>
                <w:lang w:val="pt-PT"/>
              </w:rPr>
              <w:t>.</w:t>
            </w:r>
          </w:p>
        </w:tc>
      </w:tr>
      <w:tr w:rsidR="00475D84" w:rsidRPr="004217D0" w:rsidTr="0001324C">
        <w:trPr>
          <w:jc w:val="center"/>
        </w:trPr>
        <w:tc>
          <w:tcPr>
            <w:tcW w:w="4643" w:type="dxa"/>
          </w:tcPr>
          <w:p w:rsidR="00475D84" w:rsidRPr="00475D84" w:rsidRDefault="00475D84" w:rsidP="00475D84">
            <w:pPr>
              <w:jc w:val="both"/>
              <w:rPr>
                <w:sz w:val="26"/>
                <w:szCs w:val="26"/>
                <w:lang w:val="en-US"/>
              </w:rPr>
            </w:pPr>
            <w:r w:rsidRPr="00475D84">
              <w:rPr>
                <w:sz w:val="26"/>
                <w:szCs w:val="26"/>
                <w:lang w:val="en-US"/>
              </w:rPr>
              <w:t>With effect from 1 December 2009, Articles 87 and 88 of the EC Treaty have become Articles 107 and 108, respectively, of the TFEU. The two sets of provisions are, in substance, identical. For the purposes of this Decision, references to Articles 107 and 108 of the TFEU should be understood as references to Articles 87 and 88, respectively, of the EC Treaty where appropriate.</w:t>
            </w:r>
          </w:p>
          <w:p w:rsidR="00475D84" w:rsidRPr="00475D84" w:rsidRDefault="00475D84" w:rsidP="0001324C">
            <w:pPr>
              <w:jc w:val="both"/>
              <w:rPr>
                <w:sz w:val="26"/>
                <w:szCs w:val="26"/>
                <w:lang w:val="en-US"/>
              </w:rPr>
            </w:pPr>
          </w:p>
        </w:tc>
        <w:tc>
          <w:tcPr>
            <w:tcW w:w="4644" w:type="dxa"/>
          </w:tcPr>
          <w:p w:rsidR="00475D84" w:rsidRPr="00475D84" w:rsidRDefault="00475D84" w:rsidP="00FC51B4">
            <w:pPr>
              <w:jc w:val="both"/>
              <w:rPr>
                <w:sz w:val="26"/>
                <w:szCs w:val="26"/>
                <w:lang w:val="pt-PT"/>
              </w:rPr>
            </w:pPr>
            <w:r w:rsidRPr="00475D84">
              <w:rPr>
                <w:sz w:val="26"/>
                <w:szCs w:val="26"/>
                <w:lang w:val="pt-PT"/>
              </w:rPr>
              <w:t xml:space="preserve">Com efeitos a partir de 1 de </w:t>
            </w:r>
            <w:r w:rsidR="00FC51B4">
              <w:rPr>
                <w:sz w:val="26"/>
                <w:szCs w:val="26"/>
                <w:lang w:val="pt-PT"/>
              </w:rPr>
              <w:t>d</w:t>
            </w:r>
            <w:bookmarkStart w:id="0" w:name="_GoBack"/>
            <w:bookmarkEnd w:id="0"/>
            <w:r w:rsidRPr="00475D84">
              <w:rPr>
                <w:sz w:val="26"/>
                <w:szCs w:val="26"/>
                <w:lang w:val="pt-PT"/>
              </w:rPr>
              <w:t>ezembro de 2009, os artigos 87.º e 88.º do Tratado CE passaram a ser, respectivamente, os artigos 107.º e 108.º do TFUE. As duas séries de disposições são idênticas em termos de substância. Para efeitos da presente decisão, nos casos pertinentes, as re</w:t>
            </w:r>
            <w:r w:rsidR="00710B85">
              <w:rPr>
                <w:sz w:val="26"/>
                <w:szCs w:val="26"/>
                <w:lang w:val="pt-PT"/>
              </w:rPr>
              <w:t xml:space="preserve">missões para </w:t>
            </w:r>
            <w:r w:rsidRPr="00475D84">
              <w:rPr>
                <w:sz w:val="26"/>
                <w:szCs w:val="26"/>
                <w:lang w:val="pt-PT"/>
              </w:rPr>
              <w:t xml:space="preserve">os artigos 107.º e 108.º do TFUE devem entender-se como </w:t>
            </w:r>
            <w:r w:rsidR="006C7518">
              <w:rPr>
                <w:sz w:val="26"/>
                <w:szCs w:val="26"/>
                <w:lang w:val="pt-PT"/>
              </w:rPr>
              <w:t xml:space="preserve">remissões </w:t>
            </w:r>
            <w:r w:rsidRPr="00475D84">
              <w:rPr>
                <w:sz w:val="26"/>
                <w:szCs w:val="26"/>
                <w:lang w:val="pt-PT"/>
              </w:rPr>
              <w:t>para os artigos 87.º e 88.º do Tratado CE.</w:t>
            </w:r>
          </w:p>
        </w:tc>
      </w:tr>
    </w:tbl>
    <w:p w:rsidR="00A82C50" w:rsidRPr="00BE09E5" w:rsidRDefault="00A82C50" w:rsidP="00A82C50">
      <w:pPr>
        <w:jc w:val="both"/>
        <w:rPr>
          <w:b/>
          <w:sz w:val="32"/>
          <w:szCs w:val="32"/>
          <w:lang w:val="pt-PT"/>
        </w:rPr>
      </w:pPr>
    </w:p>
    <w:p w:rsidR="00A82C50" w:rsidRPr="00BE09E5" w:rsidRDefault="00A82C50" w:rsidP="00A82C50">
      <w:pPr>
        <w:rPr>
          <w:lang w:val="pt-PT"/>
        </w:rPr>
      </w:pPr>
    </w:p>
    <w:p w:rsidR="00A82C50" w:rsidRDefault="00A82C50" w:rsidP="00A82C50">
      <w:pPr>
        <w:rPr>
          <w:lang w:val="pt-PT"/>
        </w:rPr>
      </w:pPr>
    </w:p>
    <w:p w:rsidR="00A82C50" w:rsidRDefault="00A82C50" w:rsidP="00A82C50">
      <w:pPr>
        <w:rPr>
          <w:lang w:val="pt-PT"/>
        </w:rPr>
      </w:pPr>
    </w:p>
    <w:p w:rsidR="00A82C50" w:rsidRPr="00572A34" w:rsidRDefault="00A82C50" w:rsidP="00A82C50">
      <w:pPr>
        <w:rPr>
          <w:lang w:val="pt-PT"/>
        </w:rPr>
      </w:pPr>
    </w:p>
    <w:p w:rsidR="006855E3" w:rsidRPr="00FC51B4" w:rsidRDefault="006855E3">
      <w:pPr>
        <w:rPr>
          <w:lang w:val="pt-PT"/>
        </w:rPr>
      </w:pPr>
    </w:p>
    <w:sectPr w:rsidR="006855E3" w:rsidRPr="00FC51B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BookmanOldStyle">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82C50"/>
    <w:rsid w:val="00010933"/>
    <w:rsid w:val="0001324C"/>
    <w:rsid w:val="00017923"/>
    <w:rsid w:val="00076C6B"/>
    <w:rsid w:val="00087E29"/>
    <w:rsid w:val="000920FF"/>
    <w:rsid w:val="00092AFB"/>
    <w:rsid w:val="000A0377"/>
    <w:rsid w:val="000A18A9"/>
    <w:rsid w:val="000B415C"/>
    <w:rsid w:val="000C7EF9"/>
    <w:rsid w:val="000D1FE6"/>
    <w:rsid w:val="000D2F67"/>
    <w:rsid w:val="000E426B"/>
    <w:rsid w:val="000E54B4"/>
    <w:rsid w:val="00100535"/>
    <w:rsid w:val="001025E0"/>
    <w:rsid w:val="00103875"/>
    <w:rsid w:val="00123BFD"/>
    <w:rsid w:val="00134493"/>
    <w:rsid w:val="001445D3"/>
    <w:rsid w:val="001456E1"/>
    <w:rsid w:val="00162D63"/>
    <w:rsid w:val="00165817"/>
    <w:rsid w:val="0016668E"/>
    <w:rsid w:val="00173043"/>
    <w:rsid w:val="00180B78"/>
    <w:rsid w:val="001A4D97"/>
    <w:rsid w:val="001A50B6"/>
    <w:rsid w:val="001B0E29"/>
    <w:rsid w:val="001B2A83"/>
    <w:rsid w:val="001B7F63"/>
    <w:rsid w:val="001C4D7B"/>
    <w:rsid w:val="001D289A"/>
    <w:rsid w:val="001D576D"/>
    <w:rsid w:val="001D5B0E"/>
    <w:rsid w:val="001E5E04"/>
    <w:rsid w:val="00212064"/>
    <w:rsid w:val="00220D9B"/>
    <w:rsid w:val="002228FE"/>
    <w:rsid w:val="00226F37"/>
    <w:rsid w:val="0023304E"/>
    <w:rsid w:val="002412F0"/>
    <w:rsid w:val="002470F4"/>
    <w:rsid w:val="00254D70"/>
    <w:rsid w:val="0026278E"/>
    <w:rsid w:val="00265A0F"/>
    <w:rsid w:val="002742C6"/>
    <w:rsid w:val="002802A5"/>
    <w:rsid w:val="00285D5F"/>
    <w:rsid w:val="00287C92"/>
    <w:rsid w:val="00291835"/>
    <w:rsid w:val="00295771"/>
    <w:rsid w:val="002A007B"/>
    <w:rsid w:val="002A2CB3"/>
    <w:rsid w:val="002A6E52"/>
    <w:rsid w:val="002D668D"/>
    <w:rsid w:val="002E0C46"/>
    <w:rsid w:val="002E46BD"/>
    <w:rsid w:val="002F224B"/>
    <w:rsid w:val="00315A3A"/>
    <w:rsid w:val="003176FE"/>
    <w:rsid w:val="00334513"/>
    <w:rsid w:val="00357767"/>
    <w:rsid w:val="00361B93"/>
    <w:rsid w:val="00363CD6"/>
    <w:rsid w:val="00365A47"/>
    <w:rsid w:val="003660E6"/>
    <w:rsid w:val="0036781B"/>
    <w:rsid w:val="00370E1D"/>
    <w:rsid w:val="00372BB2"/>
    <w:rsid w:val="0039265D"/>
    <w:rsid w:val="003A152E"/>
    <w:rsid w:val="003C3494"/>
    <w:rsid w:val="003C5E14"/>
    <w:rsid w:val="003C65D5"/>
    <w:rsid w:val="003C6692"/>
    <w:rsid w:val="003E0B78"/>
    <w:rsid w:val="003E2763"/>
    <w:rsid w:val="003E4F83"/>
    <w:rsid w:val="004032F6"/>
    <w:rsid w:val="00405741"/>
    <w:rsid w:val="00407F6D"/>
    <w:rsid w:val="00415A99"/>
    <w:rsid w:val="00422AD0"/>
    <w:rsid w:val="00451B15"/>
    <w:rsid w:val="00451C9A"/>
    <w:rsid w:val="004527A0"/>
    <w:rsid w:val="0045708E"/>
    <w:rsid w:val="00460F18"/>
    <w:rsid w:val="00465815"/>
    <w:rsid w:val="00466F83"/>
    <w:rsid w:val="00475D84"/>
    <w:rsid w:val="004877CB"/>
    <w:rsid w:val="0049709C"/>
    <w:rsid w:val="004A010F"/>
    <w:rsid w:val="004B3CCB"/>
    <w:rsid w:val="004B45DF"/>
    <w:rsid w:val="004C1500"/>
    <w:rsid w:val="004C7FA1"/>
    <w:rsid w:val="004D253C"/>
    <w:rsid w:val="004D30C1"/>
    <w:rsid w:val="004E2C8C"/>
    <w:rsid w:val="004E3947"/>
    <w:rsid w:val="005347B0"/>
    <w:rsid w:val="00541921"/>
    <w:rsid w:val="00542310"/>
    <w:rsid w:val="005433E5"/>
    <w:rsid w:val="005476E0"/>
    <w:rsid w:val="00551013"/>
    <w:rsid w:val="00567092"/>
    <w:rsid w:val="00567647"/>
    <w:rsid w:val="005711FF"/>
    <w:rsid w:val="00574C1A"/>
    <w:rsid w:val="00581339"/>
    <w:rsid w:val="005841BF"/>
    <w:rsid w:val="00593183"/>
    <w:rsid w:val="00594C6E"/>
    <w:rsid w:val="005A0851"/>
    <w:rsid w:val="005A57A7"/>
    <w:rsid w:val="005B097B"/>
    <w:rsid w:val="005B15AF"/>
    <w:rsid w:val="005B45D3"/>
    <w:rsid w:val="005C2ACB"/>
    <w:rsid w:val="005D57AA"/>
    <w:rsid w:val="005E59CB"/>
    <w:rsid w:val="005F6846"/>
    <w:rsid w:val="00606647"/>
    <w:rsid w:val="006227E6"/>
    <w:rsid w:val="0063392B"/>
    <w:rsid w:val="0063507C"/>
    <w:rsid w:val="00635A19"/>
    <w:rsid w:val="0065038B"/>
    <w:rsid w:val="00674790"/>
    <w:rsid w:val="00684B66"/>
    <w:rsid w:val="006855E3"/>
    <w:rsid w:val="006B45F0"/>
    <w:rsid w:val="006B4BC7"/>
    <w:rsid w:val="006C4656"/>
    <w:rsid w:val="006C7518"/>
    <w:rsid w:val="006D6A83"/>
    <w:rsid w:val="006E5CAB"/>
    <w:rsid w:val="006F5BFF"/>
    <w:rsid w:val="00701BBA"/>
    <w:rsid w:val="00706266"/>
    <w:rsid w:val="0070767D"/>
    <w:rsid w:val="00710B85"/>
    <w:rsid w:val="00740EEF"/>
    <w:rsid w:val="00741515"/>
    <w:rsid w:val="00741EF0"/>
    <w:rsid w:val="00747C32"/>
    <w:rsid w:val="007644E5"/>
    <w:rsid w:val="007A2491"/>
    <w:rsid w:val="007A2805"/>
    <w:rsid w:val="007A5E37"/>
    <w:rsid w:val="007C20CB"/>
    <w:rsid w:val="007C2629"/>
    <w:rsid w:val="007D57E7"/>
    <w:rsid w:val="007E11CD"/>
    <w:rsid w:val="007E3AB1"/>
    <w:rsid w:val="007E4F47"/>
    <w:rsid w:val="007E5737"/>
    <w:rsid w:val="007F1EA8"/>
    <w:rsid w:val="00802224"/>
    <w:rsid w:val="008038D8"/>
    <w:rsid w:val="00822A4A"/>
    <w:rsid w:val="0082376B"/>
    <w:rsid w:val="00826402"/>
    <w:rsid w:val="00832D16"/>
    <w:rsid w:val="00833C6F"/>
    <w:rsid w:val="00835967"/>
    <w:rsid w:val="00844F4F"/>
    <w:rsid w:val="0085275A"/>
    <w:rsid w:val="008612AE"/>
    <w:rsid w:val="008649E4"/>
    <w:rsid w:val="00870F8A"/>
    <w:rsid w:val="00874360"/>
    <w:rsid w:val="008764AB"/>
    <w:rsid w:val="00891327"/>
    <w:rsid w:val="00896015"/>
    <w:rsid w:val="008A02E2"/>
    <w:rsid w:val="008D01DC"/>
    <w:rsid w:val="008D7DA2"/>
    <w:rsid w:val="008E06F7"/>
    <w:rsid w:val="008E0E4D"/>
    <w:rsid w:val="008F03CD"/>
    <w:rsid w:val="008F40DC"/>
    <w:rsid w:val="00901BB1"/>
    <w:rsid w:val="00904051"/>
    <w:rsid w:val="00915C16"/>
    <w:rsid w:val="009239A4"/>
    <w:rsid w:val="00933273"/>
    <w:rsid w:val="00935DD1"/>
    <w:rsid w:val="0093614F"/>
    <w:rsid w:val="0094083E"/>
    <w:rsid w:val="00941654"/>
    <w:rsid w:val="00946ADA"/>
    <w:rsid w:val="0095030A"/>
    <w:rsid w:val="00961C2C"/>
    <w:rsid w:val="009623F7"/>
    <w:rsid w:val="009626D8"/>
    <w:rsid w:val="00964B88"/>
    <w:rsid w:val="00973D76"/>
    <w:rsid w:val="00981007"/>
    <w:rsid w:val="009812CF"/>
    <w:rsid w:val="00984FD9"/>
    <w:rsid w:val="009946FB"/>
    <w:rsid w:val="009A08D2"/>
    <w:rsid w:val="009A70E7"/>
    <w:rsid w:val="009B10CF"/>
    <w:rsid w:val="009B6C79"/>
    <w:rsid w:val="009C2C97"/>
    <w:rsid w:val="009C5458"/>
    <w:rsid w:val="009C7B9F"/>
    <w:rsid w:val="009E1243"/>
    <w:rsid w:val="009E1B76"/>
    <w:rsid w:val="009E7B35"/>
    <w:rsid w:val="00A016BD"/>
    <w:rsid w:val="00A02183"/>
    <w:rsid w:val="00A3188B"/>
    <w:rsid w:val="00A45CCE"/>
    <w:rsid w:val="00A54A9F"/>
    <w:rsid w:val="00A70221"/>
    <w:rsid w:val="00A741F1"/>
    <w:rsid w:val="00A82841"/>
    <w:rsid w:val="00A82C50"/>
    <w:rsid w:val="00A82D27"/>
    <w:rsid w:val="00A977B4"/>
    <w:rsid w:val="00AA47BC"/>
    <w:rsid w:val="00AD3D12"/>
    <w:rsid w:val="00AD7C79"/>
    <w:rsid w:val="00AF5A30"/>
    <w:rsid w:val="00AF6776"/>
    <w:rsid w:val="00AF68E9"/>
    <w:rsid w:val="00B013C4"/>
    <w:rsid w:val="00B23F4B"/>
    <w:rsid w:val="00B24FC5"/>
    <w:rsid w:val="00B31555"/>
    <w:rsid w:val="00B40075"/>
    <w:rsid w:val="00B40954"/>
    <w:rsid w:val="00B40D45"/>
    <w:rsid w:val="00B4348D"/>
    <w:rsid w:val="00B605C8"/>
    <w:rsid w:val="00B62909"/>
    <w:rsid w:val="00B660AC"/>
    <w:rsid w:val="00B70F29"/>
    <w:rsid w:val="00B763D6"/>
    <w:rsid w:val="00B80802"/>
    <w:rsid w:val="00B82020"/>
    <w:rsid w:val="00B82AFB"/>
    <w:rsid w:val="00BB0167"/>
    <w:rsid w:val="00BB03F2"/>
    <w:rsid w:val="00BB07A4"/>
    <w:rsid w:val="00BB387B"/>
    <w:rsid w:val="00BC69D8"/>
    <w:rsid w:val="00BD1B1E"/>
    <w:rsid w:val="00BD5C7C"/>
    <w:rsid w:val="00BE18CA"/>
    <w:rsid w:val="00BE1DDF"/>
    <w:rsid w:val="00BE22C3"/>
    <w:rsid w:val="00BE7AD0"/>
    <w:rsid w:val="00C02CCB"/>
    <w:rsid w:val="00C078F8"/>
    <w:rsid w:val="00C266E6"/>
    <w:rsid w:val="00C30B92"/>
    <w:rsid w:val="00C3323F"/>
    <w:rsid w:val="00C51918"/>
    <w:rsid w:val="00C65C99"/>
    <w:rsid w:val="00C7208D"/>
    <w:rsid w:val="00C75E02"/>
    <w:rsid w:val="00C81F42"/>
    <w:rsid w:val="00CA1C12"/>
    <w:rsid w:val="00CA33BE"/>
    <w:rsid w:val="00CA6383"/>
    <w:rsid w:val="00CB233A"/>
    <w:rsid w:val="00CB30C3"/>
    <w:rsid w:val="00CB7618"/>
    <w:rsid w:val="00CC13DD"/>
    <w:rsid w:val="00CD061A"/>
    <w:rsid w:val="00CD0FF5"/>
    <w:rsid w:val="00CE387F"/>
    <w:rsid w:val="00D01F27"/>
    <w:rsid w:val="00D07056"/>
    <w:rsid w:val="00D15538"/>
    <w:rsid w:val="00D20873"/>
    <w:rsid w:val="00D24417"/>
    <w:rsid w:val="00D26000"/>
    <w:rsid w:val="00D41B26"/>
    <w:rsid w:val="00D52D8D"/>
    <w:rsid w:val="00D63774"/>
    <w:rsid w:val="00DB071E"/>
    <w:rsid w:val="00DB29CF"/>
    <w:rsid w:val="00DB3FBB"/>
    <w:rsid w:val="00DC257B"/>
    <w:rsid w:val="00DC6ED6"/>
    <w:rsid w:val="00DD480A"/>
    <w:rsid w:val="00DD6951"/>
    <w:rsid w:val="00DE1238"/>
    <w:rsid w:val="00DE5837"/>
    <w:rsid w:val="00DE75DC"/>
    <w:rsid w:val="00E04BA3"/>
    <w:rsid w:val="00E10644"/>
    <w:rsid w:val="00E110C0"/>
    <w:rsid w:val="00E27C81"/>
    <w:rsid w:val="00E3184D"/>
    <w:rsid w:val="00E40B87"/>
    <w:rsid w:val="00E41571"/>
    <w:rsid w:val="00E51E80"/>
    <w:rsid w:val="00E53025"/>
    <w:rsid w:val="00E56087"/>
    <w:rsid w:val="00E74301"/>
    <w:rsid w:val="00E773FE"/>
    <w:rsid w:val="00E81703"/>
    <w:rsid w:val="00E9521D"/>
    <w:rsid w:val="00EA01F1"/>
    <w:rsid w:val="00EB4646"/>
    <w:rsid w:val="00EC476F"/>
    <w:rsid w:val="00EC6100"/>
    <w:rsid w:val="00ED3E8D"/>
    <w:rsid w:val="00EE1066"/>
    <w:rsid w:val="00EE44FE"/>
    <w:rsid w:val="00EE73C6"/>
    <w:rsid w:val="00EE7E22"/>
    <w:rsid w:val="00EF0A1E"/>
    <w:rsid w:val="00EF3943"/>
    <w:rsid w:val="00F01128"/>
    <w:rsid w:val="00F04BBC"/>
    <w:rsid w:val="00F1068D"/>
    <w:rsid w:val="00F11129"/>
    <w:rsid w:val="00F1488C"/>
    <w:rsid w:val="00F158AD"/>
    <w:rsid w:val="00F173DC"/>
    <w:rsid w:val="00F17509"/>
    <w:rsid w:val="00F40839"/>
    <w:rsid w:val="00F43504"/>
    <w:rsid w:val="00F45DB0"/>
    <w:rsid w:val="00F559A5"/>
    <w:rsid w:val="00F6565D"/>
    <w:rsid w:val="00F67299"/>
    <w:rsid w:val="00F765B1"/>
    <w:rsid w:val="00F77D7B"/>
    <w:rsid w:val="00FB2D72"/>
    <w:rsid w:val="00FB3BBA"/>
    <w:rsid w:val="00FB49C3"/>
    <w:rsid w:val="00FC51B4"/>
    <w:rsid w:val="00FE0236"/>
    <w:rsid w:val="00FF235B"/>
    <w:rsid w:val="00FF3233"/>
  </w:rsids>
  <m:mathPr>
    <m:mathFont m:val="Cambria Math"/>
    <m:brkBin m:val="before"/>
    <m:brkBinSub m:val="--"/>
    <m:smallFrac m:val="0"/>
    <m:dispDef/>
    <m:lMargin m:val="0"/>
    <m:rMargin m:val="0"/>
    <m:defJc m:val="centerGroup"/>
    <m:wrapIndent m:val="1440"/>
    <m:intLim m:val="subSup"/>
    <m:naryLim m:val="undOvr"/>
  </m:mathPr>
  <w:themeFontLang w:val="pt-P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t-PT" w:eastAsia="pt-PT"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lang w:val="en-GB" w:eastAsia="en-GB"/>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table" w:styleId="TableGrid">
    <w:name w:val="Table Grid"/>
    <w:basedOn w:val="TableNormal"/>
    <w:rsid w:val="00A82C5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arker">
    <w:name w:val="Marker"/>
    <w:basedOn w:val="DefaultParagraphFont"/>
    <w:rsid w:val="00134493"/>
    <w:rPr>
      <w:color w:val="0000FF"/>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t-PT" w:eastAsia="pt-PT"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lang w:val="en-GB" w:eastAsia="en-GB"/>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table" w:styleId="TableGrid">
    <w:name w:val="Table Grid"/>
    <w:basedOn w:val="TableNormal"/>
    <w:rsid w:val="00A82C5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arker">
    <w:name w:val="Marker"/>
    <w:basedOn w:val="DefaultParagraphFont"/>
    <w:rsid w:val="00134493"/>
    <w:rPr>
      <w:color w:val="0000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microsoft.com/office/2007/relationships/stylesWithEffects" Target="stylesWithEffects.xml"/><Relationship Id="rId4" Type="http://schemas.openxmlformats.org/officeDocument/2006/relationships/styles" Target="styl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E5E68CD9B34C642AD1A51474CA81BC9" ma:contentTypeVersion="0" ma:contentTypeDescription="Create a new document." ma:contentTypeScope="" ma:versionID="5f6c68474eb27cf486a75c7c825e9888">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0B6F627-1D11-49E2-AE53-2599C8C318F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3E87C9E5-33FA-49DC-852C-0E71DCF2B23D}">
  <ds:schemaRefs>
    <ds:schemaRef ds:uri="http://schemas.microsoft.com/sharepoint/v3/contenttype/forms"/>
  </ds:schemaRefs>
</ds:datastoreItem>
</file>

<file path=customXml/itemProps3.xml><?xml version="1.0" encoding="utf-8"?>
<ds:datastoreItem xmlns:ds="http://schemas.openxmlformats.org/officeDocument/2006/customXml" ds:itemID="{A46AC614-1205-49AD-B4B0-927A33C51DAE}">
  <ds:schemaRefs>
    <ds:schemaRef ds:uri="http://schemas.microsoft.com/office/2006/documentManagement/types"/>
    <ds:schemaRef ds:uri="http://schemas.microsoft.com/office/2006/metadata/properties"/>
    <ds:schemaRef ds:uri="http://purl.org/dc/dcmitype/"/>
    <ds:schemaRef ds:uri="http://schemas.openxmlformats.org/package/2006/metadata/core-properties"/>
    <ds:schemaRef ds:uri="http://purl.org/dc/elements/1.1/"/>
    <ds:schemaRef ds:uri="http://schemas.microsoft.com/office/infopath/2007/PartnerControls"/>
    <ds:schemaRef ds:uri="http://www.w3.org/XML/1998/namespace"/>
    <ds:schemaRef ds:uri="http://purl.org/dc/te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782</Words>
  <Characters>4226</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Frases e expressões recorrentes</vt:lpstr>
    </vt:vector>
  </TitlesOfParts>
  <Company>European Commission</Company>
  <LinksUpToDate>false</LinksUpToDate>
  <CharactersWithSpaces>4999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Frases e expressões recorrentes</dc:title>
  <dc:creator>fortuma</dc:creator>
  <cp:lastModifiedBy>GONCALVES Susana (DGT)</cp:lastModifiedBy>
  <cp:revision>2</cp:revision>
  <dcterms:created xsi:type="dcterms:W3CDTF">2016-11-09T15:51:00Z</dcterms:created>
  <dcterms:modified xsi:type="dcterms:W3CDTF">2016-11-09T15:51:00Z</dcterms:modified>
</cp:coreProperties>
</file>