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01C" w:rsidRPr="008F001C" w:rsidRDefault="008F001C" w:rsidP="008F001C">
      <w:pPr>
        <w:pStyle w:val="Heading3"/>
        <w:rPr>
          <w:rFonts w:cs="Times New Roman"/>
        </w:rPr>
      </w:pPr>
      <w:bookmarkStart w:id="0" w:name="_Toc327971209"/>
      <w:bookmarkStart w:id="1" w:name="_GoBack"/>
      <w:bookmarkEnd w:id="1"/>
      <w:r w:rsidRPr="008F001C">
        <w:rPr>
          <w:rFonts w:cs="Times New Roman"/>
        </w:rPr>
        <w:t>Disposições relativas aos atos de execução sujeitos ao controlo dos Estados-Membros</w:t>
      </w:r>
      <w:bookmarkEnd w:id="0"/>
    </w:p>
    <w:p w:rsidR="008F001C" w:rsidRPr="008F001C" w:rsidRDefault="008F001C" w:rsidP="008F001C">
      <w:pPr>
        <w:rPr>
          <w:lang w:val="pt-PT"/>
        </w:rPr>
      </w:pPr>
    </w:p>
    <w:p w:rsidR="008F001C" w:rsidRPr="008F001C" w:rsidRDefault="008F001C" w:rsidP="008F001C">
      <w:pPr>
        <w:outlineLvl w:val="0"/>
        <w:rPr>
          <w:lang w:val="pt-PT"/>
        </w:rPr>
      </w:pPr>
      <w:r w:rsidRPr="008F001C">
        <w:rPr>
          <w:lang w:val="pt-PT"/>
        </w:rPr>
        <w:t>Pelo Regulamento (UE) n.º 182/2011, o Parlamento Europeu e o Conselho estabeleceram as regras e os princípios gerais relativos aos mecanismos de controlo pelos Estados</w:t>
      </w:r>
      <w:r w:rsidRPr="008F001C">
        <w:rPr>
          <w:lang w:val="pt-PT"/>
        </w:rPr>
        <w:noBreakHyphen/>
        <w:t xml:space="preserve">Membros do exercício das competências de execução pela Comissão. </w:t>
      </w:r>
    </w:p>
    <w:p w:rsidR="008F001C" w:rsidRPr="008F001C" w:rsidRDefault="008F001C" w:rsidP="008F001C">
      <w:pPr>
        <w:outlineLvl w:val="0"/>
        <w:rPr>
          <w:lang w:val="pt-PT"/>
        </w:rPr>
      </w:pPr>
    </w:p>
    <w:p w:rsidR="008F001C" w:rsidRPr="008F001C" w:rsidRDefault="008F001C" w:rsidP="008F001C">
      <w:pPr>
        <w:rPr>
          <w:lang w:val="pt-PT"/>
        </w:rPr>
      </w:pPr>
      <w:r w:rsidRPr="008F001C">
        <w:rPr>
          <w:lang w:val="pt-PT"/>
        </w:rPr>
        <w:t>O quadro seguinte apresenta as fórmulas utilizadas nos atos que atribuem à Comissão competências de execução sujeitas ao controlo dos Estados-Membros. Os vários elementos do modelo podem ser utilizados e combinados caso a caso.</w:t>
      </w:r>
    </w:p>
    <w:p w:rsidR="008F001C" w:rsidRPr="008F001C" w:rsidRDefault="008F001C" w:rsidP="008F001C">
      <w:pPr>
        <w:rPr>
          <w:lang w:val="pt-PT"/>
        </w:rPr>
      </w:pPr>
    </w:p>
    <w:tbl>
      <w:tblPr>
        <w:tblStyle w:val="TableGrid"/>
        <w:tblW w:w="0" w:type="auto"/>
        <w:tblLook w:val="01E0" w:firstRow="1" w:lastRow="1" w:firstColumn="1" w:lastColumn="1" w:noHBand="0" w:noVBand="0"/>
      </w:tblPr>
      <w:tblGrid>
        <w:gridCol w:w="4643"/>
        <w:gridCol w:w="4643"/>
      </w:tblGrid>
      <w:tr w:rsidR="008F001C" w:rsidRPr="008F001C" w:rsidTr="008F001C">
        <w:tc>
          <w:tcPr>
            <w:tcW w:w="4643" w:type="dxa"/>
            <w:shd w:val="clear" w:color="auto" w:fill="99CC00"/>
          </w:tcPr>
          <w:p w:rsidR="008F001C" w:rsidRPr="008F001C" w:rsidRDefault="008F001C" w:rsidP="008F001C">
            <w:pPr>
              <w:rPr>
                <w:b/>
                <w:color w:val="000000"/>
                <w:sz w:val="28"/>
                <w:szCs w:val="28"/>
              </w:rPr>
            </w:pPr>
            <w:r w:rsidRPr="008F001C">
              <w:rPr>
                <w:b/>
                <w:color w:val="000000"/>
                <w:sz w:val="28"/>
                <w:szCs w:val="28"/>
              </w:rPr>
              <w:t>EN</w:t>
            </w:r>
          </w:p>
        </w:tc>
        <w:tc>
          <w:tcPr>
            <w:tcW w:w="4643" w:type="dxa"/>
            <w:shd w:val="clear" w:color="auto" w:fill="99CC00"/>
          </w:tcPr>
          <w:p w:rsidR="008F001C" w:rsidRPr="008F001C" w:rsidRDefault="008F001C" w:rsidP="008F001C">
            <w:pPr>
              <w:rPr>
                <w:b/>
                <w:color w:val="000000"/>
                <w:sz w:val="28"/>
                <w:szCs w:val="28"/>
                <w:lang w:val="pt-PT"/>
              </w:rPr>
            </w:pPr>
            <w:r w:rsidRPr="008F001C">
              <w:rPr>
                <w:b/>
                <w:color w:val="000000"/>
                <w:sz w:val="28"/>
                <w:szCs w:val="28"/>
                <w:lang w:val="pt-PT"/>
              </w:rPr>
              <w:t>PT</w:t>
            </w:r>
          </w:p>
        </w:tc>
      </w:tr>
      <w:tr w:rsidR="008F001C" w:rsidRPr="008F001C" w:rsidTr="008F001C">
        <w:tc>
          <w:tcPr>
            <w:tcW w:w="4643" w:type="dxa"/>
          </w:tcPr>
          <w:p w:rsidR="008F001C" w:rsidRPr="008F001C" w:rsidRDefault="008F001C" w:rsidP="008F001C">
            <w:r w:rsidRPr="008F001C">
              <w:rPr>
                <w:b/>
                <w:smallCaps/>
                <w:sz w:val="28"/>
                <w:szCs w:val="28"/>
              </w:rPr>
              <w:t>Recitals</w:t>
            </w:r>
          </w:p>
        </w:tc>
        <w:tc>
          <w:tcPr>
            <w:tcW w:w="4643" w:type="dxa"/>
          </w:tcPr>
          <w:p w:rsidR="008F001C" w:rsidRPr="008F001C" w:rsidRDefault="008F001C" w:rsidP="008F001C">
            <w:pPr>
              <w:outlineLvl w:val="0"/>
              <w:rPr>
                <w:b/>
                <w:smallCaps/>
                <w:sz w:val="28"/>
                <w:szCs w:val="28"/>
                <w:lang w:val="pt-PT"/>
              </w:rPr>
            </w:pPr>
            <w:r w:rsidRPr="008F001C">
              <w:rPr>
                <w:b/>
                <w:smallCaps/>
                <w:sz w:val="28"/>
                <w:szCs w:val="28"/>
                <w:lang w:val="pt-PT"/>
              </w:rPr>
              <w:t>Considerandos</w:t>
            </w:r>
          </w:p>
        </w:tc>
      </w:tr>
      <w:tr w:rsidR="008F001C" w:rsidRPr="008F001C" w:rsidTr="008F001C">
        <w:trPr>
          <w:trHeight w:val="7705"/>
        </w:trPr>
        <w:tc>
          <w:tcPr>
            <w:tcW w:w="4643" w:type="dxa"/>
          </w:tcPr>
          <w:p w:rsidR="008F001C" w:rsidRDefault="008F001C" w:rsidP="008F001C">
            <w:pPr>
              <w:autoSpaceDE w:val="0"/>
              <w:autoSpaceDN w:val="0"/>
              <w:adjustRightInd w:val="0"/>
              <w:outlineLvl w:val="0"/>
              <w:rPr>
                <w:rFonts w:cs="TimesNewRoman,Italic"/>
                <w:b/>
                <w:iCs/>
              </w:rPr>
            </w:pPr>
            <w:r w:rsidRPr="008F001C">
              <w:rPr>
                <w:rFonts w:cs="TimesNewRoman,Italic"/>
                <w:b/>
                <w:iCs/>
              </w:rPr>
              <w:t>1) RECITAL THAT MUST ALWAYS BE PRESENT WHERE THE BASIC LEGAL ACT PROVIDES FOR IMPLEMENTING POWERS WHICH ARE SUBJECT TO CONTROL BY THE MEMBER STATES</w:t>
            </w:r>
          </w:p>
          <w:p w:rsidR="008F001C" w:rsidRPr="008F001C" w:rsidRDefault="008F001C" w:rsidP="008F001C">
            <w:pPr>
              <w:autoSpaceDE w:val="0"/>
              <w:autoSpaceDN w:val="0"/>
              <w:adjustRightInd w:val="0"/>
              <w:outlineLvl w:val="0"/>
              <w:rPr>
                <w:rFonts w:cs="TimesNewRoman,Italic"/>
                <w:b/>
                <w:iCs/>
              </w:rPr>
            </w:pPr>
          </w:p>
          <w:p w:rsidR="008F001C" w:rsidRPr="008F001C" w:rsidRDefault="008F001C" w:rsidP="008F001C">
            <w:pPr>
              <w:autoSpaceDE w:val="0"/>
              <w:autoSpaceDN w:val="0"/>
              <w:adjustRightInd w:val="0"/>
              <w:outlineLvl w:val="0"/>
            </w:pPr>
          </w:p>
          <w:p w:rsidR="008F001C" w:rsidRPr="008F001C" w:rsidRDefault="008F001C" w:rsidP="008F001C">
            <w:pPr>
              <w:autoSpaceDE w:val="0"/>
              <w:autoSpaceDN w:val="0"/>
              <w:adjustRightInd w:val="0"/>
              <w:rPr>
                <w:i/>
              </w:rPr>
            </w:pPr>
            <w:r w:rsidRPr="008F001C">
              <w:rPr>
                <w:i/>
              </w:rPr>
              <w:t>[Further justification of the need for uniform conditions may be included by the legislator on a case-by-case basis]</w:t>
            </w:r>
          </w:p>
          <w:p w:rsidR="008F001C" w:rsidRPr="008F001C" w:rsidRDefault="008F001C" w:rsidP="008F001C">
            <w:pPr>
              <w:autoSpaceDE w:val="0"/>
              <w:autoSpaceDN w:val="0"/>
              <w:adjustRightInd w:val="0"/>
              <w:rPr>
                <w:i/>
              </w:rPr>
            </w:pPr>
          </w:p>
          <w:p w:rsidR="008F001C" w:rsidRPr="008F001C" w:rsidRDefault="008F001C" w:rsidP="008F001C">
            <w:pPr>
              <w:autoSpaceDE w:val="0"/>
              <w:autoSpaceDN w:val="0"/>
              <w:adjustRightInd w:val="0"/>
              <w:rPr>
                <w:i/>
              </w:rPr>
            </w:pPr>
          </w:p>
          <w:p w:rsidR="008F001C" w:rsidRPr="008F001C" w:rsidRDefault="008F001C" w:rsidP="008F001C">
            <w:r w:rsidRPr="008F001C">
              <w:t xml:space="preserve">In order to ensure uniform conditions for the implementation (of this [...]) </w:t>
            </w:r>
            <w:r w:rsidRPr="008F001C">
              <w:rPr>
                <w:i/>
              </w:rPr>
              <w:t xml:space="preserve">[the basic legal act] </w:t>
            </w:r>
            <w:r w:rsidRPr="008F001C">
              <w:t>(of [...])</w:t>
            </w:r>
            <w:r w:rsidRPr="008F001C">
              <w:rPr>
                <w:i/>
              </w:rPr>
              <w:t xml:space="preserve"> [the relevant provisions of the basic legal act],</w:t>
            </w:r>
            <w:r w:rsidRPr="008F001C">
              <w:t xml:space="preserve"> implementing powers should be conferred on the Commission. Those powers should be</w:t>
            </w:r>
            <w:r w:rsidRPr="008F001C">
              <w:rPr>
                <w:rStyle w:val="italic1"/>
                <w:bCs/>
                <w:i w:val="0"/>
              </w:rPr>
              <w:t xml:space="preserve"> exercised </w:t>
            </w:r>
            <w:r w:rsidRPr="008F001C">
              <w:t>in accordance with Regulation (EU) No 182/2011 of the European Parliament and of the Council of 16 February 2011 laying down the rules and general principles concerning mechanisms for control by the Member States of the Commission's exercise of implementing powers*.</w:t>
            </w:r>
          </w:p>
          <w:p w:rsidR="008F001C" w:rsidRPr="008F001C" w:rsidRDefault="008F001C" w:rsidP="008F001C">
            <w:pPr>
              <w:autoSpaceDE w:val="0"/>
              <w:autoSpaceDN w:val="0"/>
              <w:adjustRightInd w:val="0"/>
            </w:pPr>
            <w:r w:rsidRPr="008F001C">
              <w:tab/>
              <w:t>__________</w:t>
            </w:r>
          </w:p>
          <w:p w:rsidR="008F001C" w:rsidRPr="008F001C" w:rsidRDefault="008F001C" w:rsidP="008F001C">
            <w:pPr>
              <w:rPr>
                <w:rFonts w:cs="TimesNewRoman,Italic"/>
                <w:b/>
                <w:iCs/>
              </w:rPr>
            </w:pPr>
            <w:r w:rsidRPr="008F001C">
              <w:t>*</w:t>
            </w:r>
            <w:r w:rsidRPr="008F001C">
              <w:tab/>
              <w:t>OJ L 55, 28.2.2011, p. 13.</w:t>
            </w:r>
          </w:p>
        </w:tc>
        <w:tc>
          <w:tcPr>
            <w:tcW w:w="4643" w:type="dxa"/>
          </w:tcPr>
          <w:p w:rsidR="008F001C" w:rsidRPr="008F001C" w:rsidRDefault="008F001C" w:rsidP="008F001C">
            <w:pPr>
              <w:autoSpaceDE w:val="0"/>
              <w:autoSpaceDN w:val="0"/>
              <w:adjustRightInd w:val="0"/>
              <w:outlineLvl w:val="0"/>
              <w:rPr>
                <w:rFonts w:cs="TimesNewRoman,Italic"/>
                <w:b/>
                <w:iCs/>
                <w:lang w:val="pt-PT"/>
              </w:rPr>
            </w:pPr>
            <w:r w:rsidRPr="008F001C">
              <w:rPr>
                <w:rFonts w:cs="TimesNewRoman,Italic"/>
                <w:b/>
                <w:iCs/>
                <w:lang w:val="pt-PT"/>
              </w:rPr>
              <w:t>1) CONSIDERANDO A INCLUIR SEMPRE SE O ATO DE BASE ATRIBUIR COMPETÊNCIAS DE EXECUÇÃO SUJEITAS AO CONTROLO DOS ESTADOS</w:t>
            </w:r>
            <w:r w:rsidRPr="008F001C">
              <w:rPr>
                <w:rFonts w:cs="TimesNewRoman,Italic"/>
                <w:b/>
                <w:iCs/>
                <w:lang w:val="pt-PT"/>
              </w:rPr>
              <w:noBreakHyphen/>
              <w:t>MEMBROS</w:t>
            </w:r>
            <w:r w:rsidRPr="008F001C">
              <w:rPr>
                <w:rStyle w:val="FootnoteReference"/>
                <w:rFonts w:cs="TimesNewRoman,Italic"/>
                <w:b w:val="0"/>
                <w:iCs/>
                <w:lang w:val="pt-PT"/>
              </w:rPr>
              <w:footnoteReference w:id="1"/>
            </w:r>
          </w:p>
          <w:p w:rsidR="008F001C" w:rsidRPr="008F001C" w:rsidRDefault="008F001C" w:rsidP="008F001C">
            <w:pPr>
              <w:autoSpaceDE w:val="0"/>
              <w:autoSpaceDN w:val="0"/>
              <w:adjustRightInd w:val="0"/>
              <w:outlineLvl w:val="0"/>
              <w:rPr>
                <w:lang w:val="pt-PT"/>
              </w:rPr>
            </w:pPr>
          </w:p>
          <w:p w:rsidR="008F001C" w:rsidRPr="008F001C" w:rsidRDefault="008F001C" w:rsidP="008F001C">
            <w:pPr>
              <w:autoSpaceDE w:val="0"/>
              <w:autoSpaceDN w:val="0"/>
              <w:adjustRightInd w:val="0"/>
              <w:outlineLvl w:val="0"/>
              <w:rPr>
                <w:i/>
                <w:lang w:val="pt-PT"/>
              </w:rPr>
            </w:pPr>
            <w:r w:rsidRPr="008F001C">
              <w:rPr>
                <w:i/>
                <w:lang w:val="pt-PT"/>
              </w:rPr>
              <w:t>[O legislador pode incluir, caso a caso, fundamentação suplementar sobre a necessidade de condições uniformes de execução]</w:t>
            </w:r>
          </w:p>
          <w:p w:rsidR="008F001C" w:rsidRPr="008F001C" w:rsidRDefault="008F001C" w:rsidP="008F001C">
            <w:pPr>
              <w:autoSpaceDE w:val="0"/>
              <w:autoSpaceDN w:val="0"/>
              <w:adjustRightInd w:val="0"/>
              <w:outlineLvl w:val="0"/>
              <w:rPr>
                <w:rFonts w:cs="TimesNewRoman,Italic"/>
                <w:b/>
                <w:iCs/>
                <w:lang w:val="pt-PT"/>
              </w:rPr>
            </w:pPr>
          </w:p>
          <w:p w:rsidR="008F001C" w:rsidRPr="008F001C" w:rsidRDefault="008F001C" w:rsidP="008F001C">
            <w:pPr>
              <w:autoSpaceDE w:val="0"/>
              <w:autoSpaceDN w:val="0"/>
              <w:adjustRightInd w:val="0"/>
              <w:rPr>
                <w:lang w:val="pt-PT"/>
              </w:rPr>
            </w:pPr>
            <w:r w:rsidRPr="008F001C">
              <w:rPr>
                <w:lang w:val="pt-PT"/>
              </w:rPr>
              <w:t xml:space="preserve">A fim de assegurar condições uniformes para a execução (do(da) presente [...]) </w:t>
            </w:r>
            <w:r w:rsidRPr="008F001C">
              <w:rPr>
                <w:i/>
                <w:lang w:val="pt-PT"/>
              </w:rPr>
              <w:t xml:space="preserve">[ato de base] </w:t>
            </w:r>
            <w:r w:rsidRPr="008F001C">
              <w:rPr>
                <w:lang w:val="pt-PT"/>
              </w:rPr>
              <w:t>(de [...])</w:t>
            </w:r>
            <w:r w:rsidRPr="008F001C">
              <w:rPr>
                <w:i/>
                <w:lang w:val="pt-PT"/>
              </w:rPr>
              <w:t xml:space="preserve"> [disposições aplicáveis do ato de base]</w:t>
            </w:r>
            <w:r w:rsidRPr="008F001C">
              <w:rPr>
                <w:lang w:val="pt-PT"/>
              </w:rPr>
              <w:t>, devem ser atribuídas competências de execução à Comissão. Essas competências devem ser exercidas em conformidade com o Regulamento (UE) n.º 182/2011 do Parlamento Europeu e do Conselho, de 16 de fevereiro de 2011, que estabelece as regras e os princípios gerais relativos aos mecanismos de controlo pelos Estados</w:t>
            </w:r>
            <w:r w:rsidRPr="008F001C">
              <w:rPr>
                <w:lang w:val="pt-PT"/>
              </w:rPr>
              <w:noBreakHyphen/>
              <w:t>Membros do exercício das competências de execução pela Comissão*.</w:t>
            </w:r>
          </w:p>
          <w:p w:rsidR="008F001C" w:rsidRPr="008F001C" w:rsidRDefault="008F001C" w:rsidP="008F001C">
            <w:pPr>
              <w:autoSpaceDE w:val="0"/>
              <w:autoSpaceDN w:val="0"/>
              <w:adjustRightInd w:val="0"/>
              <w:rPr>
                <w:lang w:val="pt-PT"/>
              </w:rPr>
            </w:pPr>
            <w:r w:rsidRPr="008F001C">
              <w:rPr>
                <w:lang w:val="pt-PT"/>
              </w:rPr>
              <w:tab/>
              <w:t>__________</w:t>
            </w:r>
          </w:p>
          <w:p w:rsidR="008F001C" w:rsidRPr="008F001C" w:rsidRDefault="008F001C" w:rsidP="008F001C">
            <w:pPr>
              <w:rPr>
                <w:rFonts w:cs="TimesNewRoman,Italic"/>
                <w:b/>
                <w:iCs/>
                <w:lang w:val="pt-PT"/>
              </w:rPr>
            </w:pPr>
            <w:r w:rsidRPr="008F001C">
              <w:rPr>
                <w:lang w:val="pt-PT"/>
              </w:rPr>
              <w:t>*</w:t>
            </w:r>
            <w:r w:rsidRPr="008F001C">
              <w:rPr>
                <w:lang w:val="pt-PT"/>
              </w:rPr>
              <w:tab/>
              <w:t>JO L 55 de 28.2.2011, p. 13.</w:t>
            </w:r>
          </w:p>
        </w:tc>
      </w:tr>
      <w:tr w:rsidR="008F001C" w:rsidRPr="008F001C" w:rsidTr="008F001C">
        <w:trPr>
          <w:cantSplit/>
          <w:trHeight w:val="6280"/>
        </w:trPr>
        <w:tc>
          <w:tcPr>
            <w:tcW w:w="4643" w:type="dxa"/>
          </w:tcPr>
          <w:p w:rsidR="008F001C" w:rsidRPr="008F001C" w:rsidRDefault="008F001C" w:rsidP="008F001C">
            <w:pPr>
              <w:autoSpaceDE w:val="0"/>
              <w:autoSpaceDN w:val="0"/>
              <w:adjustRightInd w:val="0"/>
            </w:pPr>
            <w:r w:rsidRPr="008F001C">
              <w:rPr>
                <w:b/>
              </w:rPr>
              <w:lastRenderedPageBreak/>
              <w:t>2) RECITALS THAT MUST BE PRESENT IN SPECIFIC CASES</w:t>
            </w:r>
          </w:p>
          <w:p w:rsidR="008F001C" w:rsidRPr="008F001C" w:rsidRDefault="008F001C" w:rsidP="008F001C">
            <w:pPr>
              <w:autoSpaceDE w:val="0"/>
              <w:autoSpaceDN w:val="0"/>
              <w:adjustRightInd w:val="0"/>
              <w:outlineLvl w:val="0"/>
              <w:rPr>
                <w:i/>
                <w:u w:val="single"/>
              </w:rPr>
            </w:pPr>
            <w:r w:rsidRPr="008F001C">
              <w:rPr>
                <w:i/>
                <w:u w:val="single"/>
              </w:rPr>
              <w:t>A) Choice of procedure</w:t>
            </w:r>
          </w:p>
          <w:p w:rsidR="008F001C" w:rsidRPr="008F001C" w:rsidRDefault="008F001C" w:rsidP="008F001C">
            <w:pPr>
              <w:autoSpaceDE w:val="0"/>
              <w:autoSpaceDN w:val="0"/>
              <w:adjustRightInd w:val="0"/>
              <w:outlineLvl w:val="0"/>
              <w:rPr>
                <w:u w:val="single"/>
              </w:rPr>
            </w:pPr>
          </w:p>
          <w:p w:rsidR="008F001C" w:rsidRPr="008F001C" w:rsidRDefault="008F001C" w:rsidP="008F001C">
            <w:pPr>
              <w:autoSpaceDE w:val="0"/>
              <w:autoSpaceDN w:val="0"/>
              <w:adjustRightInd w:val="0"/>
              <w:rPr>
                <w:i/>
              </w:rPr>
            </w:pPr>
            <w:r w:rsidRPr="008F001C">
              <w:t xml:space="preserve">The (advisory) (examination) procedure should be used for the adoption of … </w:t>
            </w:r>
            <w:r w:rsidRPr="008F001C">
              <w:rPr>
                <w:i/>
              </w:rPr>
              <w:t xml:space="preserve">[relevant implementing acts] </w:t>
            </w:r>
            <w:r w:rsidRPr="008F001C">
              <w:t xml:space="preserve">(in order to …) (given that those acts …) </w:t>
            </w:r>
            <w:r w:rsidRPr="008F001C">
              <w:rPr>
                <w:i/>
              </w:rPr>
              <w:t>[justification of the exception to Article 2(2) or 2(3) taking into account the nature or the impact of the implementing act].</w:t>
            </w:r>
          </w:p>
          <w:p w:rsidR="008F001C" w:rsidRPr="008F001C" w:rsidRDefault="008F001C" w:rsidP="008F001C">
            <w:pPr>
              <w:autoSpaceDE w:val="0"/>
              <w:autoSpaceDN w:val="0"/>
              <w:adjustRightInd w:val="0"/>
              <w:ind w:left="720" w:hanging="720"/>
            </w:pPr>
          </w:p>
          <w:p w:rsidR="008F001C" w:rsidRPr="008F001C" w:rsidRDefault="008F001C" w:rsidP="008F001C">
            <w:pPr>
              <w:autoSpaceDE w:val="0"/>
              <w:autoSpaceDN w:val="0"/>
              <w:adjustRightInd w:val="0"/>
              <w:outlineLvl w:val="0"/>
              <w:rPr>
                <w:i/>
                <w:u w:val="single"/>
              </w:rPr>
            </w:pPr>
            <w:r w:rsidRPr="008F001C">
              <w:rPr>
                <w:i/>
                <w:u w:val="single"/>
              </w:rPr>
              <w:t>B) Immediately applicable implementing acts</w:t>
            </w:r>
          </w:p>
          <w:p w:rsidR="008F001C" w:rsidRPr="008F001C" w:rsidRDefault="008F001C" w:rsidP="008F001C">
            <w:pPr>
              <w:autoSpaceDE w:val="0"/>
              <w:autoSpaceDN w:val="0"/>
              <w:adjustRightInd w:val="0"/>
              <w:rPr>
                <w:i/>
              </w:rPr>
            </w:pPr>
          </w:p>
          <w:p w:rsidR="008F001C" w:rsidRPr="008F001C" w:rsidRDefault="008F001C" w:rsidP="008F001C">
            <w:r w:rsidRPr="008F001C">
              <w:t xml:space="preserve">The Commission should adopt immediately applicable implementing acts where, in duly justified cases relating to […] </w:t>
            </w:r>
            <w:r w:rsidRPr="008F001C">
              <w:rPr>
                <w:i/>
              </w:rPr>
              <w:t xml:space="preserve">[implementing powers as described in the relevant provisions of the basic legal act], </w:t>
            </w:r>
            <w:r w:rsidRPr="008F001C">
              <w:t>imperative grounds of urgency so require.</w:t>
            </w:r>
          </w:p>
        </w:tc>
        <w:tc>
          <w:tcPr>
            <w:tcW w:w="4643" w:type="dxa"/>
          </w:tcPr>
          <w:p w:rsidR="008F001C" w:rsidRPr="008F001C" w:rsidRDefault="008F001C" w:rsidP="008F001C">
            <w:pPr>
              <w:autoSpaceDE w:val="0"/>
              <w:autoSpaceDN w:val="0"/>
              <w:adjustRightInd w:val="0"/>
              <w:rPr>
                <w:lang w:val="pt-PT"/>
              </w:rPr>
            </w:pPr>
            <w:r w:rsidRPr="008F001C">
              <w:rPr>
                <w:b/>
                <w:lang w:val="pt-PT"/>
              </w:rPr>
              <w:t>2) CONSIDERANDOS A INCLUIR EM CASOS ESPECÍFICOS</w:t>
            </w:r>
          </w:p>
          <w:p w:rsidR="008F001C" w:rsidRPr="008F001C" w:rsidRDefault="008F001C" w:rsidP="008F001C">
            <w:pPr>
              <w:autoSpaceDE w:val="0"/>
              <w:autoSpaceDN w:val="0"/>
              <w:adjustRightInd w:val="0"/>
              <w:outlineLvl w:val="0"/>
              <w:rPr>
                <w:i/>
                <w:u w:val="single"/>
                <w:lang w:val="pt-PT"/>
              </w:rPr>
            </w:pPr>
            <w:r w:rsidRPr="008F001C">
              <w:rPr>
                <w:i/>
                <w:u w:val="single"/>
                <w:lang w:val="pt-PT"/>
              </w:rPr>
              <w:t>A) Escolha do procedimento</w:t>
            </w:r>
          </w:p>
          <w:p w:rsidR="008F001C" w:rsidRPr="008F001C" w:rsidRDefault="008F001C" w:rsidP="008F001C">
            <w:pPr>
              <w:autoSpaceDE w:val="0"/>
              <w:autoSpaceDN w:val="0"/>
              <w:adjustRightInd w:val="0"/>
              <w:outlineLvl w:val="0"/>
              <w:rPr>
                <w:u w:val="single"/>
                <w:lang w:val="pt-PT"/>
              </w:rPr>
            </w:pPr>
          </w:p>
          <w:p w:rsidR="008F001C" w:rsidRPr="008F001C" w:rsidRDefault="008F001C" w:rsidP="008F001C">
            <w:pPr>
              <w:autoSpaceDE w:val="0"/>
              <w:autoSpaceDN w:val="0"/>
              <w:adjustRightInd w:val="0"/>
              <w:ind w:left="36" w:hanging="36"/>
              <w:rPr>
                <w:i/>
                <w:lang w:val="pt-PT"/>
              </w:rPr>
            </w:pPr>
            <w:r w:rsidRPr="008F001C">
              <w:rPr>
                <w:lang w:val="pt-PT"/>
              </w:rPr>
              <w:t xml:space="preserve">O procedimento (consultivo) (de exame) deve aplicar-se na adoção de… </w:t>
            </w:r>
            <w:r w:rsidRPr="008F001C">
              <w:rPr>
                <w:i/>
                <w:lang w:val="pt-PT"/>
              </w:rPr>
              <w:t xml:space="preserve">[atos de execução em causa] </w:t>
            </w:r>
            <w:r w:rsidRPr="008F001C">
              <w:rPr>
                <w:lang w:val="pt-PT"/>
              </w:rPr>
              <w:t xml:space="preserve">(a fim de …) (atendendo a que esses atos …) </w:t>
            </w:r>
            <w:r w:rsidRPr="008F001C">
              <w:rPr>
                <w:i/>
                <w:lang w:val="pt-PT"/>
              </w:rPr>
              <w:t>[fundamentar a derrogação ao artigo 2.º, n.º 2 ou n.º 3, tendo em conta a natureza e o impacto do ato de execução].</w:t>
            </w:r>
          </w:p>
          <w:p w:rsidR="008F001C" w:rsidRPr="008F001C" w:rsidRDefault="008F001C" w:rsidP="008F001C">
            <w:pPr>
              <w:autoSpaceDE w:val="0"/>
              <w:autoSpaceDN w:val="0"/>
              <w:adjustRightInd w:val="0"/>
              <w:outlineLvl w:val="0"/>
              <w:rPr>
                <w:i/>
                <w:u w:val="single"/>
                <w:lang w:val="pt-PT"/>
              </w:rPr>
            </w:pPr>
          </w:p>
          <w:p w:rsidR="00D745A5" w:rsidRDefault="00D745A5" w:rsidP="008F001C">
            <w:pPr>
              <w:autoSpaceDE w:val="0"/>
              <w:autoSpaceDN w:val="0"/>
              <w:adjustRightInd w:val="0"/>
              <w:outlineLvl w:val="0"/>
              <w:rPr>
                <w:i/>
                <w:u w:val="single"/>
                <w:lang w:val="pt-PT"/>
              </w:rPr>
            </w:pPr>
          </w:p>
          <w:p w:rsidR="008F001C" w:rsidRPr="008F001C" w:rsidRDefault="008F001C" w:rsidP="008F001C">
            <w:pPr>
              <w:autoSpaceDE w:val="0"/>
              <w:autoSpaceDN w:val="0"/>
              <w:adjustRightInd w:val="0"/>
              <w:outlineLvl w:val="0"/>
              <w:rPr>
                <w:i/>
                <w:u w:val="single"/>
                <w:lang w:val="pt-PT"/>
              </w:rPr>
            </w:pPr>
            <w:r w:rsidRPr="008F001C">
              <w:rPr>
                <w:i/>
                <w:u w:val="single"/>
                <w:lang w:val="pt-PT"/>
              </w:rPr>
              <w:t>B) Atos de execução imediatamente aplicáveis</w:t>
            </w:r>
          </w:p>
          <w:p w:rsidR="008F001C" w:rsidRPr="008F001C" w:rsidRDefault="008F001C" w:rsidP="008F001C">
            <w:pPr>
              <w:autoSpaceDE w:val="0"/>
              <w:autoSpaceDN w:val="0"/>
              <w:adjustRightInd w:val="0"/>
              <w:rPr>
                <w:i/>
                <w:lang w:val="pt-PT"/>
              </w:rPr>
            </w:pPr>
          </w:p>
          <w:p w:rsidR="008F001C" w:rsidRPr="008F001C" w:rsidRDefault="008F001C" w:rsidP="008F001C">
            <w:pPr>
              <w:rPr>
                <w:lang w:val="pt-PT"/>
              </w:rPr>
            </w:pPr>
            <w:r w:rsidRPr="008F001C">
              <w:rPr>
                <w:lang w:val="pt-PT"/>
              </w:rPr>
              <w:t xml:space="preserve">A Comissão deve adotar atos de execução imediatamente aplicáveis se, em casos devidamente justificados relativos […] </w:t>
            </w:r>
            <w:r w:rsidRPr="008F001C">
              <w:rPr>
                <w:i/>
                <w:lang w:val="pt-PT"/>
              </w:rPr>
              <w:t xml:space="preserve">[competências de execução descritas nas disposições aplicáveis do ato de base], </w:t>
            </w:r>
            <w:r w:rsidRPr="008F001C">
              <w:rPr>
                <w:lang w:val="pt-PT"/>
              </w:rPr>
              <w:t>imperativos de urgência o exigirem.</w:t>
            </w:r>
          </w:p>
        </w:tc>
      </w:tr>
      <w:tr w:rsidR="008F001C" w:rsidRPr="008F001C" w:rsidTr="008F001C">
        <w:tc>
          <w:tcPr>
            <w:tcW w:w="4643" w:type="dxa"/>
          </w:tcPr>
          <w:p w:rsidR="008F001C" w:rsidRPr="008F001C" w:rsidRDefault="008F001C" w:rsidP="008F001C">
            <w:pPr>
              <w:keepNext/>
            </w:pPr>
            <w:r w:rsidRPr="008F001C">
              <w:rPr>
                <w:b/>
                <w:smallCaps/>
                <w:sz w:val="28"/>
                <w:szCs w:val="28"/>
              </w:rPr>
              <w:lastRenderedPageBreak/>
              <w:t>Articles</w:t>
            </w:r>
          </w:p>
        </w:tc>
        <w:tc>
          <w:tcPr>
            <w:tcW w:w="4643" w:type="dxa"/>
          </w:tcPr>
          <w:p w:rsidR="008F001C" w:rsidRPr="008F001C" w:rsidRDefault="008F001C" w:rsidP="008F001C">
            <w:pPr>
              <w:keepNext/>
              <w:outlineLvl w:val="0"/>
              <w:rPr>
                <w:lang w:val="pt-PT"/>
              </w:rPr>
            </w:pPr>
            <w:r w:rsidRPr="008F001C">
              <w:rPr>
                <w:b/>
                <w:smallCaps/>
                <w:sz w:val="28"/>
                <w:szCs w:val="28"/>
                <w:lang w:val="pt-PT"/>
              </w:rPr>
              <w:t>Artigos</w:t>
            </w:r>
          </w:p>
        </w:tc>
      </w:tr>
      <w:tr w:rsidR="008F001C" w:rsidRPr="008F001C" w:rsidTr="008F001C">
        <w:trPr>
          <w:cantSplit/>
        </w:trPr>
        <w:tc>
          <w:tcPr>
            <w:tcW w:w="4643" w:type="dxa"/>
          </w:tcPr>
          <w:p w:rsidR="008F001C" w:rsidRPr="008F001C" w:rsidRDefault="008F001C" w:rsidP="008F001C">
            <w:pPr>
              <w:keepNext/>
              <w:autoSpaceDE w:val="0"/>
              <w:autoSpaceDN w:val="0"/>
              <w:adjustRightInd w:val="0"/>
              <w:outlineLvl w:val="0"/>
              <w:rPr>
                <w:b/>
                <w:i/>
              </w:rPr>
            </w:pPr>
            <w:r w:rsidRPr="008F001C">
              <w:rPr>
                <w:b/>
                <w:i/>
                <w:lang w:val="fr-FR"/>
              </w:rPr>
              <w:t xml:space="preserve">1) </w:t>
            </w:r>
            <w:r w:rsidRPr="008F001C">
              <w:rPr>
                <w:b/>
                <w:i/>
              </w:rPr>
              <w:t>Article X</w:t>
            </w:r>
          </w:p>
          <w:p w:rsidR="008F001C" w:rsidRPr="008F001C" w:rsidRDefault="008F001C" w:rsidP="008F001C">
            <w:pPr>
              <w:keepNext/>
              <w:autoSpaceDE w:val="0"/>
              <w:autoSpaceDN w:val="0"/>
              <w:adjustRightInd w:val="0"/>
              <w:outlineLvl w:val="0"/>
              <w:rPr>
                <w:i/>
                <w:u w:val="single"/>
              </w:rPr>
            </w:pPr>
          </w:p>
          <w:p w:rsidR="008F001C" w:rsidRPr="008F001C" w:rsidRDefault="008F001C" w:rsidP="008F001C">
            <w:pPr>
              <w:keepNext/>
              <w:autoSpaceDE w:val="0"/>
              <w:autoSpaceDN w:val="0"/>
              <w:adjustRightInd w:val="0"/>
              <w:outlineLvl w:val="0"/>
              <w:rPr>
                <w:i/>
              </w:rPr>
            </w:pPr>
            <w:r w:rsidRPr="008F001C">
              <w:rPr>
                <w:i/>
                <w:u w:val="single"/>
              </w:rPr>
              <w:t>A) Compulsory Article</w:t>
            </w:r>
            <w:r w:rsidRPr="008F001C">
              <w:rPr>
                <w:i/>
              </w:rPr>
              <w:t xml:space="preserve">) </w:t>
            </w:r>
          </w:p>
          <w:p w:rsidR="008F001C" w:rsidRPr="008F001C" w:rsidRDefault="008F001C" w:rsidP="008F001C">
            <w:pPr>
              <w:keepNext/>
              <w:autoSpaceDE w:val="0"/>
              <w:autoSpaceDN w:val="0"/>
              <w:adjustRightInd w:val="0"/>
            </w:pPr>
          </w:p>
          <w:p w:rsidR="008F001C" w:rsidRPr="008F001C" w:rsidRDefault="008F001C" w:rsidP="008F001C">
            <w:pPr>
              <w:keepNext/>
              <w:autoSpaceDE w:val="0"/>
              <w:autoSpaceDN w:val="0"/>
              <w:adjustRightInd w:val="0"/>
              <w:jc w:val="center"/>
              <w:outlineLvl w:val="0"/>
              <w:rPr>
                <w:i/>
              </w:rPr>
            </w:pPr>
            <w:r w:rsidRPr="008F001C">
              <w:rPr>
                <w:i/>
              </w:rPr>
              <w:t>Article X</w:t>
            </w:r>
          </w:p>
          <w:p w:rsidR="008F001C" w:rsidRPr="008F001C" w:rsidRDefault="008F001C" w:rsidP="008F001C">
            <w:pPr>
              <w:keepNext/>
              <w:autoSpaceDE w:val="0"/>
              <w:autoSpaceDN w:val="0"/>
              <w:adjustRightInd w:val="0"/>
            </w:pPr>
          </w:p>
          <w:p w:rsidR="008F001C" w:rsidRPr="008F001C" w:rsidRDefault="008F001C" w:rsidP="008F001C">
            <w:pPr>
              <w:keepNext/>
            </w:pPr>
            <w:r w:rsidRPr="008F001C">
              <w:t xml:space="preserve">[…] </w:t>
            </w:r>
            <w:r w:rsidRPr="008F001C">
              <w:rPr>
                <w:i/>
              </w:rPr>
              <w:t>[description of the implementing acts]</w:t>
            </w:r>
            <w:r w:rsidRPr="008F001C">
              <w:t>. Those implementing acts shall be adopted in accordance with the (advisory) (examination) procedure referred to in Article Y(y).</w:t>
            </w:r>
          </w:p>
        </w:tc>
        <w:tc>
          <w:tcPr>
            <w:tcW w:w="4643" w:type="dxa"/>
          </w:tcPr>
          <w:p w:rsidR="008F001C" w:rsidRPr="008F001C" w:rsidRDefault="008F001C" w:rsidP="008F001C">
            <w:pPr>
              <w:keepNext/>
              <w:autoSpaceDE w:val="0"/>
              <w:autoSpaceDN w:val="0"/>
              <w:adjustRightInd w:val="0"/>
              <w:outlineLvl w:val="0"/>
              <w:rPr>
                <w:b/>
                <w:i/>
                <w:lang w:val="pt-PT"/>
              </w:rPr>
            </w:pPr>
            <w:r w:rsidRPr="008F001C">
              <w:rPr>
                <w:b/>
                <w:i/>
                <w:lang w:val="pt-PT"/>
              </w:rPr>
              <w:t>1) Artigo X</w:t>
            </w:r>
          </w:p>
          <w:p w:rsidR="008F001C" w:rsidRPr="008F001C" w:rsidRDefault="008F001C" w:rsidP="008F001C">
            <w:pPr>
              <w:keepNext/>
              <w:rPr>
                <w:i/>
                <w:u w:val="single"/>
                <w:lang w:val="pt-PT"/>
              </w:rPr>
            </w:pPr>
          </w:p>
          <w:p w:rsidR="008F001C" w:rsidRPr="008F001C" w:rsidRDefault="008F001C" w:rsidP="008F001C">
            <w:pPr>
              <w:keepNext/>
              <w:rPr>
                <w:i/>
                <w:u w:val="single"/>
                <w:lang w:val="pt-PT"/>
              </w:rPr>
            </w:pPr>
            <w:r w:rsidRPr="008F001C">
              <w:rPr>
                <w:i/>
                <w:u w:val="single"/>
                <w:lang w:val="pt-PT"/>
              </w:rPr>
              <w:t>A) Artigo obrigatório</w:t>
            </w:r>
            <w:r w:rsidRPr="008F001C">
              <w:rPr>
                <w:rStyle w:val="FootnoteReference"/>
                <w:i/>
                <w:lang w:val="pt-PT"/>
              </w:rPr>
              <w:footnoteReference w:id="2"/>
            </w:r>
            <w:r w:rsidRPr="008F001C">
              <w:rPr>
                <w:i/>
                <w:u w:val="single"/>
                <w:lang w:val="pt-PT"/>
              </w:rPr>
              <w:t xml:space="preserve">  </w:t>
            </w:r>
          </w:p>
          <w:p w:rsidR="008F001C" w:rsidRPr="008F001C" w:rsidRDefault="008F001C" w:rsidP="008F001C">
            <w:pPr>
              <w:keepNext/>
              <w:rPr>
                <w:lang w:val="pt-PT"/>
              </w:rPr>
            </w:pPr>
          </w:p>
          <w:p w:rsidR="008F001C" w:rsidRPr="008F001C" w:rsidRDefault="008F001C" w:rsidP="008F001C">
            <w:pPr>
              <w:keepNext/>
              <w:jc w:val="center"/>
              <w:rPr>
                <w:i/>
                <w:lang w:val="pt-PT"/>
              </w:rPr>
            </w:pPr>
            <w:r w:rsidRPr="008F001C">
              <w:rPr>
                <w:i/>
                <w:lang w:val="pt-PT"/>
              </w:rPr>
              <w:t>Artigo X</w:t>
            </w:r>
          </w:p>
          <w:p w:rsidR="008F001C" w:rsidRPr="008F001C" w:rsidRDefault="008F001C" w:rsidP="008F001C">
            <w:pPr>
              <w:keepNext/>
              <w:rPr>
                <w:lang w:val="pt-PT"/>
              </w:rPr>
            </w:pPr>
          </w:p>
          <w:p w:rsidR="008F001C" w:rsidRPr="008F001C" w:rsidRDefault="008F001C" w:rsidP="008F001C">
            <w:pPr>
              <w:keepNext/>
              <w:rPr>
                <w:lang w:val="pt-PT"/>
              </w:rPr>
            </w:pPr>
            <w:r w:rsidRPr="008F001C">
              <w:rPr>
                <w:lang w:val="pt-PT"/>
              </w:rPr>
              <w:t>[…] [</w:t>
            </w:r>
            <w:r w:rsidRPr="008F001C">
              <w:rPr>
                <w:i/>
                <w:lang w:val="pt-PT"/>
              </w:rPr>
              <w:t>descrição dos atos de execução</w:t>
            </w:r>
            <w:r w:rsidRPr="008F001C">
              <w:rPr>
                <w:lang w:val="pt-PT"/>
              </w:rPr>
              <w:t>]. Os referidos atos de execução são adotados pelo procedimento (consultivo) (de exame) a que se refere o artigo Y(y).</w:t>
            </w:r>
          </w:p>
        </w:tc>
      </w:tr>
      <w:tr w:rsidR="008F001C" w:rsidRPr="008F001C" w:rsidTr="008F001C">
        <w:trPr>
          <w:cantSplit/>
        </w:trPr>
        <w:tc>
          <w:tcPr>
            <w:tcW w:w="4643" w:type="dxa"/>
          </w:tcPr>
          <w:p w:rsidR="008F001C" w:rsidRPr="008F001C" w:rsidRDefault="008F001C" w:rsidP="008F001C">
            <w:pPr>
              <w:keepNext/>
              <w:autoSpaceDE w:val="0"/>
              <w:autoSpaceDN w:val="0"/>
              <w:adjustRightInd w:val="0"/>
              <w:outlineLvl w:val="0"/>
              <w:rPr>
                <w:i/>
                <w:u w:val="single"/>
                <w:lang w:val="fr-FR"/>
              </w:rPr>
            </w:pPr>
            <w:r w:rsidRPr="008F001C">
              <w:rPr>
                <w:i/>
                <w:u w:val="single"/>
                <w:lang w:val="fr-FR"/>
              </w:rPr>
              <w:t xml:space="preserve">B) Possible Article </w:t>
            </w:r>
          </w:p>
          <w:p w:rsidR="008F001C" w:rsidRPr="008F001C" w:rsidRDefault="008F001C" w:rsidP="008F001C">
            <w:pPr>
              <w:keepNext/>
              <w:autoSpaceDE w:val="0"/>
              <w:autoSpaceDN w:val="0"/>
              <w:adjustRightInd w:val="0"/>
              <w:outlineLvl w:val="0"/>
              <w:rPr>
                <w:u w:val="single"/>
                <w:lang w:val="fr-FR"/>
              </w:rPr>
            </w:pPr>
          </w:p>
          <w:p w:rsidR="008F001C" w:rsidRPr="008F001C" w:rsidRDefault="008F001C" w:rsidP="008F001C">
            <w:pPr>
              <w:keepNext/>
              <w:autoSpaceDE w:val="0"/>
              <w:autoSpaceDN w:val="0"/>
              <w:adjustRightInd w:val="0"/>
              <w:jc w:val="center"/>
              <w:outlineLvl w:val="0"/>
              <w:rPr>
                <w:i/>
                <w:lang w:val="fr-FR"/>
              </w:rPr>
            </w:pPr>
            <w:r w:rsidRPr="008F001C">
              <w:rPr>
                <w:i/>
                <w:lang w:val="fr-FR"/>
              </w:rPr>
              <w:t>Article X</w:t>
            </w:r>
          </w:p>
          <w:p w:rsidR="008F001C" w:rsidRPr="008F001C" w:rsidRDefault="008F001C" w:rsidP="008F001C">
            <w:pPr>
              <w:keepNext/>
              <w:autoSpaceDE w:val="0"/>
              <w:autoSpaceDN w:val="0"/>
              <w:adjustRightInd w:val="0"/>
              <w:rPr>
                <w:lang w:val="fr-FR"/>
              </w:rPr>
            </w:pPr>
          </w:p>
          <w:p w:rsidR="008F001C" w:rsidRPr="008F001C" w:rsidRDefault="008F001C" w:rsidP="008F001C">
            <w:pPr>
              <w:keepNext/>
              <w:autoSpaceDE w:val="0"/>
              <w:autoSpaceDN w:val="0"/>
              <w:adjustRightInd w:val="0"/>
            </w:pPr>
            <w:r w:rsidRPr="008F001C">
              <w:rPr>
                <w:lang w:val="fr-FR"/>
              </w:rPr>
              <w:t xml:space="preserve">[…] </w:t>
            </w:r>
            <w:r w:rsidRPr="008F001C">
              <w:rPr>
                <w:i/>
              </w:rPr>
              <w:t>[description of the implementing acts]</w:t>
            </w:r>
            <w:r w:rsidRPr="008F001C">
              <w:t>.</w:t>
            </w:r>
            <w:r w:rsidRPr="008F001C" w:rsidDel="003720A4">
              <w:t xml:space="preserve"> </w:t>
            </w:r>
            <w:r w:rsidRPr="008F001C">
              <w:t>Those implementing acts shall be adopted in accordance with the (advisory) (examination) procedure referred to in Article Y(y).</w:t>
            </w:r>
          </w:p>
          <w:p w:rsidR="008F001C" w:rsidRPr="008F001C" w:rsidRDefault="008F001C" w:rsidP="008F001C">
            <w:pPr>
              <w:keepNext/>
              <w:autoSpaceDE w:val="0"/>
              <w:autoSpaceDN w:val="0"/>
              <w:adjustRightInd w:val="0"/>
            </w:pPr>
          </w:p>
          <w:p w:rsidR="008F001C" w:rsidRPr="008F001C" w:rsidRDefault="008F001C" w:rsidP="008F001C">
            <w:pPr>
              <w:keepNext/>
              <w:autoSpaceDE w:val="0"/>
              <w:autoSpaceDN w:val="0"/>
              <w:adjustRightInd w:val="0"/>
            </w:pPr>
            <w:r w:rsidRPr="008F001C">
              <w:t>On duly justified imperative grounds of urgency (relating to …), the Commission shall adopt immediately applicable implementing acts in accordance with the procedure referred to in Article Y(z).</w:t>
            </w:r>
          </w:p>
          <w:p w:rsidR="008F001C" w:rsidRPr="008F001C" w:rsidRDefault="008F001C" w:rsidP="008F001C">
            <w:pPr>
              <w:keepNext/>
              <w:autoSpaceDE w:val="0"/>
              <w:autoSpaceDN w:val="0"/>
              <w:adjustRightInd w:val="0"/>
            </w:pPr>
          </w:p>
          <w:p w:rsidR="008F001C" w:rsidRPr="008F001C" w:rsidRDefault="008F001C" w:rsidP="008F001C">
            <w:pPr>
              <w:keepNext/>
              <w:autoSpaceDE w:val="0"/>
              <w:autoSpaceDN w:val="0"/>
              <w:adjustRightInd w:val="0"/>
              <w:rPr>
                <w:i/>
              </w:rPr>
            </w:pPr>
            <w:r w:rsidRPr="008F001C">
              <w:rPr>
                <w:i/>
              </w:rPr>
              <w:t>Where the legislator decides to use the possibility referred to in Article 8(2) of Regulation (EU) No 182/2011</w:t>
            </w:r>
            <w:r w:rsidRPr="008F001C">
              <w:t xml:space="preserve"> </w:t>
            </w:r>
            <w:r w:rsidRPr="008F001C">
              <w:rPr>
                <w:i/>
              </w:rPr>
              <w:t>to provide in the basic legal act for an alternative maximum period of validity of the immediately applicable implementing acts, the following option could be used for the second paragraph:</w:t>
            </w:r>
          </w:p>
          <w:p w:rsidR="008F001C" w:rsidRPr="008F001C" w:rsidRDefault="008F001C" w:rsidP="008F001C">
            <w:pPr>
              <w:keepNext/>
              <w:autoSpaceDE w:val="0"/>
              <w:autoSpaceDN w:val="0"/>
              <w:adjustRightInd w:val="0"/>
            </w:pPr>
          </w:p>
          <w:p w:rsidR="008F001C" w:rsidRPr="008F001C" w:rsidRDefault="008F001C" w:rsidP="008F001C">
            <w:pPr>
              <w:keepNext/>
            </w:pPr>
            <w:r w:rsidRPr="008F001C">
              <w:t>On duly justified imperative grounds of urgency (relating to […]), the Commission shall adopt immediately applicable implementing acts in accordance with the procedure referred to in Article Y(z). Those acts shall remain in force for a period not exceeding […].</w:t>
            </w:r>
          </w:p>
        </w:tc>
        <w:tc>
          <w:tcPr>
            <w:tcW w:w="4643" w:type="dxa"/>
          </w:tcPr>
          <w:p w:rsidR="008F001C" w:rsidRPr="008F001C" w:rsidRDefault="008F001C" w:rsidP="008F001C">
            <w:pPr>
              <w:keepNext/>
              <w:autoSpaceDE w:val="0"/>
              <w:autoSpaceDN w:val="0"/>
              <w:adjustRightInd w:val="0"/>
              <w:outlineLvl w:val="0"/>
              <w:rPr>
                <w:i/>
                <w:u w:val="single"/>
                <w:lang w:val="pt-PT"/>
              </w:rPr>
            </w:pPr>
            <w:r w:rsidRPr="008F001C">
              <w:rPr>
                <w:i/>
                <w:u w:val="single"/>
                <w:lang w:val="pt-PT"/>
              </w:rPr>
              <w:t>B) Artigo facultativo</w:t>
            </w:r>
          </w:p>
          <w:p w:rsidR="008F001C" w:rsidRPr="008F001C" w:rsidRDefault="008F001C" w:rsidP="008F001C">
            <w:pPr>
              <w:keepNext/>
              <w:autoSpaceDE w:val="0"/>
              <w:autoSpaceDN w:val="0"/>
              <w:adjustRightInd w:val="0"/>
              <w:outlineLvl w:val="0"/>
              <w:rPr>
                <w:u w:val="single"/>
                <w:lang w:val="pt-PT"/>
              </w:rPr>
            </w:pPr>
          </w:p>
          <w:p w:rsidR="008F001C" w:rsidRPr="008F001C" w:rsidRDefault="008F001C" w:rsidP="008F001C">
            <w:pPr>
              <w:keepNext/>
              <w:autoSpaceDE w:val="0"/>
              <w:autoSpaceDN w:val="0"/>
              <w:adjustRightInd w:val="0"/>
              <w:jc w:val="center"/>
              <w:outlineLvl w:val="0"/>
              <w:rPr>
                <w:i/>
                <w:lang w:val="pt-PT"/>
              </w:rPr>
            </w:pPr>
            <w:r w:rsidRPr="008F001C">
              <w:rPr>
                <w:i/>
                <w:lang w:val="pt-PT"/>
              </w:rPr>
              <w:t>Artigo X</w:t>
            </w:r>
          </w:p>
          <w:p w:rsidR="008F001C" w:rsidRPr="008F001C" w:rsidRDefault="008F001C" w:rsidP="008F001C">
            <w:pPr>
              <w:keepNext/>
              <w:autoSpaceDE w:val="0"/>
              <w:autoSpaceDN w:val="0"/>
              <w:adjustRightInd w:val="0"/>
              <w:rPr>
                <w:lang w:val="pt-PT"/>
              </w:rPr>
            </w:pPr>
          </w:p>
          <w:p w:rsidR="008F001C" w:rsidRPr="008F001C" w:rsidRDefault="008F001C" w:rsidP="008F001C">
            <w:pPr>
              <w:keepNext/>
              <w:autoSpaceDE w:val="0"/>
              <w:autoSpaceDN w:val="0"/>
              <w:adjustRightInd w:val="0"/>
              <w:rPr>
                <w:lang w:val="pt-PT"/>
              </w:rPr>
            </w:pPr>
            <w:r w:rsidRPr="008F001C">
              <w:rPr>
                <w:lang w:val="pt-PT"/>
              </w:rPr>
              <w:t xml:space="preserve"> […] </w:t>
            </w:r>
            <w:r w:rsidRPr="008F001C">
              <w:rPr>
                <w:i/>
                <w:lang w:val="pt-PT"/>
              </w:rPr>
              <w:t>[descrição dos atos de execução].</w:t>
            </w:r>
            <w:r w:rsidRPr="008F001C">
              <w:rPr>
                <w:lang w:val="pt-PT"/>
              </w:rPr>
              <w:t xml:space="preserve"> Os referidos atos de execução são adotados pelo procedimento (consultivo) (de exame) a que se refere o artigo Y(y).</w:t>
            </w:r>
          </w:p>
          <w:p w:rsidR="008F001C" w:rsidRPr="008F001C" w:rsidRDefault="008F001C" w:rsidP="008F001C">
            <w:pPr>
              <w:keepNext/>
              <w:autoSpaceDE w:val="0"/>
              <w:autoSpaceDN w:val="0"/>
              <w:adjustRightInd w:val="0"/>
              <w:rPr>
                <w:lang w:val="pt-PT"/>
              </w:rPr>
            </w:pPr>
          </w:p>
          <w:p w:rsidR="008F001C" w:rsidRPr="008F001C" w:rsidRDefault="008F001C" w:rsidP="008F001C">
            <w:pPr>
              <w:keepNext/>
              <w:autoSpaceDE w:val="0"/>
              <w:autoSpaceDN w:val="0"/>
              <w:adjustRightInd w:val="0"/>
              <w:rPr>
                <w:lang w:val="pt-PT"/>
              </w:rPr>
            </w:pPr>
            <w:r w:rsidRPr="008F001C">
              <w:rPr>
                <w:lang w:val="pt-PT"/>
              </w:rPr>
              <w:t>Por imperativos de urgência devidamente justificados (relativos …), a Comissão adota atos de execução imediatamente aplicáveis pelo procedimento a que se refere o artigo Y(z).</w:t>
            </w:r>
            <w:r w:rsidRPr="008F001C">
              <w:rPr>
                <w:rStyle w:val="FootnoteReference"/>
                <w:b w:val="0"/>
                <w:lang w:val="pt-PT"/>
              </w:rPr>
              <w:footnoteReference w:id="3"/>
            </w:r>
          </w:p>
          <w:p w:rsidR="008F001C" w:rsidRPr="008F001C" w:rsidRDefault="008F001C" w:rsidP="008F001C">
            <w:pPr>
              <w:keepNext/>
              <w:autoSpaceDE w:val="0"/>
              <w:autoSpaceDN w:val="0"/>
              <w:adjustRightInd w:val="0"/>
              <w:rPr>
                <w:lang w:val="pt-PT"/>
              </w:rPr>
            </w:pPr>
          </w:p>
          <w:p w:rsidR="008F001C" w:rsidRPr="008F001C" w:rsidRDefault="008F001C" w:rsidP="008F001C">
            <w:pPr>
              <w:keepNext/>
              <w:autoSpaceDE w:val="0"/>
              <w:autoSpaceDN w:val="0"/>
              <w:adjustRightInd w:val="0"/>
              <w:rPr>
                <w:i/>
                <w:lang w:val="pt-PT"/>
              </w:rPr>
            </w:pPr>
            <w:r w:rsidRPr="008F001C">
              <w:rPr>
                <w:i/>
                <w:lang w:val="pt-PT"/>
              </w:rPr>
              <w:t>Caso o legislador opte pela possibilidade prevista no artigo 8.º, n.º 2, do Regulamento (UE) n.º 182/2011, prevendo no ato de base outro período máximo de vigência dos atos de execução imediatamente aplicáveis, no segundo parágrafo poderá recorrer-se à seguinte opção:</w:t>
            </w:r>
          </w:p>
          <w:p w:rsidR="008F001C" w:rsidRPr="008F001C" w:rsidRDefault="008F001C" w:rsidP="008F001C">
            <w:pPr>
              <w:keepNext/>
              <w:autoSpaceDE w:val="0"/>
              <w:autoSpaceDN w:val="0"/>
              <w:adjustRightInd w:val="0"/>
              <w:rPr>
                <w:lang w:val="pt-PT"/>
              </w:rPr>
            </w:pPr>
          </w:p>
          <w:p w:rsidR="008F001C" w:rsidRPr="008F001C" w:rsidRDefault="008F001C" w:rsidP="008F001C">
            <w:pPr>
              <w:keepNext/>
              <w:autoSpaceDE w:val="0"/>
              <w:autoSpaceDN w:val="0"/>
              <w:adjustRightInd w:val="0"/>
              <w:rPr>
                <w:lang w:val="pt-PT"/>
              </w:rPr>
            </w:pPr>
          </w:p>
          <w:p w:rsidR="008F001C" w:rsidRPr="008F001C" w:rsidRDefault="008F001C" w:rsidP="008F001C">
            <w:pPr>
              <w:keepNext/>
              <w:rPr>
                <w:lang w:val="pt-PT"/>
              </w:rPr>
            </w:pPr>
            <w:r w:rsidRPr="008F001C">
              <w:rPr>
                <w:lang w:val="pt-PT"/>
              </w:rPr>
              <w:t>Por imperativos de urgência devidamente justificados (relativos […]), a Comissão adota atos de execução imediatamente aplicáveis pelo procedimento a que se refere o artigo Y(z). Esses atos mantêm-se em vigor por um período que não pode exceder […].</w:t>
            </w:r>
          </w:p>
        </w:tc>
      </w:tr>
      <w:tr w:rsidR="008F001C" w:rsidRPr="008F001C" w:rsidTr="008F001C">
        <w:trPr>
          <w:cantSplit/>
        </w:trPr>
        <w:tc>
          <w:tcPr>
            <w:tcW w:w="4643" w:type="dxa"/>
          </w:tcPr>
          <w:p w:rsidR="008F001C" w:rsidRPr="008F001C" w:rsidRDefault="008F001C" w:rsidP="008F001C">
            <w:pPr>
              <w:autoSpaceDE w:val="0"/>
              <w:autoSpaceDN w:val="0"/>
              <w:adjustRightInd w:val="0"/>
              <w:outlineLvl w:val="0"/>
              <w:rPr>
                <w:b/>
                <w:i/>
              </w:rPr>
            </w:pPr>
            <w:r w:rsidRPr="008F001C">
              <w:rPr>
                <w:b/>
                <w:i/>
              </w:rPr>
              <w:lastRenderedPageBreak/>
              <w:t>2) Article Y</w:t>
            </w:r>
          </w:p>
          <w:p w:rsidR="008F001C" w:rsidRPr="008F001C" w:rsidRDefault="008F001C" w:rsidP="008F001C">
            <w:pPr>
              <w:autoSpaceDE w:val="0"/>
              <w:autoSpaceDN w:val="0"/>
              <w:adjustRightInd w:val="0"/>
            </w:pPr>
          </w:p>
          <w:p w:rsidR="008F001C" w:rsidRPr="008F001C" w:rsidRDefault="008F001C" w:rsidP="008F001C">
            <w:pPr>
              <w:autoSpaceDE w:val="0"/>
              <w:autoSpaceDN w:val="0"/>
              <w:adjustRightInd w:val="0"/>
              <w:jc w:val="center"/>
              <w:outlineLvl w:val="0"/>
              <w:rPr>
                <w:i/>
              </w:rPr>
            </w:pPr>
            <w:r w:rsidRPr="008F001C">
              <w:rPr>
                <w:i/>
              </w:rPr>
              <w:t>Article Y</w:t>
            </w:r>
          </w:p>
          <w:p w:rsidR="008F001C" w:rsidRPr="008F001C" w:rsidRDefault="008F001C" w:rsidP="008F001C">
            <w:pPr>
              <w:autoSpaceDE w:val="0"/>
              <w:autoSpaceDN w:val="0"/>
              <w:adjustRightInd w:val="0"/>
              <w:jc w:val="center"/>
              <w:outlineLvl w:val="0"/>
              <w:rPr>
                <w:b/>
              </w:rPr>
            </w:pPr>
            <w:r w:rsidRPr="008F001C">
              <w:rPr>
                <w:b/>
              </w:rPr>
              <w:t>Committee procedure</w:t>
            </w:r>
          </w:p>
          <w:p w:rsidR="008F001C" w:rsidRPr="008F001C" w:rsidRDefault="008F001C" w:rsidP="008F001C">
            <w:pPr>
              <w:autoSpaceDE w:val="0"/>
              <w:autoSpaceDN w:val="0"/>
              <w:adjustRightInd w:val="0"/>
            </w:pPr>
          </w:p>
          <w:p w:rsidR="008F001C" w:rsidRPr="008F001C" w:rsidRDefault="008F001C" w:rsidP="008F001C">
            <w:pPr>
              <w:autoSpaceDE w:val="0"/>
              <w:autoSpaceDN w:val="0"/>
              <w:adjustRightInd w:val="0"/>
              <w:rPr>
                <w:i/>
              </w:rPr>
            </w:pPr>
            <w:r w:rsidRPr="008F001C">
              <w:t>[</w:t>
            </w:r>
            <w:r w:rsidRPr="008F001C">
              <w:rPr>
                <w:i/>
              </w:rPr>
              <w:t>Text to be used where the committee is already established under existing legislation:</w:t>
            </w:r>
          </w:p>
          <w:p w:rsidR="008F001C" w:rsidRPr="008F001C" w:rsidRDefault="008F001C" w:rsidP="008F001C">
            <w:pPr>
              <w:autoSpaceDE w:val="0"/>
              <w:autoSpaceDN w:val="0"/>
              <w:adjustRightInd w:val="0"/>
            </w:pPr>
          </w:p>
          <w:p w:rsidR="008F001C" w:rsidRPr="008F001C" w:rsidRDefault="008F001C" w:rsidP="008F001C">
            <w:pPr>
              <w:autoSpaceDE w:val="0"/>
              <w:autoSpaceDN w:val="0"/>
              <w:adjustRightInd w:val="0"/>
            </w:pPr>
            <w:r w:rsidRPr="008F001C">
              <w:t xml:space="preserve">1. The Commission shall be assisted by the […] </w:t>
            </w:r>
            <w:r w:rsidRPr="008F001C">
              <w:rPr>
                <w:i/>
              </w:rPr>
              <w:t xml:space="preserve">[name of the committee] </w:t>
            </w:r>
            <w:r w:rsidRPr="008F001C">
              <w:t xml:space="preserve">established by … </w:t>
            </w:r>
            <w:r w:rsidRPr="008F001C">
              <w:rPr>
                <w:i/>
              </w:rPr>
              <w:t>[reference to the legal act which created the committee]</w:t>
            </w:r>
            <w:r w:rsidRPr="008F001C">
              <w:t>. That committee shall be a committee within the meaning of Regulation (EU) No 182/2011.]</w:t>
            </w:r>
          </w:p>
          <w:p w:rsidR="008F001C" w:rsidRPr="008F001C" w:rsidRDefault="008F001C" w:rsidP="008F001C">
            <w:pPr>
              <w:autoSpaceDE w:val="0"/>
              <w:autoSpaceDN w:val="0"/>
              <w:adjustRightInd w:val="0"/>
            </w:pPr>
          </w:p>
          <w:p w:rsidR="008F001C" w:rsidRPr="008F001C" w:rsidRDefault="008F001C" w:rsidP="008F001C">
            <w:pPr>
              <w:autoSpaceDE w:val="0"/>
              <w:autoSpaceDN w:val="0"/>
              <w:adjustRightInd w:val="0"/>
              <w:rPr>
                <w:i/>
              </w:rPr>
            </w:pPr>
            <w:r w:rsidRPr="008F001C">
              <w:t>[</w:t>
            </w:r>
            <w:r w:rsidRPr="008F001C">
              <w:rPr>
                <w:i/>
              </w:rPr>
              <w:t>Text to be used where the committee is a new one:</w:t>
            </w:r>
          </w:p>
          <w:p w:rsidR="008F001C" w:rsidRPr="008F001C" w:rsidRDefault="008F001C" w:rsidP="008F001C">
            <w:pPr>
              <w:autoSpaceDE w:val="0"/>
              <w:autoSpaceDN w:val="0"/>
              <w:adjustRightInd w:val="0"/>
            </w:pPr>
          </w:p>
          <w:p w:rsidR="008F001C" w:rsidRPr="008F001C" w:rsidRDefault="008F001C" w:rsidP="008F001C">
            <w:pPr>
              <w:autoSpaceDE w:val="0"/>
              <w:autoSpaceDN w:val="0"/>
              <w:adjustRightInd w:val="0"/>
            </w:pPr>
            <w:r w:rsidRPr="008F001C">
              <w:t>1. The Commission shall be assisted by a committee</w:t>
            </w:r>
            <w:r w:rsidRPr="008F001C">
              <w:rPr>
                <w:i/>
              </w:rPr>
              <w:t>.</w:t>
            </w:r>
            <w:r w:rsidRPr="008F001C">
              <w:t xml:space="preserve"> That committee shall be a committee within the meaning of Regulation (EU) No 182/2011.].</w:t>
            </w:r>
          </w:p>
          <w:p w:rsidR="008F001C" w:rsidRPr="008F001C" w:rsidRDefault="008F001C" w:rsidP="008F001C">
            <w:pPr>
              <w:autoSpaceDE w:val="0"/>
              <w:autoSpaceDN w:val="0"/>
              <w:adjustRightInd w:val="0"/>
            </w:pPr>
          </w:p>
          <w:p w:rsidR="008F001C" w:rsidRPr="008F001C" w:rsidRDefault="008F001C" w:rsidP="008F001C">
            <w:pPr>
              <w:autoSpaceDE w:val="0"/>
              <w:autoSpaceDN w:val="0"/>
              <w:adjustRightInd w:val="0"/>
            </w:pPr>
            <w:r w:rsidRPr="008F001C">
              <w:t>[</w:t>
            </w:r>
            <w:r w:rsidRPr="008F001C">
              <w:rPr>
                <w:i/>
              </w:rPr>
              <w:t>Where the advisory procedure is provided for in the basic legal act:</w:t>
            </w:r>
          </w:p>
          <w:p w:rsidR="008F001C" w:rsidRPr="008F001C" w:rsidRDefault="008F001C" w:rsidP="008F001C">
            <w:pPr>
              <w:autoSpaceDE w:val="0"/>
              <w:autoSpaceDN w:val="0"/>
              <w:adjustRightInd w:val="0"/>
            </w:pPr>
          </w:p>
          <w:p w:rsidR="008F001C" w:rsidRPr="008F001C" w:rsidRDefault="008F001C" w:rsidP="008F001C">
            <w:pPr>
              <w:autoSpaceDE w:val="0"/>
              <w:autoSpaceDN w:val="0"/>
              <w:adjustRightInd w:val="0"/>
              <w:outlineLvl w:val="0"/>
            </w:pPr>
            <w:r w:rsidRPr="008F001C">
              <w:t>2. Where reference is made to this paragraph, Article 4 of Regulation (EU) No 182/2011 shall apply.</w:t>
            </w:r>
          </w:p>
          <w:p w:rsidR="008F001C" w:rsidRPr="008F001C" w:rsidRDefault="008F001C" w:rsidP="008F001C">
            <w:pPr>
              <w:autoSpaceDE w:val="0"/>
              <w:autoSpaceDN w:val="0"/>
              <w:adjustRightInd w:val="0"/>
            </w:pPr>
          </w:p>
          <w:p w:rsidR="008F001C" w:rsidRPr="008F001C" w:rsidRDefault="008F001C" w:rsidP="008F001C">
            <w:pPr>
              <w:autoSpaceDE w:val="0"/>
              <w:autoSpaceDN w:val="0"/>
              <w:adjustRightInd w:val="0"/>
              <w:rPr>
                <w:i/>
              </w:rPr>
            </w:pPr>
            <w:r w:rsidRPr="008F001C">
              <w:t>(</w:t>
            </w:r>
            <w:r w:rsidRPr="008F001C">
              <w:rPr>
                <w:i/>
              </w:rPr>
              <w:t>Where the legislator decides to use the possibility referred to in the second subparagraph of Article 3(5) of Regulation (EU) No 182</w:t>
            </w:r>
            <w:r w:rsidRPr="008F001C">
              <w:t>/</w:t>
            </w:r>
            <w:r w:rsidRPr="008F001C">
              <w:rPr>
                <w:i/>
              </w:rPr>
              <w:t>2011, a possible option, among those that could be covered by that provision, might be:</w:t>
            </w:r>
          </w:p>
          <w:p w:rsidR="008F001C" w:rsidRPr="008F001C" w:rsidRDefault="008F001C" w:rsidP="008F001C">
            <w:pPr>
              <w:autoSpaceDE w:val="0"/>
              <w:autoSpaceDN w:val="0"/>
              <w:adjustRightInd w:val="0"/>
              <w:rPr>
                <w:i/>
              </w:rPr>
            </w:pPr>
          </w:p>
          <w:p w:rsidR="008F001C" w:rsidRPr="008F001C" w:rsidRDefault="008F001C" w:rsidP="008F001C">
            <w:pPr>
              <w:autoSpaceDE w:val="0"/>
              <w:autoSpaceDN w:val="0"/>
              <w:adjustRightInd w:val="0"/>
              <w:rPr>
                <w:i/>
              </w:rPr>
            </w:pPr>
          </w:p>
          <w:p w:rsidR="008F001C" w:rsidRPr="008F001C" w:rsidRDefault="008F001C" w:rsidP="008F001C">
            <w:r w:rsidRPr="008F001C">
              <w:t xml:space="preserve">Where the opinion of the committee is to be obtained by written procedure, that procedure shall be terminated without result when, within the time-limit for delivery of the opinion, the chair of the committee so decides or (…) </w:t>
            </w:r>
            <w:r w:rsidRPr="008F001C">
              <w:rPr>
                <w:i/>
              </w:rPr>
              <w:t>[number of members]</w:t>
            </w:r>
            <w:r w:rsidRPr="008F001C">
              <w:t xml:space="preserve"> (a … majority of) </w:t>
            </w:r>
            <w:r w:rsidRPr="008F001C">
              <w:rPr>
                <w:i/>
              </w:rPr>
              <w:t>[majority to be specified: simple, two-thirds, etc.]</w:t>
            </w:r>
            <w:r w:rsidRPr="008F001C">
              <w:t xml:space="preserve"> committee members so request.)]</w:t>
            </w:r>
          </w:p>
        </w:tc>
        <w:tc>
          <w:tcPr>
            <w:tcW w:w="4643" w:type="dxa"/>
          </w:tcPr>
          <w:p w:rsidR="008F001C" w:rsidRPr="008F001C" w:rsidRDefault="008F001C" w:rsidP="008F001C">
            <w:pPr>
              <w:autoSpaceDE w:val="0"/>
              <w:autoSpaceDN w:val="0"/>
              <w:adjustRightInd w:val="0"/>
              <w:outlineLvl w:val="0"/>
              <w:rPr>
                <w:b/>
                <w:i/>
                <w:lang w:val="pt-PT"/>
              </w:rPr>
            </w:pPr>
            <w:r w:rsidRPr="008F001C">
              <w:rPr>
                <w:b/>
                <w:i/>
                <w:lang w:val="pt-PT"/>
              </w:rPr>
              <w:t>2) Artigo Y</w:t>
            </w:r>
          </w:p>
          <w:p w:rsidR="008F001C" w:rsidRPr="008F001C" w:rsidRDefault="008F001C" w:rsidP="008F001C">
            <w:pPr>
              <w:autoSpaceDE w:val="0"/>
              <w:autoSpaceDN w:val="0"/>
              <w:adjustRightInd w:val="0"/>
              <w:rPr>
                <w:i/>
                <w:u w:val="single"/>
                <w:lang w:val="pt-PT"/>
              </w:rPr>
            </w:pPr>
          </w:p>
          <w:p w:rsidR="008F001C" w:rsidRPr="008F001C" w:rsidRDefault="008F001C" w:rsidP="008F001C">
            <w:pPr>
              <w:autoSpaceDE w:val="0"/>
              <w:autoSpaceDN w:val="0"/>
              <w:adjustRightInd w:val="0"/>
              <w:jc w:val="center"/>
              <w:outlineLvl w:val="0"/>
              <w:rPr>
                <w:i/>
                <w:lang w:val="pt-PT"/>
              </w:rPr>
            </w:pPr>
            <w:r w:rsidRPr="008F001C">
              <w:rPr>
                <w:i/>
                <w:lang w:val="pt-PT"/>
              </w:rPr>
              <w:t>Artigo Y</w:t>
            </w:r>
          </w:p>
          <w:p w:rsidR="008F001C" w:rsidRPr="008F001C" w:rsidRDefault="008F001C" w:rsidP="008F001C">
            <w:pPr>
              <w:autoSpaceDE w:val="0"/>
              <w:autoSpaceDN w:val="0"/>
              <w:adjustRightInd w:val="0"/>
              <w:jc w:val="center"/>
              <w:outlineLvl w:val="0"/>
              <w:rPr>
                <w:b/>
                <w:lang w:val="pt-PT"/>
              </w:rPr>
            </w:pPr>
            <w:r w:rsidRPr="008F001C">
              <w:rPr>
                <w:b/>
                <w:lang w:val="pt-PT"/>
              </w:rPr>
              <w:t>Procedimento de comité</w:t>
            </w:r>
          </w:p>
          <w:p w:rsidR="008F001C" w:rsidRPr="008F001C" w:rsidRDefault="008F001C" w:rsidP="008F001C">
            <w:pPr>
              <w:autoSpaceDE w:val="0"/>
              <w:autoSpaceDN w:val="0"/>
              <w:adjustRightInd w:val="0"/>
              <w:rPr>
                <w:lang w:val="pt-PT"/>
              </w:rPr>
            </w:pPr>
          </w:p>
          <w:p w:rsidR="008F001C" w:rsidRPr="008F001C" w:rsidRDefault="008F001C" w:rsidP="008F001C">
            <w:pPr>
              <w:autoSpaceDE w:val="0"/>
              <w:autoSpaceDN w:val="0"/>
              <w:adjustRightInd w:val="0"/>
              <w:rPr>
                <w:i/>
                <w:lang w:val="pt-PT"/>
              </w:rPr>
            </w:pPr>
            <w:r w:rsidRPr="008F001C">
              <w:rPr>
                <w:lang w:val="pt-PT"/>
              </w:rPr>
              <w:t>[</w:t>
            </w:r>
            <w:r w:rsidRPr="008F001C">
              <w:rPr>
                <w:i/>
                <w:lang w:val="pt-PT"/>
              </w:rPr>
              <w:t>Caso o comité já tenha sido instituído por legislação em vigor:</w:t>
            </w:r>
          </w:p>
          <w:p w:rsidR="008F001C" w:rsidRPr="008F001C" w:rsidRDefault="008F001C" w:rsidP="008F001C">
            <w:pPr>
              <w:autoSpaceDE w:val="0"/>
              <w:autoSpaceDN w:val="0"/>
              <w:adjustRightInd w:val="0"/>
              <w:rPr>
                <w:i/>
                <w:lang w:val="pt-PT"/>
              </w:rPr>
            </w:pPr>
          </w:p>
          <w:p w:rsidR="008F001C" w:rsidRPr="008F001C" w:rsidRDefault="008F001C" w:rsidP="008F001C">
            <w:pPr>
              <w:autoSpaceDE w:val="0"/>
              <w:autoSpaceDN w:val="0"/>
              <w:adjustRightInd w:val="0"/>
              <w:rPr>
                <w:lang w:val="pt-PT"/>
              </w:rPr>
            </w:pPr>
          </w:p>
          <w:p w:rsidR="008F001C" w:rsidRPr="008F001C" w:rsidRDefault="008F001C" w:rsidP="008F001C">
            <w:pPr>
              <w:autoSpaceDE w:val="0"/>
              <w:autoSpaceDN w:val="0"/>
              <w:adjustRightInd w:val="0"/>
              <w:rPr>
                <w:lang w:val="pt-PT"/>
              </w:rPr>
            </w:pPr>
            <w:r w:rsidRPr="008F001C">
              <w:rPr>
                <w:lang w:val="pt-PT"/>
              </w:rPr>
              <w:t xml:space="preserve">1. A Comissão é assistida pelo […] </w:t>
            </w:r>
            <w:r w:rsidRPr="008F001C">
              <w:rPr>
                <w:i/>
                <w:lang w:val="pt-PT"/>
              </w:rPr>
              <w:t xml:space="preserve">[designação do comité] </w:t>
            </w:r>
            <w:r w:rsidRPr="008F001C">
              <w:rPr>
                <w:lang w:val="pt-PT"/>
              </w:rPr>
              <w:t xml:space="preserve">instituído pelo … </w:t>
            </w:r>
            <w:r w:rsidRPr="008F001C">
              <w:rPr>
                <w:i/>
                <w:lang w:val="pt-PT"/>
              </w:rPr>
              <w:t>[ato que instituiu o comité]</w:t>
            </w:r>
            <w:r w:rsidRPr="008F001C">
              <w:rPr>
                <w:lang w:val="pt-PT"/>
              </w:rPr>
              <w:t>. O referido comité é um comité na aceção do Regulamento (UE) n.º 182/2011.]</w:t>
            </w:r>
          </w:p>
          <w:p w:rsidR="008F001C" w:rsidRPr="008F001C" w:rsidRDefault="008F001C" w:rsidP="008F001C">
            <w:pPr>
              <w:autoSpaceDE w:val="0"/>
              <w:autoSpaceDN w:val="0"/>
              <w:adjustRightInd w:val="0"/>
              <w:rPr>
                <w:lang w:val="pt-PT"/>
              </w:rPr>
            </w:pPr>
          </w:p>
          <w:p w:rsidR="008F001C" w:rsidRPr="008F001C" w:rsidRDefault="008F001C" w:rsidP="008F001C">
            <w:pPr>
              <w:autoSpaceDE w:val="0"/>
              <w:autoSpaceDN w:val="0"/>
              <w:adjustRightInd w:val="0"/>
              <w:rPr>
                <w:lang w:val="pt-PT"/>
              </w:rPr>
            </w:pPr>
          </w:p>
          <w:p w:rsidR="008F001C" w:rsidRPr="008F001C" w:rsidRDefault="008F001C" w:rsidP="008F001C">
            <w:pPr>
              <w:autoSpaceDE w:val="0"/>
              <w:autoSpaceDN w:val="0"/>
              <w:adjustRightInd w:val="0"/>
              <w:rPr>
                <w:lang w:val="pt-PT"/>
              </w:rPr>
            </w:pPr>
          </w:p>
          <w:p w:rsidR="008F001C" w:rsidRPr="008F001C" w:rsidRDefault="008F001C" w:rsidP="008F001C">
            <w:pPr>
              <w:autoSpaceDE w:val="0"/>
              <w:autoSpaceDN w:val="0"/>
              <w:adjustRightInd w:val="0"/>
              <w:rPr>
                <w:i/>
                <w:lang w:val="pt-PT"/>
              </w:rPr>
            </w:pPr>
            <w:r w:rsidRPr="008F001C">
              <w:rPr>
                <w:lang w:val="pt-PT"/>
              </w:rPr>
              <w:t>[</w:t>
            </w:r>
            <w:r w:rsidRPr="008F001C">
              <w:rPr>
                <w:i/>
                <w:lang w:val="pt-PT"/>
              </w:rPr>
              <w:t>Em caso de criação do comité:</w:t>
            </w:r>
          </w:p>
          <w:p w:rsidR="008F001C" w:rsidRPr="008F001C" w:rsidRDefault="008F001C" w:rsidP="008F001C">
            <w:pPr>
              <w:autoSpaceDE w:val="0"/>
              <w:autoSpaceDN w:val="0"/>
              <w:adjustRightInd w:val="0"/>
              <w:rPr>
                <w:lang w:val="pt-PT"/>
              </w:rPr>
            </w:pPr>
          </w:p>
          <w:p w:rsidR="008F001C" w:rsidRPr="008F001C" w:rsidRDefault="008F001C" w:rsidP="008F001C">
            <w:pPr>
              <w:autoSpaceDE w:val="0"/>
              <w:autoSpaceDN w:val="0"/>
              <w:adjustRightInd w:val="0"/>
              <w:rPr>
                <w:lang w:val="pt-PT"/>
              </w:rPr>
            </w:pPr>
          </w:p>
          <w:p w:rsidR="008F001C" w:rsidRPr="008F001C" w:rsidRDefault="008F001C" w:rsidP="008F001C">
            <w:pPr>
              <w:autoSpaceDE w:val="0"/>
              <w:autoSpaceDN w:val="0"/>
              <w:adjustRightInd w:val="0"/>
              <w:rPr>
                <w:lang w:val="pt-PT"/>
              </w:rPr>
            </w:pPr>
            <w:r w:rsidRPr="008F001C">
              <w:rPr>
                <w:lang w:val="pt-PT"/>
              </w:rPr>
              <w:t>1. A Comissão é assistida por um comité</w:t>
            </w:r>
            <w:r w:rsidRPr="008F001C">
              <w:rPr>
                <w:i/>
                <w:lang w:val="pt-PT"/>
              </w:rPr>
              <w:t>.</w:t>
            </w:r>
            <w:r w:rsidRPr="008F001C">
              <w:rPr>
                <w:lang w:val="pt-PT"/>
              </w:rPr>
              <w:t xml:space="preserve"> Este é um comité na aceção do Regulamento (UE) n.º 182/2011.].</w:t>
            </w:r>
          </w:p>
          <w:p w:rsidR="008F001C" w:rsidRPr="008F001C" w:rsidRDefault="008F001C" w:rsidP="008F001C">
            <w:pPr>
              <w:autoSpaceDE w:val="0"/>
              <w:autoSpaceDN w:val="0"/>
              <w:adjustRightInd w:val="0"/>
              <w:rPr>
                <w:lang w:val="pt-PT"/>
              </w:rPr>
            </w:pPr>
          </w:p>
          <w:p w:rsidR="008F001C" w:rsidRPr="008F001C" w:rsidRDefault="008F001C" w:rsidP="008F001C">
            <w:pPr>
              <w:autoSpaceDE w:val="0"/>
              <w:autoSpaceDN w:val="0"/>
              <w:adjustRightInd w:val="0"/>
              <w:rPr>
                <w:lang w:val="pt-PT"/>
              </w:rPr>
            </w:pPr>
          </w:p>
          <w:p w:rsidR="008F001C" w:rsidRPr="008F001C" w:rsidRDefault="008F001C" w:rsidP="008F001C">
            <w:pPr>
              <w:autoSpaceDE w:val="0"/>
              <w:autoSpaceDN w:val="0"/>
              <w:adjustRightInd w:val="0"/>
              <w:rPr>
                <w:i/>
                <w:lang w:val="pt-PT"/>
              </w:rPr>
            </w:pPr>
            <w:r w:rsidRPr="008F001C">
              <w:rPr>
                <w:lang w:val="pt-PT"/>
              </w:rPr>
              <w:t>[</w:t>
            </w:r>
            <w:r w:rsidRPr="008F001C">
              <w:rPr>
                <w:i/>
                <w:lang w:val="pt-PT"/>
              </w:rPr>
              <w:t>Caso o ato de base preveja a aplicação do procedimento consultivo:</w:t>
            </w:r>
          </w:p>
          <w:p w:rsidR="008F001C" w:rsidRPr="008F001C" w:rsidRDefault="008F001C" w:rsidP="008F001C">
            <w:pPr>
              <w:autoSpaceDE w:val="0"/>
              <w:autoSpaceDN w:val="0"/>
              <w:adjustRightInd w:val="0"/>
              <w:rPr>
                <w:lang w:val="pt-PT"/>
              </w:rPr>
            </w:pPr>
          </w:p>
          <w:p w:rsidR="008F001C" w:rsidRPr="008F001C" w:rsidRDefault="008F001C" w:rsidP="008F001C">
            <w:pPr>
              <w:autoSpaceDE w:val="0"/>
              <w:autoSpaceDN w:val="0"/>
              <w:adjustRightInd w:val="0"/>
              <w:outlineLvl w:val="0"/>
              <w:rPr>
                <w:lang w:val="pt-PT"/>
              </w:rPr>
            </w:pPr>
            <w:r w:rsidRPr="008F001C">
              <w:rPr>
                <w:lang w:val="pt-PT"/>
              </w:rPr>
              <w:t>2. Sempre que se remeta para o presente número, aplica-se o artigo 4.º do Regulamento (UE) n.º 182/2011.</w:t>
            </w:r>
          </w:p>
          <w:p w:rsidR="008F001C" w:rsidRPr="008F001C" w:rsidRDefault="008F001C" w:rsidP="008F001C">
            <w:pPr>
              <w:autoSpaceDE w:val="0"/>
              <w:autoSpaceDN w:val="0"/>
              <w:adjustRightInd w:val="0"/>
              <w:rPr>
                <w:lang w:val="pt-PT"/>
              </w:rPr>
            </w:pPr>
          </w:p>
          <w:p w:rsidR="008F001C" w:rsidRPr="008F001C" w:rsidRDefault="008F001C" w:rsidP="008F001C">
            <w:pPr>
              <w:autoSpaceDE w:val="0"/>
              <w:autoSpaceDN w:val="0"/>
              <w:adjustRightInd w:val="0"/>
              <w:rPr>
                <w:i/>
                <w:lang w:val="pt-PT"/>
              </w:rPr>
            </w:pPr>
            <w:r w:rsidRPr="008F001C">
              <w:rPr>
                <w:lang w:val="pt-PT"/>
              </w:rPr>
              <w:t>(</w:t>
            </w:r>
            <w:r w:rsidRPr="008F001C">
              <w:rPr>
                <w:i/>
                <w:lang w:val="pt-PT"/>
              </w:rPr>
              <w:t>Caso o legislador opte pela possibilidade prevista no artigo 3.º, n.º 5, segundo parágrafo, do Regulamento (UE) n.º 182</w:t>
            </w:r>
            <w:r w:rsidRPr="008F001C">
              <w:rPr>
                <w:lang w:val="pt-PT"/>
              </w:rPr>
              <w:t>/</w:t>
            </w:r>
            <w:r w:rsidRPr="008F001C">
              <w:rPr>
                <w:i/>
                <w:lang w:val="pt-PT"/>
              </w:rPr>
              <w:t>2011, uma opção possível, entre as que poderiam ser abrangidas por essa disposição, é a seguinte:</w:t>
            </w:r>
          </w:p>
          <w:p w:rsidR="008F001C" w:rsidRPr="008F001C" w:rsidRDefault="008F001C" w:rsidP="008F001C">
            <w:pPr>
              <w:autoSpaceDE w:val="0"/>
              <w:autoSpaceDN w:val="0"/>
              <w:adjustRightInd w:val="0"/>
              <w:rPr>
                <w:i/>
                <w:lang w:val="pt-PT"/>
              </w:rPr>
            </w:pPr>
          </w:p>
          <w:p w:rsidR="008F001C" w:rsidRPr="008F001C" w:rsidRDefault="008F001C" w:rsidP="008F001C">
            <w:pPr>
              <w:autoSpaceDE w:val="0"/>
              <w:autoSpaceDN w:val="0"/>
              <w:adjustRightInd w:val="0"/>
              <w:rPr>
                <w:i/>
                <w:lang w:val="pt-PT"/>
              </w:rPr>
            </w:pPr>
          </w:p>
          <w:p w:rsidR="008F001C" w:rsidRPr="008F001C" w:rsidRDefault="008F001C" w:rsidP="008F001C">
            <w:pPr>
              <w:rPr>
                <w:lang w:val="pt-PT"/>
              </w:rPr>
            </w:pPr>
            <w:r w:rsidRPr="008F001C">
              <w:rPr>
                <w:lang w:val="pt-PT"/>
              </w:rPr>
              <w:t xml:space="preserve">Se for necessário obter o parecer do comité por procedimento escrito, este é encerrado sem resultados se, no prazo fixado para a formulação do parecer, o presidente assim o decidir ou (…) </w:t>
            </w:r>
            <w:r w:rsidRPr="008F001C">
              <w:rPr>
                <w:i/>
                <w:lang w:val="pt-PT"/>
              </w:rPr>
              <w:t>[número de membros]</w:t>
            </w:r>
            <w:r w:rsidRPr="008F001C">
              <w:rPr>
                <w:lang w:val="pt-PT"/>
              </w:rPr>
              <w:t xml:space="preserve"> (a maioria …) </w:t>
            </w:r>
            <w:r w:rsidRPr="008F001C">
              <w:rPr>
                <w:i/>
                <w:lang w:val="pt-PT"/>
              </w:rPr>
              <w:t>[maioria a indicar: simples, dois terços, etc.]</w:t>
            </w:r>
            <w:r w:rsidRPr="008F001C">
              <w:rPr>
                <w:lang w:val="pt-PT"/>
              </w:rPr>
              <w:t xml:space="preserve"> dos seus membros assim o requerer.)]</w:t>
            </w:r>
          </w:p>
        </w:tc>
      </w:tr>
      <w:tr w:rsidR="008F001C" w:rsidRPr="008F001C" w:rsidTr="008F001C">
        <w:trPr>
          <w:cantSplit/>
        </w:trPr>
        <w:tc>
          <w:tcPr>
            <w:tcW w:w="4643" w:type="dxa"/>
          </w:tcPr>
          <w:p w:rsidR="008F001C" w:rsidRPr="008F001C" w:rsidRDefault="008F001C" w:rsidP="008F001C">
            <w:pPr>
              <w:autoSpaceDE w:val="0"/>
              <w:autoSpaceDN w:val="0"/>
              <w:adjustRightInd w:val="0"/>
              <w:outlineLvl w:val="0"/>
            </w:pPr>
            <w:r w:rsidRPr="008F001C">
              <w:lastRenderedPageBreak/>
              <w:t>3. Where reference is made to this paragraph, Article 5 of Regulation (EU) No 182/2011 shall apply.</w:t>
            </w:r>
          </w:p>
          <w:p w:rsidR="008F001C" w:rsidRPr="008F001C" w:rsidRDefault="008F001C" w:rsidP="008F001C">
            <w:pPr>
              <w:autoSpaceDE w:val="0"/>
              <w:autoSpaceDN w:val="0"/>
              <w:adjustRightInd w:val="0"/>
            </w:pPr>
          </w:p>
          <w:p w:rsidR="008F001C" w:rsidRPr="008F001C" w:rsidRDefault="008F001C" w:rsidP="008F001C">
            <w:pPr>
              <w:autoSpaceDE w:val="0"/>
              <w:autoSpaceDN w:val="0"/>
              <w:adjustRightInd w:val="0"/>
              <w:rPr>
                <w:i/>
              </w:rPr>
            </w:pPr>
            <w:r w:rsidRPr="008F001C">
              <w:t>(</w:t>
            </w:r>
            <w:r w:rsidRPr="008F001C">
              <w:rPr>
                <w:i/>
              </w:rPr>
              <w:t>Where the legislator decides to use the possibility referred to in the second subparagraph of Article 3(5) of Regulation (EU) No 182</w:t>
            </w:r>
            <w:r w:rsidRPr="008F001C">
              <w:t>/</w:t>
            </w:r>
            <w:r w:rsidRPr="008F001C">
              <w:rPr>
                <w:i/>
              </w:rPr>
              <w:t>2011, a possible option, among those that could be covered by that provision, might be:</w:t>
            </w:r>
          </w:p>
          <w:p w:rsidR="008F001C" w:rsidRPr="008F001C" w:rsidRDefault="008F001C" w:rsidP="008F001C">
            <w:pPr>
              <w:autoSpaceDE w:val="0"/>
              <w:autoSpaceDN w:val="0"/>
              <w:adjustRightInd w:val="0"/>
              <w:rPr>
                <w:i/>
              </w:rPr>
            </w:pPr>
          </w:p>
          <w:p w:rsidR="008F001C" w:rsidRPr="008F001C" w:rsidRDefault="008F001C" w:rsidP="008F001C">
            <w:pPr>
              <w:autoSpaceDE w:val="0"/>
              <w:autoSpaceDN w:val="0"/>
              <w:adjustRightInd w:val="0"/>
            </w:pPr>
            <w:r w:rsidRPr="008F001C">
              <w:t xml:space="preserve">Where the opinion of the committee is to be obtained by written procedure, that procedure shall be terminated without result when, within the time-limit for delivery of the opinion, the chair of the committee so decides or (…) </w:t>
            </w:r>
            <w:r w:rsidRPr="008F001C">
              <w:rPr>
                <w:i/>
              </w:rPr>
              <w:t>[number of members]</w:t>
            </w:r>
            <w:r w:rsidRPr="008F001C">
              <w:t xml:space="preserve"> (a … majority of) </w:t>
            </w:r>
            <w:r w:rsidRPr="008F001C">
              <w:rPr>
                <w:i/>
              </w:rPr>
              <w:t>[majority to be specified: simple, two-thirds, etc.]</w:t>
            </w:r>
            <w:r w:rsidRPr="008F001C">
              <w:t xml:space="preserve"> committee members so request.) </w:t>
            </w:r>
          </w:p>
          <w:p w:rsidR="008F001C" w:rsidRPr="008F001C" w:rsidRDefault="008F001C" w:rsidP="008F001C">
            <w:pPr>
              <w:autoSpaceDE w:val="0"/>
              <w:autoSpaceDN w:val="0"/>
              <w:adjustRightInd w:val="0"/>
            </w:pPr>
          </w:p>
          <w:p w:rsidR="008F001C" w:rsidRPr="008F001C" w:rsidRDefault="008F001C" w:rsidP="008F001C">
            <w:pPr>
              <w:autoSpaceDE w:val="0"/>
              <w:autoSpaceDN w:val="0"/>
              <w:adjustRightInd w:val="0"/>
            </w:pPr>
          </w:p>
          <w:p w:rsidR="008F001C" w:rsidRPr="008F001C" w:rsidRDefault="008F001C" w:rsidP="008F001C">
            <w:pPr>
              <w:autoSpaceDE w:val="0"/>
              <w:autoSpaceDN w:val="0"/>
              <w:adjustRightInd w:val="0"/>
              <w:rPr>
                <w:i/>
              </w:rPr>
            </w:pPr>
            <w:r w:rsidRPr="008F001C">
              <w:t>(</w:t>
            </w:r>
            <w:r w:rsidRPr="008F001C">
              <w:rPr>
                <w:i/>
              </w:rPr>
              <w:t>Where the legislator decides to use the possibility referred to in point (b) of the second subparagraph of Article 5(4) of Regulation (EU) No 182/2011</w:t>
            </w:r>
            <w:r w:rsidRPr="008F001C">
              <w:t xml:space="preserve"> </w:t>
            </w:r>
            <w:r w:rsidRPr="008F001C">
              <w:rPr>
                <w:i/>
              </w:rPr>
              <w:t>to provide in the basic legal act that a draft implementing act is not to be adopted if no opinion is delivered, the following subparagraph is to be added:</w:t>
            </w:r>
          </w:p>
          <w:p w:rsidR="008F001C" w:rsidRPr="008F001C" w:rsidRDefault="008F001C" w:rsidP="008F001C">
            <w:pPr>
              <w:autoSpaceDE w:val="0"/>
              <w:autoSpaceDN w:val="0"/>
              <w:adjustRightInd w:val="0"/>
              <w:rPr>
                <w:i/>
              </w:rPr>
            </w:pPr>
          </w:p>
          <w:p w:rsidR="008F001C" w:rsidRPr="008F001C" w:rsidRDefault="008F001C" w:rsidP="008F001C">
            <w:pPr>
              <w:autoSpaceDE w:val="0"/>
              <w:autoSpaceDN w:val="0"/>
              <w:adjustRightInd w:val="0"/>
            </w:pPr>
            <w:r w:rsidRPr="008F001C">
              <w:t>Where the committee delivers no opinion, the Commission shall not adopt the draft implementing act and the third subparagraph of Article 5(4) of Regulation (EU) No 182/2011 shall apply.)]</w:t>
            </w:r>
          </w:p>
          <w:p w:rsidR="008F001C" w:rsidRPr="008F001C" w:rsidRDefault="008F001C" w:rsidP="008F001C">
            <w:pPr>
              <w:autoSpaceDE w:val="0"/>
              <w:autoSpaceDN w:val="0"/>
              <w:adjustRightInd w:val="0"/>
            </w:pPr>
          </w:p>
          <w:p w:rsidR="008F001C" w:rsidRPr="008F001C" w:rsidRDefault="008F001C" w:rsidP="008F001C">
            <w:pPr>
              <w:autoSpaceDE w:val="0"/>
              <w:autoSpaceDN w:val="0"/>
              <w:adjustRightInd w:val="0"/>
              <w:rPr>
                <w:i/>
              </w:rPr>
            </w:pPr>
            <w:r w:rsidRPr="008F001C">
              <w:t>[W</w:t>
            </w:r>
            <w:r w:rsidRPr="008F001C">
              <w:rPr>
                <w:i/>
              </w:rPr>
              <w:t>here the urgency procedure is provided for in the basic legal act:</w:t>
            </w:r>
          </w:p>
          <w:p w:rsidR="008F001C" w:rsidRPr="008F001C" w:rsidRDefault="008F001C" w:rsidP="008F001C">
            <w:pPr>
              <w:autoSpaceDE w:val="0"/>
              <w:autoSpaceDN w:val="0"/>
              <w:adjustRightInd w:val="0"/>
            </w:pPr>
          </w:p>
          <w:p w:rsidR="008F001C" w:rsidRPr="008F001C" w:rsidRDefault="008F001C" w:rsidP="008F001C">
            <w:pPr>
              <w:autoSpaceDE w:val="0"/>
              <w:autoSpaceDN w:val="0"/>
              <w:adjustRightInd w:val="0"/>
              <w:outlineLvl w:val="0"/>
              <w:rPr>
                <w:b/>
                <w:i/>
              </w:rPr>
            </w:pPr>
            <w:r w:rsidRPr="008F001C">
              <w:t>4. Where reference is made to this paragraph, Article 8 of Regulation (EU) No 182/2011, in conjunction with (Article 4) (Article 5) thereof, shall apply.]</w:t>
            </w:r>
          </w:p>
        </w:tc>
        <w:tc>
          <w:tcPr>
            <w:tcW w:w="4643" w:type="dxa"/>
          </w:tcPr>
          <w:p w:rsidR="008F001C" w:rsidRPr="008F001C" w:rsidRDefault="008F001C" w:rsidP="008F001C">
            <w:pPr>
              <w:autoSpaceDE w:val="0"/>
              <w:autoSpaceDN w:val="0"/>
              <w:adjustRightInd w:val="0"/>
              <w:outlineLvl w:val="0"/>
              <w:rPr>
                <w:lang w:val="pt-PT"/>
              </w:rPr>
            </w:pPr>
            <w:r w:rsidRPr="008F001C">
              <w:rPr>
                <w:lang w:val="pt-PT"/>
              </w:rPr>
              <w:t>3. Sempre que se remeta para o presente número, aplica-se o artigo 5.º do Regulamento (UE) n.º 182/2011.</w:t>
            </w:r>
          </w:p>
          <w:p w:rsidR="008F001C" w:rsidRPr="008F001C" w:rsidRDefault="008F001C" w:rsidP="008F001C">
            <w:pPr>
              <w:autoSpaceDE w:val="0"/>
              <w:autoSpaceDN w:val="0"/>
              <w:adjustRightInd w:val="0"/>
              <w:rPr>
                <w:lang w:val="pt-PT"/>
              </w:rPr>
            </w:pPr>
          </w:p>
          <w:p w:rsidR="008F001C" w:rsidRPr="008F001C" w:rsidRDefault="008F001C" w:rsidP="008F001C">
            <w:pPr>
              <w:autoSpaceDE w:val="0"/>
              <w:autoSpaceDN w:val="0"/>
              <w:adjustRightInd w:val="0"/>
              <w:rPr>
                <w:i/>
                <w:lang w:val="pt-PT"/>
              </w:rPr>
            </w:pPr>
            <w:r w:rsidRPr="008F001C">
              <w:rPr>
                <w:lang w:val="pt-PT"/>
              </w:rPr>
              <w:t>(</w:t>
            </w:r>
            <w:r w:rsidRPr="008F001C">
              <w:rPr>
                <w:i/>
                <w:lang w:val="pt-PT"/>
              </w:rPr>
              <w:t>Caso o legislador opte pela possibilidade prevista no artigo 3.º, n.º 5, segundo parágrafo, do Regulamento (UE) n.º 182</w:t>
            </w:r>
            <w:r w:rsidRPr="008F001C">
              <w:rPr>
                <w:lang w:val="pt-PT"/>
              </w:rPr>
              <w:t>/</w:t>
            </w:r>
            <w:r w:rsidRPr="008F001C">
              <w:rPr>
                <w:i/>
                <w:lang w:val="pt-PT"/>
              </w:rPr>
              <w:t>2011, uma opção possível, entre as que poderiam ser abrangidas por essa disposição, é a seguinte:</w:t>
            </w:r>
          </w:p>
          <w:p w:rsidR="008F001C" w:rsidRPr="008F001C" w:rsidRDefault="008F001C" w:rsidP="008F001C">
            <w:pPr>
              <w:autoSpaceDE w:val="0"/>
              <w:autoSpaceDN w:val="0"/>
              <w:adjustRightInd w:val="0"/>
              <w:rPr>
                <w:i/>
                <w:lang w:val="pt-PT"/>
              </w:rPr>
            </w:pPr>
          </w:p>
          <w:p w:rsidR="008F001C" w:rsidRPr="008F001C" w:rsidRDefault="008F001C" w:rsidP="008F001C">
            <w:pPr>
              <w:autoSpaceDE w:val="0"/>
              <w:autoSpaceDN w:val="0"/>
              <w:adjustRightInd w:val="0"/>
              <w:rPr>
                <w:lang w:val="pt-PT"/>
              </w:rPr>
            </w:pPr>
            <w:r w:rsidRPr="008F001C">
              <w:rPr>
                <w:lang w:val="pt-PT"/>
              </w:rPr>
              <w:t xml:space="preserve">Se for necessário obter o parecer do comité por procedimento escrito, este é encerrado sem resultados se, no prazo fixado para a formulação do parecer, o presidente assim o decidir ou (…) </w:t>
            </w:r>
            <w:r w:rsidRPr="008F001C">
              <w:rPr>
                <w:i/>
                <w:lang w:val="pt-PT"/>
              </w:rPr>
              <w:t>[número de membros]</w:t>
            </w:r>
            <w:r w:rsidRPr="008F001C">
              <w:rPr>
                <w:lang w:val="pt-PT"/>
              </w:rPr>
              <w:t xml:space="preserve"> (a maioria …) </w:t>
            </w:r>
            <w:r w:rsidRPr="008F001C">
              <w:rPr>
                <w:i/>
                <w:lang w:val="pt-PT"/>
              </w:rPr>
              <w:t>[maioria a indicar: simples, dois terços, etc.]</w:t>
            </w:r>
            <w:r w:rsidRPr="008F001C">
              <w:rPr>
                <w:lang w:val="pt-PT"/>
              </w:rPr>
              <w:t xml:space="preserve"> dos seus membros assim o requerer.)]</w:t>
            </w:r>
          </w:p>
          <w:p w:rsidR="008F001C" w:rsidRPr="008F001C" w:rsidRDefault="008F001C" w:rsidP="008F001C">
            <w:pPr>
              <w:autoSpaceDE w:val="0"/>
              <w:autoSpaceDN w:val="0"/>
              <w:adjustRightInd w:val="0"/>
              <w:rPr>
                <w:lang w:val="pt-PT"/>
              </w:rPr>
            </w:pPr>
          </w:p>
          <w:p w:rsidR="008F001C" w:rsidRPr="008F001C" w:rsidRDefault="008F001C" w:rsidP="008F001C">
            <w:pPr>
              <w:autoSpaceDE w:val="0"/>
              <w:autoSpaceDN w:val="0"/>
              <w:adjustRightInd w:val="0"/>
              <w:rPr>
                <w:lang w:val="pt-PT"/>
              </w:rPr>
            </w:pPr>
          </w:p>
          <w:p w:rsidR="008F001C" w:rsidRPr="008F001C" w:rsidRDefault="008F001C" w:rsidP="008F001C">
            <w:pPr>
              <w:autoSpaceDE w:val="0"/>
              <w:autoSpaceDN w:val="0"/>
              <w:adjustRightInd w:val="0"/>
              <w:rPr>
                <w:i/>
                <w:lang w:val="pt-PT"/>
              </w:rPr>
            </w:pPr>
            <w:r w:rsidRPr="008F001C">
              <w:rPr>
                <w:lang w:val="pt-PT"/>
              </w:rPr>
              <w:t>(</w:t>
            </w:r>
            <w:r w:rsidRPr="008F001C">
              <w:rPr>
                <w:i/>
                <w:lang w:val="pt-PT"/>
              </w:rPr>
              <w:t>Caso o legislador opte pela possibilidade prevista no artigo 5.º, n.º 4, segundo parágrafo, alínea b), do Regulamento (UE) n.º 182/2011, prevendo no ato de base que, na falta de parecer, o projeto de ato de execução não deve ser adotado, deve incluir</w:t>
            </w:r>
            <w:r w:rsidRPr="008F001C">
              <w:rPr>
                <w:i/>
                <w:lang w:val="pt-PT"/>
              </w:rPr>
              <w:noBreakHyphen/>
              <w:t xml:space="preserve">se um parágrafo suplementar com a seguinte redação: </w:t>
            </w:r>
          </w:p>
          <w:p w:rsidR="008F001C" w:rsidRPr="008F001C" w:rsidRDefault="008F001C" w:rsidP="008F001C">
            <w:pPr>
              <w:autoSpaceDE w:val="0"/>
              <w:autoSpaceDN w:val="0"/>
              <w:adjustRightInd w:val="0"/>
              <w:rPr>
                <w:lang w:val="pt-PT"/>
              </w:rPr>
            </w:pPr>
          </w:p>
          <w:p w:rsidR="008F001C" w:rsidRPr="008F001C" w:rsidRDefault="008F001C" w:rsidP="008F001C">
            <w:pPr>
              <w:autoSpaceDE w:val="0"/>
              <w:autoSpaceDN w:val="0"/>
              <w:adjustRightInd w:val="0"/>
              <w:rPr>
                <w:lang w:val="pt-PT"/>
              </w:rPr>
            </w:pPr>
            <w:r w:rsidRPr="008F001C">
              <w:rPr>
                <w:lang w:val="pt-PT"/>
              </w:rPr>
              <w:t>Na falta de parecer do comité, a Comissão não adota o projeto de ato de execução, aplicando-se o artigo 5.º, n.º 4, terceiro parágrafo, do Regulamento (UE) n.º 182/2011.)]</w:t>
            </w:r>
          </w:p>
          <w:p w:rsidR="008F001C" w:rsidRPr="008F001C" w:rsidRDefault="008F001C" w:rsidP="008F001C">
            <w:pPr>
              <w:autoSpaceDE w:val="0"/>
              <w:autoSpaceDN w:val="0"/>
              <w:adjustRightInd w:val="0"/>
              <w:rPr>
                <w:lang w:val="pt-PT"/>
              </w:rPr>
            </w:pPr>
          </w:p>
          <w:p w:rsidR="008F001C" w:rsidRPr="008F001C" w:rsidRDefault="008F001C" w:rsidP="008F001C">
            <w:pPr>
              <w:autoSpaceDE w:val="0"/>
              <w:autoSpaceDN w:val="0"/>
              <w:adjustRightInd w:val="0"/>
              <w:rPr>
                <w:lang w:val="pt-PT"/>
              </w:rPr>
            </w:pPr>
          </w:p>
          <w:p w:rsidR="008F001C" w:rsidRPr="008F001C" w:rsidRDefault="008F001C" w:rsidP="008F001C">
            <w:pPr>
              <w:autoSpaceDE w:val="0"/>
              <w:autoSpaceDN w:val="0"/>
              <w:adjustRightInd w:val="0"/>
              <w:rPr>
                <w:i/>
                <w:lang w:val="pt-PT"/>
              </w:rPr>
            </w:pPr>
            <w:r w:rsidRPr="008F001C">
              <w:rPr>
                <w:lang w:val="pt-PT"/>
              </w:rPr>
              <w:t>[</w:t>
            </w:r>
            <w:r w:rsidRPr="008F001C">
              <w:rPr>
                <w:i/>
                <w:lang w:val="pt-PT"/>
              </w:rPr>
              <w:t>Caso o ato de base preveja a aplicação do procedimento de urgência:</w:t>
            </w:r>
          </w:p>
          <w:p w:rsidR="008F001C" w:rsidRPr="008F001C" w:rsidRDefault="008F001C" w:rsidP="008F001C">
            <w:pPr>
              <w:autoSpaceDE w:val="0"/>
              <w:autoSpaceDN w:val="0"/>
              <w:adjustRightInd w:val="0"/>
              <w:rPr>
                <w:lang w:val="pt-PT"/>
              </w:rPr>
            </w:pPr>
          </w:p>
          <w:p w:rsidR="008F001C" w:rsidRPr="008F001C" w:rsidRDefault="008F001C" w:rsidP="008F001C">
            <w:pPr>
              <w:autoSpaceDE w:val="0"/>
              <w:autoSpaceDN w:val="0"/>
              <w:adjustRightInd w:val="0"/>
              <w:outlineLvl w:val="0"/>
              <w:rPr>
                <w:b/>
                <w:i/>
                <w:lang w:val="pt-PT"/>
              </w:rPr>
            </w:pPr>
            <w:r w:rsidRPr="008F001C">
              <w:rPr>
                <w:lang w:val="pt-PT"/>
              </w:rPr>
              <w:t>4. Sempre que se remeta para o presente número, aplica-se o artigo 8.º do Regulamento (UE) n.º 182/2011, em conjugação com o (artigo 4.º) (artigo 5.º) do mesmo regulamento.]</w:t>
            </w:r>
          </w:p>
        </w:tc>
      </w:tr>
    </w:tbl>
    <w:p w:rsidR="008F001C" w:rsidRPr="008F001C" w:rsidRDefault="008F001C" w:rsidP="008F001C">
      <w:pPr>
        <w:sectPr w:rsidR="008F001C" w:rsidRPr="008F001C" w:rsidSect="008F001C">
          <w:footnotePr>
            <w:numRestart w:val="eachSect"/>
          </w:footnotePr>
          <w:pgSz w:w="11906" w:h="16838"/>
          <w:pgMar w:top="794" w:right="1418" w:bottom="1021" w:left="1418" w:header="720" w:footer="720" w:gutter="0"/>
          <w:cols w:space="720"/>
          <w:docGrid w:linePitch="326"/>
        </w:sectPr>
      </w:pPr>
    </w:p>
    <w:p w:rsidR="008F001C" w:rsidRPr="008F001C" w:rsidRDefault="008F001C" w:rsidP="008F001C">
      <w:pPr>
        <w:pStyle w:val="Heading3"/>
        <w:rPr>
          <w:rFonts w:cs="Times New Roman"/>
        </w:rPr>
      </w:pPr>
      <w:bookmarkStart w:id="2" w:name="_Toc327971210"/>
      <w:r w:rsidRPr="008F001C">
        <w:rPr>
          <w:rFonts w:cs="Times New Roman"/>
        </w:rPr>
        <w:lastRenderedPageBreak/>
        <w:t>Disposições relativas aos atos de execução que não estão sujeitos ao controlo dos Estados-Membros</w:t>
      </w:r>
      <w:bookmarkEnd w:id="2"/>
    </w:p>
    <w:p w:rsidR="008F001C" w:rsidRPr="008F001C" w:rsidRDefault="008F001C" w:rsidP="008F001C">
      <w:pPr>
        <w:jc w:val="center"/>
        <w:rPr>
          <w:lang w:val="pt-PT"/>
        </w:rPr>
      </w:pPr>
    </w:p>
    <w:p w:rsidR="008F001C" w:rsidRPr="008F001C" w:rsidRDefault="008F001C" w:rsidP="008F001C">
      <w:pPr>
        <w:rPr>
          <w:lang w:val="pt-PT"/>
        </w:rPr>
      </w:pPr>
      <w:r w:rsidRPr="008F001C">
        <w:rPr>
          <w:lang w:val="pt-PT"/>
        </w:rPr>
        <w:t xml:space="preserve">Como referido no ponto </w:t>
      </w:r>
      <w:r w:rsidRPr="008F001C">
        <w:rPr>
          <w:i/>
          <w:szCs w:val="26"/>
          <w:lang w:val="pt-PT"/>
        </w:rPr>
        <w:t>2.1.17</w:t>
      </w:r>
      <w:r w:rsidRPr="008F001C">
        <w:rPr>
          <w:lang w:val="pt-PT"/>
        </w:rPr>
        <w:t>, o Regulamento (UE) n.º 182/2011 do Parlamento Europeu e do Conselho estabelece as regras e os princípios gerais relativos aos mecanismos de controlo pelos Estados</w:t>
      </w:r>
      <w:r w:rsidRPr="008F001C">
        <w:rPr>
          <w:lang w:val="pt-PT"/>
        </w:rPr>
        <w:noBreakHyphen/>
        <w:t>Membros do exercício das competências de execução pela Comissão.</w:t>
      </w:r>
    </w:p>
    <w:p w:rsidR="008F001C" w:rsidRPr="008F001C" w:rsidRDefault="008F001C" w:rsidP="008F001C">
      <w:pPr>
        <w:outlineLvl w:val="0"/>
        <w:rPr>
          <w:lang w:val="pt-PT"/>
        </w:rPr>
      </w:pPr>
    </w:p>
    <w:p w:rsidR="008F001C" w:rsidRPr="008F001C" w:rsidRDefault="008F001C" w:rsidP="008F001C">
      <w:pPr>
        <w:outlineLvl w:val="0"/>
        <w:rPr>
          <w:lang w:val="pt-PT"/>
        </w:rPr>
      </w:pPr>
      <w:r w:rsidRPr="008F001C">
        <w:rPr>
          <w:lang w:val="pt-PT"/>
        </w:rPr>
        <w:t>Em certos casos, porém, o legislador também atribui à Comissão, no ato de base, competências de execução que não estão sujeitas ao controlo dos Estados</w:t>
      </w:r>
      <w:r w:rsidRPr="008F001C">
        <w:rPr>
          <w:lang w:val="pt-PT"/>
        </w:rPr>
        <w:noBreakHyphen/>
        <w:t>Membros</w:t>
      </w:r>
      <w:r w:rsidRPr="008F001C">
        <w:rPr>
          <w:rStyle w:val="FootnoteReference"/>
          <w:b w:val="0"/>
        </w:rPr>
        <w:footnoteReference w:id="4"/>
      </w:r>
      <w:r w:rsidRPr="008F001C">
        <w:rPr>
          <w:lang w:val="pt-PT"/>
        </w:rPr>
        <w:t>. Nesses casos, o texto de um ou mais considerandos específicos deve refletir esse facto, omitindo a referência ao Regulamento (UE) n.º 182/2011 no respeitante às competências que não estão sujeitas a esse controlo.</w:t>
      </w:r>
    </w:p>
    <w:p w:rsidR="008F001C" w:rsidRPr="008F001C" w:rsidRDefault="008F001C" w:rsidP="008F001C">
      <w:pPr>
        <w:outlineLvl w:val="0"/>
        <w:rPr>
          <w:i/>
          <w:lang w:val="pt-PT"/>
        </w:rPr>
      </w:pPr>
    </w:p>
    <w:p w:rsidR="008F001C" w:rsidRPr="008F001C" w:rsidRDefault="008F001C" w:rsidP="008F001C">
      <w:pPr>
        <w:rPr>
          <w:lang w:val="pt-PT"/>
        </w:rPr>
      </w:pPr>
      <w:r w:rsidRPr="008F001C">
        <w:rPr>
          <w:lang w:val="pt-PT"/>
        </w:rPr>
        <w:t>O modelo seguinte destina-se a ser utilizado em articulação com os modelos relativos aos atos de execução que estão sujeitos ao controlo dos Estados</w:t>
      </w:r>
      <w:r w:rsidRPr="008F001C">
        <w:rPr>
          <w:lang w:val="pt-PT"/>
        </w:rPr>
        <w:noBreakHyphen/>
        <w:t xml:space="preserve">Membros (ver quadro do ponto </w:t>
      </w:r>
      <w:r w:rsidRPr="008F001C">
        <w:rPr>
          <w:i/>
          <w:lang w:val="pt-PT"/>
        </w:rPr>
        <w:t>2.1.18</w:t>
      </w:r>
      <w:r w:rsidRPr="008F001C">
        <w:rPr>
          <w:lang w:val="pt-PT"/>
        </w:rPr>
        <w:t>).</w:t>
      </w:r>
    </w:p>
    <w:p w:rsidR="008F001C" w:rsidRPr="008F001C" w:rsidRDefault="008F001C" w:rsidP="008F001C">
      <w:pPr>
        <w:rPr>
          <w:lang w:val="pt-PT"/>
        </w:rPr>
      </w:pPr>
    </w:p>
    <w:tbl>
      <w:tblPr>
        <w:tblStyle w:val="TableGrid"/>
        <w:tblW w:w="0" w:type="auto"/>
        <w:tblLook w:val="01E0" w:firstRow="1" w:lastRow="1" w:firstColumn="1" w:lastColumn="1" w:noHBand="0" w:noVBand="0"/>
      </w:tblPr>
      <w:tblGrid>
        <w:gridCol w:w="4643"/>
        <w:gridCol w:w="4643"/>
      </w:tblGrid>
      <w:tr w:rsidR="008F001C" w:rsidRPr="008F001C" w:rsidTr="008F001C">
        <w:tc>
          <w:tcPr>
            <w:tcW w:w="4643" w:type="dxa"/>
            <w:shd w:val="clear" w:color="auto" w:fill="99CC00"/>
          </w:tcPr>
          <w:p w:rsidR="008F001C" w:rsidRPr="008F001C" w:rsidRDefault="008F001C" w:rsidP="008F001C">
            <w:pPr>
              <w:rPr>
                <w:b/>
                <w:color w:val="000000"/>
                <w:sz w:val="28"/>
                <w:szCs w:val="28"/>
              </w:rPr>
            </w:pPr>
            <w:r w:rsidRPr="008F001C">
              <w:rPr>
                <w:b/>
                <w:color w:val="000000"/>
                <w:sz w:val="28"/>
                <w:szCs w:val="28"/>
              </w:rPr>
              <w:t>EN</w:t>
            </w:r>
          </w:p>
        </w:tc>
        <w:tc>
          <w:tcPr>
            <w:tcW w:w="4643" w:type="dxa"/>
            <w:shd w:val="clear" w:color="auto" w:fill="99CC00"/>
          </w:tcPr>
          <w:p w:rsidR="008F001C" w:rsidRPr="008F001C" w:rsidRDefault="008F001C" w:rsidP="008F001C">
            <w:pPr>
              <w:rPr>
                <w:b/>
                <w:color w:val="000000"/>
                <w:sz w:val="28"/>
                <w:szCs w:val="28"/>
              </w:rPr>
            </w:pPr>
            <w:r w:rsidRPr="008F001C">
              <w:rPr>
                <w:b/>
                <w:color w:val="000000"/>
                <w:sz w:val="28"/>
                <w:szCs w:val="28"/>
              </w:rPr>
              <w:t>PT</w:t>
            </w:r>
          </w:p>
        </w:tc>
      </w:tr>
      <w:tr w:rsidR="008F001C" w:rsidRPr="008F001C" w:rsidTr="008F001C">
        <w:tc>
          <w:tcPr>
            <w:tcW w:w="4643" w:type="dxa"/>
          </w:tcPr>
          <w:p w:rsidR="008F001C" w:rsidRPr="008F001C" w:rsidRDefault="008F001C" w:rsidP="008F001C">
            <w:r w:rsidRPr="008F001C">
              <w:rPr>
                <w:b/>
                <w:smallCaps/>
                <w:sz w:val="28"/>
                <w:szCs w:val="28"/>
              </w:rPr>
              <w:t>Recitals</w:t>
            </w:r>
          </w:p>
        </w:tc>
        <w:tc>
          <w:tcPr>
            <w:tcW w:w="4643" w:type="dxa"/>
          </w:tcPr>
          <w:p w:rsidR="008F001C" w:rsidRPr="008F001C" w:rsidRDefault="008F001C" w:rsidP="008F001C">
            <w:pPr>
              <w:rPr>
                <w:b/>
                <w:smallCaps/>
                <w:sz w:val="28"/>
                <w:szCs w:val="28"/>
                <w:u w:val="single"/>
              </w:rPr>
            </w:pPr>
            <w:r w:rsidRPr="008F001C">
              <w:rPr>
                <w:b/>
                <w:smallCaps/>
                <w:sz w:val="28"/>
                <w:szCs w:val="28"/>
              </w:rPr>
              <w:t>Considerandos</w:t>
            </w:r>
          </w:p>
        </w:tc>
      </w:tr>
      <w:tr w:rsidR="008F001C" w:rsidRPr="008F001C" w:rsidTr="008F001C">
        <w:tc>
          <w:tcPr>
            <w:tcW w:w="4643" w:type="dxa"/>
          </w:tcPr>
          <w:p w:rsidR="008F001C" w:rsidRPr="008F001C" w:rsidRDefault="008F001C" w:rsidP="008F001C">
            <w:pPr>
              <w:autoSpaceDE w:val="0"/>
              <w:autoSpaceDN w:val="0"/>
              <w:adjustRightInd w:val="0"/>
              <w:outlineLvl w:val="0"/>
              <w:rPr>
                <w:rFonts w:cs="TimesNewRoman,Italic"/>
                <w:i/>
                <w:iCs/>
              </w:rPr>
            </w:pPr>
            <w:r w:rsidRPr="008F001C">
              <w:br w:type="page"/>
            </w:r>
            <w:r w:rsidRPr="008F001C">
              <w:rPr>
                <w:rFonts w:cs="TimesNewRoman,Italic"/>
                <w:i/>
                <w:iCs/>
              </w:rPr>
              <w:t>Recitals that must always be present:</w:t>
            </w:r>
          </w:p>
          <w:p w:rsidR="008F001C" w:rsidRPr="008F001C" w:rsidRDefault="008F001C" w:rsidP="008F001C">
            <w:pPr>
              <w:autoSpaceDE w:val="0"/>
              <w:autoSpaceDN w:val="0"/>
              <w:adjustRightInd w:val="0"/>
              <w:outlineLvl w:val="0"/>
              <w:rPr>
                <w:rFonts w:cs="TimesNewRoman,Italic"/>
                <w:iCs/>
              </w:rPr>
            </w:pPr>
          </w:p>
          <w:p w:rsidR="008F001C" w:rsidRPr="008F001C" w:rsidRDefault="008F001C" w:rsidP="008F001C">
            <w:pPr>
              <w:autoSpaceDE w:val="0"/>
              <w:autoSpaceDN w:val="0"/>
              <w:adjustRightInd w:val="0"/>
              <w:ind w:left="360" w:hanging="360"/>
              <w:outlineLvl w:val="0"/>
              <w:rPr>
                <w:rFonts w:cs="TimesNewRoman,Italic"/>
                <w:i/>
                <w:iCs/>
              </w:rPr>
            </w:pPr>
            <w:r w:rsidRPr="008F001C">
              <w:rPr>
                <w:rFonts w:cs="TimesNewRoman,Italic"/>
                <w:i/>
                <w:iCs/>
              </w:rPr>
              <w:t>1)</w:t>
            </w:r>
            <w:r w:rsidRPr="008F001C">
              <w:rPr>
                <w:rFonts w:cs="TimesNewRoman,Italic"/>
                <w:i/>
                <w:iCs/>
              </w:rPr>
              <w:tab/>
              <w:t xml:space="preserve">where </w:t>
            </w:r>
            <w:r w:rsidRPr="008F001C">
              <w:rPr>
                <w:rFonts w:cs="TimesNewRoman,Italic"/>
                <w:i/>
                <w:iCs/>
                <w:u w:val="single"/>
              </w:rPr>
              <w:t>none</w:t>
            </w:r>
            <w:r w:rsidRPr="008F001C">
              <w:rPr>
                <w:rFonts w:cs="TimesNewRoman,Italic"/>
                <w:i/>
                <w:iCs/>
              </w:rPr>
              <w:t xml:space="preserve"> of the implementing powers conferred on the Commission in the basic legal act </w:t>
            </w:r>
            <w:r w:rsidRPr="008F001C">
              <w:rPr>
                <w:rFonts w:cs="TimesNewRoman,Italic"/>
                <w:i/>
                <w:iCs/>
                <w:u w:val="single"/>
              </w:rPr>
              <w:t>are subject</w:t>
            </w:r>
            <w:r w:rsidRPr="008F001C">
              <w:rPr>
                <w:rFonts w:cs="TimesNewRoman,Italic"/>
                <w:i/>
                <w:iCs/>
              </w:rPr>
              <w:t xml:space="preserve"> to control by the Member States:</w:t>
            </w:r>
          </w:p>
          <w:p w:rsidR="008F001C" w:rsidRPr="008F001C" w:rsidRDefault="008F001C" w:rsidP="008F001C">
            <w:pPr>
              <w:autoSpaceDE w:val="0"/>
              <w:autoSpaceDN w:val="0"/>
              <w:adjustRightInd w:val="0"/>
              <w:ind w:left="360" w:hanging="360"/>
              <w:outlineLvl w:val="0"/>
            </w:pPr>
          </w:p>
          <w:p w:rsidR="008F001C" w:rsidRPr="008F001C" w:rsidRDefault="008F001C" w:rsidP="008F001C">
            <w:pPr>
              <w:autoSpaceDE w:val="0"/>
              <w:autoSpaceDN w:val="0"/>
              <w:adjustRightInd w:val="0"/>
              <w:ind w:left="360" w:hanging="360"/>
              <w:rPr>
                <w:i/>
              </w:rPr>
            </w:pPr>
            <w:r w:rsidRPr="008F001C">
              <w:t>(…)</w:t>
            </w:r>
            <w:r w:rsidRPr="008F001C">
              <w:tab/>
            </w:r>
            <w:r w:rsidRPr="008F001C">
              <w:rPr>
                <w:i/>
              </w:rPr>
              <w:t>[Further justification of the need for uniform conditions may be included by the legislator on a case-by-case basis]</w:t>
            </w:r>
          </w:p>
          <w:p w:rsidR="008F001C" w:rsidRPr="008F001C" w:rsidRDefault="008F001C" w:rsidP="008F001C">
            <w:pPr>
              <w:autoSpaceDE w:val="0"/>
              <w:autoSpaceDN w:val="0"/>
              <w:adjustRightInd w:val="0"/>
              <w:ind w:left="360" w:hanging="360"/>
              <w:rPr>
                <w:i/>
              </w:rPr>
            </w:pPr>
          </w:p>
          <w:p w:rsidR="008F001C" w:rsidRPr="008F001C" w:rsidRDefault="008F001C" w:rsidP="008F001C">
            <w:pPr>
              <w:autoSpaceDE w:val="0"/>
              <w:autoSpaceDN w:val="0"/>
              <w:adjustRightInd w:val="0"/>
              <w:ind w:left="360" w:hanging="360"/>
              <w:rPr>
                <w:i/>
              </w:rPr>
            </w:pPr>
          </w:p>
          <w:p w:rsidR="008F001C" w:rsidRPr="008F001C" w:rsidRDefault="008F001C" w:rsidP="008F001C">
            <w:pPr>
              <w:autoSpaceDE w:val="0"/>
              <w:autoSpaceDN w:val="0"/>
              <w:adjustRightInd w:val="0"/>
              <w:ind w:left="360"/>
            </w:pPr>
            <w:r w:rsidRPr="008F001C">
              <w:t xml:space="preserve">In order to ensure uniform conditions for the implementation (of this […]) </w:t>
            </w:r>
            <w:r w:rsidRPr="008F001C">
              <w:rPr>
                <w:i/>
              </w:rPr>
              <w:t xml:space="preserve">[the basic legal act] </w:t>
            </w:r>
            <w:r w:rsidRPr="008F001C">
              <w:t>(of […])</w:t>
            </w:r>
            <w:r w:rsidRPr="008F001C">
              <w:rPr>
                <w:i/>
              </w:rPr>
              <w:t xml:space="preserve"> [the relevant provisions of the basic legal act],</w:t>
            </w:r>
            <w:r w:rsidRPr="008F001C">
              <w:t xml:space="preserve"> implementing powers should be conferred on the Commission.</w:t>
            </w:r>
          </w:p>
          <w:p w:rsidR="008F001C" w:rsidRPr="008F001C" w:rsidRDefault="008F001C" w:rsidP="008F001C"/>
        </w:tc>
        <w:tc>
          <w:tcPr>
            <w:tcW w:w="4643" w:type="dxa"/>
          </w:tcPr>
          <w:p w:rsidR="008F001C" w:rsidRPr="008F001C" w:rsidRDefault="008F001C" w:rsidP="008F001C">
            <w:pPr>
              <w:autoSpaceDE w:val="0"/>
              <w:autoSpaceDN w:val="0"/>
              <w:adjustRightInd w:val="0"/>
              <w:outlineLvl w:val="0"/>
              <w:rPr>
                <w:rFonts w:cs="TimesNewRoman,Italic"/>
                <w:i/>
                <w:iCs/>
                <w:lang w:val="pt-PT"/>
              </w:rPr>
            </w:pPr>
            <w:r w:rsidRPr="008F001C">
              <w:rPr>
                <w:rFonts w:cs="TimesNewRoman,Italic"/>
                <w:i/>
                <w:iCs/>
                <w:lang w:val="pt-PT"/>
              </w:rPr>
              <w:t>Considerandos a incluir sempre:</w:t>
            </w:r>
          </w:p>
          <w:p w:rsidR="008F001C" w:rsidRPr="008F001C" w:rsidRDefault="008F001C" w:rsidP="008F001C">
            <w:pPr>
              <w:autoSpaceDE w:val="0"/>
              <w:autoSpaceDN w:val="0"/>
              <w:adjustRightInd w:val="0"/>
              <w:outlineLvl w:val="0"/>
              <w:rPr>
                <w:rFonts w:cs="TimesNewRoman,Italic"/>
                <w:b/>
                <w:i/>
                <w:iCs/>
                <w:lang w:val="pt-PT"/>
              </w:rPr>
            </w:pPr>
          </w:p>
          <w:p w:rsidR="008F001C" w:rsidRPr="008F001C" w:rsidRDefault="008F001C" w:rsidP="008F001C">
            <w:pPr>
              <w:autoSpaceDE w:val="0"/>
              <w:autoSpaceDN w:val="0"/>
              <w:adjustRightInd w:val="0"/>
              <w:ind w:left="397" w:hanging="540"/>
              <w:outlineLvl w:val="0"/>
              <w:rPr>
                <w:rFonts w:cs="TimesNewRoman,Italic"/>
                <w:i/>
                <w:iCs/>
                <w:lang w:val="pt-PT"/>
              </w:rPr>
            </w:pPr>
            <w:r w:rsidRPr="008F001C">
              <w:rPr>
                <w:rFonts w:cs="TimesNewRoman,Italic"/>
                <w:i/>
                <w:iCs/>
                <w:lang w:val="pt-PT"/>
              </w:rPr>
              <w:t xml:space="preserve"> 1)</w:t>
            </w:r>
            <w:r w:rsidRPr="008F001C">
              <w:rPr>
                <w:rFonts w:cs="TimesNewRoman,Italic"/>
                <w:i/>
                <w:iCs/>
                <w:lang w:val="pt-PT"/>
              </w:rPr>
              <w:tab/>
              <w:t xml:space="preserve">Caso </w:t>
            </w:r>
            <w:r w:rsidRPr="008F001C">
              <w:rPr>
                <w:rFonts w:cs="TimesNewRoman,Italic"/>
                <w:i/>
                <w:iCs/>
                <w:u w:val="single"/>
                <w:lang w:val="pt-PT"/>
              </w:rPr>
              <w:t>nenhuma</w:t>
            </w:r>
            <w:r w:rsidRPr="008F001C">
              <w:rPr>
                <w:rFonts w:cs="TimesNewRoman,Italic"/>
                <w:i/>
                <w:iCs/>
                <w:lang w:val="pt-PT"/>
              </w:rPr>
              <w:t xml:space="preserve"> das competências de execução atribuídas à Comissão no ato de base </w:t>
            </w:r>
            <w:r w:rsidRPr="008F001C">
              <w:rPr>
                <w:rFonts w:cs="TimesNewRoman,Italic"/>
                <w:i/>
                <w:iCs/>
                <w:u w:val="single"/>
                <w:lang w:val="pt-PT"/>
              </w:rPr>
              <w:t>esteja sujeita</w:t>
            </w:r>
            <w:r w:rsidRPr="008F001C">
              <w:rPr>
                <w:rFonts w:cs="TimesNewRoman,Italic"/>
                <w:i/>
                <w:iCs/>
                <w:lang w:val="pt-PT"/>
              </w:rPr>
              <w:t xml:space="preserve"> ao controlo dos Estados</w:t>
            </w:r>
            <w:r w:rsidRPr="008F001C">
              <w:rPr>
                <w:rFonts w:cs="TimesNewRoman,Italic"/>
                <w:i/>
                <w:iCs/>
                <w:lang w:val="pt-PT"/>
              </w:rPr>
              <w:noBreakHyphen/>
              <w:t>Membros:</w:t>
            </w:r>
          </w:p>
          <w:p w:rsidR="008F001C" w:rsidRPr="008F001C" w:rsidRDefault="008F001C" w:rsidP="008F001C">
            <w:pPr>
              <w:autoSpaceDE w:val="0"/>
              <w:autoSpaceDN w:val="0"/>
              <w:adjustRightInd w:val="0"/>
              <w:ind w:left="397" w:hanging="540"/>
              <w:outlineLvl w:val="0"/>
              <w:rPr>
                <w:lang w:val="pt-PT"/>
              </w:rPr>
            </w:pPr>
          </w:p>
          <w:p w:rsidR="008F001C" w:rsidRPr="008F001C" w:rsidRDefault="008F001C" w:rsidP="008F001C">
            <w:pPr>
              <w:tabs>
                <w:tab w:val="left" w:pos="540"/>
              </w:tabs>
              <w:autoSpaceDE w:val="0"/>
              <w:autoSpaceDN w:val="0"/>
              <w:adjustRightInd w:val="0"/>
              <w:ind w:left="397" w:hanging="540"/>
              <w:rPr>
                <w:i/>
                <w:lang w:val="pt-PT"/>
              </w:rPr>
            </w:pPr>
            <w:r w:rsidRPr="008F001C">
              <w:rPr>
                <w:lang w:val="pt-PT"/>
              </w:rPr>
              <w:tab/>
              <w:t>(…)</w:t>
            </w:r>
            <w:r w:rsidRPr="008F001C">
              <w:rPr>
                <w:lang w:val="pt-PT"/>
              </w:rPr>
              <w:tab/>
            </w:r>
            <w:r w:rsidRPr="008F001C">
              <w:rPr>
                <w:i/>
                <w:lang w:val="pt-PT"/>
              </w:rPr>
              <w:t>[O legislador pode incluir, caso a caso, fundamentação suplementar sobre a necessidade de condições uniformes de execução]</w:t>
            </w:r>
          </w:p>
          <w:p w:rsidR="008F001C" w:rsidRPr="008F001C" w:rsidRDefault="008F001C" w:rsidP="008F001C">
            <w:pPr>
              <w:tabs>
                <w:tab w:val="left" w:pos="540"/>
              </w:tabs>
              <w:autoSpaceDE w:val="0"/>
              <w:autoSpaceDN w:val="0"/>
              <w:adjustRightInd w:val="0"/>
              <w:ind w:left="397" w:hanging="540"/>
              <w:rPr>
                <w:i/>
                <w:lang w:val="pt-PT"/>
              </w:rPr>
            </w:pPr>
          </w:p>
          <w:p w:rsidR="008F001C" w:rsidRPr="008F001C" w:rsidRDefault="008F001C" w:rsidP="008F001C">
            <w:pPr>
              <w:ind w:left="397"/>
              <w:rPr>
                <w:lang w:val="pt-PT"/>
              </w:rPr>
            </w:pPr>
            <w:r w:rsidRPr="008F001C">
              <w:rPr>
                <w:lang w:val="pt-PT"/>
              </w:rPr>
              <w:t xml:space="preserve">A fim de assegurar condições uniformes para a execução (do(da) presente […]) </w:t>
            </w:r>
            <w:r w:rsidRPr="008F001C">
              <w:rPr>
                <w:i/>
                <w:lang w:val="pt-PT"/>
              </w:rPr>
              <w:t xml:space="preserve">[ato de base] </w:t>
            </w:r>
            <w:r w:rsidRPr="008F001C">
              <w:rPr>
                <w:lang w:val="pt-PT"/>
              </w:rPr>
              <w:t>(de […])</w:t>
            </w:r>
            <w:r w:rsidRPr="008F001C">
              <w:rPr>
                <w:i/>
                <w:lang w:val="pt-PT"/>
              </w:rPr>
              <w:t xml:space="preserve"> [disposições aplicáveis do ato de base]</w:t>
            </w:r>
            <w:r w:rsidRPr="008F001C">
              <w:rPr>
                <w:lang w:val="pt-PT"/>
              </w:rPr>
              <w:t>, devem ser atribuídas competências de execução à Comissão.</w:t>
            </w:r>
          </w:p>
        </w:tc>
      </w:tr>
      <w:tr w:rsidR="008F001C" w:rsidTr="008F001C">
        <w:trPr>
          <w:cantSplit/>
        </w:trPr>
        <w:tc>
          <w:tcPr>
            <w:tcW w:w="4643" w:type="dxa"/>
          </w:tcPr>
          <w:p w:rsidR="008F001C" w:rsidRPr="008F001C" w:rsidRDefault="008F001C" w:rsidP="008F001C">
            <w:pPr>
              <w:autoSpaceDE w:val="0"/>
              <w:autoSpaceDN w:val="0"/>
              <w:adjustRightInd w:val="0"/>
              <w:ind w:left="360" w:hanging="360"/>
              <w:rPr>
                <w:rFonts w:cs="TimesNewRoman,Italic"/>
                <w:iCs/>
              </w:rPr>
            </w:pPr>
            <w:r w:rsidRPr="008F001C">
              <w:rPr>
                <w:rFonts w:cs="TimesNewRoman,Italic"/>
                <w:iCs/>
              </w:rPr>
              <w:lastRenderedPageBreak/>
              <w:t>2)</w:t>
            </w:r>
            <w:r w:rsidRPr="008F001C">
              <w:rPr>
                <w:rFonts w:cs="TimesNewRoman,Italic"/>
                <w:iCs/>
              </w:rPr>
              <w:tab/>
            </w:r>
            <w:r w:rsidRPr="008F001C">
              <w:rPr>
                <w:rFonts w:cs="TimesNewRoman,Italic"/>
                <w:i/>
                <w:iCs/>
              </w:rPr>
              <w:t xml:space="preserve">where </w:t>
            </w:r>
            <w:r w:rsidRPr="008F001C">
              <w:rPr>
                <w:rFonts w:cs="TimesNewRoman,Italic"/>
                <w:i/>
                <w:iCs/>
                <w:u w:val="single"/>
              </w:rPr>
              <w:t>some</w:t>
            </w:r>
            <w:r w:rsidRPr="008F001C">
              <w:rPr>
                <w:rFonts w:cs="TimesNewRoman,Italic"/>
                <w:i/>
                <w:iCs/>
              </w:rPr>
              <w:t xml:space="preserve"> of the implementing powers conferred on the Commission in the basic legal act </w:t>
            </w:r>
            <w:r w:rsidRPr="008F001C">
              <w:rPr>
                <w:rFonts w:cs="TimesNewRoman,Italic"/>
                <w:i/>
                <w:iCs/>
                <w:u w:val="single"/>
              </w:rPr>
              <w:t>are not subject</w:t>
            </w:r>
            <w:r w:rsidRPr="008F001C">
              <w:rPr>
                <w:rFonts w:cs="TimesNewRoman,Italic"/>
                <w:i/>
                <w:iCs/>
              </w:rPr>
              <w:t xml:space="preserve"> to control by the Member States </w:t>
            </w:r>
            <w:r w:rsidRPr="008F001C">
              <w:rPr>
                <w:rFonts w:cs="TimesNewRoman,Italic"/>
                <w:i/>
                <w:iCs/>
                <w:u w:val="single"/>
              </w:rPr>
              <w:t>while other</w:t>
            </w:r>
            <w:r w:rsidRPr="008F001C">
              <w:rPr>
                <w:rFonts w:cs="TimesNewRoman,Italic"/>
                <w:i/>
                <w:iCs/>
              </w:rPr>
              <w:t xml:space="preserve"> implementing powers conferred </w:t>
            </w:r>
            <w:r w:rsidRPr="008F001C">
              <w:rPr>
                <w:rFonts w:cs="TimesNewRoman,Italic"/>
                <w:i/>
                <w:iCs/>
                <w:u w:val="single"/>
              </w:rPr>
              <w:t>are subject</w:t>
            </w:r>
            <w:r w:rsidRPr="008F001C">
              <w:rPr>
                <w:rFonts w:cs="TimesNewRoman,Italic"/>
                <w:i/>
                <w:iCs/>
              </w:rPr>
              <w:t xml:space="preserve"> to such control:</w:t>
            </w:r>
          </w:p>
          <w:p w:rsidR="008F001C" w:rsidRPr="008F001C" w:rsidRDefault="008F001C" w:rsidP="008F001C">
            <w:pPr>
              <w:autoSpaceDE w:val="0"/>
              <w:autoSpaceDN w:val="0"/>
              <w:adjustRightInd w:val="0"/>
              <w:ind w:left="360" w:hanging="360"/>
              <w:outlineLvl w:val="0"/>
            </w:pPr>
          </w:p>
          <w:p w:rsidR="008F001C" w:rsidRPr="008F001C" w:rsidRDefault="008F001C" w:rsidP="008F001C">
            <w:pPr>
              <w:autoSpaceDE w:val="0"/>
              <w:autoSpaceDN w:val="0"/>
              <w:adjustRightInd w:val="0"/>
              <w:ind w:left="360"/>
            </w:pPr>
            <w:r w:rsidRPr="008F001C">
              <w:t>(…)</w:t>
            </w:r>
            <w:r w:rsidRPr="008F001C">
              <w:tab/>
            </w:r>
            <w:r w:rsidRPr="008F001C">
              <w:rPr>
                <w:i/>
              </w:rPr>
              <w:t>[Further justification of the need for uniform conditions may be included by the legislator on a case-by-case basis]</w:t>
            </w:r>
          </w:p>
          <w:p w:rsidR="008F001C" w:rsidRPr="008F001C" w:rsidRDefault="008F001C" w:rsidP="008F001C">
            <w:pPr>
              <w:autoSpaceDE w:val="0"/>
              <w:autoSpaceDN w:val="0"/>
              <w:adjustRightInd w:val="0"/>
              <w:ind w:left="360"/>
            </w:pPr>
          </w:p>
          <w:p w:rsidR="008F001C" w:rsidRPr="008F001C" w:rsidRDefault="008F001C" w:rsidP="008F001C">
            <w:pPr>
              <w:autoSpaceDE w:val="0"/>
              <w:autoSpaceDN w:val="0"/>
              <w:adjustRightInd w:val="0"/>
              <w:ind w:left="360"/>
            </w:pPr>
            <w:r w:rsidRPr="008F001C">
              <w:t xml:space="preserve">In order to ensure uniform conditions for the implementation (of this …) </w:t>
            </w:r>
            <w:r w:rsidRPr="008F001C">
              <w:rPr>
                <w:i/>
              </w:rPr>
              <w:t xml:space="preserve">[the basic legal act] </w:t>
            </w:r>
            <w:r w:rsidRPr="008F001C">
              <w:t>(of …)</w:t>
            </w:r>
            <w:r w:rsidRPr="008F001C">
              <w:rPr>
                <w:i/>
              </w:rPr>
              <w:t xml:space="preserve"> [the relevant provisions of the basic legal act],</w:t>
            </w:r>
            <w:r w:rsidRPr="008F001C">
              <w:t xml:space="preserve"> implementing powers should be conferred on the Commission.</w:t>
            </w:r>
          </w:p>
          <w:p w:rsidR="008F001C" w:rsidRPr="008F001C" w:rsidRDefault="008F001C" w:rsidP="008F001C">
            <w:pPr>
              <w:autoSpaceDE w:val="0"/>
              <w:autoSpaceDN w:val="0"/>
              <w:adjustRightInd w:val="0"/>
              <w:ind w:left="360"/>
            </w:pPr>
          </w:p>
          <w:p w:rsidR="008F001C" w:rsidRPr="008F001C" w:rsidRDefault="008F001C" w:rsidP="008F001C">
            <w:pPr>
              <w:autoSpaceDE w:val="0"/>
              <w:autoSpaceDN w:val="0"/>
              <w:adjustRightInd w:val="0"/>
              <w:ind w:left="360"/>
            </w:pPr>
            <w:r w:rsidRPr="008F001C">
              <w:t>(…)</w:t>
            </w:r>
            <w:r w:rsidRPr="008F001C">
              <w:tab/>
              <w:t xml:space="preserve">The implementing powers relating to … </w:t>
            </w:r>
            <w:r w:rsidRPr="008F001C">
              <w:rPr>
                <w:i/>
              </w:rPr>
              <w:t>[the relevant provisions of the basic legal act conferring implementing powers on the Commission which are subject to control by the Member States]</w:t>
            </w:r>
            <w:r w:rsidRPr="008F001C">
              <w:t xml:space="preserve"> should be</w:t>
            </w:r>
            <w:r w:rsidRPr="008F001C">
              <w:rPr>
                <w:rStyle w:val="italic1"/>
                <w:bCs/>
                <w:i w:val="0"/>
              </w:rPr>
              <w:t xml:space="preserve"> exercised </w:t>
            </w:r>
            <w:r w:rsidRPr="008F001C">
              <w:t>in accordance with Regulation (EU) No 182/2011 of the European Parliament and of the Council of … laying down the rules and general principles concerning mechanisms for control by Member States of the Commission's exercise of implementing powers</w:t>
            </w:r>
            <w:r w:rsidRPr="008F001C">
              <w:rPr>
                <w:vertAlign w:val="superscript"/>
              </w:rPr>
              <w:t>*</w:t>
            </w:r>
            <w:r w:rsidRPr="008F001C">
              <w:t>.</w:t>
            </w:r>
          </w:p>
          <w:p w:rsidR="008F001C" w:rsidRPr="008F001C" w:rsidRDefault="008F001C" w:rsidP="008F001C">
            <w:pPr>
              <w:autoSpaceDE w:val="0"/>
              <w:autoSpaceDN w:val="0"/>
              <w:adjustRightInd w:val="0"/>
              <w:ind w:left="360" w:hanging="360"/>
            </w:pPr>
            <w:r w:rsidRPr="008F001C">
              <w:t>__________</w:t>
            </w:r>
          </w:p>
          <w:p w:rsidR="008F001C" w:rsidRPr="008F001C" w:rsidRDefault="008F001C" w:rsidP="008F001C">
            <w:r w:rsidRPr="008F001C">
              <w:rPr>
                <w:vertAlign w:val="superscript"/>
              </w:rPr>
              <w:t>*</w:t>
            </w:r>
            <w:r w:rsidRPr="008F001C">
              <w:tab/>
              <w:t>OJ L 55, 28.2.2011, p. 13.</w:t>
            </w:r>
          </w:p>
        </w:tc>
        <w:tc>
          <w:tcPr>
            <w:tcW w:w="4643" w:type="dxa"/>
          </w:tcPr>
          <w:p w:rsidR="008F001C" w:rsidRPr="008F001C" w:rsidRDefault="008F001C" w:rsidP="008F001C">
            <w:pPr>
              <w:autoSpaceDE w:val="0"/>
              <w:autoSpaceDN w:val="0"/>
              <w:adjustRightInd w:val="0"/>
              <w:ind w:left="397" w:hanging="397"/>
              <w:rPr>
                <w:rFonts w:cs="TimesNewRoman,Italic"/>
                <w:i/>
                <w:iCs/>
                <w:lang w:val="pt-PT"/>
              </w:rPr>
            </w:pPr>
            <w:r w:rsidRPr="008F001C">
              <w:rPr>
                <w:rFonts w:cs="TimesNewRoman,Italic"/>
                <w:iCs/>
                <w:lang w:val="pt-PT"/>
              </w:rPr>
              <w:t>2)</w:t>
            </w:r>
            <w:r w:rsidRPr="008F001C">
              <w:rPr>
                <w:rFonts w:cs="TimesNewRoman,Italic"/>
                <w:iCs/>
                <w:lang w:val="pt-PT"/>
              </w:rPr>
              <w:tab/>
            </w:r>
            <w:r w:rsidRPr="008F001C">
              <w:rPr>
                <w:rFonts w:cs="TimesNewRoman,Italic"/>
                <w:i/>
                <w:iCs/>
                <w:lang w:val="pt-PT"/>
              </w:rPr>
              <w:t xml:space="preserve">Caso </w:t>
            </w:r>
            <w:r w:rsidRPr="008F001C">
              <w:rPr>
                <w:rFonts w:cs="TimesNewRoman,Italic"/>
                <w:i/>
                <w:iCs/>
                <w:u w:val="single"/>
                <w:lang w:val="pt-PT"/>
              </w:rPr>
              <w:t>algumas</w:t>
            </w:r>
            <w:r w:rsidRPr="008F001C">
              <w:rPr>
                <w:rFonts w:cs="TimesNewRoman,Italic"/>
                <w:i/>
                <w:iCs/>
                <w:lang w:val="pt-PT"/>
              </w:rPr>
              <w:t xml:space="preserve"> competências de execução atribuídas à Comissão no ato de base </w:t>
            </w:r>
            <w:r w:rsidRPr="008F001C">
              <w:rPr>
                <w:rFonts w:cs="TimesNewRoman,Italic"/>
                <w:i/>
                <w:iCs/>
                <w:u w:val="single"/>
                <w:lang w:val="pt-PT"/>
              </w:rPr>
              <w:t>não estejam sujeitas</w:t>
            </w:r>
            <w:r w:rsidRPr="008F001C">
              <w:rPr>
                <w:rFonts w:cs="TimesNewRoman,Italic"/>
                <w:i/>
                <w:iCs/>
                <w:lang w:val="pt-PT"/>
              </w:rPr>
              <w:t xml:space="preserve"> ao controlo dos Estados</w:t>
            </w:r>
            <w:r w:rsidRPr="008F001C">
              <w:rPr>
                <w:rFonts w:cs="TimesNewRoman,Italic"/>
                <w:i/>
                <w:iCs/>
                <w:lang w:val="pt-PT"/>
              </w:rPr>
              <w:noBreakHyphen/>
              <w:t xml:space="preserve">Membros, </w:t>
            </w:r>
            <w:r w:rsidRPr="008F001C">
              <w:rPr>
                <w:rFonts w:cs="TimesNewRoman,Italic"/>
                <w:i/>
                <w:iCs/>
                <w:u w:val="single"/>
                <w:lang w:val="pt-PT"/>
              </w:rPr>
              <w:t>mas outras</w:t>
            </w:r>
            <w:r w:rsidRPr="008F001C">
              <w:rPr>
                <w:rFonts w:cs="TimesNewRoman,Italic"/>
                <w:i/>
                <w:iCs/>
                <w:lang w:val="pt-PT"/>
              </w:rPr>
              <w:t xml:space="preserve"> o </w:t>
            </w:r>
            <w:r w:rsidRPr="008F001C">
              <w:rPr>
                <w:rFonts w:cs="TimesNewRoman,Italic"/>
                <w:i/>
                <w:iCs/>
                <w:u w:val="single"/>
                <w:lang w:val="pt-PT"/>
              </w:rPr>
              <w:t>estejam</w:t>
            </w:r>
            <w:r w:rsidRPr="008F001C">
              <w:rPr>
                <w:rFonts w:cs="TimesNewRoman,Italic"/>
                <w:i/>
                <w:iCs/>
                <w:lang w:val="pt-PT"/>
              </w:rPr>
              <w:t>:</w:t>
            </w:r>
          </w:p>
          <w:p w:rsidR="008F001C" w:rsidRPr="008F001C" w:rsidRDefault="008F001C" w:rsidP="008F001C">
            <w:pPr>
              <w:autoSpaceDE w:val="0"/>
              <w:autoSpaceDN w:val="0"/>
              <w:adjustRightInd w:val="0"/>
              <w:ind w:left="397" w:hanging="397"/>
              <w:outlineLvl w:val="0"/>
              <w:rPr>
                <w:lang w:val="pt-PT"/>
              </w:rPr>
            </w:pPr>
          </w:p>
          <w:p w:rsidR="008F001C" w:rsidRPr="008F001C" w:rsidRDefault="008F001C" w:rsidP="008F001C">
            <w:pPr>
              <w:autoSpaceDE w:val="0"/>
              <w:autoSpaceDN w:val="0"/>
              <w:adjustRightInd w:val="0"/>
              <w:ind w:left="397" w:hanging="397"/>
              <w:outlineLvl w:val="0"/>
              <w:rPr>
                <w:lang w:val="pt-PT"/>
              </w:rPr>
            </w:pPr>
          </w:p>
          <w:p w:rsidR="008F001C" w:rsidRPr="008F001C" w:rsidRDefault="008F001C" w:rsidP="008F001C">
            <w:pPr>
              <w:tabs>
                <w:tab w:val="left" w:pos="540"/>
              </w:tabs>
              <w:autoSpaceDE w:val="0"/>
              <w:autoSpaceDN w:val="0"/>
              <w:adjustRightInd w:val="0"/>
              <w:ind w:left="397"/>
              <w:rPr>
                <w:lang w:val="pt-PT"/>
              </w:rPr>
            </w:pPr>
          </w:p>
          <w:p w:rsidR="008F001C" w:rsidRPr="008F001C" w:rsidRDefault="008F001C" w:rsidP="008F001C">
            <w:pPr>
              <w:tabs>
                <w:tab w:val="left" w:pos="540"/>
              </w:tabs>
              <w:autoSpaceDE w:val="0"/>
              <w:autoSpaceDN w:val="0"/>
              <w:adjustRightInd w:val="0"/>
              <w:ind w:left="397"/>
              <w:rPr>
                <w:i/>
                <w:lang w:val="pt-PT"/>
              </w:rPr>
            </w:pPr>
            <w:r w:rsidRPr="008F001C">
              <w:rPr>
                <w:lang w:val="pt-PT"/>
              </w:rPr>
              <w:t>(…)</w:t>
            </w:r>
            <w:r w:rsidRPr="008F001C">
              <w:rPr>
                <w:lang w:val="pt-PT"/>
              </w:rPr>
              <w:tab/>
            </w:r>
            <w:r w:rsidRPr="008F001C">
              <w:rPr>
                <w:i/>
                <w:lang w:val="pt-PT"/>
              </w:rPr>
              <w:t>[O legislador pode incluir, caso a caso, fundamentação suplementar sobre a necessidade de condições uniformes de execução]</w:t>
            </w:r>
          </w:p>
          <w:p w:rsidR="008F001C" w:rsidRPr="008F001C" w:rsidRDefault="008F001C" w:rsidP="008F001C">
            <w:pPr>
              <w:tabs>
                <w:tab w:val="left" w:pos="540"/>
              </w:tabs>
              <w:autoSpaceDE w:val="0"/>
              <w:autoSpaceDN w:val="0"/>
              <w:adjustRightInd w:val="0"/>
              <w:ind w:left="397"/>
              <w:rPr>
                <w:i/>
                <w:lang w:val="pt-PT"/>
              </w:rPr>
            </w:pPr>
          </w:p>
          <w:p w:rsidR="008F001C" w:rsidRPr="008F001C" w:rsidRDefault="008F001C" w:rsidP="008F001C">
            <w:pPr>
              <w:tabs>
                <w:tab w:val="left" w:pos="540"/>
              </w:tabs>
              <w:autoSpaceDE w:val="0"/>
              <w:autoSpaceDN w:val="0"/>
              <w:adjustRightInd w:val="0"/>
              <w:ind w:left="397"/>
              <w:rPr>
                <w:lang w:val="pt-PT"/>
              </w:rPr>
            </w:pPr>
            <w:r w:rsidRPr="008F001C">
              <w:rPr>
                <w:lang w:val="pt-PT"/>
              </w:rPr>
              <w:t xml:space="preserve">A fim de assegurar condições uniformes para a execução (do(da) presente […]) </w:t>
            </w:r>
            <w:r w:rsidRPr="008F001C">
              <w:rPr>
                <w:i/>
                <w:lang w:val="pt-PT"/>
              </w:rPr>
              <w:t xml:space="preserve">[ato de base] </w:t>
            </w:r>
            <w:r w:rsidRPr="008F001C">
              <w:rPr>
                <w:lang w:val="pt-PT"/>
              </w:rPr>
              <w:t>(de […])</w:t>
            </w:r>
            <w:r w:rsidRPr="008F001C">
              <w:rPr>
                <w:i/>
                <w:lang w:val="pt-PT"/>
              </w:rPr>
              <w:t xml:space="preserve"> [disposições aplicáveis do ato de base]</w:t>
            </w:r>
            <w:r w:rsidRPr="008F001C">
              <w:rPr>
                <w:lang w:val="pt-PT"/>
              </w:rPr>
              <w:t>, devem ser atribuídas competências de execução à Comissão.</w:t>
            </w:r>
          </w:p>
          <w:p w:rsidR="008F001C" w:rsidRPr="008F001C" w:rsidRDefault="008F001C" w:rsidP="008F001C">
            <w:pPr>
              <w:autoSpaceDE w:val="0"/>
              <w:autoSpaceDN w:val="0"/>
              <w:adjustRightInd w:val="0"/>
              <w:ind w:left="397"/>
              <w:rPr>
                <w:lang w:val="pt-PT"/>
              </w:rPr>
            </w:pPr>
          </w:p>
          <w:p w:rsidR="008F001C" w:rsidRPr="008F001C" w:rsidRDefault="008F001C" w:rsidP="008F001C">
            <w:pPr>
              <w:tabs>
                <w:tab w:val="left" w:pos="540"/>
              </w:tabs>
              <w:autoSpaceDE w:val="0"/>
              <w:autoSpaceDN w:val="0"/>
              <w:adjustRightInd w:val="0"/>
              <w:ind w:left="397"/>
              <w:rPr>
                <w:lang w:val="pt-PT"/>
              </w:rPr>
            </w:pPr>
            <w:r w:rsidRPr="008F001C">
              <w:rPr>
                <w:lang w:val="pt-PT"/>
              </w:rPr>
              <w:t>(…)</w:t>
            </w:r>
            <w:r w:rsidRPr="008F001C">
              <w:rPr>
                <w:lang w:val="pt-PT"/>
              </w:rPr>
              <w:tab/>
              <w:t xml:space="preserve">As competências de execução relativas […] </w:t>
            </w:r>
            <w:r w:rsidRPr="008F001C">
              <w:rPr>
                <w:i/>
                <w:lang w:val="pt-PT"/>
              </w:rPr>
              <w:t>[disposições aplicáveis do ato de base que</w:t>
            </w:r>
            <w:r w:rsidRPr="008F001C">
              <w:rPr>
                <w:lang w:val="pt-PT"/>
              </w:rPr>
              <w:t xml:space="preserve"> </w:t>
            </w:r>
            <w:r w:rsidRPr="008F001C">
              <w:rPr>
                <w:i/>
                <w:lang w:val="pt-PT"/>
              </w:rPr>
              <w:t>atribuem à Comissão competências de execução sujeitas ao controlo dos Estados</w:t>
            </w:r>
            <w:r w:rsidRPr="008F001C">
              <w:rPr>
                <w:i/>
                <w:lang w:val="pt-PT"/>
              </w:rPr>
              <w:noBreakHyphen/>
              <w:t>Membros]</w:t>
            </w:r>
            <w:r w:rsidRPr="008F001C">
              <w:rPr>
                <w:lang w:val="pt-PT"/>
              </w:rPr>
              <w:t xml:space="preserve"> devem ser exercidas em conformidade com o Regulamento (UE) n.º 182/2011 do Parlamento Europeu e do Conselho, de 16 de fevereiro de 2011, que estabelece as regras e os princípios gerais relativos aos mecanismos de controlo pelos Estados</w:t>
            </w:r>
            <w:r w:rsidRPr="008F001C">
              <w:rPr>
                <w:lang w:val="pt-PT"/>
              </w:rPr>
              <w:noBreakHyphen/>
              <w:t>Membros do exercício das competências de execução pela Comissão*.</w:t>
            </w:r>
          </w:p>
          <w:p w:rsidR="008F001C" w:rsidRPr="008F001C" w:rsidRDefault="008F001C" w:rsidP="008F001C">
            <w:pPr>
              <w:tabs>
                <w:tab w:val="left" w:pos="567"/>
                <w:tab w:val="left" w:pos="1134"/>
                <w:tab w:val="left" w:pos="1418"/>
              </w:tabs>
              <w:autoSpaceDE w:val="0"/>
              <w:autoSpaceDN w:val="0"/>
              <w:adjustRightInd w:val="0"/>
              <w:ind w:left="397"/>
            </w:pPr>
            <w:r w:rsidRPr="008F001C">
              <w:t>__________</w:t>
            </w:r>
          </w:p>
          <w:p w:rsidR="008F001C" w:rsidRDefault="008F001C" w:rsidP="008F001C">
            <w:r w:rsidRPr="008F001C">
              <w:t>*</w:t>
            </w:r>
            <w:r w:rsidRPr="008F001C">
              <w:tab/>
              <w:t>JO L 55 de 28.2.2011, p. 13.</w:t>
            </w:r>
          </w:p>
        </w:tc>
      </w:tr>
    </w:tbl>
    <w:p w:rsidR="006855E3" w:rsidRDefault="006855E3"/>
    <w:sectPr w:rsidR="006855E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5CC" w:rsidRDefault="008F05CC">
      <w:r>
        <w:separator/>
      </w:r>
    </w:p>
  </w:endnote>
  <w:endnote w:type="continuationSeparator" w:id="0">
    <w:p w:rsidR="008F05CC" w:rsidRDefault="008F0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5CC" w:rsidRDefault="008F05CC">
      <w:r>
        <w:separator/>
      </w:r>
    </w:p>
  </w:footnote>
  <w:footnote w:type="continuationSeparator" w:id="0">
    <w:p w:rsidR="008F05CC" w:rsidRDefault="008F05CC">
      <w:r>
        <w:continuationSeparator/>
      </w:r>
    </w:p>
  </w:footnote>
  <w:footnote w:id="1">
    <w:p w:rsidR="008F05CC" w:rsidRPr="00E03333" w:rsidRDefault="008F05CC" w:rsidP="008F001C">
      <w:pPr>
        <w:pStyle w:val="FootnoteText"/>
        <w:rPr>
          <w:b/>
          <w:sz w:val="22"/>
          <w:szCs w:val="22"/>
        </w:rPr>
      </w:pPr>
      <w:r w:rsidRPr="00E03333">
        <w:rPr>
          <w:rStyle w:val="FootnoteReference"/>
          <w:b w:val="0"/>
        </w:rPr>
        <w:footnoteRef/>
      </w:r>
      <w:r w:rsidRPr="00E03333">
        <w:rPr>
          <w:rStyle w:val="FootnoteReference"/>
        </w:rPr>
        <w:t xml:space="preserve"> </w:t>
      </w:r>
      <w:r w:rsidRPr="00E03333">
        <w:rPr>
          <w:rStyle w:val="FootnoteReference"/>
        </w:rPr>
        <w:tab/>
      </w:r>
      <w:r w:rsidRPr="00E03333">
        <w:rPr>
          <w:rStyle w:val="FootnoteReference"/>
          <w:b w:val="0"/>
          <w:sz w:val="22"/>
          <w:szCs w:val="22"/>
        </w:rPr>
        <w:t>Em certos casos, o legislador atribui à Comissão competências de execução que não estão sujeitas ao controlo dos Estados-Membros; nesses casos, o texto do considerando (ou de um considerando separado) deve refletir esse facto, sem qualquer referência ao Regulamento (UE) n.º</w:t>
      </w:r>
      <w:r>
        <w:rPr>
          <w:sz w:val="22"/>
          <w:szCs w:val="22"/>
        </w:rPr>
        <w:t xml:space="preserve"> 182/</w:t>
      </w:r>
      <w:r w:rsidRPr="00E03333">
        <w:rPr>
          <w:rStyle w:val="FootnoteReference"/>
          <w:b w:val="0"/>
          <w:sz w:val="22"/>
          <w:szCs w:val="22"/>
        </w:rPr>
        <w:t>2011.</w:t>
      </w:r>
    </w:p>
  </w:footnote>
  <w:footnote w:id="2">
    <w:p w:rsidR="008F05CC" w:rsidRPr="00E03333" w:rsidRDefault="008F05CC" w:rsidP="008F001C">
      <w:pPr>
        <w:pStyle w:val="FootnoteText"/>
        <w:rPr>
          <w:sz w:val="22"/>
          <w:szCs w:val="22"/>
        </w:rPr>
      </w:pPr>
      <w:r w:rsidRPr="00BD0973">
        <w:rPr>
          <w:rStyle w:val="FootnoteReference"/>
          <w:b w:val="0"/>
          <w:sz w:val="22"/>
          <w:szCs w:val="22"/>
        </w:rPr>
        <w:footnoteRef/>
      </w:r>
      <w:r w:rsidRPr="001D0B14">
        <w:t xml:space="preserve"> </w:t>
      </w:r>
      <w:r>
        <w:tab/>
      </w:r>
      <w:r>
        <w:rPr>
          <w:sz w:val="22"/>
          <w:szCs w:val="22"/>
        </w:rPr>
        <w:t xml:space="preserve">Deve </w:t>
      </w:r>
      <w:r w:rsidRPr="00E03333">
        <w:rPr>
          <w:sz w:val="22"/>
          <w:szCs w:val="22"/>
        </w:rPr>
        <w:t>ser inserida</w:t>
      </w:r>
      <w:r>
        <w:rPr>
          <w:sz w:val="22"/>
          <w:szCs w:val="22"/>
        </w:rPr>
        <w:t xml:space="preserve"> tal disposição</w:t>
      </w:r>
      <w:r w:rsidRPr="00E03333">
        <w:rPr>
          <w:sz w:val="22"/>
          <w:szCs w:val="22"/>
        </w:rPr>
        <w:t xml:space="preserve"> </w:t>
      </w:r>
      <w:r>
        <w:rPr>
          <w:sz w:val="22"/>
          <w:szCs w:val="22"/>
        </w:rPr>
        <w:t xml:space="preserve">para </w:t>
      </w:r>
      <w:r w:rsidRPr="00E03333">
        <w:rPr>
          <w:sz w:val="22"/>
          <w:szCs w:val="22"/>
        </w:rPr>
        <w:t>cada competência de execução.</w:t>
      </w:r>
    </w:p>
  </w:footnote>
  <w:footnote w:id="3">
    <w:p w:rsidR="008F05CC" w:rsidRPr="00E03333" w:rsidRDefault="008F05CC" w:rsidP="008F001C">
      <w:pPr>
        <w:pStyle w:val="FootnoteText"/>
        <w:rPr>
          <w:sz w:val="22"/>
          <w:szCs w:val="22"/>
        </w:rPr>
      </w:pPr>
      <w:r w:rsidRPr="00E03333">
        <w:rPr>
          <w:rStyle w:val="FootnoteReference"/>
          <w:b w:val="0"/>
          <w:sz w:val="22"/>
          <w:szCs w:val="22"/>
        </w:rPr>
        <w:footnoteRef/>
      </w:r>
      <w:r w:rsidRPr="00E03333">
        <w:rPr>
          <w:sz w:val="22"/>
          <w:szCs w:val="22"/>
        </w:rPr>
        <w:t xml:space="preserve"> </w:t>
      </w:r>
      <w:r w:rsidRPr="00E03333">
        <w:rPr>
          <w:sz w:val="22"/>
          <w:szCs w:val="22"/>
        </w:rPr>
        <w:tab/>
        <w:t>Nes</w:t>
      </w:r>
      <w:r>
        <w:rPr>
          <w:sz w:val="22"/>
          <w:szCs w:val="22"/>
        </w:rPr>
        <w:t>s</w:t>
      </w:r>
      <w:r w:rsidRPr="00E03333">
        <w:rPr>
          <w:sz w:val="22"/>
          <w:szCs w:val="22"/>
        </w:rPr>
        <w:t>e caso, os atos de execução imediatamente aplicáveis mantêm-se em vigor por um período que não pode exceder seis meses.</w:t>
      </w:r>
    </w:p>
  </w:footnote>
  <w:footnote w:id="4">
    <w:p w:rsidR="008F05CC" w:rsidRPr="00A822B9" w:rsidRDefault="008F05CC" w:rsidP="008F001C">
      <w:pPr>
        <w:pStyle w:val="FootnoteText"/>
        <w:rPr>
          <w:i/>
          <w:szCs w:val="24"/>
        </w:rPr>
      </w:pPr>
      <w:r w:rsidRPr="00BD0973">
        <w:rPr>
          <w:rStyle w:val="FootnoteReference"/>
          <w:b w:val="0"/>
          <w:sz w:val="22"/>
          <w:szCs w:val="22"/>
        </w:rPr>
        <w:footnoteRef/>
      </w:r>
      <w:r w:rsidRPr="00A822B9">
        <w:rPr>
          <w:i/>
          <w:szCs w:val="24"/>
        </w:rPr>
        <w:t xml:space="preserve"> </w:t>
      </w:r>
      <w:r w:rsidRPr="00A822B9">
        <w:rPr>
          <w:i/>
          <w:szCs w:val="24"/>
        </w:rPr>
        <w:tab/>
      </w:r>
      <w:r w:rsidRPr="00716A09">
        <w:rPr>
          <w:sz w:val="22"/>
          <w:szCs w:val="22"/>
        </w:rPr>
        <w:t>Por exemplo, atos de execução relativos a questões de concorrência no domínio da agricultura, a contratos públicos, etc.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77608D"/>
    <w:multiLevelType w:val="multilevel"/>
    <w:tmpl w:val="A7EC9B74"/>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i w:val="0"/>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suff w:val="space"/>
      <w:lvlText w:val="%1.%2.%3.%4.%5.%6."/>
      <w:lvlJc w:val="left"/>
      <w:pPr>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F001C"/>
    <w:rsid w:val="000028B1"/>
    <w:rsid w:val="0000426A"/>
    <w:rsid w:val="00006955"/>
    <w:rsid w:val="00010AB3"/>
    <w:rsid w:val="00010F99"/>
    <w:rsid w:val="00012A5C"/>
    <w:rsid w:val="00012CA2"/>
    <w:rsid w:val="00014694"/>
    <w:rsid w:val="000162CE"/>
    <w:rsid w:val="000162E6"/>
    <w:rsid w:val="00017AEB"/>
    <w:rsid w:val="00020DA3"/>
    <w:rsid w:val="00030148"/>
    <w:rsid w:val="00031A87"/>
    <w:rsid w:val="00033247"/>
    <w:rsid w:val="00043F3A"/>
    <w:rsid w:val="0004505B"/>
    <w:rsid w:val="00047130"/>
    <w:rsid w:val="000647FD"/>
    <w:rsid w:val="0006498A"/>
    <w:rsid w:val="00064DD3"/>
    <w:rsid w:val="00065310"/>
    <w:rsid w:val="000759FC"/>
    <w:rsid w:val="00076592"/>
    <w:rsid w:val="00077123"/>
    <w:rsid w:val="000773B1"/>
    <w:rsid w:val="000776C6"/>
    <w:rsid w:val="00081C0A"/>
    <w:rsid w:val="000823BE"/>
    <w:rsid w:val="00085E5B"/>
    <w:rsid w:val="00090000"/>
    <w:rsid w:val="000900A0"/>
    <w:rsid w:val="0009063F"/>
    <w:rsid w:val="00091E39"/>
    <w:rsid w:val="00095C9D"/>
    <w:rsid w:val="00097D33"/>
    <w:rsid w:val="000A052D"/>
    <w:rsid w:val="000A0776"/>
    <w:rsid w:val="000A3BDF"/>
    <w:rsid w:val="000A532C"/>
    <w:rsid w:val="000B316A"/>
    <w:rsid w:val="000B40CD"/>
    <w:rsid w:val="000B514A"/>
    <w:rsid w:val="000B75A0"/>
    <w:rsid w:val="000C170D"/>
    <w:rsid w:val="000C215C"/>
    <w:rsid w:val="000C3281"/>
    <w:rsid w:val="000C5B1F"/>
    <w:rsid w:val="000C64A0"/>
    <w:rsid w:val="000D08F2"/>
    <w:rsid w:val="000D177D"/>
    <w:rsid w:val="000D2453"/>
    <w:rsid w:val="000D2D05"/>
    <w:rsid w:val="000D74C4"/>
    <w:rsid w:val="000E1D34"/>
    <w:rsid w:val="000E2608"/>
    <w:rsid w:val="000E6B41"/>
    <w:rsid w:val="000F02BD"/>
    <w:rsid w:val="000F0413"/>
    <w:rsid w:val="000F2233"/>
    <w:rsid w:val="000F56E2"/>
    <w:rsid w:val="00102595"/>
    <w:rsid w:val="001059B2"/>
    <w:rsid w:val="001059C3"/>
    <w:rsid w:val="001063CE"/>
    <w:rsid w:val="00110D14"/>
    <w:rsid w:val="00112C34"/>
    <w:rsid w:val="00114013"/>
    <w:rsid w:val="0012486E"/>
    <w:rsid w:val="001249FF"/>
    <w:rsid w:val="0012719E"/>
    <w:rsid w:val="00130CD7"/>
    <w:rsid w:val="00132FD5"/>
    <w:rsid w:val="001333BF"/>
    <w:rsid w:val="00134185"/>
    <w:rsid w:val="00135F21"/>
    <w:rsid w:val="001366A7"/>
    <w:rsid w:val="00142CB3"/>
    <w:rsid w:val="00144221"/>
    <w:rsid w:val="00144514"/>
    <w:rsid w:val="00146BCB"/>
    <w:rsid w:val="00150578"/>
    <w:rsid w:val="0015086C"/>
    <w:rsid w:val="00152435"/>
    <w:rsid w:val="00153138"/>
    <w:rsid w:val="00160410"/>
    <w:rsid w:val="00162A81"/>
    <w:rsid w:val="00163B73"/>
    <w:rsid w:val="00165A23"/>
    <w:rsid w:val="00166A32"/>
    <w:rsid w:val="001729BA"/>
    <w:rsid w:val="001733FA"/>
    <w:rsid w:val="00174C4B"/>
    <w:rsid w:val="00176250"/>
    <w:rsid w:val="001804CD"/>
    <w:rsid w:val="00181027"/>
    <w:rsid w:val="00181C6E"/>
    <w:rsid w:val="00181E3B"/>
    <w:rsid w:val="00182267"/>
    <w:rsid w:val="001837CF"/>
    <w:rsid w:val="0018568A"/>
    <w:rsid w:val="0018781C"/>
    <w:rsid w:val="00192A58"/>
    <w:rsid w:val="00192AC4"/>
    <w:rsid w:val="00194B0A"/>
    <w:rsid w:val="0019608B"/>
    <w:rsid w:val="001967D5"/>
    <w:rsid w:val="001A0A47"/>
    <w:rsid w:val="001A1D45"/>
    <w:rsid w:val="001A2032"/>
    <w:rsid w:val="001A3245"/>
    <w:rsid w:val="001A4481"/>
    <w:rsid w:val="001A6177"/>
    <w:rsid w:val="001A6270"/>
    <w:rsid w:val="001B0552"/>
    <w:rsid w:val="001B0CC2"/>
    <w:rsid w:val="001B0E0A"/>
    <w:rsid w:val="001B1823"/>
    <w:rsid w:val="001B37A5"/>
    <w:rsid w:val="001B5BB8"/>
    <w:rsid w:val="001B7553"/>
    <w:rsid w:val="001C0A7A"/>
    <w:rsid w:val="001C20E3"/>
    <w:rsid w:val="001C215D"/>
    <w:rsid w:val="001C52A2"/>
    <w:rsid w:val="001C6B26"/>
    <w:rsid w:val="001C7B21"/>
    <w:rsid w:val="001D16D7"/>
    <w:rsid w:val="001D228C"/>
    <w:rsid w:val="001D2DA9"/>
    <w:rsid w:val="001D2E1E"/>
    <w:rsid w:val="001D2FF6"/>
    <w:rsid w:val="001D467F"/>
    <w:rsid w:val="001D534A"/>
    <w:rsid w:val="001D7ACC"/>
    <w:rsid w:val="001E08D3"/>
    <w:rsid w:val="001E120A"/>
    <w:rsid w:val="001E4E3C"/>
    <w:rsid w:val="001E5A2B"/>
    <w:rsid w:val="001E7ABB"/>
    <w:rsid w:val="001F2517"/>
    <w:rsid w:val="001F4E77"/>
    <w:rsid w:val="001F6243"/>
    <w:rsid w:val="001F78B8"/>
    <w:rsid w:val="001F7FF3"/>
    <w:rsid w:val="002071FF"/>
    <w:rsid w:val="00212B26"/>
    <w:rsid w:val="00214045"/>
    <w:rsid w:val="002140A8"/>
    <w:rsid w:val="00214CD9"/>
    <w:rsid w:val="0021696A"/>
    <w:rsid w:val="002218AA"/>
    <w:rsid w:val="0022204C"/>
    <w:rsid w:val="002236BF"/>
    <w:rsid w:val="00225547"/>
    <w:rsid w:val="00225A82"/>
    <w:rsid w:val="002270C1"/>
    <w:rsid w:val="00227167"/>
    <w:rsid w:val="00235DC9"/>
    <w:rsid w:val="0023628E"/>
    <w:rsid w:val="002372A4"/>
    <w:rsid w:val="00240E51"/>
    <w:rsid w:val="00245E63"/>
    <w:rsid w:val="00251E71"/>
    <w:rsid w:val="00252CE2"/>
    <w:rsid w:val="00253183"/>
    <w:rsid w:val="0025563E"/>
    <w:rsid w:val="0026260A"/>
    <w:rsid w:val="00263EC6"/>
    <w:rsid w:val="0026617E"/>
    <w:rsid w:val="002668BE"/>
    <w:rsid w:val="002751D3"/>
    <w:rsid w:val="00277782"/>
    <w:rsid w:val="002807E3"/>
    <w:rsid w:val="00283B3F"/>
    <w:rsid w:val="00291518"/>
    <w:rsid w:val="00293A63"/>
    <w:rsid w:val="00294CC5"/>
    <w:rsid w:val="00296172"/>
    <w:rsid w:val="002A0201"/>
    <w:rsid w:val="002A0A06"/>
    <w:rsid w:val="002A1CB4"/>
    <w:rsid w:val="002A4C3A"/>
    <w:rsid w:val="002A6B6F"/>
    <w:rsid w:val="002A6FC6"/>
    <w:rsid w:val="002A7CFD"/>
    <w:rsid w:val="002A7F84"/>
    <w:rsid w:val="002B02F7"/>
    <w:rsid w:val="002B5741"/>
    <w:rsid w:val="002B7A28"/>
    <w:rsid w:val="002C3D2E"/>
    <w:rsid w:val="002C7F10"/>
    <w:rsid w:val="002C7FE2"/>
    <w:rsid w:val="002D03F4"/>
    <w:rsid w:val="002D4781"/>
    <w:rsid w:val="002D6E13"/>
    <w:rsid w:val="002D70A1"/>
    <w:rsid w:val="002D74E5"/>
    <w:rsid w:val="002E2AEC"/>
    <w:rsid w:val="002E3C72"/>
    <w:rsid w:val="002E5B77"/>
    <w:rsid w:val="002F115B"/>
    <w:rsid w:val="002F1802"/>
    <w:rsid w:val="002F2A00"/>
    <w:rsid w:val="002F4BB6"/>
    <w:rsid w:val="002F4EBB"/>
    <w:rsid w:val="00306F16"/>
    <w:rsid w:val="003072FB"/>
    <w:rsid w:val="0031076A"/>
    <w:rsid w:val="00312610"/>
    <w:rsid w:val="00313C7B"/>
    <w:rsid w:val="00315F29"/>
    <w:rsid w:val="00316DAC"/>
    <w:rsid w:val="003177C7"/>
    <w:rsid w:val="0032042C"/>
    <w:rsid w:val="00321B3E"/>
    <w:rsid w:val="00322F6C"/>
    <w:rsid w:val="00323BCE"/>
    <w:rsid w:val="003255FD"/>
    <w:rsid w:val="00331EF4"/>
    <w:rsid w:val="003378A2"/>
    <w:rsid w:val="00337CF2"/>
    <w:rsid w:val="003408C3"/>
    <w:rsid w:val="00341CDD"/>
    <w:rsid w:val="00350289"/>
    <w:rsid w:val="00353F38"/>
    <w:rsid w:val="00354C3B"/>
    <w:rsid w:val="00355435"/>
    <w:rsid w:val="00357875"/>
    <w:rsid w:val="00361E64"/>
    <w:rsid w:val="003624DF"/>
    <w:rsid w:val="00370DED"/>
    <w:rsid w:val="003715D0"/>
    <w:rsid w:val="00371C4D"/>
    <w:rsid w:val="00371FDB"/>
    <w:rsid w:val="0037200F"/>
    <w:rsid w:val="00372131"/>
    <w:rsid w:val="00372D01"/>
    <w:rsid w:val="00376696"/>
    <w:rsid w:val="00377D73"/>
    <w:rsid w:val="00382262"/>
    <w:rsid w:val="00385F9D"/>
    <w:rsid w:val="003929DC"/>
    <w:rsid w:val="003945DE"/>
    <w:rsid w:val="00395470"/>
    <w:rsid w:val="0039610E"/>
    <w:rsid w:val="00397101"/>
    <w:rsid w:val="003A1A87"/>
    <w:rsid w:val="003A3251"/>
    <w:rsid w:val="003A43ED"/>
    <w:rsid w:val="003B0CEA"/>
    <w:rsid w:val="003B2CD4"/>
    <w:rsid w:val="003B2FAA"/>
    <w:rsid w:val="003B32BF"/>
    <w:rsid w:val="003B655F"/>
    <w:rsid w:val="003C6FA3"/>
    <w:rsid w:val="003D1DEE"/>
    <w:rsid w:val="003E1764"/>
    <w:rsid w:val="003E2685"/>
    <w:rsid w:val="003E3425"/>
    <w:rsid w:val="003E34EE"/>
    <w:rsid w:val="003E5325"/>
    <w:rsid w:val="003E612D"/>
    <w:rsid w:val="003F0D36"/>
    <w:rsid w:val="003F0D72"/>
    <w:rsid w:val="003F1665"/>
    <w:rsid w:val="003F2525"/>
    <w:rsid w:val="003F585E"/>
    <w:rsid w:val="003F6135"/>
    <w:rsid w:val="00400552"/>
    <w:rsid w:val="004013DE"/>
    <w:rsid w:val="00401C92"/>
    <w:rsid w:val="00402F11"/>
    <w:rsid w:val="00407257"/>
    <w:rsid w:val="00414574"/>
    <w:rsid w:val="00414757"/>
    <w:rsid w:val="0042106D"/>
    <w:rsid w:val="004216B7"/>
    <w:rsid w:val="00421912"/>
    <w:rsid w:val="00421EB8"/>
    <w:rsid w:val="00423AB7"/>
    <w:rsid w:val="00426C86"/>
    <w:rsid w:val="00427863"/>
    <w:rsid w:val="00432BE6"/>
    <w:rsid w:val="0043481C"/>
    <w:rsid w:val="00434C01"/>
    <w:rsid w:val="00434CDC"/>
    <w:rsid w:val="004359EB"/>
    <w:rsid w:val="00437B9B"/>
    <w:rsid w:val="00441FBB"/>
    <w:rsid w:val="00447DD0"/>
    <w:rsid w:val="00452274"/>
    <w:rsid w:val="00452D46"/>
    <w:rsid w:val="00453A49"/>
    <w:rsid w:val="00454724"/>
    <w:rsid w:val="00455F55"/>
    <w:rsid w:val="00456A9A"/>
    <w:rsid w:val="00457DBB"/>
    <w:rsid w:val="004601AA"/>
    <w:rsid w:val="004620CB"/>
    <w:rsid w:val="0046465A"/>
    <w:rsid w:val="004653BF"/>
    <w:rsid w:val="00465AD1"/>
    <w:rsid w:val="0046664E"/>
    <w:rsid w:val="00467607"/>
    <w:rsid w:val="00467C14"/>
    <w:rsid w:val="00473476"/>
    <w:rsid w:val="0047436D"/>
    <w:rsid w:val="004743E5"/>
    <w:rsid w:val="00475011"/>
    <w:rsid w:val="00475A25"/>
    <w:rsid w:val="00476FE2"/>
    <w:rsid w:val="004770A1"/>
    <w:rsid w:val="00480AE7"/>
    <w:rsid w:val="00480B11"/>
    <w:rsid w:val="00481FFD"/>
    <w:rsid w:val="004824BA"/>
    <w:rsid w:val="00482A92"/>
    <w:rsid w:val="00486980"/>
    <w:rsid w:val="00493AB5"/>
    <w:rsid w:val="004949FD"/>
    <w:rsid w:val="00496390"/>
    <w:rsid w:val="00496A1C"/>
    <w:rsid w:val="0049758A"/>
    <w:rsid w:val="004A2056"/>
    <w:rsid w:val="004A2C16"/>
    <w:rsid w:val="004A454E"/>
    <w:rsid w:val="004A537E"/>
    <w:rsid w:val="004B01BF"/>
    <w:rsid w:val="004B2E54"/>
    <w:rsid w:val="004B504B"/>
    <w:rsid w:val="004B6041"/>
    <w:rsid w:val="004B7489"/>
    <w:rsid w:val="004C114A"/>
    <w:rsid w:val="004C352E"/>
    <w:rsid w:val="004D0A92"/>
    <w:rsid w:val="004D5169"/>
    <w:rsid w:val="004D7419"/>
    <w:rsid w:val="004D7E87"/>
    <w:rsid w:val="004E2522"/>
    <w:rsid w:val="004E3208"/>
    <w:rsid w:val="004E3217"/>
    <w:rsid w:val="004E4659"/>
    <w:rsid w:val="004E4DFF"/>
    <w:rsid w:val="004F07E1"/>
    <w:rsid w:val="004F14D2"/>
    <w:rsid w:val="004F37E1"/>
    <w:rsid w:val="004F4ADC"/>
    <w:rsid w:val="004F5142"/>
    <w:rsid w:val="004F648C"/>
    <w:rsid w:val="00505A39"/>
    <w:rsid w:val="005074C4"/>
    <w:rsid w:val="00513DA8"/>
    <w:rsid w:val="00514BDA"/>
    <w:rsid w:val="00515EEC"/>
    <w:rsid w:val="00520621"/>
    <w:rsid w:val="005222BD"/>
    <w:rsid w:val="00522896"/>
    <w:rsid w:val="00523EC2"/>
    <w:rsid w:val="00524339"/>
    <w:rsid w:val="00526777"/>
    <w:rsid w:val="00530B87"/>
    <w:rsid w:val="005355B0"/>
    <w:rsid w:val="00535AFC"/>
    <w:rsid w:val="0054208B"/>
    <w:rsid w:val="00542344"/>
    <w:rsid w:val="005452E9"/>
    <w:rsid w:val="005469BB"/>
    <w:rsid w:val="00553D3D"/>
    <w:rsid w:val="00555ACF"/>
    <w:rsid w:val="00555F39"/>
    <w:rsid w:val="00556844"/>
    <w:rsid w:val="0057206B"/>
    <w:rsid w:val="005745C0"/>
    <w:rsid w:val="005745FE"/>
    <w:rsid w:val="00574ACB"/>
    <w:rsid w:val="00576CBB"/>
    <w:rsid w:val="00576EBD"/>
    <w:rsid w:val="00580147"/>
    <w:rsid w:val="0058152C"/>
    <w:rsid w:val="00582A6C"/>
    <w:rsid w:val="005856BC"/>
    <w:rsid w:val="005875B3"/>
    <w:rsid w:val="00590934"/>
    <w:rsid w:val="00595376"/>
    <w:rsid w:val="00596C37"/>
    <w:rsid w:val="00597762"/>
    <w:rsid w:val="005A1941"/>
    <w:rsid w:val="005A411E"/>
    <w:rsid w:val="005A45C1"/>
    <w:rsid w:val="005A5155"/>
    <w:rsid w:val="005B4E4D"/>
    <w:rsid w:val="005B4F5B"/>
    <w:rsid w:val="005B6F3C"/>
    <w:rsid w:val="005C0642"/>
    <w:rsid w:val="005C2332"/>
    <w:rsid w:val="005C2F1C"/>
    <w:rsid w:val="005C579A"/>
    <w:rsid w:val="005C7222"/>
    <w:rsid w:val="005C729E"/>
    <w:rsid w:val="005C780F"/>
    <w:rsid w:val="005D20AF"/>
    <w:rsid w:val="005D3709"/>
    <w:rsid w:val="005D45ED"/>
    <w:rsid w:val="005E0378"/>
    <w:rsid w:val="005E0AC3"/>
    <w:rsid w:val="005E32F0"/>
    <w:rsid w:val="005F0DCB"/>
    <w:rsid w:val="005F2D9C"/>
    <w:rsid w:val="005F4A3A"/>
    <w:rsid w:val="005F4C5A"/>
    <w:rsid w:val="00602A81"/>
    <w:rsid w:val="006051C1"/>
    <w:rsid w:val="00607522"/>
    <w:rsid w:val="00614820"/>
    <w:rsid w:val="0062217A"/>
    <w:rsid w:val="00630986"/>
    <w:rsid w:val="006314B0"/>
    <w:rsid w:val="00631C24"/>
    <w:rsid w:val="00632F5C"/>
    <w:rsid w:val="00633ADF"/>
    <w:rsid w:val="0063561D"/>
    <w:rsid w:val="006409D4"/>
    <w:rsid w:val="006466B5"/>
    <w:rsid w:val="0065561B"/>
    <w:rsid w:val="006561B6"/>
    <w:rsid w:val="00656596"/>
    <w:rsid w:val="00656F5D"/>
    <w:rsid w:val="00662524"/>
    <w:rsid w:val="00662EA7"/>
    <w:rsid w:val="0066429C"/>
    <w:rsid w:val="00665186"/>
    <w:rsid w:val="0066540C"/>
    <w:rsid w:val="00672B56"/>
    <w:rsid w:val="0067387D"/>
    <w:rsid w:val="00677229"/>
    <w:rsid w:val="006817D1"/>
    <w:rsid w:val="00682EB5"/>
    <w:rsid w:val="006853D1"/>
    <w:rsid w:val="006855E3"/>
    <w:rsid w:val="0068560D"/>
    <w:rsid w:val="006865D5"/>
    <w:rsid w:val="00690D2C"/>
    <w:rsid w:val="00691930"/>
    <w:rsid w:val="00692EBA"/>
    <w:rsid w:val="00693A58"/>
    <w:rsid w:val="006977FA"/>
    <w:rsid w:val="0069788D"/>
    <w:rsid w:val="006A0348"/>
    <w:rsid w:val="006A1644"/>
    <w:rsid w:val="006A2B89"/>
    <w:rsid w:val="006A3132"/>
    <w:rsid w:val="006A3CA2"/>
    <w:rsid w:val="006A5E83"/>
    <w:rsid w:val="006B0FCB"/>
    <w:rsid w:val="006B579E"/>
    <w:rsid w:val="006B6B94"/>
    <w:rsid w:val="006B7FC3"/>
    <w:rsid w:val="006C2F1B"/>
    <w:rsid w:val="006C7AF2"/>
    <w:rsid w:val="006D4523"/>
    <w:rsid w:val="006D787F"/>
    <w:rsid w:val="006E0CD4"/>
    <w:rsid w:val="006E414B"/>
    <w:rsid w:val="006E58A5"/>
    <w:rsid w:val="006E5DD2"/>
    <w:rsid w:val="006F11E3"/>
    <w:rsid w:val="006F1984"/>
    <w:rsid w:val="006F54D1"/>
    <w:rsid w:val="006F5DF6"/>
    <w:rsid w:val="007004E2"/>
    <w:rsid w:val="007028EB"/>
    <w:rsid w:val="0070482B"/>
    <w:rsid w:val="00706CD9"/>
    <w:rsid w:val="00710E27"/>
    <w:rsid w:val="00712F44"/>
    <w:rsid w:val="0071471D"/>
    <w:rsid w:val="007222DD"/>
    <w:rsid w:val="00724C39"/>
    <w:rsid w:val="0072646B"/>
    <w:rsid w:val="00727305"/>
    <w:rsid w:val="00732A2A"/>
    <w:rsid w:val="00733134"/>
    <w:rsid w:val="00733920"/>
    <w:rsid w:val="0073394E"/>
    <w:rsid w:val="00734929"/>
    <w:rsid w:val="007353D8"/>
    <w:rsid w:val="00745022"/>
    <w:rsid w:val="0074560F"/>
    <w:rsid w:val="00747E40"/>
    <w:rsid w:val="00747F91"/>
    <w:rsid w:val="00752D59"/>
    <w:rsid w:val="00757B4B"/>
    <w:rsid w:val="00762EC1"/>
    <w:rsid w:val="00763654"/>
    <w:rsid w:val="0076508C"/>
    <w:rsid w:val="007664EE"/>
    <w:rsid w:val="00766544"/>
    <w:rsid w:val="00767E0E"/>
    <w:rsid w:val="007718BE"/>
    <w:rsid w:val="00772A7D"/>
    <w:rsid w:val="00773E48"/>
    <w:rsid w:val="007747C8"/>
    <w:rsid w:val="007770E9"/>
    <w:rsid w:val="00781BC7"/>
    <w:rsid w:val="00782783"/>
    <w:rsid w:val="007933E3"/>
    <w:rsid w:val="00794166"/>
    <w:rsid w:val="007957DB"/>
    <w:rsid w:val="00795842"/>
    <w:rsid w:val="007A1203"/>
    <w:rsid w:val="007A39F4"/>
    <w:rsid w:val="007A4FBD"/>
    <w:rsid w:val="007B0C39"/>
    <w:rsid w:val="007B7C1A"/>
    <w:rsid w:val="007C5E8B"/>
    <w:rsid w:val="007D0248"/>
    <w:rsid w:val="007D092F"/>
    <w:rsid w:val="007D5CCE"/>
    <w:rsid w:val="007E1659"/>
    <w:rsid w:val="007E1D07"/>
    <w:rsid w:val="007E301B"/>
    <w:rsid w:val="007E346F"/>
    <w:rsid w:val="007E47E8"/>
    <w:rsid w:val="007E741E"/>
    <w:rsid w:val="007F0FB9"/>
    <w:rsid w:val="007F1095"/>
    <w:rsid w:val="007F1B68"/>
    <w:rsid w:val="007F1DA7"/>
    <w:rsid w:val="007F2378"/>
    <w:rsid w:val="007F3438"/>
    <w:rsid w:val="007F7751"/>
    <w:rsid w:val="007F7E41"/>
    <w:rsid w:val="00800EAE"/>
    <w:rsid w:val="00804722"/>
    <w:rsid w:val="00805D13"/>
    <w:rsid w:val="0081231D"/>
    <w:rsid w:val="00812F88"/>
    <w:rsid w:val="00816AA0"/>
    <w:rsid w:val="0082072A"/>
    <w:rsid w:val="00820EDF"/>
    <w:rsid w:val="00821217"/>
    <w:rsid w:val="00823944"/>
    <w:rsid w:val="008247E6"/>
    <w:rsid w:val="00824D0C"/>
    <w:rsid w:val="00825BE4"/>
    <w:rsid w:val="00826BAF"/>
    <w:rsid w:val="00827F63"/>
    <w:rsid w:val="008319ED"/>
    <w:rsid w:val="00834DEF"/>
    <w:rsid w:val="008402B4"/>
    <w:rsid w:val="00843F1E"/>
    <w:rsid w:val="00847429"/>
    <w:rsid w:val="00850FD5"/>
    <w:rsid w:val="00853070"/>
    <w:rsid w:val="00853D11"/>
    <w:rsid w:val="00862C90"/>
    <w:rsid w:val="0087320B"/>
    <w:rsid w:val="00873CC0"/>
    <w:rsid w:val="00881C66"/>
    <w:rsid w:val="00886193"/>
    <w:rsid w:val="00886683"/>
    <w:rsid w:val="00886C0E"/>
    <w:rsid w:val="00887769"/>
    <w:rsid w:val="008925E5"/>
    <w:rsid w:val="00893F63"/>
    <w:rsid w:val="008A3BD6"/>
    <w:rsid w:val="008A63CB"/>
    <w:rsid w:val="008A6D96"/>
    <w:rsid w:val="008B5A0C"/>
    <w:rsid w:val="008B7AA1"/>
    <w:rsid w:val="008C0BB5"/>
    <w:rsid w:val="008C372D"/>
    <w:rsid w:val="008C730A"/>
    <w:rsid w:val="008C7EBF"/>
    <w:rsid w:val="008D009B"/>
    <w:rsid w:val="008D58BF"/>
    <w:rsid w:val="008D6333"/>
    <w:rsid w:val="008D7D13"/>
    <w:rsid w:val="008E0511"/>
    <w:rsid w:val="008E3E2E"/>
    <w:rsid w:val="008E7ADA"/>
    <w:rsid w:val="008E7F6B"/>
    <w:rsid w:val="008F001C"/>
    <w:rsid w:val="008F05CC"/>
    <w:rsid w:val="008F3324"/>
    <w:rsid w:val="008F4118"/>
    <w:rsid w:val="008F6B2E"/>
    <w:rsid w:val="00901D1B"/>
    <w:rsid w:val="009020D4"/>
    <w:rsid w:val="0090280A"/>
    <w:rsid w:val="009034C4"/>
    <w:rsid w:val="00903B66"/>
    <w:rsid w:val="00905AB2"/>
    <w:rsid w:val="00907656"/>
    <w:rsid w:val="00915DE1"/>
    <w:rsid w:val="00916061"/>
    <w:rsid w:val="009278AB"/>
    <w:rsid w:val="00930633"/>
    <w:rsid w:val="00930751"/>
    <w:rsid w:val="0093180D"/>
    <w:rsid w:val="00931BA7"/>
    <w:rsid w:val="00932A6D"/>
    <w:rsid w:val="00933E0B"/>
    <w:rsid w:val="00936957"/>
    <w:rsid w:val="009371CB"/>
    <w:rsid w:val="0093761C"/>
    <w:rsid w:val="0094117C"/>
    <w:rsid w:val="00947C55"/>
    <w:rsid w:val="009538B6"/>
    <w:rsid w:val="00954818"/>
    <w:rsid w:val="00954ADC"/>
    <w:rsid w:val="009617D6"/>
    <w:rsid w:val="009646AE"/>
    <w:rsid w:val="009706F8"/>
    <w:rsid w:val="00972129"/>
    <w:rsid w:val="00973F69"/>
    <w:rsid w:val="00976146"/>
    <w:rsid w:val="009777F6"/>
    <w:rsid w:val="00980CF0"/>
    <w:rsid w:val="009819E4"/>
    <w:rsid w:val="00982EFF"/>
    <w:rsid w:val="00985CEE"/>
    <w:rsid w:val="00987409"/>
    <w:rsid w:val="00987C9F"/>
    <w:rsid w:val="00990D87"/>
    <w:rsid w:val="0099244C"/>
    <w:rsid w:val="00992A0E"/>
    <w:rsid w:val="00994374"/>
    <w:rsid w:val="009953EA"/>
    <w:rsid w:val="0099629A"/>
    <w:rsid w:val="009A1EE7"/>
    <w:rsid w:val="009A26A9"/>
    <w:rsid w:val="009A378C"/>
    <w:rsid w:val="009A40B2"/>
    <w:rsid w:val="009A62EF"/>
    <w:rsid w:val="009A6FA5"/>
    <w:rsid w:val="009A77E9"/>
    <w:rsid w:val="009B032D"/>
    <w:rsid w:val="009B323E"/>
    <w:rsid w:val="009B54D2"/>
    <w:rsid w:val="009B6F1C"/>
    <w:rsid w:val="009C1D39"/>
    <w:rsid w:val="009C7F5C"/>
    <w:rsid w:val="009D3362"/>
    <w:rsid w:val="009D4C9D"/>
    <w:rsid w:val="009D5B2D"/>
    <w:rsid w:val="009D7B54"/>
    <w:rsid w:val="009E051B"/>
    <w:rsid w:val="009E0BE6"/>
    <w:rsid w:val="009E6C4A"/>
    <w:rsid w:val="009F0C06"/>
    <w:rsid w:val="009F18B5"/>
    <w:rsid w:val="009F4379"/>
    <w:rsid w:val="009F43D9"/>
    <w:rsid w:val="009F6AAD"/>
    <w:rsid w:val="00A02043"/>
    <w:rsid w:val="00A0340C"/>
    <w:rsid w:val="00A10718"/>
    <w:rsid w:val="00A10F7A"/>
    <w:rsid w:val="00A1322A"/>
    <w:rsid w:val="00A14668"/>
    <w:rsid w:val="00A14915"/>
    <w:rsid w:val="00A16B15"/>
    <w:rsid w:val="00A16BE0"/>
    <w:rsid w:val="00A17E39"/>
    <w:rsid w:val="00A20050"/>
    <w:rsid w:val="00A22207"/>
    <w:rsid w:val="00A22AC3"/>
    <w:rsid w:val="00A238E9"/>
    <w:rsid w:val="00A272A3"/>
    <w:rsid w:val="00A27557"/>
    <w:rsid w:val="00A27B94"/>
    <w:rsid w:val="00A32173"/>
    <w:rsid w:val="00A338A3"/>
    <w:rsid w:val="00A3416A"/>
    <w:rsid w:val="00A3696E"/>
    <w:rsid w:val="00A413E4"/>
    <w:rsid w:val="00A43BD6"/>
    <w:rsid w:val="00A44602"/>
    <w:rsid w:val="00A47CCA"/>
    <w:rsid w:val="00A47FC0"/>
    <w:rsid w:val="00A53024"/>
    <w:rsid w:val="00A55564"/>
    <w:rsid w:val="00A564C0"/>
    <w:rsid w:val="00A56E8F"/>
    <w:rsid w:val="00A578A2"/>
    <w:rsid w:val="00A617A3"/>
    <w:rsid w:val="00A67956"/>
    <w:rsid w:val="00A707B0"/>
    <w:rsid w:val="00A711DC"/>
    <w:rsid w:val="00A74B2D"/>
    <w:rsid w:val="00A761CB"/>
    <w:rsid w:val="00A8551A"/>
    <w:rsid w:val="00A87B70"/>
    <w:rsid w:val="00A91523"/>
    <w:rsid w:val="00A92E4B"/>
    <w:rsid w:val="00A961B2"/>
    <w:rsid w:val="00A9745F"/>
    <w:rsid w:val="00AA04AD"/>
    <w:rsid w:val="00AA07C4"/>
    <w:rsid w:val="00AA237B"/>
    <w:rsid w:val="00AA3A44"/>
    <w:rsid w:val="00AA47C3"/>
    <w:rsid w:val="00AA53AF"/>
    <w:rsid w:val="00AA5686"/>
    <w:rsid w:val="00AA661D"/>
    <w:rsid w:val="00AB45DB"/>
    <w:rsid w:val="00AB474C"/>
    <w:rsid w:val="00AB5A7B"/>
    <w:rsid w:val="00AB6B2B"/>
    <w:rsid w:val="00AB6EC1"/>
    <w:rsid w:val="00AC4D77"/>
    <w:rsid w:val="00AC56AF"/>
    <w:rsid w:val="00AD09A4"/>
    <w:rsid w:val="00AD0CAC"/>
    <w:rsid w:val="00AD170C"/>
    <w:rsid w:val="00AD17D7"/>
    <w:rsid w:val="00AD25D8"/>
    <w:rsid w:val="00AD52C5"/>
    <w:rsid w:val="00AE1D7B"/>
    <w:rsid w:val="00AE3764"/>
    <w:rsid w:val="00AE40C6"/>
    <w:rsid w:val="00AE744C"/>
    <w:rsid w:val="00AE75AB"/>
    <w:rsid w:val="00AF5976"/>
    <w:rsid w:val="00AF629D"/>
    <w:rsid w:val="00B02226"/>
    <w:rsid w:val="00B039DD"/>
    <w:rsid w:val="00B03BD0"/>
    <w:rsid w:val="00B03F78"/>
    <w:rsid w:val="00B05E86"/>
    <w:rsid w:val="00B1061F"/>
    <w:rsid w:val="00B11871"/>
    <w:rsid w:val="00B11995"/>
    <w:rsid w:val="00B122D9"/>
    <w:rsid w:val="00B248A0"/>
    <w:rsid w:val="00B30F44"/>
    <w:rsid w:val="00B316A5"/>
    <w:rsid w:val="00B3177C"/>
    <w:rsid w:val="00B32A71"/>
    <w:rsid w:val="00B32BA5"/>
    <w:rsid w:val="00B34495"/>
    <w:rsid w:val="00B34E75"/>
    <w:rsid w:val="00B36B69"/>
    <w:rsid w:val="00B36DB7"/>
    <w:rsid w:val="00B404F1"/>
    <w:rsid w:val="00B5337D"/>
    <w:rsid w:val="00B53493"/>
    <w:rsid w:val="00B5385B"/>
    <w:rsid w:val="00B541AD"/>
    <w:rsid w:val="00B56F11"/>
    <w:rsid w:val="00B572BE"/>
    <w:rsid w:val="00B60FC1"/>
    <w:rsid w:val="00B61325"/>
    <w:rsid w:val="00B6613B"/>
    <w:rsid w:val="00B75DF1"/>
    <w:rsid w:val="00B80212"/>
    <w:rsid w:val="00B80481"/>
    <w:rsid w:val="00B84DD4"/>
    <w:rsid w:val="00B85273"/>
    <w:rsid w:val="00B90F15"/>
    <w:rsid w:val="00B9198A"/>
    <w:rsid w:val="00B92985"/>
    <w:rsid w:val="00B96585"/>
    <w:rsid w:val="00BA0E02"/>
    <w:rsid w:val="00BA0F0D"/>
    <w:rsid w:val="00BA101E"/>
    <w:rsid w:val="00BA148F"/>
    <w:rsid w:val="00BA3C80"/>
    <w:rsid w:val="00BA4D45"/>
    <w:rsid w:val="00BA5C8C"/>
    <w:rsid w:val="00BB2591"/>
    <w:rsid w:val="00BB40BB"/>
    <w:rsid w:val="00BB4E57"/>
    <w:rsid w:val="00BB59EB"/>
    <w:rsid w:val="00BB60D5"/>
    <w:rsid w:val="00BC0428"/>
    <w:rsid w:val="00BC3A4E"/>
    <w:rsid w:val="00BC3AA6"/>
    <w:rsid w:val="00BD0263"/>
    <w:rsid w:val="00BD082E"/>
    <w:rsid w:val="00BD177B"/>
    <w:rsid w:val="00BD1C3E"/>
    <w:rsid w:val="00BD3247"/>
    <w:rsid w:val="00BD373D"/>
    <w:rsid w:val="00BD54E4"/>
    <w:rsid w:val="00BD6ECB"/>
    <w:rsid w:val="00BD7B44"/>
    <w:rsid w:val="00BE3BA5"/>
    <w:rsid w:val="00BE484A"/>
    <w:rsid w:val="00BE690B"/>
    <w:rsid w:val="00BE702E"/>
    <w:rsid w:val="00BE76F0"/>
    <w:rsid w:val="00BF0020"/>
    <w:rsid w:val="00BF1300"/>
    <w:rsid w:val="00BF1D5D"/>
    <w:rsid w:val="00BF6DFE"/>
    <w:rsid w:val="00C0164D"/>
    <w:rsid w:val="00C037E3"/>
    <w:rsid w:val="00C05476"/>
    <w:rsid w:val="00C05CE5"/>
    <w:rsid w:val="00C10C33"/>
    <w:rsid w:val="00C11FDE"/>
    <w:rsid w:val="00C12674"/>
    <w:rsid w:val="00C1269D"/>
    <w:rsid w:val="00C1326E"/>
    <w:rsid w:val="00C14C5F"/>
    <w:rsid w:val="00C1722F"/>
    <w:rsid w:val="00C17662"/>
    <w:rsid w:val="00C22100"/>
    <w:rsid w:val="00C2260B"/>
    <w:rsid w:val="00C23FE9"/>
    <w:rsid w:val="00C272EA"/>
    <w:rsid w:val="00C3184B"/>
    <w:rsid w:val="00C33934"/>
    <w:rsid w:val="00C34655"/>
    <w:rsid w:val="00C34713"/>
    <w:rsid w:val="00C35B17"/>
    <w:rsid w:val="00C41558"/>
    <w:rsid w:val="00C418CD"/>
    <w:rsid w:val="00C427A5"/>
    <w:rsid w:val="00C4301D"/>
    <w:rsid w:val="00C43424"/>
    <w:rsid w:val="00C43D65"/>
    <w:rsid w:val="00C43DC6"/>
    <w:rsid w:val="00C5165F"/>
    <w:rsid w:val="00C51C62"/>
    <w:rsid w:val="00C64518"/>
    <w:rsid w:val="00C674E6"/>
    <w:rsid w:val="00C67776"/>
    <w:rsid w:val="00C70350"/>
    <w:rsid w:val="00C7066A"/>
    <w:rsid w:val="00C7073C"/>
    <w:rsid w:val="00C7478E"/>
    <w:rsid w:val="00C76B28"/>
    <w:rsid w:val="00C7703E"/>
    <w:rsid w:val="00C8368A"/>
    <w:rsid w:val="00C84541"/>
    <w:rsid w:val="00C84A06"/>
    <w:rsid w:val="00C84CB6"/>
    <w:rsid w:val="00C8535A"/>
    <w:rsid w:val="00C8567B"/>
    <w:rsid w:val="00C87AD6"/>
    <w:rsid w:val="00C91FC3"/>
    <w:rsid w:val="00CA2350"/>
    <w:rsid w:val="00CA27FC"/>
    <w:rsid w:val="00CA311B"/>
    <w:rsid w:val="00CA4EF7"/>
    <w:rsid w:val="00CA76E7"/>
    <w:rsid w:val="00CB1F81"/>
    <w:rsid w:val="00CB219E"/>
    <w:rsid w:val="00CB223C"/>
    <w:rsid w:val="00CB2F0D"/>
    <w:rsid w:val="00CB4D4A"/>
    <w:rsid w:val="00CB537F"/>
    <w:rsid w:val="00CB6549"/>
    <w:rsid w:val="00CB75D2"/>
    <w:rsid w:val="00CC0FAB"/>
    <w:rsid w:val="00CC2FF0"/>
    <w:rsid w:val="00CD2585"/>
    <w:rsid w:val="00CD49BE"/>
    <w:rsid w:val="00CD652E"/>
    <w:rsid w:val="00CE4AB1"/>
    <w:rsid w:val="00CE4BD2"/>
    <w:rsid w:val="00CF10BB"/>
    <w:rsid w:val="00CF1F4B"/>
    <w:rsid w:val="00CF2DD3"/>
    <w:rsid w:val="00CF690F"/>
    <w:rsid w:val="00CF6C30"/>
    <w:rsid w:val="00CF7C4F"/>
    <w:rsid w:val="00CF7CC0"/>
    <w:rsid w:val="00D0007A"/>
    <w:rsid w:val="00D0164B"/>
    <w:rsid w:val="00D04CD6"/>
    <w:rsid w:val="00D0586D"/>
    <w:rsid w:val="00D06C9F"/>
    <w:rsid w:val="00D06EE0"/>
    <w:rsid w:val="00D07407"/>
    <w:rsid w:val="00D10BB2"/>
    <w:rsid w:val="00D13065"/>
    <w:rsid w:val="00D23DFE"/>
    <w:rsid w:val="00D25B28"/>
    <w:rsid w:val="00D26D06"/>
    <w:rsid w:val="00D306E8"/>
    <w:rsid w:val="00D308FB"/>
    <w:rsid w:val="00D31249"/>
    <w:rsid w:val="00D314AA"/>
    <w:rsid w:val="00D31E92"/>
    <w:rsid w:val="00D32F20"/>
    <w:rsid w:val="00D34591"/>
    <w:rsid w:val="00D37F81"/>
    <w:rsid w:val="00D40628"/>
    <w:rsid w:val="00D5066F"/>
    <w:rsid w:val="00D50722"/>
    <w:rsid w:val="00D50BE6"/>
    <w:rsid w:val="00D51B3B"/>
    <w:rsid w:val="00D54805"/>
    <w:rsid w:val="00D57F93"/>
    <w:rsid w:val="00D61C53"/>
    <w:rsid w:val="00D6312A"/>
    <w:rsid w:val="00D73278"/>
    <w:rsid w:val="00D7360A"/>
    <w:rsid w:val="00D745A5"/>
    <w:rsid w:val="00D761BD"/>
    <w:rsid w:val="00D803CA"/>
    <w:rsid w:val="00D81873"/>
    <w:rsid w:val="00D823CC"/>
    <w:rsid w:val="00D839F2"/>
    <w:rsid w:val="00D8573B"/>
    <w:rsid w:val="00D87A90"/>
    <w:rsid w:val="00D920E1"/>
    <w:rsid w:val="00D94991"/>
    <w:rsid w:val="00D95087"/>
    <w:rsid w:val="00D95201"/>
    <w:rsid w:val="00D9756C"/>
    <w:rsid w:val="00DA01CA"/>
    <w:rsid w:val="00DA029B"/>
    <w:rsid w:val="00DA0A8D"/>
    <w:rsid w:val="00DA45C9"/>
    <w:rsid w:val="00DA674A"/>
    <w:rsid w:val="00DB0276"/>
    <w:rsid w:val="00DB35AF"/>
    <w:rsid w:val="00DB6309"/>
    <w:rsid w:val="00DC0BF0"/>
    <w:rsid w:val="00DC3B3B"/>
    <w:rsid w:val="00DC3F04"/>
    <w:rsid w:val="00DD407B"/>
    <w:rsid w:val="00DE076E"/>
    <w:rsid w:val="00DE1021"/>
    <w:rsid w:val="00DE2F71"/>
    <w:rsid w:val="00DE4F7F"/>
    <w:rsid w:val="00DE7B05"/>
    <w:rsid w:val="00DF20B6"/>
    <w:rsid w:val="00DF3C90"/>
    <w:rsid w:val="00DF4415"/>
    <w:rsid w:val="00DF64F8"/>
    <w:rsid w:val="00DF6516"/>
    <w:rsid w:val="00DF753A"/>
    <w:rsid w:val="00E00A2A"/>
    <w:rsid w:val="00E00B7B"/>
    <w:rsid w:val="00E038B1"/>
    <w:rsid w:val="00E05D24"/>
    <w:rsid w:val="00E07764"/>
    <w:rsid w:val="00E1034A"/>
    <w:rsid w:val="00E11B68"/>
    <w:rsid w:val="00E1371C"/>
    <w:rsid w:val="00E13B7E"/>
    <w:rsid w:val="00E142C7"/>
    <w:rsid w:val="00E16F13"/>
    <w:rsid w:val="00E170B8"/>
    <w:rsid w:val="00E215CB"/>
    <w:rsid w:val="00E24C5C"/>
    <w:rsid w:val="00E316B1"/>
    <w:rsid w:val="00E318C2"/>
    <w:rsid w:val="00E32DEF"/>
    <w:rsid w:val="00E34317"/>
    <w:rsid w:val="00E37362"/>
    <w:rsid w:val="00E4198E"/>
    <w:rsid w:val="00E41C08"/>
    <w:rsid w:val="00E42198"/>
    <w:rsid w:val="00E4375C"/>
    <w:rsid w:val="00E4792A"/>
    <w:rsid w:val="00E51D91"/>
    <w:rsid w:val="00E52F21"/>
    <w:rsid w:val="00E541F1"/>
    <w:rsid w:val="00E54BEA"/>
    <w:rsid w:val="00E6252D"/>
    <w:rsid w:val="00E665AC"/>
    <w:rsid w:val="00E67552"/>
    <w:rsid w:val="00E711D9"/>
    <w:rsid w:val="00E717EA"/>
    <w:rsid w:val="00E71D83"/>
    <w:rsid w:val="00E747EC"/>
    <w:rsid w:val="00E779BE"/>
    <w:rsid w:val="00E83924"/>
    <w:rsid w:val="00E846DD"/>
    <w:rsid w:val="00E851B4"/>
    <w:rsid w:val="00E85CCE"/>
    <w:rsid w:val="00E915D4"/>
    <w:rsid w:val="00E93BC7"/>
    <w:rsid w:val="00E979DD"/>
    <w:rsid w:val="00EA0AA3"/>
    <w:rsid w:val="00EA23E4"/>
    <w:rsid w:val="00EA72FC"/>
    <w:rsid w:val="00EB0D25"/>
    <w:rsid w:val="00EB3E20"/>
    <w:rsid w:val="00EB4514"/>
    <w:rsid w:val="00EB78B6"/>
    <w:rsid w:val="00EC143F"/>
    <w:rsid w:val="00EC4410"/>
    <w:rsid w:val="00EC7AE2"/>
    <w:rsid w:val="00ED259D"/>
    <w:rsid w:val="00ED2C51"/>
    <w:rsid w:val="00ED58E8"/>
    <w:rsid w:val="00EE2DDB"/>
    <w:rsid w:val="00EE6131"/>
    <w:rsid w:val="00EE71B4"/>
    <w:rsid w:val="00EE7558"/>
    <w:rsid w:val="00EF08E7"/>
    <w:rsid w:val="00EF1A48"/>
    <w:rsid w:val="00EF4F2F"/>
    <w:rsid w:val="00EF5C58"/>
    <w:rsid w:val="00EF6585"/>
    <w:rsid w:val="00EF77F4"/>
    <w:rsid w:val="00F014CA"/>
    <w:rsid w:val="00F02621"/>
    <w:rsid w:val="00F029D4"/>
    <w:rsid w:val="00F07B1A"/>
    <w:rsid w:val="00F07B6D"/>
    <w:rsid w:val="00F10B5D"/>
    <w:rsid w:val="00F1228D"/>
    <w:rsid w:val="00F13246"/>
    <w:rsid w:val="00F161E1"/>
    <w:rsid w:val="00F2388B"/>
    <w:rsid w:val="00F2750F"/>
    <w:rsid w:val="00F30EFA"/>
    <w:rsid w:val="00F32E1A"/>
    <w:rsid w:val="00F34B12"/>
    <w:rsid w:val="00F35647"/>
    <w:rsid w:val="00F36389"/>
    <w:rsid w:val="00F37128"/>
    <w:rsid w:val="00F437A8"/>
    <w:rsid w:val="00F5541B"/>
    <w:rsid w:val="00F55455"/>
    <w:rsid w:val="00F571EE"/>
    <w:rsid w:val="00F60995"/>
    <w:rsid w:val="00F62AF7"/>
    <w:rsid w:val="00F65D4C"/>
    <w:rsid w:val="00F75C81"/>
    <w:rsid w:val="00F77E6E"/>
    <w:rsid w:val="00F80F6E"/>
    <w:rsid w:val="00F82769"/>
    <w:rsid w:val="00F83322"/>
    <w:rsid w:val="00F84006"/>
    <w:rsid w:val="00F84884"/>
    <w:rsid w:val="00F9417E"/>
    <w:rsid w:val="00F945A1"/>
    <w:rsid w:val="00FA16FB"/>
    <w:rsid w:val="00FA1D2E"/>
    <w:rsid w:val="00FA5218"/>
    <w:rsid w:val="00FA588E"/>
    <w:rsid w:val="00FA604A"/>
    <w:rsid w:val="00FA6893"/>
    <w:rsid w:val="00FA7346"/>
    <w:rsid w:val="00FB0B3C"/>
    <w:rsid w:val="00FB3F46"/>
    <w:rsid w:val="00FB6CC8"/>
    <w:rsid w:val="00FC204F"/>
    <w:rsid w:val="00FC2576"/>
    <w:rsid w:val="00FC285D"/>
    <w:rsid w:val="00FC6FCA"/>
    <w:rsid w:val="00FC7684"/>
    <w:rsid w:val="00FC79B8"/>
    <w:rsid w:val="00FD1032"/>
    <w:rsid w:val="00FD171C"/>
    <w:rsid w:val="00FD375A"/>
    <w:rsid w:val="00FD466B"/>
    <w:rsid w:val="00FD4F36"/>
    <w:rsid w:val="00FD65E5"/>
    <w:rsid w:val="00FE18F1"/>
    <w:rsid w:val="00FE1BEE"/>
    <w:rsid w:val="00FE374E"/>
    <w:rsid w:val="00FE4E2D"/>
    <w:rsid w:val="00FF19B3"/>
    <w:rsid w:val="00FF2060"/>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paragraph" w:styleId="Heading1">
    <w:name w:val="heading 1"/>
    <w:basedOn w:val="Normal"/>
    <w:next w:val="Normal"/>
    <w:qFormat/>
    <w:rsid w:val="008F001C"/>
    <w:pPr>
      <w:keepNext/>
      <w:numPr>
        <w:numId w:val="1"/>
      </w:numPr>
      <w:spacing w:before="240" w:after="60"/>
      <w:jc w:val="both"/>
      <w:outlineLvl w:val="0"/>
    </w:pPr>
    <w:rPr>
      <w:rFonts w:cs="Arial"/>
      <w:b/>
      <w:bCs/>
      <w:kern w:val="32"/>
      <w:sz w:val="32"/>
      <w:szCs w:val="32"/>
      <w:lang w:val="pt-PT"/>
    </w:rPr>
  </w:style>
  <w:style w:type="paragraph" w:styleId="Heading2">
    <w:name w:val="heading 2"/>
    <w:basedOn w:val="Normal"/>
    <w:next w:val="Normal"/>
    <w:qFormat/>
    <w:rsid w:val="008F001C"/>
    <w:pPr>
      <w:keepNext/>
      <w:numPr>
        <w:ilvl w:val="1"/>
        <w:numId w:val="1"/>
      </w:numPr>
      <w:spacing w:before="240" w:after="60"/>
      <w:jc w:val="both"/>
      <w:outlineLvl w:val="1"/>
    </w:pPr>
    <w:rPr>
      <w:b/>
      <w:bCs/>
      <w:i/>
      <w:iCs/>
      <w:sz w:val="28"/>
      <w:szCs w:val="26"/>
      <w:lang w:val="pt-PT"/>
    </w:rPr>
  </w:style>
  <w:style w:type="paragraph" w:styleId="Heading3">
    <w:name w:val="heading 3"/>
    <w:basedOn w:val="Normal"/>
    <w:next w:val="Normal"/>
    <w:link w:val="Heading3Char"/>
    <w:qFormat/>
    <w:rsid w:val="008F001C"/>
    <w:pPr>
      <w:keepNext/>
      <w:numPr>
        <w:ilvl w:val="2"/>
        <w:numId w:val="1"/>
      </w:numPr>
      <w:spacing w:before="240" w:after="60"/>
      <w:jc w:val="both"/>
      <w:outlineLvl w:val="2"/>
    </w:pPr>
    <w:rPr>
      <w:rFonts w:cs="Arial"/>
      <w:b/>
      <w:bCs/>
      <w:sz w:val="26"/>
      <w:szCs w:val="26"/>
      <w:lang w:val="pt-PT"/>
    </w:rPr>
  </w:style>
  <w:style w:type="paragraph" w:styleId="Heading4">
    <w:name w:val="heading 4"/>
    <w:basedOn w:val="Normal"/>
    <w:next w:val="Normal"/>
    <w:link w:val="Heading4Char"/>
    <w:qFormat/>
    <w:rsid w:val="008F001C"/>
    <w:pPr>
      <w:keepNext/>
      <w:numPr>
        <w:ilvl w:val="3"/>
        <w:numId w:val="1"/>
      </w:numPr>
      <w:spacing w:before="240" w:after="60"/>
      <w:jc w:val="both"/>
      <w:outlineLvl w:val="3"/>
    </w:pPr>
    <w:rPr>
      <w:b/>
      <w:bCs/>
      <w:sz w:val="26"/>
      <w:szCs w:val="21"/>
      <w:lang w:val="pt-PT"/>
    </w:rPr>
  </w:style>
  <w:style w:type="paragraph" w:styleId="Heading5">
    <w:name w:val="heading 5"/>
    <w:basedOn w:val="Normal"/>
    <w:next w:val="Normal"/>
    <w:qFormat/>
    <w:rsid w:val="008F001C"/>
    <w:pPr>
      <w:numPr>
        <w:ilvl w:val="4"/>
        <w:numId w:val="1"/>
      </w:numPr>
      <w:spacing w:before="240" w:after="60"/>
      <w:jc w:val="both"/>
      <w:outlineLvl w:val="4"/>
    </w:pPr>
    <w:rPr>
      <w:b/>
      <w:iCs/>
      <w:sz w:val="26"/>
      <w:szCs w:val="21"/>
      <w:lang w:val="pt-PT"/>
    </w:rPr>
  </w:style>
  <w:style w:type="paragraph" w:styleId="Heading6">
    <w:name w:val="heading 6"/>
    <w:basedOn w:val="Normal"/>
    <w:next w:val="Normal"/>
    <w:qFormat/>
    <w:rsid w:val="008F001C"/>
    <w:pPr>
      <w:numPr>
        <w:ilvl w:val="5"/>
        <w:numId w:val="1"/>
      </w:numPr>
      <w:spacing w:before="240" w:after="60"/>
      <w:jc w:val="both"/>
      <w:outlineLvl w:val="5"/>
    </w:pPr>
    <w:rPr>
      <w:rFonts w:cs="Arial"/>
      <w:b/>
      <w:sz w:val="26"/>
      <w:szCs w:val="16"/>
      <w:lang w:val="pt-PT"/>
    </w:rPr>
  </w:style>
  <w:style w:type="paragraph" w:styleId="Heading7">
    <w:name w:val="heading 7"/>
    <w:basedOn w:val="Normal"/>
    <w:next w:val="Normal"/>
    <w:qFormat/>
    <w:rsid w:val="008F001C"/>
    <w:pPr>
      <w:numPr>
        <w:ilvl w:val="6"/>
        <w:numId w:val="1"/>
      </w:numPr>
      <w:spacing w:before="240" w:after="60"/>
      <w:jc w:val="both"/>
      <w:outlineLvl w:val="6"/>
    </w:pPr>
    <w:rPr>
      <w:lang w:val="pt-PT"/>
    </w:rPr>
  </w:style>
  <w:style w:type="paragraph" w:styleId="Heading8">
    <w:name w:val="heading 8"/>
    <w:basedOn w:val="Normal"/>
    <w:next w:val="Normal"/>
    <w:qFormat/>
    <w:rsid w:val="008F001C"/>
    <w:pPr>
      <w:numPr>
        <w:ilvl w:val="7"/>
        <w:numId w:val="1"/>
      </w:numPr>
      <w:spacing w:before="240" w:after="60"/>
      <w:jc w:val="both"/>
      <w:outlineLvl w:val="7"/>
    </w:pPr>
    <w:rPr>
      <w:i/>
      <w:iCs/>
      <w:lang w:val="pt-PT"/>
    </w:rPr>
  </w:style>
  <w:style w:type="paragraph" w:styleId="Heading9">
    <w:name w:val="heading 9"/>
    <w:basedOn w:val="Normal"/>
    <w:next w:val="Normal"/>
    <w:qFormat/>
    <w:rsid w:val="008F001C"/>
    <w:pPr>
      <w:numPr>
        <w:ilvl w:val="8"/>
        <w:numId w:val="1"/>
      </w:numPr>
      <w:spacing w:before="240" w:after="60"/>
      <w:jc w:val="both"/>
      <w:outlineLvl w:val="8"/>
    </w:pPr>
    <w:rPr>
      <w:rFonts w:ascii="Arial" w:hAnsi="Arial" w:cs="Arial"/>
      <w:sz w:val="22"/>
      <w:szCs w:val="22"/>
      <w:lang w:val="pt-PT"/>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8F001C"/>
    <w:rPr>
      <w:rFonts w:ascii="Times New Roman" w:hAnsi="Times New Roman"/>
      <w:color w:val="auto"/>
      <w:sz w:val="26"/>
      <w:u w:val="none"/>
    </w:rPr>
  </w:style>
  <w:style w:type="table" w:styleId="TableGrid">
    <w:name w:val="Table Grid"/>
    <w:basedOn w:val="TableNormal"/>
    <w:rsid w:val="008F0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rsid w:val="008F001C"/>
    <w:rPr>
      <w:b/>
      <w:vertAlign w:val="superscript"/>
    </w:rPr>
  </w:style>
  <w:style w:type="paragraph" w:styleId="FootnoteText">
    <w:name w:val="footnote text"/>
    <w:basedOn w:val="Normal"/>
    <w:semiHidden/>
    <w:rsid w:val="008F001C"/>
    <w:pPr>
      <w:widowControl w:val="0"/>
      <w:tabs>
        <w:tab w:val="left" w:pos="567"/>
      </w:tabs>
      <w:ind w:left="567" w:hanging="567"/>
      <w:jc w:val="both"/>
    </w:pPr>
    <w:rPr>
      <w:sz w:val="26"/>
      <w:szCs w:val="20"/>
      <w:lang w:val="pt-PT"/>
    </w:rPr>
  </w:style>
  <w:style w:type="character" w:customStyle="1" w:styleId="Heading4Char">
    <w:name w:val="Heading 4 Char"/>
    <w:basedOn w:val="DefaultParagraphFont"/>
    <w:link w:val="Heading4"/>
    <w:rsid w:val="008F001C"/>
    <w:rPr>
      <w:b/>
      <w:bCs/>
      <w:sz w:val="26"/>
      <w:szCs w:val="21"/>
      <w:lang w:val="pt-PT" w:eastAsia="en-GB" w:bidi="ar-SA"/>
    </w:rPr>
  </w:style>
  <w:style w:type="character" w:customStyle="1" w:styleId="Heading3Char">
    <w:name w:val="Heading 3 Char"/>
    <w:basedOn w:val="DefaultParagraphFont"/>
    <w:link w:val="Heading3"/>
    <w:rsid w:val="008F001C"/>
    <w:rPr>
      <w:rFonts w:cs="Arial"/>
      <w:b/>
      <w:bCs/>
      <w:sz w:val="26"/>
      <w:szCs w:val="26"/>
      <w:lang w:val="pt-PT" w:eastAsia="en-GB" w:bidi="ar-SA"/>
    </w:rPr>
  </w:style>
  <w:style w:type="character" w:customStyle="1" w:styleId="italic1">
    <w:name w:val="italic1"/>
    <w:basedOn w:val="DefaultParagraphFont"/>
    <w:rsid w:val="008F001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paragraph" w:styleId="Heading1">
    <w:name w:val="heading 1"/>
    <w:basedOn w:val="Normal"/>
    <w:next w:val="Normal"/>
    <w:qFormat/>
    <w:rsid w:val="008F001C"/>
    <w:pPr>
      <w:keepNext/>
      <w:numPr>
        <w:numId w:val="1"/>
      </w:numPr>
      <w:spacing w:before="240" w:after="60"/>
      <w:jc w:val="both"/>
      <w:outlineLvl w:val="0"/>
    </w:pPr>
    <w:rPr>
      <w:rFonts w:cs="Arial"/>
      <w:b/>
      <w:bCs/>
      <w:kern w:val="32"/>
      <w:sz w:val="32"/>
      <w:szCs w:val="32"/>
      <w:lang w:val="pt-PT"/>
    </w:rPr>
  </w:style>
  <w:style w:type="paragraph" w:styleId="Heading2">
    <w:name w:val="heading 2"/>
    <w:basedOn w:val="Normal"/>
    <w:next w:val="Normal"/>
    <w:qFormat/>
    <w:rsid w:val="008F001C"/>
    <w:pPr>
      <w:keepNext/>
      <w:numPr>
        <w:ilvl w:val="1"/>
        <w:numId w:val="1"/>
      </w:numPr>
      <w:spacing w:before="240" w:after="60"/>
      <w:jc w:val="both"/>
      <w:outlineLvl w:val="1"/>
    </w:pPr>
    <w:rPr>
      <w:b/>
      <w:bCs/>
      <w:i/>
      <w:iCs/>
      <w:sz w:val="28"/>
      <w:szCs w:val="26"/>
      <w:lang w:val="pt-PT"/>
    </w:rPr>
  </w:style>
  <w:style w:type="paragraph" w:styleId="Heading3">
    <w:name w:val="heading 3"/>
    <w:basedOn w:val="Normal"/>
    <w:next w:val="Normal"/>
    <w:link w:val="Heading3Char"/>
    <w:qFormat/>
    <w:rsid w:val="008F001C"/>
    <w:pPr>
      <w:keepNext/>
      <w:numPr>
        <w:ilvl w:val="2"/>
        <w:numId w:val="1"/>
      </w:numPr>
      <w:spacing w:before="240" w:after="60"/>
      <w:jc w:val="both"/>
      <w:outlineLvl w:val="2"/>
    </w:pPr>
    <w:rPr>
      <w:rFonts w:cs="Arial"/>
      <w:b/>
      <w:bCs/>
      <w:sz w:val="26"/>
      <w:szCs w:val="26"/>
      <w:lang w:val="pt-PT"/>
    </w:rPr>
  </w:style>
  <w:style w:type="paragraph" w:styleId="Heading4">
    <w:name w:val="heading 4"/>
    <w:basedOn w:val="Normal"/>
    <w:next w:val="Normal"/>
    <w:link w:val="Heading4Char"/>
    <w:qFormat/>
    <w:rsid w:val="008F001C"/>
    <w:pPr>
      <w:keepNext/>
      <w:numPr>
        <w:ilvl w:val="3"/>
        <w:numId w:val="1"/>
      </w:numPr>
      <w:spacing w:before="240" w:after="60"/>
      <w:jc w:val="both"/>
      <w:outlineLvl w:val="3"/>
    </w:pPr>
    <w:rPr>
      <w:b/>
      <w:bCs/>
      <w:sz w:val="26"/>
      <w:szCs w:val="21"/>
      <w:lang w:val="pt-PT"/>
    </w:rPr>
  </w:style>
  <w:style w:type="paragraph" w:styleId="Heading5">
    <w:name w:val="heading 5"/>
    <w:basedOn w:val="Normal"/>
    <w:next w:val="Normal"/>
    <w:qFormat/>
    <w:rsid w:val="008F001C"/>
    <w:pPr>
      <w:numPr>
        <w:ilvl w:val="4"/>
        <w:numId w:val="1"/>
      </w:numPr>
      <w:spacing w:before="240" w:after="60"/>
      <w:jc w:val="both"/>
      <w:outlineLvl w:val="4"/>
    </w:pPr>
    <w:rPr>
      <w:b/>
      <w:iCs/>
      <w:sz w:val="26"/>
      <w:szCs w:val="21"/>
      <w:lang w:val="pt-PT"/>
    </w:rPr>
  </w:style>
  <w:style w:type="paragraph" w:styleId="Heading6">
    <w:name w:val="heading 6"/>
    <w:basedOn w:val="Normal"/>
    <w:next w:val="Normal"/>
    <w:qFormat/>
    <w:rsid w:val="008F001C"/>
    <w:pPr>
      <w:numPr>
        <w:ilvl w:val="5"/>
        <w:numId w:val="1"/>
      </w:numPr>
      <w:spacing w:before="240" w:after="60"/>
      <w:jc w:val="both"/>
      <w:outlineLvl w:val="5"/>
    </w:pPr>
    <w:rPr>
      <w:rFonts w:cs="Arial"/>
      <w:b/>
      <w:sz w:val="26"/>
      <w:szCs w:val="16"/>
      <w:lang w:val="pt-PT"/>
    </w:rPr>
  </w:style>
  <w:style w:type="paragraph" w:styleId="Heading7">
    <w:name w:val="heading 7"/>
    <w:basedOn w:val="Normal"/>
    <w:next w:val="Normal"/>
    <w:qFormat/>
    <w:rsid w:val="008F001C"/>
    <w:pPr>
      <w:numPr>
        <w:ilvl w:val="6"/>
        <w:numId w:val="1"/>
      </w:numPr>
      <w:spacing w:before="240" w:after="60"/>
      <w:jc w:val="both"/>
      <w:outlineLvl w:val="6"/>
    </w:pPr>
    <w:rPr>
      <w:lang w:val="pt-PT"/>
    </w:rPr>
  </w:style>
  <w:style w:type="paragraph" w:styleId="Heading8">
    <w:name w:val="heading 8"/>
    <w:basedOn w:val="Normal"/>
    <w:next w:val="Normal"/>
    <w:qFormat/>
    <w:rsid w:val="008F001C"/>
    <w:pPr>
      <w:numPr>
        <w:ilvl w:val="7"/>
        <w:numId w:val="1"/>
      </w:numPr>
      <w:spacing w:before="240" w:after="60"/>
      <w:jc w:val="both"/>
      <w:outlineLvl w:val="7"/>
    </w:pPr>
    <w:rPr>
      <w:i/>
      <w:iCs/>
      <w:lang w:val="pt-PT"/>
    </w:rPr>
  </w:style>
  <w:style w:type="paragraph" w:styleId="Heading9">
    <w:name w:val="heading 9"/>
    <w:basedOn w:val="Normal"/>
    <w:next w:val="Normal"/>
    <w:qFormat/>
    <w:rsid w:val="008F001C"/>
    <w:pPr>
      <w:numPr>
        <w:ilvl w:val="8"/>
        <w:numId w:val="1"/>
      </w:numPr>
      <w:spacing w:before="240" w:after="60"/>
      <w:jc w:val="both"/>
      <w:outlineLvl w:val="8"/>
    </w:pPr>
    <w:rPr>
      <w:rFonts w:ascii="Arial" w:hAnsi="Arial" w:cs="Arial"/>
      <w:sz w:val="22"/>
      <w:szCs w:val="22"/>
      <w:lang w:val="pt-PT"/>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8F001C"/>
    <w:rPr>
      <w:rFonts w:ascii="Times New Roman" w:hAnsi="Times New Roman"/>
      <w:color w:val="auto"/>
      <w:sz w:val="26"/>
      <w:u w:val="none"/>
    </w:rPr>
  </w:style>
  <w:style w:type="table" w:styleId="TableGrid">
    <w:name w:val="Table Grid"/>
    <w:basedOn w:val="TableNormal"/>
    <w:rsid w:val="008F0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rsid w:val="008F001C"/>
    <w:rPr>
      <w:b/>
      <w:vertAlign w:val="superscript"/>
    </w:rPr>
  </w:style>
  <w:style w:type="paragraph" w:styleId="FootnoteText">
    <w:name w:val="footnote text"/>
    <w:basedOn w:val="Normal"/>
    <w:semiHidden/>
    <w:rsid w:val="008F001C"/>
    <w:pPr>
      <w:widowControl w:val="0"/>
      <w:tabs>
        <w:tab w:val="left" w:pos="567"/>
      </w:tabs>
      <w:ind w:left="567" w:hanging="567"/>
      <w:jc w:val="both"/>
    </w:pPr>
    <w:rPr>
      <w:sz w:val="26"/>
      <w:szCs w:val="20"/>
      <w:lang w:val="pt-PT"/>
    </w:rPr>
  </w:style>
  <w:style w:type="character" w:customStyle="1" w:styleId="Heading4Char">
    <w:name w:val="Heading 4 Char"/>
    <w:basedOn w:val="DefaultParagraphFont"/>
    <w:link w:val="Heading4"/>
    <w:rsid w:val="008F001C"/>
    <w:rPr>
      <w:b/>
      <w:bCs/>
      <w:sz w:val="26"/>
      <w:szCs w:val="21"/>
      <w:lang w:val="pt-PT" w:eastAsia="en-GB" w:bidi="ar-SA"/>
    </w:rPr>
  </w:style>
  <w:style w:type="character" w:customStyle="1" w:styleId="Heading3Char">
    <w:name w:val="Heading 3 Char"/>
    <w:basedOn w:val="DefaultParagraphFont"/>
    <w:link w:val="Heading3"/>
    <w:rsid w:val="008F001C"/>
    <w:rPr>
      <w:rFonts w:cs="Arial"/>
      <w:b/>
      <w:bCs/>
      <w:sz w:val="26"/>
      <w:szCs w:val="26"/>
      <w:lang w:val="pt-PT" w:eastAsia="en-GB" w:bidi="ar-SA"/>
    </w:rPr>
  </w:style>
  <w:style w:type="character" w:customStyle="1" w:styleId="italic1">
    <w:name w:val="italic1"/>
    <w:basedOn w:val="DefaultParagraphFont"/>
    <w:rsid w:val="008F00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5E68CD9B34C642AD1A51474CA81BC9" ma:contentTypeVersion="0" ma:contentTypeDescription="Create a new document." ma:contentTypeScope="" ma:versionID="5f6c68474eb27cf486a75c7c825e988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E06C8E-39E4-4C21-8EC1-0795ED2DE68C}">
  <ds:schemaRefs>
    <ds:schemaRef ds:uri="http://schemas.microsoft.com/sharepoint/v3/contenttype/forms"/>
  </ds:schemaRefs>
</ds:datastoreItem>
</file>

<file path=customXml/itemProps2.xml><?xml version="1.0" encoding="utf-8"?>
<ds:datastoreItem xmlns:ds="http://schemas.openxmlformats.org/officeDocument/2006/customXml" ds:itemID="{779580B4-DFE4-4ECE-8A4D-621CF96041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34F37DE-EFCA-4E2B-8356-55BBCB2467FB}">
  <ds:schemaRefs>
    <ds:schemaRef ds:uri="http://purl.org/dc/elements/1.1/"/>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terms/"/>
    <ds:schemaRef ds:uri="http://purl.org/dc/dcmitype/"/>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2344</Words>
  <Characters>12662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Atos de execução - atos que atribuem competências de execução à Comissão </vt:lpstr>
    </vt:vector>
  </TitlesOfParts>
  <Company>European Commission</Company>
  <LinksUpToDate>false</LinksUpToDate>
  <CharactersWithSpaces>14977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Atos de execução - atos que atribuem competências de execução à Comissão</dc:title>
  <dc:creator>fortuma</dc:creator>
  <cp:lastModifiedBy>GONCALVES Susana (DGT)</cp:lastModifiedBy>
  <cp:revision>2</cp:revision>
  <dcterms:created xsi:type="dcterms:W3CDTF">2016-11-09T15:50:00Z</dcterms:created>
  <dcterms:modified xsi:type="dcterms:W3CDTF">2016-11-09T15:50:00Z</dcterms:modified>
</cp:coreProperties>
</file>