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976AC0" w:rsidRPr="003A5F9A" w14:paraId="63F3B0B5" w14:textId="77777777" w:rsidTr="007B12F9">
        <w:trPr>
          <w:trHeight w:val="220"/>
        </w:trPr>
        <w:tc>
          <w:tcPr>
            <w:tcW w:w="1996" w:type="pct"/>
            <w:vMerge w:val="restart"/>
            <w:tcBorders>
              <w:right w:val="single" w:sz="12" w:space="0" w:color="auto"/>
            </w:tcBorders>
          </w:tcPr>
          <w:p w14:paraId="7CC607B8" w14:textId="363457AE" w:rsidR="00976AC0" w:rsidRPr="00AA5A63" w:rsidRDefault="00976AC0" w:rsidP="00A7100F">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p>
        </w:tc>
        <w:tc>
          <w:tcPr>
            <w:tcW w:w="3004" w:type="pct"/>
            <w:tcBorders>
              <w:left w:val="single" w:sz="12" w:space="0" w:color="auto"/>
            </w:tcBorders>
            <w:shd w:val="clear" w:color="auto" w:fill="auto"/>
          </w:tcPr>
          <w:p w14:paraId="54232949" w14:textId="4A4B3CC1" w:rsidR="00976AC0" w:rsidRPr="009A500A" w:rsidRDefault="007B12F9" w:rsidP="009A500A">
            <w:pPr>
              <w:pStyle w:val="Text1"/>
              <w:spacing w:before="60" w:after="60"/>
              <w:ind w:left="0"/>
              <w:rPr>
                <w:rFonts w:ascii="Verdana" w:hAnsi="Verdana" w:cs="Arial"/>
                <w:b/>
                <w:bCs/>
                <w:sz w:val="20"/>
                <w:szCs w:val="20"/>
              </w:rPr>
            </w:pPr>
            <w:r w:rsidRPr="007B12F9">
              <w:rPr>
                <w:rFonts w:ascii="Verdana" w:hAnsi="Verdana" w:cs="Arial"/>
                <w:b/>
                <w:bCs/>
                <w:sz w:val="20"/>
                <w:szCs w:val="20"/>
              </w:rPr>
              <w:t>TSI 2024 Flagship technical support project</w:t>
            </w:r>
          </w:p>
        </w:tc>
      </w:tr>
      <w:tr w:rsidR="00976AC0" w:rsidRPr="003A5F9A" w14:paraId="7FC316BB" w14:textId="77777777" w:rsidTr="007B12F9">
        <w:trPr>
          <w:trHeight w:val="220"/>
        </w:trPr>
        <w:tc>
          <w:tcPr>
            <w:tcW w:w="1996" w:type="pct"/>
            <w:vMerge/>
            <w:tcBorders>
              <w:right w:val="single" w:sz="12" w:space="0" w:color="auto"/>
            </w:tcBorders>
          </w:tcPr>
          <w:p w14:paraId="6A65E7B3" w14:textId="77777777" w:rsidR="00976AC0" w:rsidRPr="00AA5A63" w:rsidRDefault="00976AC0" w:rsidP="00A7100F">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auto"/>
          </w:tcPr>
          <w:p w14:paraId="6276B9CF" w14:textId="3F1FD966" w:rsidR="00976AC0" w:rsidRPr="009A500A" w:rsidRDefault="00976AC0" w:rsidP="00696049">
            <w:pPr>
              <w:pStyle w:val="Text1"/>
              <w:spacing w:before="60" w:after="60"/>
              <w:ind w:left="0"/>
              <w:jc w:val="left"/>
              <w:rPr>
                <w:rFonts w:ascii="Verdana" w:hAnsi="Verdana" w:cs="Arial"/>
                <w:b/>
                <w:bCs/>
                <w:sz w:val="20"/>
                <w:szCs w:val="20"/>
              </w:rPr>
            </w:pPr>
            <w:r>
              <w:rPr>
                <w:rFonts w:ascii="Verdana" w:hAnsi="Verdana" w:cs="Arial"/>
                <w:b/>
                <w:bCs/>
                <w:iCs/>
                <w:sz w:val="20"/>
                <w:szCs w:val="20"/>
                <w:lang w:val="en-IE"/>
              </w:rPr>
              <w:t>”E</w:t>
            </w:r>
            <w:r w:rsidRPr="00E515EB">
              <w:rPr>
                <w:rFonts w:ascii="Verdana" w:hAnsi="Verdana" w:cs="Arial"/>
                <w:b/>
                <w:bCs/>
                <w:iCs/>
                <w:sz w:val="20"/>
                <w:szCs w:val="20"/>
                <w:lang w:val="en-IE"/>
              </w:rPr>
              <w:t>nhancing the quality of public finances</w:t>
            </w:r>
            <w:r>
              <w:rPr>
                <w:rFonts w:ascii="Verdana" w:hAnsi="Verdana" w:cs="Arial"/>
                <w:b/>
                <w:bCs/>
                <w:sz w:val="20"/>
                <w:szCs w:val="20"/>
              </w:rPr>
              <w:t>”</w:t>
            </w:r>
          </w:p>
        </w:tc>
      </w:tr>
      <w:tr w:rsidR="00A7100F" w:rsidRPr="003A5F9A" w14:paraId="09039D34" w14:textId="77777777" w:rsidTr="007B12F9">
        <w:trPr>
          <w:trHeight w:val="443"/>
        </w:trPr>
        <w:tc>
          <w:tcPr>
            <w:tcW w:w="1996" w:type="pct"/>
            <w:tcBorders>
              <w:right w:val="single" w:sz="12" w:space="0" w:color="auto"/>
            </w:tcBorders>
          </w:tcPr>
          <w:p w14:paraId="6D72F9F9"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auto"/>
          </w:tcPr>
          <w:p w14:paraId="6EECAF07" w14:textId="5A90B67D" w:rsidR="00A7100F" w:rsidRPr="00AA5A63" w:rsidRDefault="00976AC0" w:rsidP="00C21EA8">
            <w:pPr>
              <w:pStyle w:val="Text1"/>
              <w:spacing w:before="60" w:after="60"/>
              <w:ind w:left="0"/>
              <w:jc w:val="left"/>
              <w:rPr>
                <w:rFonts w:ascii="Verdana" w:hAnsi="Verdana" w:cs="Arial"/>
                <w:b/>
                <w:bCs/>
                <w:sz w:val="20"/>
                <w:szCs w:val="20"/>
              </w:rPr>
            </w:pPr>
            <w:r>
              <w:rPr>
                <w:rFonts w:ascii="Verdana" w:hAnsi="Verdana" w:cs="Arial"/>
                <w:bCs/>
                <w:color w:val="FF0000"/>
                <w:sz w:val="20"/>
                <w:szCs w:val="20"/>
              </w:rPr>
              <w:t>[maximum 150 characters]</w:t>
            </w:r>
          </w:p>
        </w:tc>
      </w:tr>
      <w:tr w:rsidR="00A7100F" w:rsidRPr="003A5F9A" w14:paraId="749D5553" w14:textId="77777777" w:rsidTr="66590D7B">
        <w:trPr>
          <w:trHeight w:val="443"/>
        </w:trPr>
        <w:tc>
          <w:tcPr>
            <w:tcW w:w="1996" w:type="pct"/>
            <w:tcBorders>
              <w:right w:val="single" w:sz="12" w:space="0" w:color="auto"/>
            </w:tcBorders>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w:t>
            </w:r>
            <w:proofErr w:type="spellStart"/>
            <w:r w:rsidRPr="00AA5A63">
              <w:rPr>
                <w:rFonts w:ascii="Verdana" w:hAnsi="Verdana" w:cs="Arial"/>
                <w:b/>
                <w:bCs/>
                <w:sz w:val="20"/>
                <w:szCs w:val="20"/>
              </w:rPr>
              <w:t>yyy</w:t>
            </w:r>
            <w:r w:rsidR="005C6F09" w:rsidRPr="00AA5A63">
              <w:rPr>
                <w:rFonts w:ascii="Verdana" w:hAnsi="Verdana" w:cs="Arial"/>
                <w:b/>
                <w:bCs/>
                <w:sz w:val="20"/>
                <w:szCs w:val="20"/>
              </w:rPr>
              <w:t>y</w:t>
            </w:r>
            <w:proofErr w:type="spellEnd"/>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51C47B19" w14:textId="77777777" w:rsidR="00A7100F" w:rsidRDefault="00A7100F" w:rsidP="00976AC0">
      <w:pPr>
        <w:rPr>
          <w:rFonts w:ascii="Verdana" w:hAnsi="Verdana"/>
          <w:b/>
          <w:sz w:val="16"/>
          <w:szCs w:val="16"/>
        </w:rPr>
      </w:pPr>
    </w:p>
    <w:p w14:paraId="79B34B97"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6C7EF8"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008480FA" w:rsidR="00B26DE0" w:rsidRPr="00E84FE8" w:rsidRDefault="006C7EF8"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2C287E4B" w:rsidR="001240F8" w:rsidRPr="00E84FE8" w:rsidRDefault="00976AC0" w:rsidP="001056AC">
            <w:pPr>
              <w:pStyle w:val="Text2"/>
              <w:spacing w:before="60" w:after="120"/>
              <w:ind w:left="0"/>
              <w:rPr>
                <w:rFonts w:ascii="Verdana" w:hAnsi="Verdana" w:cs="Arial"/>
                <w:b/>
                <w:bCs/>
                <w:sz w:val="20"/>
                <w:szCs w:val="20"/>
              </w:rPr>
            </w:pPr>
            <w:r>
              <w:rPr>
                <w:rFonts w:ascii="Verdana" w:hAnsi="Verdana" w:cs="Arial"/>
                <w:sz w:val="20"/>
                <w:szCs w:val="20"/>
              </w:rPr>
              <w:t>This question might be invisible as it is automatically calculated by the platform</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6C7EF8"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6C7EF8"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006BF9E2" w:rsidR="00B26DE0" w:rsidRPr="00E84FE8" w:rsidRDefault="00976AC0" w:rsidP="66590D7B">
            <w:pPr>
              <w:spacing w:before="60" w:after="60" w:line="240" w:lineRule="auto"/>
              <w:rPr>
                <w:rFonts w:ascii="Verdana" w:eastAsia="Times New Roman" w:hAnsi="Verdana" w:cs="Arial"/>
                <w:b/>
                <w:bCs/>
                <w:sz w:val="20"/>
                <w:szCs w:val="20"/>
                <w:highlight w:val="green"/>
                <w:lang w:eastAsia="en-GB"/>
              </w:rPr>
            </w:pPr>
            <w:r>
              <w:rPr>
                <w:rFonts w:ascii="Verdana" w:eastAsia="Times New Roman" w:hAnsi="Verdana" w:cs="Arial"/>
                <w:b/>
                <w:bCs/>
                <w:sz w:val="20"/>
                <w:szCs w:val="20"/>
                <w:lang w:eastAsia="en-GB"/>
              </w:rPr>
              <w:t>Please indicate the name, email and country of the participating national authorities concerned by this multi-country request.</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0E0DF625" w:rsidR="00380899" w:rsidRPr="00380899" w:rsidRDefault="00976AC0" w:rsidP="00380899">
            <w:pPr>
              <w:pStyle w:val="Text2"/>
              <w:spacing w:before="60" w:after="120"/>
              <w:ind w:left="0"/>
              <w:rPr>
                <w:rFonts w:ascii="Verdana" w:hAnsi="Verdana" w:cs="Arial"/>
                <w:sz w:val="20"/>
                <w:szCs w:val="20"/>
              </w:rPr>
            </w:pPr>
            <w:r>
              <w:rPr>
                <w:rFonts w:ascii="Verdana" w:hAnsi="Verdana" w:cs="Arial"/>
                <w:sz w:val="20"/>
                <w:szCs w:val="20"/>
              </w:rPr>
              <w:t>[BA corresponding to your user should be already displayed by the System, if not please add it to the list]</w:t>
            </w:r>
          </w:p>
        </w:tc>
      </w:tr>
      <w:tr w:rsidR="00976AC0"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006AF9A1" w:rsidR="00976AC0" w:rsidRPr="00E84FE8" w:rsidRDefault="00976AC0" w:rsidP="00976AC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7AC910B7" w:rsidR="00976AC0" w:rsidRPr="00087BC9" w:rsidRDefault="00976AC0" w:rsidP="00976AC0">
            <w:pPr>
              <w:spacing w:before="60" w:after="60" w:line="240" w:lineRule="auto"/>
              <w:rPr>
                <w:rFonts w:ascii="Verdana" w:eastAsia="Times New Roman" w:hAnsi="Verdana" w:cs="Arial"/>
                <w:b/>
                <w:bCs/>
                <w:sz w:val="20"/>
                <w:szCs w:val="20"/>
                <w:lang w:eastAsia="en-GB"/>
              </w:rPr>
            </w:pPr>
            <w:r w:rsidRPr="00087BC9">
              <w:rPr>
                <w:rFonts w:ascii="Verdana" w:eastAsia="Times New Roman" w:hAnsi="Verdana" w:cs="Arial"/>
                <w:b/>
                <w:bCs/>
                <w:sz w:val="20"/>
                <w:szCs w:val="20"/>
                <w:lang w:eastAsia="en-GB"/>
              </w:rPr>
              <w:t>Member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976AC0"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69ACC395" w:rsidR="00976AC0" w:rsidRPr="002062A3" w:rsidRDefault="00976AC0" w:rsidP="00976AC0">
            <w:pPr>
              <w:spacing w:before="60" w:after="60" w:line="240" w:lineRule="auto"/>
              <w:rPr>
                <w:rFonts w:ascii="Verdana" w:eastAsia="Times New Roman" w:hAnsi="Verdana" w:cs="Arial"/>
                <w:sz w:val="20"/>
                <w:szCs w:val="20"/>
                <w:lang w:eastAsia="en-GB"/>
              </w:rPr>
            </w:pPr>
            <w:r>
              <w:rPr>
                <w:rFonts w:ascii="Verdana" w:hAnsi="Verdana" w:cs="Arial"/>
                <w:sz w:val="20"/>
                <w:szCs w:val="20"/>
              </w:rPr>
              <w:t>[This should include your own Member State.]</w:t>
            </w:r>
          </w:p>
        </w:tc>
      </w:tr>
      <w:tr w:rsidR="00976AC0"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976AC0" w:rsidRPr="00380899" w:rsidRDefault="00976AC0" w:rsidP="00976AC0">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t>The below instructions are ONLY for multi-country requests to be submitted “on behalf” of other Member States’ authorities</w:t>
            </w:r>
          </w:p>
          <w:p w14:paraId="6F8CE35C" w14:textId="77777777" w:rsidR="00976AC0" w:rsidRDefault="00976AC0" w:rsidP="00976AC0">
            <w:pPr>
              <w:spacing w:before="60" w:after="60" w:line="240" w:lineRule="auto"/>
              <w:jc w:val="center"/>
              <w:rPr>
                <w:rFonts w:ascii="Verdana" w:eastAsia="Times New Roman" w:hAnsi="Verdana" w:cs="Arial"/>
                <w:b/>
                <w:bCs/>
                <w:sz w:val="20"/>
                <w:szCs w:val="20"/>
                <w:lang w:eastAsia="en-GB"/>
              </w:rPr>
            </w:pPr>
          </w:p>
          <w:p w14:paraId="3AE4311B" w14:textId="77777777" w:rsidR="00696049" w:rsidRDefault="00696049" w:rsidP="00696049">
            <w:pPr>
              <w:pStyle w:val="Text2"/>
              <w:spacing w:before="60" w:after="120"/>
              <w:ind w:left="0"/>
              <w:rPr>
                <w:rFonts w:ascii="Verdana" w:hAnsi="Verdana" w:cs="Arial"/>
                <w:i/>
                <w:iCs/>
                <w:sz w:val="20"/>
                <w:szCs w:val="20"/>
              </w:rPr>
            </w:pPr>
            <w:r>
              <w:rPr>
                <w:rFonts w:ascii="Verdana" w:hAnsi="Verdana" w:cs="Arial"/>
                <w:b/>
                <w:bCs/>
                <w:sz w:val="20"/>
                <w:szCs w:val="20"/>
              </w:rPr>
              <w:t>If you select “</w:t>
            </w:r>
            <w:r>
              <w:rPr>
                <w:rFonts w:ascii="Verdana" w:hAnsi="Verdana" w:cs="Arial"/>
                <w:b/>
                <w:bCs/>
                <w:i/>
                <w:iCs/>
                <w:sz w:val="20"/>
                <w:szCs w:val="20"/>
              </w:rPr>
              <w:t>option A: multi-country on behalf” in question 0.2.,</w:t>
            </w:r>
            <w:r>
              <w:rPr>
                <w:rFonts w:ascii="Verdana" w:hAnsi="Verdana" w:cs="Arial"/>
                <w:i/>
                <w:iCs/>
                <w:sz w:val="20"/>
                <w:szCs w:val="20"/>
              </w:rPr>
              <w:t xml:space="preserve"> the platform </w:t>
            </w:r>
            <w:r>
              <w:rPr>
                <w:rFonts w:ascii="Verdana" w:hAnsi="Verdana" w:cs="Arial"/>
                <w:i/>
                <w:iCs/>
                <w:sz w:val="20"/>
                <w:szCs w:val="20"/>
              </w:rPr>
              <w:lastRenderedPageBreak/>
              <w:t xml:space="preserve">will allow the submitting national authority (“Lead authority”), to </w:t>
            </w:r>
            <w:r>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Pr>
                <w:rFonts w:ascii="Verdana" w:hAnsi="Verdana" w:cs="Arial"/>
                <w:b/>
                <w:bCs/>
                <w:i/>
                <w:iCs/>
                <w:sz w:val="20"/>
                <w:szCs w:val="20"/>
              </w:rPr>
              <w:t>in the answer to question 0.4.</w:t>
            </w:r>
          </w:p>
          <w:p w14:paraId="5F3CB0FF" w14:textId="77777777" w:rsidR="00696049" w:rsidRDefault="00696049" w:rsidP="00696049">
            <w:pPr>
              <w:pStyle w:val="Text2"/>
              <w:spacing w:before="60" w:after="120"/>
              <w:ind w:left="0"/>
              <w:rPr>
                <w:rFonts w:ascii="Verdana" w:hAnsi="Verdana" w:cs="Arial"/>
                <w:sz w:val="20"/>
                <w:szCs w:val="20"/>
              </w:rPr>
            </w:pPr>
            <w:bookmarkStart w:id="1" w:name="_Hlk132388026"/>
            <w:r>
              <w:rPr>
                <w:rFonts w:ascii="Verdana" w:hAnsi="Verdana" w:cs="Arial"/>
                <w:i/>
                <w:iCs/>
                <w:sz w:val="20"/>
                <w:szCs w:val="20"/>
              </w:rPr>
              <w:t xml:space="preserve">Once invited, these </w:t>
            </w:r>
            <w:r>
              <w:rPr>
                <w:rFonts w:ascii="Verdana" w:hAnsi="Verdana" w:cs="Arial"/>
                <w:b/>
                <w:bCs/>
                <w:i/>
                <w:iCs/>
                <w:sz w:val="20"/>
                <w:szCs w:val="20"/>
              </w:rPr>
              <w:t>additional participating authorities will receive the request in their own portal to complete their case-specific information.</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365F1ED3" w14:textId="77777777" w:rsidR="00696049" w:rsidRDefault="00696049" w:rsidP="00696049">
            <w:pPr>
              <w:pStyle w:val="Text2"/>
              <w:numPr>
                <w:ilvl w:val="0"/>
                <w:numId w:val="30"/>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7A2E459D" w14:textId="77777777" w:rsidR="00696049" w:rsidRDefault="00696049" w:rsidP="00696049">
            <w:pPr>
              <w:pStyle w:val="Text2"/>
              <w:numPr>
                <w:ilvl w:val="0"/>
                <w:numId w:val="30"/>
              </w:numPr>
              <w:spacing w:before="60" w:after="120"/>
              <w:rPr>
                <w:rFonts w:ascii="Verdana" w:hAnsi="Verdana" w:cs="Arial"/>
                <w:sz w:val="20"/>
                <w:szCs w:val="20"/>
              </w:rPr>
            </w:pPr>
            <w:r>
              <w:rPr>
                <w:rFonts w:ascii="Verdana" w:hAnsi="Verdana" w:cs="Arial"/>
                <w:sz w:val="20"/>
                <w:szCs w:val="20"/>
              </w:rPr>
              <w:t>“</w:t>
            </w:r>
            <w:r>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5C318461" w14:textId="77777777" w:rsidR="00696049" w:rsidRDefault="00696049" w:rsidP="00696049">
            <w:pPr>
              <w:pStyle w:val="Text2"/>
              <w:numPr>
                <w:ilvl w:val="0"/>
                <w:numId w:val="30"/>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72B07040" w14:textId="77777777" w:rsidR="00696049" w:rsidRDefault="00696049" w:rsidP="00696049">
            <w:pPr>
              <w:pStyle w:val="Text2"/>
              <w:numPr>
                <w:ilvl w:val="0"/>
                <w:numId w:val="30"/>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bookmarkEnd w:id="1"/>
          <w:p w14:paraId="75CF407B" w14:textId="77777777" w:rsidR="00696049" w:rsidRDefault="00696049" w:rsidP="00696049">
            <w:pPr>
              <w:pStyle w:val="Text2"/>
              <w:spacing w:before="60" w:after="120"/>
              <w:ind w:left="720"/>
              <w:rPr>
                <w:rFonts w:ascii="Verdana" w:hAnsi="Verdana" w:cs="Arial"/>
                <w:sz w:val="20"/>
                <w:szCs w:val="20"/>
              </w:rPr>
            </w:pPr>
          </w:p>
          <w:p w14:paraId="2AE9AAFE" w14:textId="77777777" w:rsidR="00696049" w:rsidRDefault="00696049" w:rsidP="00696049">
            <w:pPr>
              <w:pStyle w:val="Text2"/>
              <w:spacing w:before="60" w:after="120"/>
              <w:ind w:left="0"/>
              <w:rPr>
                <w:rFonts w:ascii="Verdana" w:hAnsi="Verdana" w:cs="Arial"/>
                <w:i/>
                <w:iCs/>
                <w:sz w:val="20"/>
                <w:szCs w:val="20"/>
              </w:rPr>
            </w:pPr>
            <w:r>
              <w:rPr>
                <w:rFonts w:ascii="Verdana" w:hAnsi="Verdana" w:cs="Arial"/>
                <w:b/>
                <w:bCs/>
                <w:i/>
                <w:iCs/>
                <w:sz w:val="20"/>
                <w:szCs w:val="20"/>
              </w:rPr>
              <w:t>In addition,</w:t>
            </w:r>
            <w:r>
              <w:rPr>
                <w:rFonts w:ascii="Verdana" w:hAnsi="Verdana" w:cs="Arial"/>
                <w:i/>
                <w:iCs/>
                <w:sz w:val="20"/>
                <w:szCs w:val="20"/>
              </w:rPr>
              <w:t xml:space="preserve"> </w:t>
            </w:r>
            <w:r>
              <w:rPr>
                <w:rFonts w:ascii="Verdana" w:hAnsi="Verdana" w:cs="Arial"/>
                <w:b/>
                <w:bCs/>
                <w:i/>
                <w:iCs/>
                <w:sz w:val="20"/>
                <w:szCs w:val="20"/>
              </w:rPr>
              <w:t>the Coordinating Authorities (CAs) of the involved Member State(s) will need to validate this participation</w:t>
            </w:r>
            <w:r>
              <w:rPr>
                <w:rFonts w:ascii="Verdana" w:hAnsi="Verdana" w:cs="Arial"/>
                <w:i/>
                <w:iCs/>
                <w:sz w:val="20"/>
                <w:szCs w:val="20"/>
              </w:rPr>
              <w:t xml:space="preserve">. </w:t>
            </w:r>
          </w:p>
          <w:p w14:paraId="615192EF" w14:textId="77777777" w:rsidR="00696049" w:rsidRDefault="00696049" w:rsidP="00696049">
            <w:pPr>
              <w:pStyle w:val="Text2"/>
              <w:numPr>
                <w:ilvl w:val="0"/>
                <w:numId w:val="30"/>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117ED1AA" w14:textId="77777777" w:rsidR="00696049" w:rsidRDefault="00696049" w:rsidP="00696049">
            <w:pPr>
              <w:pStyle w:val="Text2"/>
              <w:numPr>
                <w:ilvl w:val="0"/>
                <w:numId w:val="30"/>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493E1D61" w14:textId="77777777" w:rsidR="00696049" w:rsidRDefault="00696049" w:rsidP="00696049">
            <w:pPr>
              <w:pStyle w:val="Text2"/>
              <w:numPr>
                <w:ilvl w:val="0"/>
                <w:numId w:val="30"/>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1171194C" w:rsidR="00976AC0" w:rsidRPr="00087BC9" w:rsidRDefault="00976AC0" w:rsidP="00976AC0">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61A24D0A">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61A24D0A">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61A24D0A">
        <w:trPr>
          <w:trHeight w:val="420"/>
        </w:trPr>
        <w:tc>
          <w:tcPr>
            <w:tcW w:w="9072" w:type="dxa"/>
            <w:gridSpan w:val="3"/>
            <w:shd w:val="clear" w:color="auto" w:fill="auto"/>
            <w:vAlign w:val="center"/>
          </w:tcPr>
          <w:p w14:paraId="0B218F22" w14:textId="77777777" w:rsidR="00EB3270" w:rsidRPr="007B12F9"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18"/>
                <w:szCs w:val="18"/>
                <w:highlight w:val="yellow"/>
                <w:lang w:eastAsia="en-GB"/>
              </w:rPr>
            </w:pPr>
            <w:r w:rsidRPr="007B12F9">
              <w:rPr>
                <w:rFonts w:ascii="Verdana" w:hAnsi="Verdana"/>
                <w:b/>
                <w:color w:val="FF0000"/>
                <w:sz w:val="18"/>
                <w:szCs w:val="18"/>
                <w:highlight w:val="yellow"/>
              </w:rPr>
              <w:t xml:space="preserve">This general overview below is intended to help the beneficiary authority describe the specific problems and needs by taking inspiration from the contextual information provided.  </w:t>
            </w:r>
          </w:p>
          <w:p w14:paraId="217CCD5E" w14:textId="77777777" w:rsidR="00EB3270" w:rsidRPr="007B12F9"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18"/>
                <w:szCs w:val="18"/>
                <w:highlight w:val="yellow"/>
                <w:lang w:val="en-IE"/>
              </w:rPr>
            </w:pPr>
            <w:r w:rsidRPr="007B12F9">
              <w:rPr>
                <w:rFonts w:ascii="Verdana" w:hAnsi="Verdana"/>
                <w:b/>
                <w:color w:val="FF0000"/>
                <w:sz w:val="18"/>
                <w:szCs w:val="18"/>
                <w:highlight w:val="yellow"/>
                <w:lang w:val="en-IE"/>
              </w:rPr>
              <w:t>This general overview does not provide any information about the specific situation in the Member State submitting the request, nor about specific needs.</w:t>
            </w:r>
          </w:p>
          <w:p w14:paraId="53323576" w14:textId="5720396A" w:rsidR="00EB3270" w:rsidRPr="007B12F9"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18"/>
                <w:szCs w:val="18"/>
              </w:rPr>
            </w:pPr>
            <w:r w:rsidRPr="007B12F9">
              <w:rPr>
                <w:rFonts w:ascii="Verdana" w:hAnsi="Verdana"/>
                <w:b/>
                <w:color w:val="FF0000"/>
                <w:sz w:val="18"/>
                <w:szCs w:val="18"/>
                <w:highlight w:val="yellow"/>
                <w:lang w:val="en-IE"/>
              </w:rPr>
              <w:t>When filling-in the request template online, y</w:t>
            </w:r>
            <w:proofErr w:type="spellStart"/>
            <w:r w:rsidRPr="007B12F9">
              <w:rPr>
                <w:rFonts w:ascii="Verdana" w:hAnsi="Verdana"/>
                <w:b/>
                <w:color w:val="FF0000"/>
                <w:sz w:val="18"/>
                <w:szCs w:val="18"/>
                <w:highlight w:val="yellow"/>
              </w:rPr>
              <w:t>ou</w:t>
            </w:r>
            <w:proofErr w:type="spellEnd"/>
            <w:r w:rsidRPr="007B12F9">
              <w:rPr>
                <w:rFonts w:ascii="Verdana" w:hAnsi="Verdana"/>
                <w:b/>
                <w:color w:val="FF0000"/>
                <w:sz w:val="18"/>
                <w:szCs w:val="18"/>
                <w:highlight w:val="yellow"/>
              </w:rPr>
              <w:t xml:space="preserve"> are invited to outline </w:t>
            </w:r>
            <w:r w:rsidRPr="007B12F9">
              <w:rPr>
                <w:rFonts w:ascii="Verdana" w:hAnsi="Verdana"/>
                <w:b/>
                <w:iCs/>
                <w:color w:val="FF0000"/>
                <w:sz w:val="18"/>
                <w:szCs w:val="18"/>
                <w:highlight w:val="yellow"/>
              </w:rPr>
              <w:t xml:space="preserve">your specific </w:t>
            </w:r>
            <w:r w:rsidRPr="007B12F9">
              <w:rPr>
                <w:rFonts w:ascii="Verdana" w:hAnsi="Verdana"/>
                <w:b/>
                <w:iCs/>
                <w:color w:val="FF0000"/>
                <w:sz w:val="18"/>
                <w:szCs w:val="18"/>
                <w:highlight w:val="yellow"/>
              </w:rPr>
              <w:lastRenderedPageBreak/>
              <w:t xml:space="preserve">problems and needs, taking inspiration from the general overview and adapting it to your context, and to provide any additional information relevant </w:t>
            </w:r>
            <w:r w:rsidRPr="007B12F9">
              <w:rPr>
                <w:rFonts w:ascii="Verdana" w:hAnsi="Verdana"/>
                <w:b/>
                <w:color w:val="FF0000"/>
                <w:sz w:val="18"/>
                <w:szCs w:val="18"/>
                <w:highlight w:val="yellow"/>
                <w:lang w:val="en-IE"/>
              </w:rPr>
              <w:t xml:space="preserve">to your specific context. </w:t>
            </w:r>
          </w:p>
          <w:p w14:paraId="1BCD47F7" w14:textId="77777777" w:rsidR="00EB3270" w:rsidRPr="00EB3270" w:rsidRDefault="00EB3270" w:rsidP="00410FFA">
            <w:pPr>
              <w:shd w:val="clear" w:color="auto" w:fill="FFFF00"/>
              <w:rPr>
                <w:rFonts w:ascii="Verdana" w:eastAsia="Times New Roman" w:hAnsi="Verdana" w:cs="Arial"/>
                <w:b/>
                <w:sz w:val="20"/>
                <w:szCs w:val="20"/>
                <w:lang w:eastAsia="en-GB"/>
              </w:rPr>
            </w:pPr>
            <w:r w:rsidRPr="00EB3270">
              <w:rPr>
                <w:rFonts w:ascii="Verdana" w:eastAsia="Times New Roman" w:hAnsi="Verdana" w:cs="Arial"/>
                <w:b/>
                <w:sz w:val="20"/>
                <w:szCs w:val="20"/>
                <w:lang w:eastAsia="en-GB"/>
              </w:rPr>
              <w:t>General overview:</w:t>
            </w:r>
          </w:p>
          <w:p w14:paraId="3C077B83" w14:textId="74D8EC45" w:rsidR="00E515EB" w:rsidRPr="00E515EB" w:rsidRDefault="00E515EB" w:rsidP="00E515EB">
            <w:pPr>
              <w:shd w:val="clear" w:color="auto" w:fill="FFFF00"/>
              <w:spacing w:after="160" w:line="259" w:lineRule="auto"/>
              <w:jc w:val="both"/>
              <w:rPr>
                <w:rFonts w:ascii="Calibri" w:eastAsia="Times New Roman" w:hAnsi="Calibri" w:cs="Calibri"/>
                <w:lang w:val="en-IE"/>
              </w:rPr>
            </w:pPr>
            <w:r w:rsidRPr="00E515EB">
              <w:rPr>
                <w:rFonts w:ascii="Calibri" w:eastAsia="Times New Roman" w:hAnsi="Calibri" w:cs="Calibri"/>
                <w:lang w:val="en-IE"/>
              </w:rPr>
              <w:t xml:space="preserve">Member States are faced with </w:t>
            </w:r>
            <w:r w:rsidRPr="00E515EB">
              <w:rPr>
                <w:rFonts w:ascii="Calibri" w:eastAsia="Times New Roman" w:hAnsi="Calibri" w:cs="Calibri"/>
                <w:b/>
                <w:lang w:val="en-IE"/>
              </w:rPr>
              <w:t>significant long-term pressures</w:t>
            </w:r>
            <w:r w:rsidRPr="00E515EB">
              <w:rPr>
                <w:rFonts w:ascii="Calibri" w:eastAsia="Times New Roman" w:hAnsi="Calibri" w:cs="Calibri"/>
                <w:lang w:val="en-IE"/>
              </w:rPr>
              <w:t xml:space="preserve"> on public finances, most notably the worsening consequences of an ageing population and the need for targeted investment to deliver the green and digital transition. In addition, recent shocks such as Covid-19, the war in Ukraine, the energy crisis, reduced economic growth and inflation have put further </w:t>
            </w:r>
            <w:r w:rsidRPr="00E515EB">
              <w:rPr>
                <w:rFonts w:ascii="Calibri" w:eastAsia="Times New Roman" w:hAnsi="Calibri" w:cs="Calibri"/>
                <w:b/>
                <w:lang w:val="en-IE"/>
              </w:rPr>
              <w:t>strain on public finances</w:t>
            </w:r>
            <w:r w:rsidRPr="00E515EB">
              <w:rPr>
                <w:rFonts w:ascii="Calibri" w:eastAsia="Times New Roman" w:hAnsi="Calibri" w:cs="Calibri"/>
                <w:lang w:val="en-IE"/>
              </w:rPr>
              <w:t xml:space="preserve">. </w:t>
            </w:r>
          </w:p>
          <w:p w14:paraId="061A1E25" w14:textId="5872ABD0" w:rsidR="00E515EB" w:rsidRPr="00E515EB" w:rsidRDefault="00E515EB" w:rsidP="00E515EB">
            <w:pPr>
              <w:shd w:val="clear" w:color="auto" w:fill="FFFF00"/>
              <w:spacing w:after="160" w:line="259" w:lineRule="auto"/>
              <w:jc w:val="both"/>
              <w:rPr>
                <w:rFonts w:ascii="Calibri" w:eastAsia="Times New Roman" w:hAnsi="Calibri" w:cs="Calibri"/>
                <w:lang w:val="en-IE"/>
              </w:rPr>
            </w:pPr>
            <w:r w:rsidRPr="00E515EB">
              <w:rPr>
                <w:rFonts w:ascii="Calibri" w:eastAsia="Times New Roman" w:hAnsi="Calibri" w:cs="Calibri"/>
                <w:lang w:val="en-IE"/>
              </w:rPr>
              <w:t>Recognising these challenges, both the 2023 Annual Sustainable Growth Survey and the European Commission’s 2024 Fiscal policy guidance</w:t>
            </w:r>
            <w:r w:rsidR="00EA3693">
              <w:rPr>
                <w:rStyle w:val="FootnoteReference"/>
                <w:rFonts w:eastAsia="Times New Roman" w:cs="Calibri"/>
                <w:lang w:val="en-IE"/>
              </w:rPr>
              <w:footnoteReference w:id="3"/>
            </w:r>
            <w:r w:rsidRPr="00E515EB">
              <w:rPr>
                <w:rFonts w:ascii="Calibri" w:eastAsia="Times New Roman" w:hAnsi="Calibri" w:cs="Calibri"/>
                <w:lang w:val="en-IE"/>
              </w:rPr>
              <w:t xml:space="preserve"> stressed that </w:t>
            </w:r>
            <w:r w:rsidRPr="00E515EB">
              <w:rPr>
                <w:rFonts w:ascii="Calibri" w:eastAsia="Times New Roman" w:hAnsi="Calibri" w:cs="Calibri"/>
                <w:b/>
                <w:lang w:val="en-IE"/>
              </w:rPr>
              <w:t>fiscal policies should ensure medium-term debt sustainability through gradual consolidation</w:t>
            </w:r>
            <w:r w:rsidRPr="00E515EB">
              <w:rPr>
                <w:rFonts w:ascii="Calibri" w:eastAsia="Times New Roman" w:hAnsi="Calibri" w:cs="Calibri"/>
                <w:lang w:val="en-IE"/>
              </w:rPr>
              <w:t xml:space="preserve"> while creating space for growth-enhancing reforms and investments, and targeted energy crisis support. </w:t>
            </w:r>
          </w:p>
          <w:p w14:paraId="330324D8" w14:textId="57D0322C" w:rsidR="00E515EB" w:rsidRDefault="00E515EB" w:rsidP="00E515EB">
            <w:pPr>
              <w:shd w:val="clear" w:color="auto" w:fill="FFFF00"/>
              <w:spacing w:after="160" w:line="259" w:lineRule="auto"/>
              <w:jc w:val="both"/>
              <w:rPr>
                <w:rFonts w:ascii="Calibri" w:eastAsia="Times New Roman" w:hAnsi="Calibri" w:cs="Calibri"/>
                <w:lang w:val="en-IE"/>
              </w:rPr>
            </w:pPr>
            <w:r w:rsidRPr="61A24D0A">
              <w:rPr>
                <w:rFonts w:ascii="Calibri" w:eastAsia="Times New Roman" w:hAnsi="Calibri" w:cs="Calibri"/>
                <w:lang w:val="en-IE"/>
              </w:rPr>
              <w:t xml:space="preserve">To achieve these objectives, it is crucial for Member States to improve the quality and effectiveness of public </w:t>
            </w:r>
            <w:r w:rsidR="00820831" w:rsidRPr="61A24D0A">
              <w:rPr>
                <w:rFonts w:ascii="Calibri" w:eastAsia="Times New Roman" w:hAnsi="Calibri" w:cs="Calibri"/>
                <w:lang w:val="en-IE"/>
              </w:rPr>
              <w:t xml:space="preserve">finances </w:t>
            </w:r>
            <w:r w:rsidRPr="61A24D0A">
              <w:rPr>
                <w:rFonts w:ascii="Calibri" w:eastAsia="Times New Roman" w:hAnsi="Calibri" w:cs="Calibri"/>
                <w:lang w:val="en-IE"/>
              </w:rPr>
              <w:t xml:space="preserve">by reforming their public financial management (PFM) systems and practices. Given the wide-ranging and long-term nature of such reforms, it is essential to take a view across the entire PFM landscape and to consider dependencies and sequencing. </w:t>
            </w:r>
            <w:r w:rsidR="009E160E" w:rsidRPr="61A24D0A">
              <w:rPr>
                <w:rFonts w:ascii="Calibri" w:eastAsia="Times New Roman" w:hAnsi="Calibri" w:cs="Calibri"/>
                <w:lang w:val="en-IE"/>
              </w:rPr>
              <w:t xml:space="preserve">In this light, </w:t>
            </w:r>
            <w:r w:rsidR="00125364" w:rsidRPr="61A24D0A">
              <w:rPr>
                <w:rFonts w:ascii="Calibri" w:eastAsia="Times New Roman" w:hAnsi="Calibri" w:cs="Calibri"/>
                <w:lang w:val="en-IE"/>
              </w:rPr>
              <w:t>the Flagship is structured around three key pillars.</w:t>
            </w:r>
          </w:p>
          <w:p w14:paraId="42EDA522" w14:textId="1ABE1161" w:rsidR="00125364" w:rsidRDefault="00125364" w:rsidP="00E515EB">
            <w:pPr>
              <w:shd w:val="clear" w:color="auto" w:fill="FFFF00"/>
              <w:spacing w:after="160" w:line="259" w:lineRule="auto"/>
              <w:jc w:val="both"/>
              <w:rPr>
                <w:rFonts w:ascii="Calibri" w:eastAsia="Times New Roman" w:hAnsi="Calibri" w:cs="Calibri"/>
                <w:u w:val="single"/>
                <w:lang w:val="en-IE"/>
              </w:rPr>
            </w:pPr>
            <w:r w:rsidRPr="61A24D0A">
              <w:rPr>
                <w:rFonts w:ascii="Calibri" w:eastAsia="Times New Roman" w:hAnsi="Calibri" w:cs="Calibri"/>
                <w:u w:val="single"/>
                <w:lang w:val="en-IE"/>
              </w:rPr>
              <w:t xml:space="preserve">Pillar 1 </w:t>
            </w:r>
            <w:r w:rsidRPr="61A24D0A">
              <w:rPr>
                <w:rFonts w:ascii="Calibri" w:eastAsia="Times New Roman" w:hAnsi="Calibri" w:cs="Calibri"/>
                <w:u w:val="single"/>
                <w:lang w:val="en-US"/>
              </w:rPr>
              <w:t>– Expenditure Policy – Spending Reviews</w:t>
            </w:r>
          </w:p>
          <w:p w14:paraId="06C4EECC" w14:textId="3344180F" w:rsidR="00C77AB9" w:rsidRDefault="00C77AB9" w:rsidP="00E515EB">
            <w:pPr>
              <w:shd w:val="clear" w:color="auto" w:fill="FFFF00"/>
              <w:spacing w:after="160" w:line="259" w:lineRule="auto"/>
              <w:jc w:val="both"/>
              <w:rPr>
                <w:rFonts w:ascii="Calibri" w:eastAsia="Times New Roman" w:hAnsi="Calibri" w:cs="Calibri"/>
                <w:lang w:val="en-IE"/>
              </w:rPr>
            </w:pPr>
            <w:r>
              <w:t>Spending reviews involve systematically assessing the efficiency of existing or “baseline” public expenditure and then identifying potential savings or value-for-money improvements. Objectives of spending reviews include helping governments to manage the aggregate level of expenditure, reallocate expenditures according to new priorities, and improve efficiency and effectiveness in programmes and policies</w:t>
            </w:r>
          </w:p>
          <w:p w14:paraId="3D2FD204" w14:textId="2233072F" w:rsidR="00125364" w:rsidRDefault="002C77CA" w:rsidP="00E515EB">
            <w:pPr>
              <w:shd w:val="clear" w:color="auto" w:fill="FFFF00"/>
              <w:spacing w:after="160" w:line="259" w:lineRule="auto"/>
              <w:jc w:val="both"/>
              <w:rPr>
                <w:rFonts w:ascii="Calibri" w:eastAsia="Times New Roman" w:hAnsi="Calibri" w:cs="Calibri"/>
                <w:lang w:val="en-IE"/>
              </w:rPr>
            </w:pPr>
            <w:r w:rsidRPr="61A24D0A">
              <w:rPr>
                <w:rFonts w:ascii="Calibri" w:eastAsia="Times New Roman" w:hAnsi="Calibri" w:cs="Calibri"/>
                <w:lang w:val="en-IE"/>
              </w:rPr>
              <w:t>The importance of spending reviews has long been recognised</w:t>
            </w:r>
            <w:r w:rsidR="006D0F37" w:rsidRPr="61A24D0A">
              <w:rPr>
                <w:rFonts w:ascii="Calibri" w:eastAsia="Times New Roman" w:hAnsi="Calibri" w:cs="Calibri"/>
                <w:lang w:val="en-IE"/>
              </w:rPr>
              <w:t xml:space="preserve">: </w:t>
            </w:r>
            <w:r w:rsidR="0030491C" w:rsidRPr="61A24D0A">
              <w:rPr>
                <w:rFonts w:ascii="Calibri" w:eastAsia="Times New Roman" w:hAnsi="Calibri" w:cs="Calibri"/>
                <w:lang w:val="en-IE"/>
              </w:rPr>
              <w:t xml:space="preserve">already </w:t>
            </w:r>
            <w:r w:rsidR="006D0F37" w:rsidRPr="61A24D0A">
              <w:rPr>
                <w:rFonts w:ascii="Calibri" w:eastAsia="Times New Roman" w:hAnsi="Calibri" w:cs="Calibri"/>
                <w:lang w:val="en-IE"/>
              </w:rPr>
              <w:t xml:space="preserve">in </w:t>
            </w:r>
            <w:r w:rsidRPr="61A24D0A">
              <w:rPr>
                <w:rFonts w:ascii="Calibri" w:eastAsia="Times New Roman" w:hAnsi="Calibri" w:cs="Calibri"/>
                <w:lang w:val="en-IE"/>
              </w:rPr>
              <w:t xml:space="preserve">2016 the Eurogroup urged euro area Member States to actively utilise spending reviews to ensure fiscal responsibility while promoting investment-led growth. </w:t>
            </w:r>
            <w:r w:rsidR="002A7B01" w:rsidRPr="61A24D0A">
              <w:rPr>
                <w:rFonts w:ascii="Calibri" w:eastAsia="Times New Roman" w:hAnsi="Calibri" w:cs="Calibri"/>
                <w:lang w:val="en-IE"/>
              </w:rPr>
              <w:t xml:space="preserve">Since then, the </w:t>
            </w:r>
            <w:r w:rsidR="000B3147" w:rsidRPr="61A24D0A">
              <w:rPr>
                <w:rFonts w:ascii="Calibri" w:eastAsia="Times New Roman" w:hAnsi="Calibri" w:cs="Calibri"/>
                <w:lang w:val="en-IE"/>
              </w:rPr>
              <w:t>2019 Commission survey of euro area Member State</w:t>
            </w:r>
            <w:r w:rsidR="002A7B01" w:rsidRPr="61A24D0A">
              <w:rPr>
                <w:rFonts w:ascii="Calibri" w:eastAsia="Times New Roman" w:hAnsi="Calibri" w:cs="Calibri"/>
                <w:lang w:val="en-IE"/>
              </w:rPr>
              <w:t xml:space="preserve">s on spending reviews noted </w:t>
            </w:r>
            <w:r w:rsidR="009A05F6" w:rsidRPr="61A24D0A">
              <w:rPr>
                <w:rFonts w:ascii="Calibri" w:eastAsia="Times New Roman" w:hAnsi="Calibri" w:cs="Calibri"/>
                <w:lang w:val="en-IE"/>
              </w:rPr>
              <w:t xml:space="preserve">an increasing uptake of this practice, but also flagged that some key challenges remained, </w:t>
            </w:r>
            <w:r w:rsidR="004377EC" w:rsidRPr="61A24D0A">
              <w:rPr>
                <w:rFonts w:ascii="Calibri" w:eastAsia="Times New Roman" w:hAnsi="Calibri" w:cs="Calibri"/>
                <w:lang w:val="en-IE"/>
              </w:rPr>
              <w:t>including ensuring effective implementation, monitoring and evaluation of measures.</w:t>
            </w:r>
          </w:p>
          <w:p w14:paraId="2B4B77EF" w14:textId="31128EAD" w:rsidR="004377EC" w:rsidRDefault="00E80674" w:rsidP="00E515EB">
            <w:pPr>
              <w:shd w:val="clear" w:color="auto" w:fill="FFFF00"/>
              <w:spacing w:after="160" w:line="259" w:lineRule="auto"/>
              <w:jc w:val="both"/>
              <w:rPr>
                <w:rFonts w:ascii="Calibri" w:eastAsia="Times New Roman" w:hAnsi="Calibri" w:cs="Calibri"/>
                <w:lang w:val="en-IE"/>
              </w:rPr>
            </w:pPr>
            <w:r w:rsidRPr="61A24D0A">
              <w:rPr>
                <w:rFonts w:ascii="Calibri" w:eastAsia="Times New Roman" w:hAnsi="Calibri" w:cs="Calibri"/>
                <w:lang w:val="en-IE"/>
              </w:rPr>
              <w:t xml:space="preserve">The Flagship’s first Pillar therefore provides support for both </w:t>
            </w:r>
            <w:r w:rsidR="00F37F8D" w:rsidRPr="61A24D0A">
              <w:rPr>
                <w:rFonts w:ascii="Calibri" w:eastAsia="Times New Roman" w:hAnsi="Calibri" w:cs="Calibri"/>
                <w:lang w:val="en-IE"/>
              </w:rPr>
              <w:t xml:space="preserve">designing and piloting spending reviews as well as dedicated support to strengthen implementation </w:t>
            </w:r>
            <w:r w:rsidR="00015D1A" w:rsidRPr="61A24D0A">
              <w:rPr>
                <w:rFonts w:ascii="Calibri" w:eastAsia="Times New Roman" w:hAnsi="Calibri" w:cs="Calibri"/>
                <w:lang w:val="en-IE"/>
              </w:rPr>
              <w:t>(</w:t>
            </w:r>
            <w:r w:rsidR="00F37F8D" w:rsidRPr="61A24D0A">
              <w:rPr>
                <w:rFonts w:ascii="Calibri" w:eastAsia="Times New Roman" w:hAnsi="Calibri" w:cs="Calibri"/>
                <w:lang w:val="en-IE"/>
              </w:rPr>
              <w:t>by linking spending reviews to the budget process</w:t>
            </w:r>
            <w:r w:rsidR="00015D1A" w:rsidRPr="61A24D0A">
              <w:rPr>
                <w:rFonts w:ascii="Calibri" w:eastAsia="Times New Roman" w:hAnsi="Calibri" w:cs="Calibri"/>
                <w:lang w:val="en-IE"/>
              </w:rPr>
              <w:t>) and for developing monitoring &amp; evaluation processes and tools.</w:t>
            </w:r>
          </w:p>
          <w:p w14:paraId="2FF85066" w14:textId="77777777" w:rsidR="00C06589" w:rsidRPr="00125364" w:rsidRDefault="00C06589" w:rsidP="00E515EB">
            <w:pPr>
              <w:shd w:val="clear" w:color="auto" w:fill="FFFF00"/>
              <w:spacing w:after="160" w:line="259" w:lineRule="auto"/>
              <w:jc w:val="both"/>
              <w:rPr>
                <w:rFonts w:ascii="Calibri" w:eastAsia="Times New Roman" w:hAnsi="Calibri" w:cs="Calibri"/>
                <w:lang w:val="en-IE"/>
              </w:rPr>
            </w:pPr>
          </w:p>
          <w:p w14:paraId="1A85912A" w14:textId="4E58E5C7" w:rsidR="00125364" w:rsidRDefault="00125364" w:rsidP="00E515EB">
            <w:pPr>
              <w:shd w:val="clear" w:color="auto" w:fill="FFFF00"/>
              <w:spacing w:after="160" w:line="259" w:lineRule="auto"/>
              <w:jc w:val="both"/>
              <w:rPr>
                <w:rFonts w:ascii="Calibri" w:eastAsia="Times New Roman" w:hAnsi="Calibri" w:cs="Calibri"/>
                <w:u w:val="single"/>
                <w:lang w:val="en-IE"/>
              </w:rPr>
            </w:pPr>
            <w:r w:rsidRPr="61A24D0A">
              <w:rPr>
                <w:rFonts w:ascii="Calibri" w:eastAsia="Times New Roman" w:hAnsi="Calibri" w:cs="Calibri"/>
                <w:u w:val="single"/>
                <w:lang w:val="en-IE"/>
              </w:rPr>
              <w:t>Pillar 2</w:t>
            </w:r>
            <w:r w:rsidR="006409AD" w:rsidRPr="61A24D0A">
              <w:rPr>
                <w:rFonts w:ascii="Calibri" w:eastAsia="Times New Roman" w:hAnsi="Calibri" w:cs="Calibri"/>
                <w:u w:val="single"/>
                <w:lang w:val="en-IE"/>
              </w:rPr>
              <w:t xml:space="preserve"> – Budget Preparation &amp; Implementation – Medium-Term Budgetary Frameworks</w:t>
            </w:r>
            <w:r w:rsidR="0077477B">
              <w:rPr>
                <w:rFonts w:ascii="Calibri" w:eastAsia="Times New Roman" w:hAnsi="Calibri" w:cs="Calibri"/>
                <w:u w:val="single"/>
                <w:lang w:val="en-IE"/>
              </w:rPr>
              <w:t xml:space="preserve"> </w:t>
            </w:r>
            <w:r w:rsidR="0077477B" w:rsidRPr="0077477B">
              <w:rPr>
                <w:rFonts w:ascii="Calibri" w:eastAsia="Times New Roman" w:hAnsi="Calibri" w:cs="Calibri"/>
                <w:u w:val="single"/>
                <w:lang w:val="en-IE"/>
              </w:rPr>
              <w:t>(MTBFs)</w:t>
            </w:r>
          </w:p>
          <w:p w14:paraId="0D4D34C9" w14:textId="3EF10E46" w:rsidR="00125364" w:rsidRDefault="0022351D" w:rsidP="005B50AB">
            <w:pPr>
              <w:shd w:val="clear" w:color="auto" w:fill="FFFF00"/>
              <w:spacing w:after="160" w:line="259" w:lineRule="auto"/>
              <w:jc w:val="both"/>
            </w:pPr>
            <w:r w:rsidRPr="00603A01">
              <w:rPr>
                <w:rFonts w:ascii="Calibri" w:eastAsia="Times New Roman" w:hAnsi="Calibri" w:cs="Calibri"/>
                <w:lang w:val="en-IE"/>
              </w:rPr>
              <w:t xml:space="preserve">A medium-term approach to budgeting should </w:t>
            </w:r>
            <w:r>
              <w:rPr>
                <w:rFonts w:ascii="Calibri" w:eastAsia="Times New Roman" w:hAnsi="Calibri" w:cs="Calibri"/>
                <w:lang w:val="en-IE"/>
              </w:rPr>
              <w:t>anchor</w:t>
            </w:r>
            <w:r w:rsidRPr="00603A01">
              <w:rPr>
                <w:rFonts w:ascii="Calibri" w:eastAsia="Times New Roman" w:hAnsi="Calibri" w:cs="Calibri"/>
                <w:lang w:val="en-IE"/>
              </w:rPr>
              <w:t xml:space="preserve"> expectations, hel</w:t>
            </w:r>
            <w:r w:rsidRPr="61A24D0A">
              <w:rPr>
                <w:rFonts w:ascii="Calibri" w:eastAsia="Times New Roman" w:hAnsi="Calibri" w:cs="Calibri"/>
                <w:lang w:val="en-IE"/>
              </w:rPr>
              <w:t>p avoid pro-cyclicalit</w:t>
            </w:r>
            <w:r>
              <w:rPr>
                <w:rFonts w:ascii="Calibri" w:eastAsia="Times New Roman" w:hAnsi="Calibri" w:cs="Calibri"/>
                <w:lang w:val="en-IE"/>
              </w:rPr>
              <w:t xml:space="preserve">y </w:t>
            </w:r>
            <w:r w:rsidRPr="61A24D0A">
              <w:rPr>
                <w:rFonts w:ascii="Calibri" w:eastAsia="Times New Roman" w:hAnsi="Calibri" w:cs="Calibri"/>
                <w:lang w:val="en-IE"/>
              </w:rPr>
              <w:t>and allow a more transparent setting of political priorities. MT</w:t>
            </w:r>
            <w:r w:rsidRPr="00603A01">
              <w:rPr>
                <w:rFonts w:ascii="Calibri" w:eastAsia="Times New Roman" w:hAnsi="Calibri" w:cs="Calibri"/>
                <w:lang w:val="en-IE"/>
              </w:rPr>
              <w:t xml:space="preserve">BFs </w:t>
            </w:r>
            <w:r>
              <w:rPr>
                <w:rFonts w:ascii="Calibri" w:eastAsia="Times New Roman" w:hAnsi="Calibri" w:cs="Calibri"/>
                <w:lang w:val="en-IE"/>
              </w:rPr>
              <w:t xml:space="preserve">in the EU Member States </w:t>
            </w:r>
            <w:r w:rsidRPr="00603A01">
              <w:rPr>
                <w:rFonts w:ascii="Calibri" w:eastAsia="Times New Roman" w:hAnsi="Calibri" w:cs="Calibri"/>
                <w:lang w:val="en-IE"/>
              </w:rPr>
              <w:t xml:space="preserve">were </w:t>
            </w:r>
            <w:r w:rsidRPr="00603A01">
              <w:rPr>
                <w:rFonts w:ascii="Calibri" w:eastAsia="Times New Roman" w:hAnsi="Calibri" w:cs="Calibri"/>
                <w:lang w:val="en-IE"/>
              </w:rPr>
              <w:lastRenderedPageBreak/>
              <w:t xml:space="preserve">strengthened by </w:t>
            </w:r>
            <w:r>
              <w:rPr>
                <w:rFonts w:ascii="Calibri" w:eastAsia="Times New Roman" w:hAnsi="Calibri" w:cs="Calibri"/>
                <w:lang w:val="en-IE"/>
              </w:rPr>
              <w:t>t</w:t>
            </w:r>
            <w:r w:rsidRPr="00603A01">
              <w:rPr>
                <w:rFonts w:ascii="Calibri" w:eastAsia="Times New Roman" w:hAnsi="Calibri" w:cs="Calibri"/>
                <w:lang w:val="en-IE"/>
              </w:rPr>
              <w:t>he Budgetary Framework Directive</w:t>
            </w:r>
            <w:r>
              <w:rPr>
                <w:rFonts w:ascii="Calibri" w:eastAsia="Times New Roman" w:hAnsi="Calibri" w:cs="Calibri"/>
                <w:lang w:val="en-IE"/>
              </w:rPr>
              <w:t xml:space="preserve"> (</w:t>
            </w:r>
            <w:r w:rsidRPr="00BD75C8">
              <w:rPr>
                <w:rFonts w:ascii="Calibri" w:eastAsia="Times New Roman" w:hAnsi="Calibri" w:cs="Calibri"/>
                <w:lang w:val="en-IE"/>
              </w:rPr>
              <w:t>Council Directive 2011/85/EU of 8 November 2011 on requirements for budgetary frameworks of the Member States</w:t>
            </w:r>
            <w:r>
              <w:rPr>
                <w:rFonts w:ascii="Calibri" w:eastAsia="Times New Roman" w:hAnsi="Calibri" w:cs="Calibri"/>
                <w:lang w:val="en-IE"/>
              </w:rPr>
              <w:t>)</w:t>
            </w:r>
            <w:r>
              <w:rPr>
                <w:rStyle w:val="FootnoteReference"/>
                <w:rFonts w:eastAsia="Times New Roman" w:cs="Calibri"/>
                <w:lang w:val="en-IE"/>
              </w:rPr>
              <w:footnoteReference w:id="4"/>
            </w:r>
            <w:r>
              <w:rPr>
                <w:rFonts w:ascii="Calibri" w:eastAsia="Times New Roman" w:hAnsi="Calibri" w:cs="Calibri"/>
                <w:lang w:val="en-IE"/>
              </w:rPr>
              <w:t xml:space="preserve"> setting minimum requirements for the content of domestic MTBFs and calling for</w:t>
            </w:r>
            <w:r w:rsidRPr="00603A01">
              <w:rPr>
                <w:rFonts w:ascii="Calibri" w:eastAsia="Times New Roman" w:hAnsi="Calibri" w:cs="Calibri"/>
                <w:lang w:val="en-IE"/>
              </w:rPr>
              <w:t xml:space="preserve"> </w:t>
            </w:r>
            <w:r>
              <w:rPr>
                <w:rFonts w:ascii="Calibri" w:eastAsia="Times New Roman" w:hAnsi="Calibri" w:cs="Calibri"/>
                <w:lang w:val="en-IE"/>
              </w:rPr>
              <w:t>the a</w:t>
            </w:r>
            <w:r w:rsidRPr="00603A01">
              <w:rPr>
                <w:rFonts w:ascii="Calibri" w:eastAsia="Times New Roman" w:hAnsi="Calibri" w:cs="Calibri"/>
                <w:lang w:val="en-IE"/>
              </w:rPr>
              <w:t xml:space="preserve">nnual budget legislation </w:t>
            </w:r>
            <w:r>
              <w:rPr>
                <w:rFonts w:ascii="Calibri" w:eastAsia="Times New Roman" w:hAnsi="Calibri" w:cs="Calibri"/>
                <w:lang w:val="en-IE"/>
              </w:rPr>
              <w:t>to</w:t>
            </w:r>
            <w:r w:rsidRPr="00603A01">
              <w:rPr>
                <w:rFonts w:ascii="Calibri" w:eastAsia="Times New Roman" w:hAnsi="Calibri" w:cs="Calibri"/>
                <w:lang w:val="en-IE"/>
              </w:rPr>
              <w:t xml:space="preserve"> be consistent with the </w:t>
            </w:r>
            <w:r>
              <w:rPr>
                <w:rFonts w:ascii="Calibri" w:eastAsia="Times New Roman" w:hAnsi="Calibri" w:cs="Calibri"/>
                <w:lang w:val="en-IE"/>
              </w:rPr>
              <w:t xml:space="preserve">MTBF </w:t>
            </w:r>
            <w:r w:rsidRPr="00603A01">
              <w:rPr>
                <w:rFonts w:ascii="Calibri" w:eastAsia="Times New Roman" w:hAnsi="Calibri" w:cs="Calibri"/>
                <w:lang w:val="en-IE"/>
              </w:rPr>
              <w:t>provisions</w:t>
            </w:r>
            <w:r>
              <w:rPr>
                <w:rFonts w:ascii="Calibri" w:eastAsia="Times New Roman" w:hAnsi="Calibri" w:cs="Calibri"/>
                <w:lang w:val="en-IE"/>
              </w:rPr>
              <w:t>.</w:t>
            </w:r>
            <w:r w:rsidRPr="00603A01">
              <w:rPr>
                <w:rFonts w:ascii="Calibri" w:eastAsia="Times New Roman" w:hAnsi="Calibri" w:cs="Calibri"/>
                <w:lang w:val="en-IE"/>
              </w:rPr>
              <w:t xml:space="preserve"> </w:t>
            </w:r>
            <w:r>
              <w:rPr>
                <w:rFonts w:ascii="Calibri" w:eastAsia="Times New Roman" w:hAnsi="Calibri" w:cs="Calibri"/>
                <w:lang w:val="en-IE"/>
              </w:rPr>
              <w:t>Implementing effective medium-term planning has</w:t>
            </w:r>
            <w:r w:rsidRPr="00603A01">
              <w:rPr>
                <w:rFonts w:ascii="Calibri" w:eastAsia="Times New Roman" w:hAnsi="Calibri" w:cs="Calibri"/>
                <w:lang w:val="en-IE"/>
              </w:rPr>
              <w:t xml:space="preserve"> proved </w:t>
            </w:r>
            <w:r>
              <w:rPr>
                <w:rFonts w:ascii="Calibri" w:eastAsia="Times New Roman" w:hAnsi="Calibri" w:cs="Calibri"/>
                <w:lang w:val="en-IE"/>
              </w:rPr>
              <w:t>challenging for Member States</w:t>
            </w:r>
            <w:r w:rsidRPr="00603A01">
              <w:rPr>
                <w:rFonts w:ascii="Calibri" w:eastAsia="Times New Roman" w:hAnsi="Calibri" w:cs="Calibri"/>
                <w:lang w:val="en-IE"/>
              </w:rPr>
              <w:t>.</w:t>
            </w:r>
            <w:r>
              <w:t xml:space="preserve"> Spending reviews could contribute to achieving medium-term budgetary objectives</w:t>
            </w:r>
            <w:r w:rsidR="008F2881">
              <w:t xml:space="preserve"> if their outcomes were considered beyond the annual budget process. </w:t>
            </w:r>
          </w:p>
          <w:p w14:paraId="37C0A4D9" w14:textId="61D597A1" w:rsidR="006409AD" w:rsidRDefault="006409AD" w:rsidP="006409AD">
            <w:pPr>
              <w:shd w:val="clear" w:color="auto" w:fill="FFFF00"/>
              <w:spacing w:after="160" w:line="259" w:lineRule="auto"/>
              <w:jc w:val="both"/>
            </w:pPr>
            <w:r>
              <w:t>The Flagship’s second pillar provides support to</w:t>
            </w:r>
            <w:r w:rsidR="00824E65">
              <w:t xml:space="preserve"> Member States to</w:t>
            </w:r>
            <w:r>
              <w:t xml:space="preserve"> review best practices in medium-term budgeting and upgrade </w:t>
            </w:r>
            <w:r w:rsidR="00824E65">
              <w:t>their</w:t>
            </w:r>
            <w:r w:rsidR="00343951">
              <w:t xml:space="preserve"> </w:t>
            </w:r>
            <w:r>
              <w:t>existing practices, as well as enhance processes and modelling tools that support the MTBF.</w:t>
            </w:r>
          </w:p>
          <w:p w14:paraId="5A26F7A5" w14:textId="77777777" w:rsidR="00C06589" w:rsidRPr="00603A01" w:rsidRDefault="00C06589" w:rsidP="006409AD">
            <w:pPr>
              <w:shd w:val="clear" w:color="auto" w:fill="FFFF00"/>
              <w:spacing w:after="160" w:line="259" w:lineRule="auto"/>
              <w:jc w:val="both"/>
              <w:rPr>
                <w:rFonts w:ascii="Calibri" w:eastAsia="Times New Roman" w:hAnsi="Calibri" w:cs="Calibri"/>
                <w:lang w:val="en-IE"/>
              </w:rPr>
            </w:pPr>
          </w:p>
          <w:p w14:paraId="235CE686" w14:textId="10DFA7ED" w:rsidR="00125364" w:rsidRDefault="00125364" w:rsidP="00E515EB">
            <w:pPr>
              <w:shd w:val="clear" w:color="auto" w:fill="FFFF00"/>
              <w:spacing w:after="160" w:line="259" w:lineRule="auto"/>
              <w:jc w:val="both"/>
              <w:rPr>
                <w:rFonts w:ascii="Calibri" w:eastAsia="Times New Roman" w:hAnsi="Calibri" w:cs="Calibri"/>
                <w:u w:val="single"/>
                <w:lang w:val="en-IE"/>
              </w:rPr>
            </w:pPr>
            <w:r w:rsidRPr="61A24D0A">
              <w:rPr>
                <w:rFonts w:ascii="Calibri" w:eastAsia="Times New Roman" w:hAnsi="Calibri" w:cs="Calibri"/>
                <w:u w:val="single"/>
                <w:lang w:val="en-IE"/>
              </w:rPr>
              <w:t>Pillar 3</w:t>
            </w:r>
          </w:p>
          <w:p w14:paraId="567792A7" w14:textId="6CCD9C0E" w:rsidR="00015D1A" w:rsidRDefault="005830C0" w:rsidP="00155BD1">
            <w:pPr>
              <w:shd w:val="clear" w:color="auto" w:fill="FFFF00"/>
              <w:spacing w:after="160" w:line="259" w:lineRule="auto"/>
              <w:jc w:val="both"/>
            </w:pPr>
            <w:r w:rsidRPr="61A24D0A">
              <w:rPr>
                <w:rFonts w:ascii="Calibri" w:eastAsia="Times New Roman" w:hAnsi="Calibri" w:cs="Calibri"/>
                <w:lang w:val="en-IE"/>
              </w:rPr>
              <w:t xml:space="preserve">As the Commission’s 2022 Debt Sustainability Monitor </w:t>
            </w:r>
            <w:r w:rsidR="003D2C75" w:rsidRPr="61A24D0A">
              <w:rPr>
                <w:rFonts w:ascii="Calibri" w:eastAsia="Times New Roman" w:hAnsi="Calibri" w:cs="Calibri"/>
                <w:lang w:val="en-IE"/>
              </w:rPr>
              <w:t xml:space="preserve">notes, </w:t>
            </w:r>
            <w:r w:rsidR="00155BD1" w:rsidRPr="61A24D0A">
              <w:rPr>
                <w:rFonts w:ascii="Calibri" w:eastAsia="Times New Roman" w:hAnsi="Calibri" w:cs="Calibri"/>
                <w:lang w:val="en-IE"/>
              </w:rPr>
              <w:t xml:space="preserve">in 2024 </w:t>
            </w:r>
            <w:r w:rsidR="00CE7F2E" w:rsidRPr="61A24D0A">
              <w:rPr>
                <w:rFonts w:ascii="Calibri" w:eastAsia="Times New Roman" w:hAnsi="Calibri" w:cs="Calibri"/>
                <w:lang w:val="en-IE"/>
              </w:rPr>
              <w:t xml:space="preserve">the EU aggregate deficit is expected to remain above 3%, while </w:t>
            </w:r>
            <w:r w:rsidR="0013762F" w:rsidRPr="61A24D0A">
              <w:rPr>
                <w:rFonts w:ascii="Calibri" w:eastAsia="Times New Roman" w:hAnsi="Calibri" w:cs="Calibri"/>
                <w:lang w:val="en-IE"/>
              </w:rPr>
              <w:t xml:space="preserve">the public debt-to-GDP ratio in the EU is </w:t>
            </w:r>
            <w:r w:rsidR="004D7489" w:rsidRPr="61A24D0A">
              <w:rPr>
                <w:rFonts w:ascii="Calibri" w:eastAsia="Times New Roman" w:hAnsi="Calibri" w:cs="Calibri"/>
                <w:lang w:val="en-IE"/>
              </w:rPr>
              <w:t>expected to be 84%</w:t>
            </w:r>
            <w:r w:rsidR="003D2C75" w:rsidRPr="61A24D0A">
              <w:rPr>
                <w:rFonts w:ascii="Calibri" w:eastAsia="Times New Roman" w:hAnsi="Calibri" w:cs="Calibri"/>
                <w:lang w:val="en-IE"/>
              </w:rPr>
              <w:t xml:space="preserve">. </w:t>
            </w:r>
            <w:r w:rsidR="0069518D" w:rsidRPr="61A24D0A">
              <w:rPr>
                <w:rFonts w:ascii="Calibri" w:eastAsia="Times New Roman" w:hAnsi="Calibri" w:cs="Calibri"/>
                <w:lang w:val="en-IE"/>
              </w:rPr>
              <w:t>In addition, f</w:t>
            </w:r>
            <w:r w:rsidR="003D2C75" w:rsidRPr="61A24D0A">
              <w:rPr>
                <w:rFonts w:ascii="Calibri" w:eastAsia="Times New Roman" w:hAnsi="Calibri" w:cs="Calibri"/>
                <w:lang w:val="en-IE"/>
              </w:rPr>
              <w:t>inancing conditions have been tightening</w:t>
            </w:r>
            <w:r w:rsidR="009E2123" w:rsidRPr="61A24D0A">
              <w:rPr>
                <w:rFonts w:ascii="Calibri" w:eastAsia="Times New Roman" w:hAnsi="Calibri" w:cs="Calibri"/>
                <w:lang w:val="en-IE"/>
              </w:rPr>
              <w:t xml:space="preserve">, with short-term rates increasing and </w:t>
            </w:r>
            <w:r w:rsidR="00766EBF" w:rsidRPr="61A24D0A">
              <w:rPr>
                <w:rFonts w:ascii="Calibri" w:eastAsia="Times New Roman" w:hAnsi="Calibri" w:cs="Calibri"/>
                <w:lang w:val="en-IE"/>
              </w:rPr>
              <w:t xml:space="preserve">long-term real rates for most Member States well into positive territory. </w:t>
            </w:r>
            <w:r w:rsidR="00155BD1" w:rsidRPr="61A24D0A">
              <w:rPr>
                <w:rFonts w:ascii="Calibri" w:eastAsia="Times New Roman" w:hAnsi="Calibri" w:cs="Calibri"/>
                <w:lang w:val="en-IE"/>
              </w:rPr>
              <w:t xml:space="preserve">Over the medium term, </w:t>
            </w:r>
            <w:r w:rsidR="00266F67" w:rsidRPr="61A24D0A">
              <w:rPr>
                <w:rFonts w:ascii="Calibri" w:eastAsia="Times New Roman" w:hAnsi="Calibri" w:cs="Calibri"/>
                <w:lang w:val="en-IE"/>
              </w:rPr>
              <w:t xml:space="preserve">the public debt-to-GDP ratio </w:t>
            </w:r>
            <w:r w:rsidR="00155BD1" w:rsidRPr="61A24D0A">
              <w:rPr>
                <w:rFonts w:ascii="Calibri" w:eastAsia="Times New Roman" w:hAnsi="Calibri" w:cs="Calibri"/>
                <w:lang w:val="en-IE"/>
              </w:rPr>
              <w:t>is</w:t>
            </w:r>
            <w:r w:rsidR="00C41B8A" w:rsidRPr="61A24D0A">
              <w:rPr>
                <w:rFonts w:ascii="Calibri" w:eastAsia="Times New Roman" w:hAnsi="Calibri" w:cs="Calibri"/>
                <w:lang w:val="en-IE"/>
              </w:rPr>
              <w:t xml:space="preserve"> thus</w:t>
            </w:r>
            <w:r w:rsidR="00155BD1" w:rsidRPr="61A24D0A">
              <w:rPr>
                <w:rFonts w:ascii="Calibri" w:eastAsia="Times New Roman" w:hAnsi="Calibri" w:cs="Calibri"/>
                <w:lang w:val="en-IE"/>
              </w:rPr>
              <w:t xml:space="preserve"> expected to decline only temporarily</w:t>
            </w:r>
            <w:r w:rsidR="004608F2" w:rsidRPr="61A24D0A">
              <w:rPr>
                <w:rFonts w:ascii="Calibri" w:eastAsia="Times New Roman" w:hAnsi="Calibri" w:cs="Calibri"/>
                <w:lang w:val="en-IE"/>
              </w:rPr>
              <w:t xml:space="preserve"> in the late 2020s</w:t>
            </w:r>
            <w:r w:rsidR="00155BD1" w:rsidRPr="61A24D0A">
              <w:rPr>
                <w:rFonts w:ascii="Calibri" w:eastAsia="Times New Roman" w:hAnsi="Calibri" w:cs="Calibri"/>
                <w:lang w:val="en-IE"/>
              </w:rPr>
              <w:t xml:space="preserve"> before rising </w:t>
            </w:r>
            <w:r w:rsidR="00C41B8A" w:rsidRPr="61A24D0A">
              <w:rPr>
                <w:rFonts w:ascii="Calibri" w:eastAsia="Times New Roman" w:hAnsi="Calibri" w:cs="Calibri"/>
                <w:lang w:val="en-IE"/>
              </w:rPr>
              <w:t>in the 2030s</w:t>
            </w:r>
            <w:r w:rsidR="00786E2C" w:rsidRPr="61A24D0A">
              <w:rPr>
                <w:rFonts w:ascii="Calibri" w:eastAsia="Times New Roman" w:hAnsi="Calibri" w:cs="Calibri"/>
                <w:lang w:val="en-IE"/>
              </w:rPr>
              <w:t>, including as a result of the costs of aging.</w:t>
            </w:r>
            <w:r w:rsidR="0082283C" w:rsidRPr="61A24D0A">
              <w:rPr>
                <w:rFonts w:ascii="Calibri" w:eastAsia="Times New Roman" w:hAnsi="Calibri" w:cs="Calibri"/>
                <w:lang w:val="en-IE"/>
              </w:rPr>
              <w:t xml:space="preserve"> </w:t>
            </w:r>
            <w:r w:rsidR="00B30661">
              <w:t>Medium-term risks are also found to be high in nine and medium in 10 EU countries.</w:t>
            </w:r>
          </w:p>
          <w:p w14:paraId="4EB9AC7F" w14:textId="6873C335" w:rsidR="00B30661" w:rsidRDefault="00C415CB" w:rsidP="00155BD1">
            <w:pPr>
              <w:shd w:val="clear" w:color="auto" w:fill="FFFF00"/>
              <w:spacing w:after="160" w:line="259" w:lineRule="auto"/>
              <w:jc w:val="both"/>
              <w:rPr>
                <w:rFonts w:ascii="Calibri" w:eastAsia="Times New Roman" w:hAnsi="Calibri" w:cs="Calibri"/>
                <w:lang w:val="en-IE"/>
              </w:rPr>
            </w:pPr>
            <w:r w:rsidRPr="61A24D0A">
              <w:rPr>
                <w:rFonts w:ascii="Calibri" w:eastAsia="Times New Roman" w:hAnsi="Calibri" w:cs="Calibri"/>
                <w:lang w:val="en-IE"/>
              </w:rPr>
              <w:t>The Flagship’s third pillar recognises the</w:t>
            </w:r>
            <w:r w:rsidR="00334152" w:rsidRPr="61A24D0A">
              <w:rPr>
                <w:rFonts w:ascii="Calibri" w:eastAsia="Times New Roman" w:hAnsi="Calibri" w:cs="Calibri"/>
                <w:lang w:val="en-IE"/>
              </w:rPr>
              <w:t xml:space="preserve"> topical importance of ensuring debt sustainability in Member States </w:t>
            </w:r>
            <w:r w:rsidR="00776993" w:rsidRPr="61A24D0A">
              <w:rPr>
                <w:rFonts w:ascii="Calibri" w:eastAsia="Times New Roman" w:hAnsi="Calibri" w:cs="Calibri"/>
                <w:lang w:val="en-IE"/>
              </w:rPr>
              <w:t xml:space="preserve">beyond the short-term. It </w:t>
            </w:r>
            <w:r w:rsidR="00334152" w:rsidRPr="61A24D0A">
              <w:rPr>
                <w:rFonts w:ascii="Calibri" w:eastAsia="Times New Roman" w:hAnsi="Calibri" w:cs="Calibri"/>
                <w:lang w:val="en-IE"/>
              </w:rPr>
              <w:t>provid</w:t>
            </w:r>
            <w:r w:rsidR="00776993" w:rsidRPr="61A24D0A">
              <w:rPr>
                <w:rFonts w:ascii="Calibri" w:eastAsia="Times New Roman" w:hAnsi="Calibri" w:cs="Calibri"/>
                <w:lang w:val="en-IE"/>
              </w:rPr>
              <w:t>es</w:t>
            </w:r>
            <w:r w:rsidR="00334152" w:rsidRPr="61A24D0A">
              <w:rPr>
                <w:rFonts w:ascii="Calibri" w:eastAsia="Times New Roman" w:hAnsi="Calibri" w:cs="Calibri"/>
                <w:lang w:val="en-IE"/>
              </w:rPr>
              <w:t xml:space="preserve"> a combination of training modules and </w:t>
            </w:r>
            <w:r w:rsidR="00776993" w:rsidRPr="61A24D0A">
              <w:rPr>
                <w:rFonts w:ascii="Calibri" w:eastAsia="Times New Roman" w:hAnsi="Calibri" w:cs="Calibri"/>
                <w:lang w:val="en-IE"/>
              </w:rPr>
              <w:t xml:space="preserve">hands-on </w:t>
            </w:r>
            <w:r w:rsidR="00AD2138" w:rsidRPr="61A24D0A">
              <w:rPr>
                <w:rFonts w:ascii="Calibri" w:eastAsia="Times New Roman" w:hAnsi="Calibri" w:cs="Calibri"/>
                <w:lang w:val="en-IE"/>
              </w:rPr>
              <w:t xml:space="preserve">implementation support to increase Member States’ capacity to model both medium- and long-term </w:t>
            </w:r>
            <w:r w:rsidR="00895122" w:rsidRPr="61A24D0A">
              <w:rPr>
                <w:rFonts w:ascii="Calibri" w:eastAsia="Times New Roman" w:hAnsi="Calibri" w:cs="Calibri"/>
                <w:lang w:val="en-IE"/>
              </w:rPr>
              <w:t>debt sustainability.</w:t>
            </w:r>
          </w:p>
          <w:p w14:paraId="3C14BCB1" w14:textId="77777777" w:rsidR="00C06589" w:rsidRPr="00C06589" w:rsidRDefault="00C06589" w:rsidP="00155BD1">
            <w:pPr>
              <w:shd w:val="clear" w:color="auto" w:fill="FFFF00"/>
              <w:spacing w:after="160" w:line="259" w:lineRule="auto"/>
              <w:jc w:val="both"/>
              <w:rPr>
                <w:rFonts w:ascii="Calibri" w:eastAsia="Times New Roman" w:hAnsi="Calibri" w:cs="Calibri"/>
              </w:rPr>
            </w:pPr>
          </w:p>
          <w:p w14:paraId="1F2B5F28" w14:textId="22A1B29A" w:rsidR="00393CA9" w:rsidRDefault="00393CA9" w:rsidP="00410FFA">
            <w:pPr>
              <w:shd w:val="clear" w:color="auto" w:fill="FFFF00"/>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indicate the needs pertinent to your request. </w:t>
            </w:r>
          </w:p>
          <w:p w14:paraId="5DEE330F" w14:textId="77777777" w:rsidR="00393CA9" w:rsidRDefault="00393CA9" w:rsidP="00410FFA">
            <w:pPr>
              <w:shd w:val="clear" w:color="auto" w:fill="FFFF00"/>
              <w:spacing w:after="0"/>
              <w:jc w:val="both"/>
              <w:rPr>
                <w:rFonts w:ascii="Verdana" w:hAnsi="Verdana" w:cs="Arial"/>
                <w:i/>
                <w:color w:val="FF0000"/>
                <w:sz w:val="20"/>
                <w:szCs w:val="20"/>
              </w:rPr>
            </w:pPr>
          </w:p>
          <w:p w14:paraId="1629A2C4" w14:textId="208984D5" w:rsidR="00393CA9" w:rsidRDefault="00393CA9" w:rsidP="00410FFA">
            <w:pPr>
              <w:shd w:val="clear" w:color="auto" w:fill="FFFF00"/>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For the needs identified, please p</w:t>
            </w:r>
            <w:r w:rsidRPr="00986969">
              <w:rPr>
                <w:rFonts w:ascii="Verdana" w:hAnsi="Verdana" w:cs="Arial"/>
                <w:i/>
                <w:color w:val="FF0000"/>
                <w:sz w:val="20"/>
                <w:szCs w:val="20"/>
              </w:rPr>
              <w:t>rovide</w:t>
            </w:r>
            <w:r>
              <w:rPr>
                <w:rFonts w:ascii="Verdana" w:hAnsi="Verdana" w:cs="Arial"/>
                <w:i/>
                <w:color w:val="FF0000"/>
                <w:sz w:val="20"/>
                <w:szCs w:val="20"/>
              </w:rPr>
              <w:t xml:space="preserve"> a </w:t>
            </w:r>
            <w:r w:rsidRPr="00986969">
              <w:rPr>
                <w:rFonts w:ascii="Verdana" w:hAnsi="Verdana" w:cs="Arial"/>
                <w:i/>
                <w:color w:val="FF0000"/>
                <w:sz w:val="20"/>
                <w:szCs w:val="20"/>
              </w:rPr>
              <w:t xml:space="preserve">justification of the specific problems that are relevant to your specific national context </w:t>
            </w:r>
            <w:r>
              <w:rPr>
                <w:rFonts w:ascii="Verdana" w:hAnsi="Verdana" w:cs="Arial"/>
                <w:i/>
                <w:color w:val="FF0000"/>
                <w:sz w:val="20"/>
                <w:szCs w:val="20"/>
              </w:rPr>
              <w:t>in the free text area below</w:t>
            </w:r>
            <w:r w:rsidRPr="00986969">
              <w:rPr>
                <w:rFonts w:ascii="Verdana" w:hAnsi="Verdana" w:cs="Arial"/>
                <w:i/>
                <w:color w:val="FF0000"/>
                <w:sz w:val="20"/>
                <w:szCs w:val="20"/>
              </w:rPr>
              <w:t>.</w:t>
            </w:r>
            <w:r>
              <w:rPr>
                <w:rFonts w:ascii="Verdana" w:eastAsia="Times New Roman" w:hAnsi="Verdana" w:cs="Arial"/>
                <w:color w:val="FF0000"/>
                <w:sz w:val="20"/>
                <w:szCs w:val="20"/>
                <w:lang w:eastAsia="en-GB"/>
              </w:rPr>
              <w:t xml:space="preserve"> </w:t>
            </w:r>
          </w:p>
          <w:p w14:paraId="0CE704B3" w14:textId="17019812" w:rsidR="00393CA9" w:rsidRPr="00EB3270" w:rsidDel="00CA5DB7" w:rsidRDefault="00393CA9" w:rsidP="00976AC0">
            <w:pPr>
              <w:spacing w:after="0"/>
              <w:jc w:val="both"/>
              <w:rPr>
                <w:rFonts w:ascii="Verdana" w:eastAsia="Times New Roman" w:hAnsi="Verdana" w:cs="Arial"/>
                <w:sz w:val="20"/>
                <w:szCs w:val="20"/>
                <w:lang w:eastAsia="en-GB"/>
              </w:rPr>
            </w:pPr>
          </w:p>
        </w:tc>
      </w:tr>
      <w:tr w:rsidR="00976AC0" w:rsidRPr="00F64CAB" w14:paraId="7591D403" w14:textId="77777777" w:rsidTr="61A24D0A">
        <w:trPr>
          <w:trHeight w:val="420"/>
        </w:trPr>
        <w:tc>
          <w:tcPr>
            <w:tcW w:w="9072" w:type="dxa"/>
            <w:gridSpan w:val="3"/>
            <w:shd w:val="clear" w:color="auto" w:fill="auto"/>
            <w:vAlign w:val="center"/>
          </w:tcPr>
          <w:p w14:paraId="222B636B" w14:textId="3CDA4E9B" w:rsidR="00976AC0" w:rsidRPr="00334FF6" w:rsidRDefault="00976AC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rPr>
            </w:pPr>
            <w:r>
              <w:rPr>
                <w:rFonts w:ascii="Verdana" w:eastAsia="Times New Roman" w:hAnsi="Verdana" w:cs="Arial"/>
                <w:sz w:val="20"/>
                <w:szCs w:val="20"/>
                <w:lang w:val="en-US" w:eastAsia="en-GB"/>
              </w:rPr>
              <w:lastRenderedPageBreak/>
              <w:t>[Insert Text; between 350-400 words]</w:t>
            </w:r>
          </w:p>
        </w:tc>
      </w:tr>
      <w:tr w:rsidR="00CA5DB7" w:rsidRPr="00F64CAB" w14:paraId="5D4E53DC" w14:textId="77777777" w:rsidTr="61A24D0A">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61A24D0A">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61A24D0A">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61A24D0A">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61A24D0A">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lastRenderedPageBreak/>
              <w:t>1.4</w:t>
            </w:r>
          </w:p>
        </w:tc>
        <w:tc>
          <w:tcPr>
            <w:tcW w:w="8399" w:type="dxa"/>
            <w:gridSpan w:val="2"/>
            <w:shd w:val="clear" w:color="auto" w:fill="D9D9D9" w:themeFill="background1" w:themeFillShade="D9"/>
            <w:vAlign w:val="center"/>
          </w:tcPr>
          <w:p w14:paraId="3109517C" w14:textId="014D69DA"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Is there a specific deadline (at national,</w:t>
            </w:r>
            <w:r w:rsidR="00227A50">
              <w:rPr>
                <w:rFonts w:ascii="Verdana" w:eastAsia="Times New Roman" w:hAnsi="Verdana" w:cs="Arial"/>
                <w:b/>
                <w:bCs/>
                <w:sz w:val="20"/>
                <w:szCs w:val="20"/>
                <w:lang w:val="en-US" w:eastAsia="en-GB"/>
              </w:rPr>
              <w:t xml:space="preserve"> regional, </w:t>
            </w:r>
            <w:r w:rsidRPr="00EC5A01">
              <w:rPr>
                <w:rFonts w:ascii="Verdana" w:eastAsia="Times New Roman" w:hAnsi="Verdana" w:cs="Arial"/>
                <w:b/>
                <w:bCs/>
                <w:sz w:val="20"/>
                <w:szCs w:val="20"/>
                <w:lang w:val="en-US" w:eastAsia="en-GB"/>
              </w:rPr>
              <w:t>European or international level)?</w:t>
            </w:r>
          </w:p>
        </w:tc>
      </w:tr>
      <w:tr w:rsidR="003A5F9A" w:rsidRPr="00F64CAB" w14:paraId="51190A4A" w14:textId="77777777" w:rsidTr="61A24D0A">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61A24D0A">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61A24D0A">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61A24D0A">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52FA22BC" w14:textId="6D45DE62"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w:t>
            </w:r>
            <w:r w:rsidR="00227A50">
              <w:rPr>
                <w:rFonts w:ascii="Verdana" w:eastAsia="Times New Roman" w:hAnsi="Verdana" w:cs="Arial"/>
                <w:b/>
                <w:bCs/>
                <w:sz w:val="20"/>
                <w:szCs w:val="20"/>
                <w:lang w:val="en-US" w:eastAsia="en-GB"/>
              </w:rPr>
              <w:t>uropean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61A24D0A">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077F9EBC" w14:textId="77777777" w:rsidTr="61A24D0A">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61A24D0A">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61A24D0A">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9273440" w14:textId="640497CC" w:rsidR="00547B77" w:rsidRPr="00FC297D" w:rsidRDefault="00140C8E" w:rsidP="00FC297D">
            <w:pPr>
              <w:spacing w:after="0"/>
              <w:rPr>
                <w:lang w:val="en-US" w:eastAsia="en-GB"/>
              </w:rPr>
            </w:pPr>
            <w:r w:rsidRPr="00FC297D">
              <w:rPr>
                <w:rFonts w:ascii="Verdana" w:eastAsia="Times New Roman" w:hAnsi="Verdana" w:cs="Arial"/>
                <w:sz w:val="20"/>
                <w:szCs w:val="20"/>
                <w:lang w:val="en-US" w:eastAsia="en-GB"/>
              </w:rPr>
              <w:t>Revenue administration and public financial management</w:t>
            </w:r>
          </w:p>
        </w:tc>
      </w:tr>
      <w:tr w:rsidR="00547B77" w:rsidRPr="00F64CAB" w14:paraId="5F7691B5" w14:textId="77777777" w:rsidTr="61A24D0A">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t>2.1.b</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61A24D0A">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696EBB7" w14:textId="77777777" w:rsidR="00140C8E" w:rsidRDefault="00140C8E" w:rsidP="00140C8E">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Single Choice: Selection from pre-determined options based on DG REFORM broad policy areas of intervention:</w:t>
            </w:r>
          </w:p>
          <w:p w14:paraId="69315C20"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Governance and public administration</w:t>
            </w:r>
          </w:p>
          <w:p w14:paraId="25A8179C" w14:textId="3491FDE4" w:rsidR="00140C8E" w:rsidRPr="00140C8E" w:rsidRDefault="007E64B3"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Sustainable g</w:t>
            </w:r>
            <w:r w:rsidR="00140C8E"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environment</w:t>
            </w:r>
          </w:p>
          <w:p w14:paraId="3C9E894C"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proofErr w:type="spellStart"/>
            <w:r w:rsidRPr="00140C8E">
              <w:rPr>
                <w:rFonts w:ascii="Verdana" w:eastAsia="Times New Roman" w:hAnsi="Verdana" w:cs="Arial"/>
                <w:sz w:val="20"/>
                <w:szCs w:val="20"/>
                <w:lang w:val="en-US" w:eastAsia="en-GB"/>
              </w:rPr>
              <w:t>Labour</w:t>
            </w:r>
            <w:proofErr w:type="spellEnd"/>
            <w:r w:rsidRPr="00140C8E">
              <w:rPr>
                <w:rFonts w:ascii="Verdana" w:eastAsia="Times New Roman" w:hAnsi="Verdana" w:cs="Arial"/>
                <w:sz w:val="20"/>
                <w:szCs w:val="20"/>
                <w:lang w:val="en-US" w:eastAsia="en-GB"/>
              </w:rPr>
              <w:t xml:space="preserve"> market, Education, Health and Social services</w:t>
            </w:r>
          </w:p>
          <w:p w14:paraId="29060958" w14:textId="77777777"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Financial sector and access to finance</w:t>
            </w:r>
          </w:p>
          <w:p w14:paraId="67A13B8D" w14:textId="539B8640"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Migration</w:t>
            </w:r>
            <w:r w:rsidR="000C308A">
              <w:rPr>
                <w:rFonts w:ascii="Verdana" w:eastAsia="Times New Roman" w:hAnsi="Verdana" w:cs="Arial"/>
                <w:sz w:val="20"/>
                <w:szCs w:val="20"/>
                <w:lang w:val="en-US" w:eastAsia="en-GB"/>
              </w:rPr>
              <w:t>, asylum and border management</w:t>
            </w:r>
          </w:p>
          <w:p w14:paraId="2697A5AC" w14:textId="499F0772" w:rsidR="00405D81" w:rsidRPr="00140C8E" w:rsidRDefault="00013D60" w:rsidP="00140C8E">
            <w:pPr>
              <w:pStyle w:val="ListParagraph"/>
              <w:numPr>
                <w:ilvl w:val="0"/>
                <w:numId w:val="19"/>
              </w:numPr>
              <w:spacing w:after="0"/>
              <w:rPr>
                <w:rFonts w:ascii="Verdana" w:eastAsia="Times New Roman" w:hAnsi="Verdana" w:cs="Arial"/>
                <w:sz w:val="20"/>
                <w:szCs w:val="20"/>
                <w:lang w:val="en-US" w:eastAsia="en-GB"/>
              </w:rPr>
            </w:pPr>
            <w:r w:rsidRPr="00F01DBF">
              <w:rPr>
                <w:rFonts w:ascii="Verdana" w:eastAsia="Times New Roman" w:hAnsi="Verdana" w:cs="Arial"/>
                <w:sz w:val="20"/>
                <w:szCs w:val="20"/>
                <w:lang w:val="en-US" w:eastAsia="en-GB"/>
              </w:rPr>
              <w:t xml:space="preserve">General support to implementation of </w:t>
            </w:r>
            <w:r w:rsidR="00140C8E" w:rsidRPr="00F01DBF">
              <w:rPr>
                <w:rFonts w:ascii="Verdana" w:eastAsia="Times New Roman" w:hAnsi="Verdana" w:cs="Arial"/>
                <w:sz w:val="20"/>
                <w:szCs w:val="20"/>
                <w:lang w:val="en-US" w:eastAsia="en-GB"/>
              </w:rPr>
              <w:t>RRP</w:t>
            </w:r>
            <w:r w:rsidRPr="00F01DBF">
              <w:rPr>
                <w:rFonts w:ascii="Verdana" w:eastAsia="Times New Roman" w:hAnsi="Verdana" w:cs="Arial"/>
                <w:sz w:val="20"/>
                <w:szCs w:val="20"/>
                <w:lang w:val="en-US" w:eastAsia="en-GB"/>
              </w:rPr>
              <w:t>s</w:t>
            </w:r>
            <w:r w:rsidR="00140C8E" w:rsidRPr="00F01DBF">
              <w:rPr>
                <w:rFonts w:ascii="Verdana" w:eastAsia="Times New Roman" w:hAnsi="Verdana" w:cs="Arial"/>
                <w:sz w:val="20"/>
                <w:szCs w:val="20"/>
                <w:lang w:val="en-US" w:eastAsia="en-GB"/>
              </w:rPr>
              <w:t>]</w:t>
            </w:r>
          </w:p>
        </w:tc>
      </w:tr>
      <w:tr w:rsidR="00775D1C" w:rsidRPr="00F64CAB" w14:paraId="430C8B35" w14:textId="77777777" w:rsidTr="61A24D0A">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Default="00775D1C" w:rsidP="00775D1C">
            <w:pPr>
              <w:spacing w:after="0"/>
              <w:rPr>
                <w:rFonts w:ascii="Verdana" w:hAnsi="Verdana"/>
                <w:b/>
                <w:bCs/>
                <w:sz w:val="20"/>
                <w:szCs w:val="20"/>
              </w:rPr>
            </w:pPr>
            <w:r>
              <w:rPr>
                <w:rFonts w:ascii="Verdana" w:hAnsi="Verdana"/>
                <w:b/>
                <w:bCs/>
                <w:sz w:val="20"/>
                <w:szCs w:val="20"/>
              </w:rPr>
              <w:t xml:space="preserve">Please indicate the </w:t>
            </w:r>
            <w:r w:rsidRPr="004F1F58">
              <w:rPr>
                <w:rFonts w:ascii="Verdana" w:hAnsi="Verdana"/>
                <w:b/>
                <w:bCs/>
                <w:sz w:val="20"/>
                <w:szCs w:val="20"/>
              </w:rPr>
              <w:t xml:space="preserve">topic(s) </w:t>
            </w:r>
            <w:r w:rsidR="00A3620D" w:rsidRPr="004F1F58">
              <w:rPr>
                <w:rFonts w:ascii="Verdana" w:hAnsi="Verdana"/>
                <w:b/>
                <w:bCs/>
                <w:sz w:val="20"/>
                <w:szCs w:val="20"/>
              </w:rPr>
              <w:t>(</w:t>
            </w:r>
            <w:r w:rsidRPr="004F1F58">
              <w:rPr>
                <w:rFonts w:ascii="Verdana" w:hAnsi="Verdana"/>
                <w:b/>
                <w:bCs/>
                <w:sz w:val="20"/>
                <w:szCs w:val="20"/>
              </w:rPr>
              <w:t>or policy actions</w:t>
            </w:r>
            <w:r w:rsidR="00A3620D" w:rsidRPr="004F1F58">
              <w:rPr>
                <w:rFonts w:ascii="Verdana" w:hAnsi="Verdana"/>
                <w:b/>
                <w:bCs/>
                <w:sz w:val="20"/>
                <w:szCs w:val="20"/>
              </w:rPr>
              <w:t>)</w:t>
            </w:r>
            <w:r w:rsidRPr="004F1F58">
              <w:rPr>
                <w:rFonts w:ascii="Verdana" w:hAnsi="Verdana"/>
                <w:b/>
                <w:bCs/>
                <w:sz w:val="20"/>
                <w:szCs w:val="20"/>
              </w:rPr>
              <w:t xml:space="preserve"> of the</w:t>
            </w:r>
            <w:r>
              <w:rPr>
                <w:rFonts w:ascii="Verdana" w:hAnsi="Verdana"/>
                <w:b/>
                <w:bCs/>
                <w:sz w:val="20"/>
                <w:szCs w:val="20"/>
              </w:rPr>
              <w:t xml:space="preserve"> support measures requested</w:t>
            </w:r>
          </w:p>
        </w:tc>
      </w:tr>
      <w:tr w:rsidR="00775D1C" w:rsidRPr="00F64CAB" w14:paraId="2308C987" w14:textId="77777777" w:rsidTr="61A24D0A">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198BCB73" w14:textId="3FC137A6" w:rsidR="00BB27BC" w:rsidRPr="5ED146BE" w:rsidRDefault="006C7EF8" w:rsidP="00775D1C">
            <w:pPr>
              <w:spacing w:after="0"/>
              <w:rPr>
                <w:rFonts w:ascii="Verdana" w:eastAsia="Times New Roman" w:hAnsi="Verdana" w:cs="Arial"/>
                <w:sz w:val="20"/>
                <w:szCs w:val="20"/>
                <w:lang w:val="en-US" w:eastAsia="en-GB"/>
              </w:rPr>
            </w:pPr>
            <w:r w:rsidRPr="5ED146BE">
              <w:rPr>
                <w:rFonts w:ascii="Verdana" w:hAnsi="Verdana" w:cs="Arial"/>
                <w:sz w:val="20"/>
                <w:lang w:val="en-US"/>
              </w:rPr>
              <w:t>[</w:t>
            </w:r>
            <w:r>
              <w:rPr>
                <w:rFonts w:ascii="Verdana" w:hAnsi="Verdana" w:cs="Arial"/>
                <w:sz w:val="20"/>
                <w:lang w:val="en-US"/>
              </w:rPr>
              <w:t xml:space="preserve">Multiple-Choice: Selection from pre-determined options based on </w:t>
            </w:r>
            <w:hyperlink r:id="rId13" w:history="1">
              <w:r w:rsidRPr="00A3620D">
                <w:rPr>
                  <w:rStyle w:val="Hyperlink"/>
                  <w:rFonts w:ascii="Verdana" w:hAnsi="Verdana" w:cs="Arial"/>
                  <w:sz w:val="20"/>
                  <w:lang w:val="en-US"/>
                </w:rPr>
                <w:t>DG REFORM list of topics</w:t>
              </w:r>
            </w:hyperlink>
            <w:r>
              <w:rPr>
                <w:rFonts w:ascii="Verdana" w:hAnsi="Verdana" w:cs="Arial"/>
                <w:sz w:val="20"/>
                <w:lang w:val="en-US"/>
              </w:rPr>
              <w:t>. Maximum: 5 options</w:t>
            </w:r>
            <w:r w:rsidRPr="5ED146BE">
              <w:rPr>
                <w:rFonts w:ascii="Verdana" w:hAnsi="Verdana" w:cs="Arial"/>
                <w:sz w:val="20"/>
                <w:lang w:val="en-US"/>
              </w:rPr>
              <w:t>]</w:t>
            </w:r>
          </w:p>
        </w:tc>
      </w:tr>
      <w:tr w:rsidR="00193469" w:rsidRPr="00F64CAB" w14:paraId="24E17E0C" w14:textId="77777777" w:rsidTr="61A24D0A">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61A24D0A">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61A24D0A">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2</w:t>
            </w:r>
            <w:r w:rsidR="00193469">
              <w:rPr>
                <w:rFonts w:ascii="Verdana" w:hAnsi="Verdana" w:cs="Arial"/>
                <w:b/>
                <w:bCs/>
                <w:sz w:val="20"/>
                <w:szCs w:val="20"/>
              </w:rPr>
              <w:t>.b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268981DE" w:rsidR="003A5562" w:rsidRPr="00EC294B" w:rsidRDefault="00775D1C" w:rsidP="00976AC0">
            <w:pPr>
              <w:spacing w:after="0"/>
              <w:jc w:val="both"/>
              <w:rPr>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4422E1" w:rsidRPr="00F64CAB" w14:paraId="1F903FE5" w14:textId="77777777" w:rsidTr="61A24D0A">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00"/>
            <w:vAlign w:val="center"/>
          </w:tcPr>
          <w:p w14:paraId="263F558B" w14:textId="09FABE27" w:rsidR="004422E1" w:rsidRPr="007B12F9" w:rsidRDefault="004422E1" w:rsidP="004422E1">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7B12F9">
              <w:rPr>
                <w:rFonts w:ascii="Verdana" w:eastAsia="Times New Roman" w:hAnsi="Verdana" w:cs="Arial"/>
                <w:b/>
                <w:iCs/>
                <w:color w:val="FF0000"/>
                <w:sz w:val="18"/>
                <w:szCs w:val="18"/>
                <w:highlight w:val="yellow"/>
              </w:rPr>
              <w:t>The TSI 2024 f</w:t>
            </w:r>
            <w:r w:rsidRPr="007B12F9">
              <w:rPr>
                <w:rFonts w:ascii="Verdana" w:eastAsia="Times New Roman" w:hAnsi="Verdana" w:cs="Arial"/>
                <w:b/>
                <w:color w:val="FF0000"/>
                <w:sz w:val="18"/>
                <w:szCs w:val="18"/>
                <w:highlight w:val="yellow"/>
                <w:lang w:eastAsia="en-GB"/>
              </w:rPr>
              <w:t xml:space="preserve">lagship technical support project </w:t>
            </w:r>
            <w:r w:rsidRPr="007B12F9">
              <w:rPr>
                <w:rFonts w:ascii="Verdana" w:hAnsi="Verdana" w:cs="Arial"/>
                <w:b/>
                <w:bCs/>
                <w:color w:val="FF0000"/>
                <w:sz w:val="18"/>
                <w:szCs w:val="18"/>
                <w:highlight w:val="yellow"/>
              </w:rPr>
              <w:t>“</w:t>
            </w:r>
            <w:r w:rsidR="00E515EB" w:rsidRPr="007B12F9">
              <w:rPr>
                <w:rFonts w:ascii="Verdana" w:hAnsi="Verdana" w:cs="Arial"/>
                <w:b/>
                <w:bCs/>
                <w:iCs/>
                <w:color w:val="FF0000"/>
                <w:sz w:val="18"/>
                <w:szCs w:val="18"/>
                <w:lang w:val="en-IE"/>
              </w:rPr>
              <w:t>Enhancing the quality of public finances</w:t>
            </w:r>
            <w:r w:rsidRPr="007B12F9">
              <w:rPr>
                <w:rFonts w:ascii="Verdana" w:hAnsi="Verdana" w:cs="Arial"/>
                <w:b/>
                <w:bCs/>
                <w:color w:val="FF0000"/>
                <w:sz w:val="18"/>
                <w:szCs w:val="18"/>
              </w:rPr>
              <w:t>”</w:t>
            </w:r>
            <w:r w:rsidRPr="007B12F9">
              <w:rPr>
                <w:rFonts w:ascii="Verdana" w:hAnsi="Verdana" w:cs="Arial"/>
                <w:b/>
                <w:bCs/>
                <w:color w:val="FF0000"/>
                <w:sz w:val="18"/>
                <w:szCs w:val="18"/>
                <w:highlight w:val="yellow"/>
              </w:rPr>
              <w:t xml:space="preserve"> </w:t>
            </w:r>
            <w:r w:rsidRPr="007B12F9">
              <w:rPr>
                <w:rFonts w:ascii="Verdana" w:eastAsia="Times New Roman" w:hAnsi="Verdana" w:cs="Arial"/>
                <w:b/>
                <w:iCs/>
                <w:color w:val="FF0000"/>
                <w:sz w:val="18"/>
                <w:szCs w:val="18"/>
                <w:highlight w:val="yellow"/>
              </w:rPr>
              <w:t xml:space="preserve">identifies support measures that you can chose from and that can be tailor-made to your specific context. Additional measures can be added. </w:t>
            </w:r>
          </w:p>
          <w:p w14:paraId="66C16B11" w14:textId="77777777" w:rsidR="004422E1" w:rsidRPr="007B12F9" w:rsidRDefault="004422E1" w:rsidP="004422E1">
            <w:pPr>
              <w:shd w:val="clear" w:color="auto" w:fill="FFFF00"/>
              <w:jc w:val="both"/>
              <w:rPr>
                <w:rFonts w:ascii="Verdana" w:eastAsia="Times New Roman" w:hAnsi="Verdana" w:cs="Arial"/>
                <w:b/>
                <w:iCs/>
                <w:color w:val="FF0000"/>
                <w:sz w:val="18"/>
                <w:szCs w:val="18"/>
                <w:highlight w:val="yellow"/>
              </w:rPr>
            </w:pPr>
            <w:r w:rsidRPr="007B12F9">
              <w:rPr>
                <w:rFonts w:ascii="Verdana" w:eastAsia="Times New Roman" w:hAnsi="Verdana" w:cs="Arial"/>
                <w:b/>
                <w:iCs/>
                <w:color w:val="FF0000"/>
                <w:sz w:val="18"/>
                <w:szCs w:val="18"/>
                <w:highlight w:val="yellow"/>
              </w:rPr>
              <w:t xml:space="preserve">The list of proposed technical measures is intended to help beneficiary authorities describe the requested technical support measures by taking inspiration from the information provided.  </w:t>
            </w:r>
          </w:p>
          <w:p w14:paraId="25356682" w14:textId="77777777" w:rsidR="004422E1" w:rsidRPr="007B12F9" w:rsidRDefault="004422E1" w:rsidP="004422E1">
            <w:pPr>
              <w:shd w:val="clear" w:color="auto" w:fill="FFFF00"/>
              <w:jc w:val="both"/>
              <w:rPr>
                <w:rFonts w:ascii="Verdana" w:eastAsia="Times New Roman" w:hAnsi="Verdana" w:cs="Arial"/>
                <w:b/>
                <w:iCs/>
                <w:color w:val="FF0000"/>
                <w:sz w:val="18"/>
                <w:szCs w:val="18"/>
                <w:highlight w:val="yellow"/>
              </w:rPr>
            </w:pPr>
            <w:r w:rsidRPr="007B12F9">
              <w:rPr>
                <w:rFonts w:ascii="Verdana" w:eastAsia="Times New Roman" w:hAnsi="Verdana" w:cs="Arial"/>
                <w:b/>
                <w:iCs/>
                <w:color w:val="FF0000"/>
                <w:sz w:val="18"/>
                <w:szCs w:val="18"/>
                <w:highlight w:val="yellow"/>
              </w:rPr>
              <w:t xml:space="preserve">Member States submitting the request are requested to provide their national context </w:t>
            </w:r>
            <w:r w:rsidRPr="007B12F9">
              <w:rPr>
                <w:rFonts w:ascii="Verdana" w:eastAsia="Times New Roman" w:hAnsi="Verdana" w:cs="Arial"/>
                <w:b/>
                <w:iCs/>
                <w:color w:val="FF0000"/>
                <w:sz w:val="18"/>
                <w:szCs w:val="18"/>
                <w:highlight w:val="yellow"/>
              </w:rPr>
              <w:lastRenderedPageBreak/>
              <w:t xml:space="preserve">as well as a justification for each requested measure, as to how it would help to address the problems identified in section 1.1.  </w:t>
            </w:r>
          </w:p>
          <w:p w14:paraId="0CAA6252" w14:textId="77777777" w:rsidR="004422E1" w:rsidRPr="009C1AE9" w:rsidRDefault="004422E1" w:rsidP="004422E1">
            <w:pPr>
              <w:shd w:val="clear" w:color="auto" w:fill="FFFF00"/>
              <w:jc w:val="both"/>
              <w:rPr>
                <w:rFonts w:ascii="Verdana" w:eastAsia="Times New Roman" w:hAnsi="Verdana" w:cs="Arial"/>
                <w:b/>
                <w:iCs/>
                <w:color w:val="FF0000"/>
                <w:sz w:val="20"/>
                <w:szCs w:val="20"/>
              </w:rPr>
            </w:pPr>
            <w:r w:rsidRPr="007B12F9">
              <w:rPr>
                <w:rFonts w:ascii="Verdana" w:eastAsia="Times New Roman" w:hAnsi="Verdana" w:cs="Arial"/>
                <w:b/>
                <w:iCs/>
                <w:color w:val="FF0000"/>
                <w:sz w:val="18"/>
                <w:szCs w:val="18"/>
                <w:highlight w:val="yellow"/>
              </w:rPr>
              <w:t>When filling in the request online, you are invited to only select and describe the technical support measures you are requesting, taking inspiration from the general overview, if you find it helpful, and to provide any additional information relevant to your specific context.</w:t>
            </w:r>
          </w:p>
          <w:p w14:paraId="7F8A9623" w14:textId="24DDA28A" w:rsidR="004422E1" w:rsidRPr="00D17D94" w:rsidRDefault="004422E1" w:rsidP="004422E1">
            <w:pPr>
              <w:jc w:val="both"/>
              <w:rPr>
                <w:rFonts w:ascii="Verdana" w:eastAsia="Times New Roman" w:hAnsi="Verdana" w:cs="Arial"/>
                <w:color w:val="000000" w:themeColor="text1"/>
                <w:sz w:val="20"/>
                <w:szCs w:val="20"/>
                <w:u w:val="single"/>
                <w:lang w:eastAsia="en-GB"/>
              </w:rPr>
            </w:pPr>
            <w:r w:rsidRPr="00D17D94">
              <w:rPr>
                <w:rFonts w:ascii="Verdana" w:eastAsia="Times New Roman" w:hAnsi="Verdana" w:cs="Arial"/>
                <w:b/>
                <w:iCs/>
                <w:color w:val="000000" w:themeColor="text1"/>
                <w:sz w:val="20"/>
                <w:szCs w:val="20"/>
                <w:u w:val="single"/>
              </w:rPr>
              <w:t xml:space="preserve">Proposed technical support measures </w:t>
            </w:r>
            <w:r>
              <w:rPr>
                <w:rFonts w:ascii="Verdana" w:eastAsia="Times New Roman" w:hAnsi="Verdana" w:cs="Arial"/>
                <w:b/>
                <w:iCs/>
                <w:color w:val="000000" w:themeColor="text1"/>
                <w:sz w:val="20"/>
                <w:szCs w:val="20"/>
                <w:u w:val="single"/>
              </w:rPr>
              <w:t>pursuant to</w:t>
            </w:r>
            <w:r w:rsidRPr="00D17D94">
              <w:rPr>
                <w:rFonts w:ascii="Verdana" w:eastAsia="Times New Roman" w:hAnsi="Verdana" w:cs="Arial"/>
                <w:b/>
                <w:iCs/>
                <w:color w:val="000000" w:themeColor="text1"/>
                <w:sz w:val="20"/>
                <w:szCs w:val="20"/>
                <w:u w:val="single"/>
              </w:rPr>
              <w:t xml:space="preserve"> Art.8 of </w:t>
            </w:r>
            <w:r w:rsidR="00CC6125">
              <w:rPr>
                <w:rFonts w:ascii="Verdana" w:eastAsia="Times New Roman" w:hAnsi="Verdana" w:cs="Arial"/>
                <w:b/>
                <w:iCs/>
                <w:color w:val="000000" w:themeColor="text1"/>
                <w:sz w:val="20"/>
                <w:szCs w:val="20"/>
                <w:u w:val="single"/>
              </w:rPr>
              <w:t xml:space="preserve">the </w:t>
            </w:r>
            <w:r w:rsidRPr="00D17D94">
              <w:rPr>
                <w:rFonts w:ascii="Verdana" w:eastAsia="Times New Roman" w:hAnsi="Verdana" w:cs="Arial"/>
                <w:b/>
                <w:iCs/>
                <w:color w:val="000000" w:themeColor="text1"/>
                <w:sz w:val="20"/>
                <w:szCs w:val="20"/>
                <w:u w:val="single"/>
              </w:rPr>
              <w:t>TSI Regulation:</w:t>
            </w:r>
          </w:p>
          <w:p w14:paraId="6FE46802" w14:textId="297D07A4" w:rsidR="00E515EB" w:rsidRPr="001E2EB1" w:rsidRDefault="004422E1" w:rsidP="00E515EB">
            <w:pPr>
              <w:spacing w:after="0" w:line="240" w:lineRule="auto"/>
              <w:jc w:val="both"/>
              <w:rPr>
                <w:rFonts w:ascii="Calibri" w:eastAsia="Times New Roman" w:hAnsi="Calibri" w:cs="Calibri"/>
                <w:bCs/>
                <w:u w:val="single"/>
                <w:lang w:val="en-US"/>
              </w:rPr>
            </w:pPr>
            <w:r w:rsidRPr="00410FFA">
              <w:rPr>
                <w:rFonts w:ascii="Segoe UI Symbol" w:eastAsia="Calibri" w:hAnsi="Segoe UI Symbol" w:cs="Segoe UI Symbol"/>
              </w:rPr>
              <w:t xml:space="preserve"> </w:t>
            </w:r>
            <w:r w:rsidR="00331EE6">
              <w:rPr>
                <w:rFonts w:ascii="Segoe UI Symbol" w:eastAsia="Calibri" w:hAnsi="Segoe UI Symbol" w:cs="Segoe UI Symbol"/>
              </w:rPr>
              <w:t xml:space="preserve"> </w:t>
            </w:r>
            <w:r w:rsidR="00FA78CA" w:rsidRPr="00410FFA">
              <w:rPr>
                <w:rFonts w:ascii="Segoe UI Symbol" w:eastAsia="Calibri" w:hAnsi="Segoe UI Symbol" w:cs="Segoe UI Symbol"/>
              </w:rPr>
              <w:t>☐</w:t>
            </w:r>
            <w:r w:rsidR="00E515EB" w:rsidRPr="001E2EB1">
              <w:rPr>
                <w:rFonts w:ascii="Calibri" w:eastAsia="Times New Roman" w:hAnsi="Calibri" w:cs="Calibri"/>
                <w:bCs/>
                <w:u w:val="single"/>
                <w:lang w:val="en-US"/>
              </w:rPr>
              <w:t>Pillar 1 – Expenditure Policy – Spending Reviews</w:t>
            </w:r>
          </w:p>
          <w:p w14:paraId="04143AEE" w14:textId="77777777" w:rsidR="002E766E" w:rsidRDefault="00CE02EE" w:rsidP="00FC297D">
            <w:pPr>
              <w:spacing w:after="0" w:line="240" w:lineRule="auto"/>
              <w:ind w:left="720"/>
              <w:jc w:val="both"/>
              <w:rPr>
                <w:rFonts w:ascii="Calibri" w:eastAsia="Times New Roman" w:hAnsi="Calibri" w:cs="Calibri"/>
                <w:bCs/>
                <w:lang w:val="en-IE"/>
              </w:rPr>
            </w:pPr>
            <w:r w:rsidRPr="00410FFA">
              <w:rPr>
                <w:rFonts w:ascii="Segoe UI Symbol" w:eastAsia="Calibri" w:hAnsi="Segoe UI Symbol" w:cs="Segoe UI Symbol"/>
              </w:rPr>
              <w:t xml:space="preserve">☐ </w:t>
            </w:r>
            <w:r w:rsidR="00CC6125" w:rsidRPr="00CC6125">
              <w:rPr>
                <w:rFonts w:eastAsia="Calibri" w:cstheme="minorHAnsi"/>
              </w:rPr>
              <w:t xml:space="preserve">Provision of expertise </w:t>
            </w:r>
            <w:r w:rsidR="00CC6125">
              <w:rPr>
                <w:rFonts w:eastAsia="Calibri" w:cstheme="minorHAnsi"/>
              </w:rPr>
              <w:t xml:space="preserve">as regards policy advise for the </w:t>
            </w:r>
            <w:r w:rsidR="00CC6125" w:rsidRPr="00DE2C1D">
              <w:rPr>
                <w:rFonts w:ascii="Calibri" w:eastAsia="Times New Roman" w:hAnsi="Calibri" w:cs="Calibri"/>
                <w:b/>
                <w:lang w:val="en-IE"/>
              </w:rPr>
              <w:t>e</w:t>
            </w:r>
            <w:r w:rsidR="00E515EB" w:rsidRPr="00DE2C1D">
              <w:rPr>
                <w:rFonts w:ascii="Calibri" w:eastAsia="Times New Roman" w:hAnsi="Calibri" w:cs="Calibri"/>
                <w:b/>
                <w:lang w:val="en-IE"/>
              </w:rPr>
              <w:t xml:space="preserve">stablishment of a Knowledge Hub </w:t>
            </w:r>
            <w:r w:rsidR="00E515EB" w:rsidRPr="001E2EB1">
              <w:rPr>
                <w:rFonts w:ascii="Calibri" w:eastAsia="Times New Roman" w:hAnsi="Calibri" w:cs="Calibri"/>
                <w:bCs/>
                <w:lang w:val="en-IE"/>
              </w:rPr>
              <w:t>to facilitate peer exchanges and serving as repository of international best practices on all spending review aspects including (</w:t>
            </w:r>
            <w:r w:rsidR="00E515EB" w:rsidRPr="001E2EB1">
              <w:rPr>
                <w:rFonts w:ascii="Calibri" w:eastAsia="Times New Roman" w:hAnsi="Calibri" w:cs="Calibri"/>
                <w:bCs/>
                <w:i/>
                <w:iCs/>
                <w:lang w:val="en-IE"/>
              </w:rPr>
              <w:t>inter alia</w:t>
            </w:r>
            <w:r w:rsidR="00E515EB" w:rsidRPr="001E2EB1">
              <w:rPr>
                <w:rFonts w:ascii="Calibri" w:eastAsia="Times New Roman" w:hAnsi="Calibri" w:cs="Calibri"/>
                <w:bCs/>
                <w:lang w:val="en-IE"/>
              </w:rPr>
              <w:t xml:space="preserve">) methodology, IT systems, review design, links to the budgetary process, monitoring and evaluation of results. </w:t>
            </w:r>
          </w:p>
          <w:p w14:paraId="782C05A8" w14:textId="643A8E37" w:rsidR="00E515EB" w:rsidRDefault="00CE02EE" w:rsidP="00FC297D">
            <w:pPr>
              <w:spacing w:after="0" w:line="240" w:lineRule="auto"/>
              <w:ind w:left="720"/>
              <w:jc w:val="both"/>
              <w:rPr>
                <w:rFonts w:ascii="Calibri" w:eastAsia="Times New Roman" w:hAnsi="Calibri" w:cs="Calibri"/>
                <w:bCs/>
                <w:lang w:val="en-IE"/>
              </w:rPr>
            </w:pPr>
            <w:r w:rsidRPr="00410FFA">
              <w:rPr>
                <w:rFonts w:ascii="Segoe UI Symbol" w:eastAsia="Calibri" w:hAnsi="Segoe UI Symbol" w:cs="Segoe UI Symbol"/>
              </w:rPr>
              <w:t xml:space="preserve">☐ </w:t>
            </w:r>
            <w:r w:rsidR="00CC6125" w:rsidRPr="00CC6125">
              <w:rPr>
                <w:rFonts w:eastAsia="Calibri" w:cstheme="minorHAnsi"/>
              </w:rPr>
              <w:t xml:space="preserve">Carry </w:t>
            </w:r>
            <w:r w:rsidR="00CC6125" w:rsidRPr="001738FE">
              <w:rPr>
                <w:rFonts w:ascii="Calibri" w:eastAsia="Times New Roman" w:hAnsi="Calibri" w:cs="Calibri"/>
                <w:bCs/>
                <w:lang w:val="en-IE"/>
              </w:rPr>
              <w:t xml:space="preserve">out </w:t>
            </w:r>
            <w:r w:rsidR="00CC6125" w:rsidRPr="00DE2C1D">
              <w:rPr>
                <w:rFonts w:ascii="Calibri" w:eastAsia="Times New Roman" w:hAnsi="Calibri" w:cs="Calibri"/>
                <w:b/>
                <w:lang w:val="en-IE"/>
              </w:rPr>
              <w:t>a</w:t>
            </w:r>
            <w:r w:rsidR="00E515EB" w:rsidRPr="00DE2C1D">
              <w:rPr>
                <w:rFonts w:ascii="Calibri" w:eastAsia="Times New Roman" w:hAnsi="Calibri" w:cs="Calibri"/>
                <w:b/>
                <w:lang w:val="en-IE"/>
              </w:rPr>
              <w:t>ssessment</w:t>
            </w:r>
            <w:r w:rsidR="009E7916" w:rsidRPr="00DE2C1D">
              <w:rPr>
                <w:rFonts w:ascii="Calibri" w:eastAsia="Times New Roman" w:hAnsi="Calibri" w:cs="Calibri"/>
                <w:b/>
                <w:lang w:val="en-IE"/>
              </w:rPr>
              <w:t>s</w:t>
            </w:r>
            <w:r w:rsidR="00E515EB" w:rsidRPr="00DE2C1D">
              <w:rPr>
                <w:rFonts w:ascii="Calibri" w:eastAsia="Times New Roman" w:hAnsi="Calibri" w:cs="Calibri"/>
                <w:b/>
                <w:lang w:val="en-IE"/>
              </w:rPr>
              <w:t xml:space="preserve"> and gap analys</w:t>
            </w:r>
            <w:r w:rsidR="009E7916" w:rsidRPr="00DE2C1D">
              <w:rPr>
                <w:rFonts w:ascii="Calibri" w:eastAsia="Times New Roman" w:hAnsi="Calibri" w:cs="Calibri"/>
                <w:b/>
                <w:lang w:val="en-IE"/>
              </w:rPr>
              <w:t>e</w:t>
            </w:r>
            <w:r w:rsidR="00E515EB" w:rsidRPr="00DE2C1D">
              <w:rPr>
                <w:rFonts w:ascii="Calibri" w:eastAsia="Times New Roman" w:hAnsi="Calibri" w:cs="Calibri"/>
                <w:b/>
                <w:lang w:val="en-IE"/>
              </w:rPr>
              <w:t>s</w:t>
            </w:r>
            <w:r w:rsidR="00E515EB" w:rsidRPr="001E2EB1">
              <w:rPr>
                <w:rFonts w:ascii="Calibri" w:eastAsia="Times New Roman" w:hAnsi="Calibri" w:cs="Calibri"/>
                <w:bCs/>
                <w:lang w:val="en-IE"/>
              </w:rPr>
              <w:t xml:space="preserve"> of Member States existing processes, mandates, governance systems, methodologies, analytical skill</w:t>
            </w:r>
            <w:r w:rsidR="00CC6125">
              <w:rPr>
                <w:rFonts w:ascii="Calibri" w:eastAsia="Times New Roman" w:hAnsi="Calibri" w:cs="Calibri"/>
                <w:bCs/>
                <w:lang w:val="en-IE"/>
              </w:rPr>
              <w:t>s</w:t>
            </w:r>
            <w:r w:rsidR="00E515EB" w:rsidRPr="001E2EB1">
              <w:rPr>
                <w:rFonts w:ascii="Calibri" w:eastAsia="Times New Roman" w:hAnsi="Calibri" w:cs="Calibri"/>
                <w:bCs/>
                <w:lang w:val="en-IE"/>
              </w:rPr>
              <w:t>, tools, and data sources vis-à-vis best practices with recommendations for further development.</w:t>
            </w:r>
          </w:p>
          <w:p w14:paraId="2620D090" w14:textId="77777777" w:rsidR="002E766E" w:rsidRDefault="2F915F43" w:rsidP="00FC297D">
            <w:pPr>
              <w:spacing w:after="0" w:line="240" w:lineRule="auto"/>
              <w:ind w:left="720"/>
              <w:jc w:val="both"/>
              <w:rPr>
                <w:rFonts w:ascii="Calibri" w:eastAsia="Times New Roman" w:hAnsi="Calibri" w:cs="Calibri"/>
                <w:lang w:val="en-IE"/>
              </w:rPr>
            </w:pPr>
            <w:r w:rsidRPr="61A24D0A">
              <w:rPr>
                <w:rFonts w:ascii="Segoe UI Symbol" w:eastAsia="Calibri" w:hAnsi="Segoe UI Symbol" w:cs="Segoe UI Symbol"/>
              </w:rPr>
              <w:t xml:space="preserve">☐ </w:t>
            </w:r>
            <w:r w:rsidR="00CC6125" w:rsidRPr="001738FE">
              <w:rPr>
                <w:rFonts w:ascii="Calibri" w:eastAsia="Times New Roman" w:hAnsi="Calibri" w:cs="Calibri"/>
                <w:bCs/>
                <w:lang w:val="en-IE"/>
              </w:rPr>
              <w:t>Guidelines/r</w:t>
            </w:r>
            <w:r w:rsidR="00E515EB" w:rsidRPr="001738FE">
              <w:rPr>
                <w:rFonts w:ascii="Calibri" w:eastAsia="Times New Roman" w:hAnsi="Calibri" w:cs="Calibri"/>
                <w:bCs/>
                <w:lang w:val="en-IE"/>
              </w:rPr>
              <w:t>ecommendations</w:t>
            </w:r>
            <w:r w:rsidR="00E515EB" w:rsidRPr="61A24D0A">
              <w:rPr>
                <w:rFonts w:ascii="Calibri" w:eastAsia="Times New Roman" w:hAnsi="Calibri" w:cs="Calibri"/>
                <w:lang w:val="en-IE"/>
              </w:rPr>
              <w:t xml:space="preserve"> and </w:t>
            </w:r>
            <w:r w:rsidR="00CC6125">
              <w:rPr>
                <w:rFonts w:ascii="Calibri" w:eastAsia="Times New Roman" w:hAnsi="Calibri" w:cs="Calibri"/>
                <w:lang w:val="en-IE"/>
              </w:rPr>
              <w:t xml:space="preserve">provision of expertise as regards policy advise to </w:t>
            </w:r>
            <w:r w:rsidR="00E515EB" w:rsidRPr="00DE2C1D">
              <w:rPr>
                <w:rFonts w:ascii="Calibri" w:eastAsia="Times New Roman" w:hAnsi="Calibri" w:cs="Calibri"/>
                <w:b/>
                <w:bCs/>
                <w:lang w:val="en-IE"/>
              </w:rPr>
              <w:t>integrate spending review processes</w:t>
            </w:r>
            <w:r w:rsidR="00E515EB" w:rsidRPr="61A24D0A">
              <w:rPr>
                <w:rFonts w:ascii="Calibri" w:eastAsia="Times New Roman" w:hAnsi="Calibri" w:cs="Calibri"/>
                <w:lang w:val="en-IE"/>
              </w:rPr>
              <w:t xml:space="preserve"> and results into annual and multi-annual budgetary and legal frameworks.</w:t>
            </w:r>
          </w:p>
          <w:p w14:paraId="346ADD95" w14:textId="30E44387" w:rsidR="00E515EB" w:rsidRDefault="2F915F43" w:rsidP="00FC297D">
            <w:pPr>
              <w:spacing w:after="0" w:line="240" w:lineRule="auto"/>
              <w:ind w:left="720"/>
              <w:jc w:val="both"/>
              <w:rPr>
                <w:rFonts w:ascii="Calibri" w:eastAsia="Times New Roman" w:hAnsi="Calibri" w:cs="Calibri"/>
                <w:lang w:val="en-IE"/>
              </w:rPr>
            </w:pPr>
            <w:r w:rsidRPr="61A24D0A">
              <w:rPr>
                <w:rFonts w:ascii="Segoe UI Symbol" w:eastAsia="Calibri" w:hAnsi="Segoe UI Symbol" w:cs="Segoe UI Symbol"/>
              </w:rPr>
              <w:t xml:space="preserve">☐ </w:t>
            </w:r>
            <w:r w:rsidR="00603A01" w:rsidRPr="61A24D0A">
              <w:rPr>
                <w:rFonts w:ascii="Calibri" w:eastAsia="Times New Roman" w:hAnsi="Calibri" w:cs="Calibri"/>
                <w:lang w:val="en-IE"/>
              </w:rPr>
              <w:t>Guidance</w:t>
            </w:r>
            <w:r w:rsidR="00E515EB" w:rsidRPr="61A24D0A">
              <w:rPr>
                <w:rFonts w:ascii="Calibri" w:eastAsia="Times New Roman" w:hAnsi="Calibri" w:cs="Calibri"/>
                <w:lang w:val="en-IE"/>
              </w:rPr>
              <w:t xml:space="preserve"> for developing processes and tools to </w:t>
            </w:r>
            <w:r w:rsidR="00E515EB" w:rsidRPr="00DE2C1D">
              <w:rPr>
                <w:rFonts w:ascii="Calibri" w:eastAsia="Times New Roman" w:hAnsi="Calibri" w:cs="Calibri"/>
                <w:b/>
                <w:bCs/>
                <w:lang w:val="en-IE"/>
              </w:rPr>
              <w:t>monitor the implementation of spending review results and evaluate their success</w:t>
            </w:r>
            <w:r w:rsidR="00E515EB" w:rsidRPr="61A24D0A">
              <w:rPr>
                <w:rFonts w:ascii="Calibri" w:eastAsia="Times New Roman" w:hAnsi="Calibri" w:cs="Calibri"/>
                <w:lang w:val="en-IE"/>
              </w:rPr>
              <w:t>, supported by tailored training sessions.</w:t>
            </w:r>
          </w:p>
          <w:p w14:paraId="7C87E848" w14:textId="2190A289" w:rsidR="00AE1C5B" w:rsidRDefault="2F915F43" w:rsidP="002E766E">
            <w:pPr>
              <w:spacing w:after="0" w:line="240" w:lineRule="auto"/>
              <w:ind w:left="720"/>
              <w:jc w:val="both"/>
              <w:rPr>
                <w:rFonts w:ascii="Calibri" w:eastAsia="Times New Roman" w:hAnsi="Calibri" w:cs="Calibri"/>
                <w:lang w:val="en-IE"/>
              </w:rPr>
            </w:pPr>
            <w:r w:rsidRPr="61A24D0A">
              <w:rPr>
                <w:rFonts w:ascii="Segoe UI Symbol" w:eastAsia="Calibri" w:hAnsi="Segoe UI Symbol" w:cs="Segoe UI Symbol"/>
              </w:rPr>
              <w:t xml:space="preserve">☐ </w:t>
            </w:r>
            <w:r w:rsidR="00CC6125" w:rsidRPr="00CC6125">
              <w:rPr>
                <w:rFonts w:eastAsia="Calibri" w:cstheme="minorHAnsi"/>
              </w:rPr>
              <w:t xml:space="preserve">Provision of expertise as regards </w:t>
            </w:r>
            <w:r w:rsidR="001738FE" w:rsidRPr="61A24D0A">
              <w:rPr>
                <w:rFonts w:ascii="Calibri" w:eastAsia="Times New Roman" w:hAnsi="Calibri" w:cs="Calibri"/>
                <w:lang w:val="en-IE"/>
              </w:rPr>
              <w:t>implementation</w:t>
            </w:r>
            <w:r w:rsidR="00E515EB" w:rsidRPr="61A24D0A">
              <w:rPr>
                <w:rFonts w:ascii="Calibri" w:eastAsia="Times New Roman" w:hAnsi="Calibri" w:cs="Calibri"/>
                <w:lang w:val="en-IE"/>
              </w:rPr>
              <w:t xml:space="preserve"> support for </w:t>
            </w:r>
            <w:r w:rsidR="00E515EB" w:rsidRPr="00DE2C1D">
              <w:rPr>
                <w:rFonts w:ascii="Calibri" w:eastAsia="Times New Roman" w:hAnsi="Calibri" w:cs="Calibri"/>
                <w:b/>
                <w:bCs/>
                <w:lang w:val="en-IE"/>
              </w:rPr>
              <w:t>piloting a review in specific sectors</w:t>
            </w:r>
            <w:r w:rsidR="00E515EB" w:rsidRPr="61A24D0A">
              <w:rPr>
                <w:rFonts w:ascii="Calibri" w:eastAsia="Times New Roman" w:hAnsi="Calibri" w:cs="Calibri"/>
                <w:lang w:val="en-IE"/>
              </w:rPr>
              <w:t>, including capacity building trainings on suitable analytical tools and IT systems.</w:t>
            </w:r>
          </w:p>
          <w:p w14:paraId="0C075F6B" w14:textId="5FB4438F" w:rsidR="00AE1C5B" w:rsidRPr="002E766E" w:rsidRDefault="002E766E" w:rsidP="002E766E">
            <w:pPr>
              <w:pStyle w:val="paragraph"/>
              <w:spacing w:after="0"/>
              <w:textAlignment w:val="baseline"/>
              <w:rPr>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4E040CCB" w14:textId="77777777" w:rsidR="00FC297D" w:rsidRDefault="00FC297D" w:rsidP="00FC297D">
            <w:pPr>
              <w:spacing w:after="0" w:line="240" w:lineRule="auto"/>
              <w:ind w:left="720"/>
              <w:jc w:val="both"/>
              <w:rPr>
                <w:rFonts w:ascii="Calibri" w:eastAsia="Times New Roman" w:hAnsi="Calibri" w:cs="Calibri"/>
                <w:lang w:val="en-IE"/>
              </w:rPr>
            </w:pPr>
          </w:p>
          <w:p w14:paraId="1D1A17E7" w14:textId="6A130A02" w:rsidR="00E515EB" w:rsidRPr="001E2EB1" w:rsidRDefault="00331EE6" w:rsidP="00E515EB">
            <w:pPr>
              <w:spacing w:after="0" w:line="240" w:lineRule="auto"/>
              <w:jc w:val="both"/>
              <w:rPr>
                <w:rFonts w:ascii="Calibri" w:eastAsia="Times New Roman" w:hAnsi="Calibri" w:cs="Calibri"/>
                <w:bCs/>
                <w:u w:val="single"/>
                <w:lang w:val="en-US"/>
              </w:rPr>
            </w:pPr>
            <w:r w:rsidRPr="001E2EB1">
              <w:rPr>
                <w:rFonts w:ascii="Segoe UI Symbol" w:eastAsia="Calibri" w:hAnsi="Segoe UI Symbol" w:cs="Segoe UI Symbol"/>
              </w:rPr>
              <w:t xml:space="preserve"> </w:t>
            </w:r>
            <w:r w:rsidR="00E515EB" w:rsidRPr="001E2EB1">
              <w:rPr>
                <w:rFonts w:ascii="Calibri" w:eastAsia="Times New Roman" w:hAnsi="Calibri" w:cs="Calibri"/>
                <w:bCs/>
                <w:u w:val="single"/>
                <w:lang w:val="en-IE"/>
              </w:rPr>
              <w:t xml:space="preserve">Pillar </w:t>
            </w:r>
            <w:r w:rsidR="00E515EB" w:rsidRPr="001E2EB1">
              <w:rPr>
                <w:rFonts w:ascii="Calibri" w:eastAsia="Times New Roman" w:hAnsi="Calibri" w:cs="Calibri"/>
                <w:bCs/>
                <w:u w:val="single"/>
                <w:lang w:val="en-US"/>
              </w:rPr>
              <w:t>2 – Budget Preparation &amp; Implementation – Medium-Term Budgetary Frameworks</w:t>
            </w:r>
          </w:p>
          <w:p w14:paraId="0D13AD13" w14:textId="7590B5EA" w:rsidR="00E515EB" w:rsidRPr="001E2EB1" w:rsidRDefault="00CE02EE" w:rsidP="00FC297D">
            <w:pPr>
              <w:spacing w:after="0" w:line="240" w:lineRule="auto"/>
              <w:ind w:left="720"/>
              <w:jc w:val="both"/>
              <w:rPr>
                <w:rFonts w:ascii="Calibri" w:eastAsia="Times New Roman" w:hAnsi="Calibri" w:cs="Calibri"/>
                <w:bCs/>
                <w:lang w:val="en-IE"/>
              </w:rPr>
            </w:pPr>
            <w:r w:rsidRPr="00410FFA">
              <w:rPr>
                <w:rFonts w:ascii="Segoe UI Symbol" w:eastAsia="Calibri" w:hAnsi="Segoe UI Symbol" w:cs="Segoe UI Symbol"/>
              </w:rPr>
              <w:t xml:space="preserve">☐ </w:t>
            </w:r>
            <w:r w:rsidR="005A7336" w:rsidRPr="005A7336">
              <w:rPr>
                <w:rFonts w:eastAsia="Calibri" w:cstheme="minorHAnsi"/>
              </w:rPr>
              <w:t xml:space="preserve">Provision of expertise for the </w:t>
            </w:r>
            <w:r w:rsidR="005A7336" w:rsidRPr="00DE2C1D">
              <w:rPr>
                <w:rFonts w:ascii="Calibri" w:eastAsia="Times New Roman" w:hAnsi="Calibri" w:cs="Calibri"/>
                <w:b/>
                <w:bCs/>
                <w:lang w:val="en-IE"/>
              </w:rPr>
              <w:t>i</w:t>
            </w:r>
            <w:r w:rsidR="00E515EB" w:rsidRPr="00DE2C1D">
              <w:rPr>
                <w:rFonts w:ascii="Calibri" w:eastAsia="Times New Roman" w:hAnsi="Calibri" w:cs="Calibri"/>
                <w:b/>
                <w:bCs/>
                <w:lang w:val="en-IE"/>
              </w:rPr>
              <w:t>dentification of international best practices</w:t>
            </w:r>
            <w:r w:rsidR="00E515EB" w:rsidRPr="001E2EB1">
              <w:rPr>
                <w:rFonts w:ascii="Calibri" w:eastAsia="Times New Roman" w:hAnsi="Calibri" w:cs="Calibri"/>
                <w:bCs/>
                <w:lang w:val="en-IE"/>
              </w:rPr>
              <w:t xml:space="preserve"> in medium-term budgeting: </w:t>
            </w:r>
          </w:p>
          <w:p w14:paraId="46E36634" w14:textId="77777777" w:rsidR="00E515EB" w:rsidRPr="001E2EB1" w:rsidRDefault="00E515EB" w:rsidP="00E515EB">
            <w:pPr>
              <w:numPr>
                <w:ilvl w:val="1"/>
                <w:numId w:val="27"/>
              </w:numPr>
              <w:spacing w:after="0" w:line="240" w:lineRule="auto"/>
              <w:jc w:val="both"/>
              <w:rPr>
                <w:rFonts w:ascii="Calibri" w:eastAsia="Times New Roman" w:hAnsi="Calibri" w:cs="Calibri"/>
                <w:bCs/>
                <w:lang w:val="en-IE"/>
              </w:rPr>
            </w:pPr>
            <w:r w:rsidRPr="001E2EB1">
              <w:rPr>
                <w:rFonts w:ascii="Calibri" w:eastAsia="Times New Roman" w:hAnsi="Calibri" w:cs="Calibri"/>
                <w:bCs/>
                <w:lang w:val="en-IE"/>
              </w:rPr>
              <w:t>Country analysis and best practice benchmarking</w:t>
            </w:r>
          </w:p>
          <w:p w14:paraId="30F34810" w14:textId="54BED32F" w:rsidR="002E766E" w:rsidRPr="00FA78CA" w:rsidRDefault="00E515EB" w:rsidP="002E766E">
            <w:pPr>
              <w:numPr>
                <w:ilvl w:val="1"/>
                <w:numId w:val="27"/>
              </w:numPr>
              <w:spacing w:after="0" w:line="240" w:lineRule="auto"/>
              <w:jc w:val="both"/>
              <w:rPr>
                <w:rFonts w:ascii="Calibri" w:eastAsia="Times New Roman" w:hAnsi="Calibri" w:cs="Calibri"/>
                <w:bCs/>
                <w:lang w:val="en-IE"/>
              </w:rPr>
            </w:pPr>
            <w:r w:rsidRPr="001E2EB1">
              <w:rPr>
                <w:rFonts w:ascii="Calibri" w:eastAsia="Times New Roman" w:hAnsi="Calibri" w:cs="Calibri"/>
                <w:bCs/>
                <w:lang w:val="en-IE"/>
              </w:rPr>
              <w:t>Workshops on best practices and focused exchanges on national experiences: what has worked well, what were/are the challenges, what solutions were found;</w:t>
            </w:r>
          </w:p>
          <w:p w14:paraId="259D4FD5" w14:textId="0FA0F83A" w:rsidR="00E515EB" w:rsidRDefault="00CE02EE" w:rsidP="00FC297D">
            <w:pPr>
              <w:spacing w:after="0" w:line="240" w:lineRule="auto"/>
              <w:ind w:left="720"/>
              <w:jc w:val="both"/>
              <w:rPr>
                <w:rFonts w:ascii="Calibri" w:eastAsia="Times New Roman" w:hAnsi="Calibri" w:cs="Calibri"/>
                <w:bCs/>
                <w:lang w:val="en-IE"/>
              </w:rPr>
            </w:pPr>
            <w:r w:rsidRPr="00410FFA">
              <w:rPr>
                <w:rFonts w:ascii="Segoe UI Symbol" w:eastAsia="Calibri" w:hAnsi="Segoe UI Symbol" w:cs="Segoe UI Symbol"/>
              </w:rPr>
              <w:t xml:space="preserve">☐ </w:t>
            </w:r>
            <w:r w:rsidR="005A7336" w:rsidRPr="005A7336">
              <w:rPr>
                <w:rFonts w:eastAsia="Calibri" w:cstheme="minorHAnsi"/>
              </w:rPr>
              <w:t>Carry</w:t>
            </w:r>
            <w:r w:rsidR="005A7336">
              <w:rPr>
                <w:rFonts w:eastAsia="Calibri" w:cstheme="minorHAnsi"/>
              </w:rPr>
              <w:t>ing</w:t>
            </w:r>
            <w:r w:rsidR="005A7336" w:rsidRPr="005A7336">
              <w:rPr>
                <w:rFonts w:eastAsia="Calibri" w:cstheme="minorHAnsi"/>
              </w:rPr>
              <w:t xml:space="preserve"> out </w:t>
            </w:r>
            <w:r w:rsidR="005A7336" w:rsidRPr="00DE2C1D">
              <w:rPr>
                <w:rFonts w:eastAsia="Calibri" w:cstheme="minorHAnsi"/>
                <w:b/>
                <w:bCs/>
              </w:rPr>
              <w:t>a</w:t>
            </w:r>
            <w:proofErr w:type="spellStart"/>
            <w:r w:rsidR="00E515EB" w:rsidRPr="00DE2C1D">
              <w:rPr>
                <w:rFonts w:ascii="Calibri" w:eastAsia="Times New Roman" w:hAnsi="Calibri" w:cs="Calibri"/>
                <w:b/>
                <w:bCs/>
                <w:lang w:val="en-US"/>
              </w:rPr>
              <w:t>ssessment</w:t>
            </w:r>
            <w:r w:rsidR="009E7916" w:rsidRPr="00DE2C1D">
              <w:rPr>
                <w:rFonts w:ascii="Calibri" w:eastAsia="Times New Roman" w:hAnsi="Calibri" w:cs="Calibri"/>
                <w:b/>
                <w:bCs/>
                <w:lang w:val="en-US"/>
              </w:rPr>
              <w:t>s</w:t>
            </w:r>
            <w:proofErr w:type="spellEnd"/>
            <w:r w:rsidR="00E515EB" w:rsidRPr="00DE2C1D">
              <w:rPr>
                <w:rFonts w:ascii="Calibri" w:eastAsia="Times New Roman" w:hAnsi="Calibri" w:cs="Calibri"/>
                <w:b/>
                <w:bCs/>
                <w:lang w:val="en-US"/>
              </w:rPr>
              <w:t xml:space="preserve"> and gap analys</w:t>
            </w:r>
            <w:r w:rsidR="005A7336" w:rsidRPr="00DE2C1D">
              <w:rPr>
                <w:rFonts w:ascii="Calibri" w:eastAsia="Times New Roman" w:hAnsi="Calibri" w:cs="Calibri"/>
                <w:b/>
                <w:bCs/>
                <w:lang w:val="en-US"/>
              </w:rPr>
              <w:t>e</w:t>
            </w:r>
            <w:r w:rsidR="00E515EB" w:rsidRPr="00DE2C1D">
              <w:rPr>
                <w:rFonts w:ascii="Calibri" w:eastAsia="Times New Roman" w:hAnsi="Calibri" w:cs="Calibri"/>
                <w:b/>
                <w:bCs/>
                <w:lang w:val="en-US"/>
              </w:rPr>
              <w:t>s</w:t>
            </w:r>
            <w:r w:rsidR="00E515EB" w:rsidRPr="00DE2C1D">
              <w:rPr>
                <w:rFonts w:ascii="Calibri" w:eastAsia="Times New Roman" w:hAnsi="Calibri" w:cs="Calibri"/>
                <w:b/>
                <w:bCs/>
                <w:lang w:val="en-IE"/>
              </w:rPr>
              <w:t xml:space="preserve"> of the MTBF</w:t>
            </w:r>
            <w:r w:rsidR="00E515EB" w:rsidRPr="001E2EB1">
              <w:rPr>
                <w:rFonts w:ascii="Calibri" w:eastAsia="Times New Roman" w:hAnsi="Calibri" w:cs="Calibri"/>
                <w:bCs/>
                <w:lang w:val="en-IE"/>
              </w:rPr>
              <w:t xml:space="preserve"> in force vis-à-vis best practices. Identification of design features or areas that could be improved in the Member State(s) and challenges to achieve effective medium-term planning;</w:t>
            </w:r>
          </w:p>
          <w:p w14:paraId="73F84392" w14:textId="37B89A73" w:rsidR="002E766E" w:rsidRPr="00FA78CA" w:rsidRDefault="00CE02EE" w:rsidP="00FA78CA">
            <w:pPr>
              <w:spacing w:after="0" w:line="240" w:lineRule="auto"/>
              <w:ind w:left="720"/>
              <w:jc w:val="both"/>
              <w:rPr>
                <w:rFonts w:ascii="Calibri" w:eastAsia="Times New Roman" w:hAnsi="Calibri" w:cs="Calibri"/>
                <w:bCs/>
                <w:lang w:val="en-US"/>
              </w:rPr>
            </w:pPr>
            <w:r w:rsidRPr="00410FFA">
              <w:rPr>
                <w:rFonts w:ascii="Segoe UI Symbol" w:eastAsia="Calibri" w:hAnsi="Segoe UI Symbol" w:cs="Segoe UI Symbol"/>
              </w:rPr>
              <w:t xml:space="preserve">☐ </w:t>
            </w:r>
            <w:r w:rsidR="00E515EB" w:rsidRPr="001E2EB1">
              <w:rPr>
                <w:rFonts w:ascii="Calibri" w:eastAsia="Times New Roman" w:hAnsi="Calibri" w:cs="Calibri"/>
                <w:bCs/>
                <w:lang w:val="en-US"/>
              </w:rPr>
              <w:t xml:space="preserve">Recommendations and advisory </w:t>
            </w:r>
            <w:r w:rsidR="005A7336">
              <w:rPr>
                <w:rFonts w:ascii="Calibri" w:eastAsia="Times New Roman" w:hAnsi="Calibri" w:cs="Calibri"/>
                <w:bCs/>
                <w:lang w:val="en-US"/>
              </w:rPr>
              <w:t xml:space="preserve">technical </w:t>
            </w:r>
            <w:r w:rsidR="00E515EB" w:rsidRPr="001E2EB1">
              <w:rPr>
                <w:rFonts w:ascii="Calibri" w:eastAsia="Times New Roman" w:hAnsi="Calibri" w:cs="Calibri"/>
                <w:bCs/>
                <w:lang w:val="en-US"/>
              </w:rPr>
              <w:t xml:space="preserve">support on the </w:t>
            </w:r>
            <w:r w:rsidR="00E515EB" w:rsidRPr="00DE2C1D">
              <w:rPr>
                <w:rFonts w:ascii="Calibri" w:eastAsia="Times New Roman" w:hAnsi="Calibri" w:cs="Calibri"/>
                <w:b/>
                <w:lang w:val="en-US"/>
              </w:rPr>
              <w:t>identified gaps</w:t>
            </w:r>
            <w:r w:rsidR="00E515EB" w:rsidRPr="001E2EB1">
              <w:rPr>
                <w:rFonts w:ascii="Calibri" w:eastAsia="Times New Roman" w:hAnsi="Calibri" w:cs="Calibri"/>
                <w:bCs/>
                <w:lang w:val="en-US"/>
              </w:rPr>
              <w:t xml:space="preserve"> (e.g. coverage, expenditure focus, quantification of policy budgetary impact over medium and long term, </w:t>
            </w:r>
            <w:proofErr w:type="spellStart"/>
            <w:r w:rsidR="00E515EB" w:rsidRPr="001E2EB1">
              <w:rPr>
                <w:rFonts w:ascii="Calibri" w:eastAsia="Times New Roman" w:hAnsi="Calibri" w:cs="Calibri"/>
                <w:bCs/>
                <w:lang w:val="en-US"/>
              </w:rPr>
              <w:t>etc</w:t>
            </w:r>
            <w:proofErr w:type="spellEnd"/>
            <w:r w:rsidR="00E515EB" w:rsidRPr="001E2EB1">
              <w:rPr>
                <w:rFonts w:ascii="Calibri" w:eastAsia="Times New Roman" w:hAnsi="Calibri" w:cs="Calibri"/>
                <w:bCs/>
                <w:lang w:val="en-US"/>
              </w:rPr>
              <w:t>)</w:t>
            </w:r>
          </w:p>
          <w:p w14:paraId="3B4D5AF3" w14:textId="5974F0CA" w:rsidR="00E515EB" w:rsidRPr="001E2EB1" w:rsidRDefault="2F915F43" w:rsidP="00FC297D">
            <w:pPr>
              <w:spacing w:after="0" w:line="240" w:lineRule="auto"/>
              <w:ind w:left="720"/>
              <w:jc w:val="both"/>
              <w:rPr>
                <w:rFonts w:ascii="Calibri" w:eastAsia="Times New Roman" w:hAnsi="Calibri" w:cs="Calibri"/>
                <w:lang w:val="en-IE"/>
              </w:rPr>
            </w:pPr>
            <w:r w:rsidRPr="61A24D0A">
              <w:rPr>
                <w:rFonts w:ascii="Segoe UI Symbol" w:eastAsia="Calibri" w:hAnsi="Segoe UI Symbol" w:cs="Segoe UI Symbol"/>
              </w:rPr>
              <w:t xml:space="preserve">☐ </w:t>
            </w:r>
            <w:r w:rsidR="005A7336" w:rsidRPr="00DE2C1D">
              <w:rPr>
                <w:rFonts w:ascii="Segoe UI Symbol" w:eastAsia="Calibri" w:hAnsi="Segoe UI Symbol" w:cs="Segoe UI Symbol"/>
                <w:b/>
                <w:bCs/>
              </w:rPr>
              <w:t>I</w:t>
            </w:r>
            <w:r w:rsidR="005A7336" w:rsidRPr="00DE2C1D">
              <w:rPr>
                <w:rFonts w:ascii="Calibri" w:eastAsia="Times New Roman" w:hAnsi="Calibri" w:cs="Calibri"/>
                <w:b/>
                <w:bCs/>
              </w:rPr>
              <w:t>nstitutional capacity building</w:t>
            </w:r>
            <w:r w:rsidR="005A7336" w:rsidRPr="005A7336">
              <w:rPr>
                <w:rFonts w:ascii="Calibri" w:eastAsia="Times New Roman" w:hAnsi="Calibri" w:cs="Calibri"/>
              </w:rPr>
              <w:t xml:space="preserve"> to </w:t>
            </w:r>
            <w:r w:rsidR="005A7336" w:rsidRPr="005A7336">
              <w:rPr>
                <w:rFonts w:ascii="Calibri" w:eastAsia="Times New Roman" w:hAnsi="Calibri" w:cs="Calibri"/>
                <w:lang w:val="en-US"/>
              </w:rPr>
              <w:t>implement the development of processes, and the modelling tools to support</w:t>
            </w:r>
            <w:r w:rsidR="00E515EB" w:rsidRPr="61A24D0A">
              <w:rPr>
                <w:rFonts w:ascii="Calibri" w:eastAsia="Times New Roman" w:hAnsi="Calibri" w:cs="Calibri"/>
                <w:lang w:val="en-US"/>
              </w:rPr>
              <w:t xml:space="preserve"> the MTBF, indicatively:</w:t>
            </w:r>
          </w:p>
          <w:p w14:paraId="21A6EBC7" w14:textId="41D8D9E2" w:rsidR="00E515EB" w:rsidRPr="005A7336" w:rsidRDefault="00E515EB" w:rsidP="005A7336">
            <w:pPr>
              <w:pStyle w:val="ListParagraph"/>
              <w:numPr>
                <w:ilvl w:val="0"/>
                <w:numId w:val="28"/>
              </w:numPr>
              <w:spacing w:after="0" w:line="240" w:lineRule="auto"/>
              <w:jc w:val="both"/>
              <w:rPr>
                <w:rFonts w:ascii="Calibri" w:eastAsia="Times New Roman" w:hAnsi="Calibri" w:cs="Calibri"/>
                <w:bCs/>
                <w:lang w:val="en-IE"/>
              </w:rPr>
            </w:pPr>
            <w:r w:rsidRPr="005A7336">
              <w:rPr>
                <w:rFonts w:ascii="Calibri" w:eastAsia="Times New Roman" w:hAnsi="Calibri" w:cs="Calibri"/>
                <w:bCs/>
                <w:lang w:val="en-IE"/>
              </w:rPr>
              <w:t xml:space="preserve">Proposals for new/revised budgetary planning processes </w:t>
            </w:r>
          </w:p>
          <w:p w14:paraId="1BB0006B" w14:textId="44628A6E" w:rsidR="00E515EB" w:rsidRDefault="00E515EB" w:rsidP="005A7336">
            <w:pPr>
              <w:pStyle w:val="ListParagraph"/>
              <w:numPr>
                <w:ilvl w:val="0"/>
                <w:numId w:val="28"/>
              </w:numPr>
              <w:spacing w:after="0" w:line="240" w:lineRule="auto"/>
              <w:jc w:val="both"/>
              <w:rPr>
                <w:rFonts w:ascii="Calibri" w:eastAsia="Times New Roman" w:hAnsi="Calibri" w:cs="Calibri"/>
                <w:bCs/>
                <w:lang w:val="en-IE"/>
              </w:rPr>
            </w:pPr>
            <w:r w:rsidRPr="005A7336">
              <w:rPr>
                <w:rFonts w:ascii="Calibri" w:eastAsia="Times New Roman" w:hAnsi="Calibri" w:cs="Calibri"/>
                <w:bCs/>
                <w:lang w:val="en-IE"/>
              </w:rPr>
              <w:t>Guidance for developing new or upgraded modelling tools and pilot support (e.g. to quantify the impact of fiscal policy measures over the medium and long term, to model climate change-related fiscal risks)</w:t>
            </w:r>
          </w:p>
          <w:p w14:paraId="0F52E11B" w14:textId="51868678" w:rsidR="00AE1C5B" w:rsidRPr="002E766E" w:rsidRDefault="00CE02EE" w:rsidP="002E766E">
            <w:pPr>
              <w:spacing w:after="0" w:line="240" w:lineRule="auto"/>
              <w:ind w:left="720"/>
              <w:jc w:val="both"/>
              <w:rPr>
                <w:rFonts w:ascii="Calibri" w:eastAsia="Times New Roman" w:hAnsi="Calibri" w:cs="Calibri"/>
                <w:bCs/>
                <w:lang w:val="en-US"/>
              </w:rPr>
            </w:pPr>
            <w:r w:rsidRPr="00410FFA">
              <w:rPr>
                <w:rFonts w:ascii="Segoe UI Symbol" w:eastAsia="Calibri" w:hAnsi="Segoe UI Symbol" w:cs="Segoe UI Symbol"/>
              </w:rPr>
              <w:t xml:space="preserve">☐ </w:t>
            </w:r>
            <w:r w:rsidR="00E515EB" w:rsidRPr="00DE2C1D">
              <w:rPr>
                <w:rFonts w:ascii="Calibri" w:eastAsia="Times New Roman" w:hAnsi="Calibri" w:cs="Calibri"/>
                <w:b/>
                <w:lang w:val="en-US"/>
              </w:rPr>
              <w:t>Guidance for introducing and sequencing new policy priorities</w:t>
            </w:r>
            <w:r w:rsidR="00E515EB" w:rsidRPr="001E2EB1">
              <w:rPr>
                <w:rFonts w:ascii="Calibri" w:eastAsia="Times New Roman" w:hAnsi="Calibri" w:cs="Calibri"/>
                <w:bCs/>
                <w:lang w:val="en-US"/>
              </w:rPr>
              <w:t xml:space="preserve"> (e.g. climate change / gender / green mainstreaming, expenditure rules) in the multi-annual budgetary process</w:t>
            </w:r>
          </w:p>
          <w:p w14:paraId="7ECF8C4E" w14:textId="77777777" w:rsidR="002E766E" w:rsidRPr="00934FAB" w:rsidRDefault="002E766E" w:rsidP="002E766E">
            <w:pPr>
              <w:pStyle w:val="paragraph"/>
              <w:spacing w:after="0"/>
              <w:textAlignment w:val="baseline"/>
              <w:rPr>
                <w:rStyle w:val="normaltextrun"/>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lastRenderedPageBreak/>
              <w:t>TEXT BOX HERE</w:t>
            </w:r>
          </w:p>
          <w:p w14:paraId="2A23F28A" w14:textId="77777777" w:rsidR="001E2EB1" w:rsidRPr="001E2EB1" w:rsidRDefault="001E2EB1" w:rsidP="001E2EB1">
            <w:pPr>
              <w:spacing w:after="0" w:line="240" w:lineRule="auto"/>
              <w:ind w:left="360"/>
              <w:jc w:val="both"/>
              <w:rPr>
                <w:rFonts w:ascii="Calibri" w:eastAsia="Times New Roman" w:hAnsi="Calibri" w:cs="Calibri"/>
                <w:bCs/>
                <w:lang w:val="en-IE"/>
              </w:rPr>
            </w:pPr>
          </w:p>
          <w:p w14:paraId="6A4E3E34" w14:textId="63C98E81" w:rsidR="00E515EB" w:rsidRPr="001E2EB1" w:rsidRDefault="00E515EB" w:rsidP="00E515EB">
            <w:pPr>
              <w:spacing w:after="0" w:line="240" w:lineRule="auto"/>
              <w:jc w:val="both"/>
              <w:rPr>
                <w:rFonts w:ascii="Calibri" w:eastAsia="Times New Roman" w:hAnsi="Calibri" w:cs="Calibri"/>
                <w:bCs/>
                <w:u w:val="single"/>
                <w:lang w:val="en-US"/>
              </w:rPr>
            </w:pPr>
            <w:r w:rsidRPr="001E2EB1">
              <w:rPr>
                <w:rFonts w:ascii="Segoe UI Symbol" w:eastAsia="Calibri" w:hAnsi="Segoe UI Symbol" w:cs="Segoe UI Symbol"/>
              </w:rPr>
              <w:t xml:space="preserve"> </w:t>
            </w:r>
            <w:r w:rsidR="00331EE6" w:rsidRPr="001E2EB1">
              <w:rPr>
                <w:rFonts w:ascii="Segoe UI Symbol" w:eastAsia="Calibri" w:hAnsi="Segoe UI Symbol" w:cs="Segoe UI Symbol"/>
              </w:rPr>
              <w:t xml:space="preserve"> </w:t>
            </w:r>
            <w:r w:rsidR="00FA78CA" w:rsidRPr="00410FFA">
              <w:rPr>
                <w:rFonts w:ascii="Segoe UI Symbol" w:eastAsia="Calibri" w:hAnsi="Segoe UI Symbol" w:cs="Segoe UI Symbol"/>
              </w:rPr>
              <w:t>☐</w:t>
            </w:r>
            <w:r w:rsidRPr="001E2EB1">
              <w:rPr>
                <w:rFonts w:ascii="Calibri" w:eastAsia="Times New Roman" w:hAnsi="Calibri" w:cs="Calibri"/>
                <w:bCs/>
                <w:u w:val="single"/>
                <w:lang w:val="en-US"/>
              </w:rPr>
              <w:t>Pillar 3 – Macro-fiscal Frameworks – Debt Sustainability Analysis</w:t>
            </w:r>
            <w:r w:rsidR="005A7336">
              <w:rPr>
                <w:rFonts w:ascii="Calibri" w:eastAsia="Times New Roman" w:hAnsi="Calibri" w:cs="Calibri"/>
                <w:bCs/>
                <w:u w:val="single"/>
                <w:lang w:val="en-US"/>
              </w:rPr>
              <w:t xml:space="preserve"> (DSA)</w:t>
            </w:r>
          </w:p>
          <w:p w14:paraId="56B53644" w14:textId="565103F0" w:rsidR="00E515EB" w:rsidRDefault="00CE02EE" w:rsidP="00FC297D">
            <w:pPr>
              <w:spacing w:after="0" w:line="240" w:lineRule="auto"/>
              <w:ind w:left="720"/>
              <w:jc w:val="both"/>
              <w:rPr>
                <w:rFonts w:ascii="Calibri" w:eastAsia="Times New Roman" w:hAnsi="Calibri" w:cs="Calibri"/>
                <w:bCs/>
                <w:lang w:val="en-IE"/>
              </w:rPr>
            </w:pPr>
            <w:r w:rsidRPr="00410FFA">
              <w:rPr>
                <w:rFonts w:ascii="Segoe UI Symbol" w:eastAsia="Calibri" w:hAnsi="Segoe UI Symbol" w:cs="Segoe UI Symbol"/>
              </w:rPr>
              <w:t xml:space="preserve">☐ </w:t>
            </w:r>
            <w:r w:rsidR="00E515EB" w:rsidRPr="00DE2C1D">
              <w:rPr>
                <w:rFonts w:ascii="Calibri" w:eastAsia="Times New Roman" w:hAnsi="Calibri" w:cs="Calibri"/>
                <w:b/>
                <w:lang w:val="en-IE"/>
              </w:rPr>
              <w:t>Training sessions</w:t>
            </w:r>
            <w:r w:rsidR="00E515EB" w:rsidRPr="001E2EB1">
              <w:rPr>
                <w:rFonts w:ascii="Calibri" w:eastAsia="Times New Roman" w:hAnsi="Calibri" w:cs="Calibri"/>
                <w:bCs/>
                <w:lang w:val="en-IE"/>
              </w:rPr>
              <w:t xml:space="preserve"> on DG ECFIN’s DSA tool for medium-term modelling.</w:t>
            </w:r>
          </w:p>
          <w:p w14:paraId="00EFC5B2" w14:textId="365A1C52" w:rsidR="00E515EB" w:rsidRDefault="00CE02EE" w:rsidP="00FC297D">
            <w:pPr>
              <w:spacing w:after="0" w:line="240" w:lineRule="auto"/>
              <w:ind w:left="720"/>
              <w:jc w:val="both"/>
              <w:rPr>
                <w:rFonts w:ascii="Calibri" w:eastAsia="Times New Roman" w:hAnsi="Calibri" w:cs="Calibri"/>
                <w:bCs/>
                <w:lang w:val="en-IE"/>
              </w:rPr>
            </w:pPr>
            <w:r w:rsidRPr="00410FFA">
              <w:rPr>
                <w:rFonts w:ascii="Segoe UI Symbol" w:eastAsia="Calibri" w:hAnsi="Segoe UI Symbol" w:cs="Segoe UI Symbol"/>
              </w:rPr>
              <w:t xml:space="preserve">☐ </w:t>
            </w:r>
            <w:r w:rsidR="00E515EB" w:rsidRPr="00DE2C1D">
              <w:rPr>
                <w:rFonts w:ascii="Calibri" w:eastAsia="Times New Roman" w:hAnsi="Calibri" w:cs="Calibri"/>
                <w:b/>
                <w:lang w:val="en-IE"/>
              </w:rPr>
              <w:t>Workshops on best practices</w:t>
            </w:r>
            <w:r w:rsidR="00E515EB" w:rsidRPr="001E2EB1">
              <w:rPr>
                <w:rFonts w:ascii="Calibri" w:eastAsia="Times New Roman" w:hAnsi="Calibri" w:cs="Calibri"/>
                <w:bCs/>
                <w:lang w:val="en-IE"/>
              </w:rPr>
              <w:t xml:space="preserve"> and tools for long-term DSA modelling (inc. accounting for trends and risks such as ageing populations and climate change adaptation and mitigation)</w:t>
            </w:r>
          </w:p>
          <w:p w14:paraId="097FDBDD" w14:textId="2DA1D645" w:rsidR="00E515EB" w:rsidRPr="001E2EB1" w:rsidRDefault="00CE02EE" w:rsidP="00FC297D">
            <w:pPr>
              <w:spacing w:after="0" w:line="240" w:lineRule="auto"/>
              <w:ind w:left="720"/>
              <w:jc w:val="both"/>
              <w:rPr>
                <w:rFonts w:ascii="Calibri" w:eastAsia="Times New Roman" w:hAnsi="Calibri" w:cs="Calibri"/>
                <w:bCs/>
                <w:lang w:val="en-IE"/>
              </w:rPr>
            </w:pPr>
            <w:r w:rsidRPr="00410FFA">
              <w:rPr>
                <w:rFonts w:ascii="Segoe UI Symbol" w:eastAsia="Calibri" w:hAnsi="Segoe UI Symbol" w:cs="Segoe UI Symbol"/>
              </w:rPr>
              <w:t xml:space="preserve">☐ </w:t>
            </w:r>
            <w:r w:rsidR="009E7916" w:rsidRPr="00DE2C1D">
              <w:rPr>
                <w:rFonts w:ascii="Segoe UI Symbol" w:eastAsia="Calibri" w:hAnsi="Segoe UI Symbol" w:cs="Segoe UI Symbol"/>
                <w:b/>
                <w:bCs/>
              </w:rPr>
              <w:t>I</w:t>
            </w:r>
            <w:r w:rsidR="00C9766C" w:rsidRPr="00DE2C1D">
              <w:rPr>
                <w:rFonts w:ascii="Calibri" w:eastAsia="Times New Roman" w:hAnsi="Calibri" w:cs="Calibri"/>
                <w:b/>
                <w:bCs/>
              </w:rPr>
              <w:t>nstitutional capacity building</w:t>
            </w:r>
            <w:r w:rsidR="00C9766C" w:rsidRPr="00C9766C">
              <w:rPr>
                <w:rFonts w:ascii="Calibri" w:eastAsia="Times New Roman" w:hAnsi="Calibri" w:cs="Calibri"/>
                <w:bCs/>
              </w:rPr>
              <w:t xml:space="preserve"> for the </w:t>
            </w:r>
            <w:r w:rsidR="00C9766C" w:rsidRPr="00C9766C">
              <w:rPr>
                <w:rFonts w:ascii="Calibri" w:eastAsia="Times New Roman" w:hAnsi="Calibri" w:cs="Calibri"/>
                <w:bCs/>
                <w:lang w:val="en-IE"/>
              </w:rPr>
              <w:t>upgrade and further development of existing long-term national DSA models in accordance with best practices</w:t>
            </w:r>
            <w:r w:rsidR="00E515EB" w:rsidRPr="001E2EB1">
              <w:rPr>
                <w:rFonts w:ascii="Calibri" w:eastAsia="Times New Roman" w:hAnsi="Calibri" w:cs="Calibri"/>
                <w:bCs/>
                <w:lang w:val="en-IE"/>
              </w:rPr>
              <w:t>, including:</w:t>
            </w:r>
          </w:p>
          <w:p w14:paraId="0922687C" w14:textId="1B0B39D6" w:rsidR="00E515EB" w:rsidRPr="001E2EB1" w:rsidRDefault="00C9766C" w:rsidP="00E515EB">
            <w:pPr>
              <w:numPr>
                <w:ilvl w:val="0"/>
                <w:numId w:val="26"/>
              </w:numPr>
              <w:spacing w:after="0" w:line="240" w:lineRule="auto"/>
              <w:jc w:val="both"/>
              <w:rPr>
                <w:rFonts w:ascii="Calibri" w:eastAsia="Times New Roman" w:hAnsi="Calibri" w:cs="Calibri"/>
                <w:bCs/>
                <w:lang w:val="en-IE"/>
              </w:rPr>
            </w:pPr>
            <w:r>
              <w:rPr>
                <w:rFonts w:ascii="Calibri" w:eastAsia="Times New Roman" w:hAnsi="Calibri" w:cs="Calibri"/>
                <w:bCs/>
                <w:lang w:val="en-IE"/>
              </w:rPr>
              <w:t>Carrying out r</w:t>
            </w:r>
            <w:r w:rsidR="00E515EB" w:rsidRPr="001E2EB1">
              <w:rPr>
                <w:rFonts w:ascii="Calibri" w:eastAsia="Times New Roman" w:hAnsi="Calibri" w:cs="Calibri"/>
                <w:bCs/>
                <w:lang w:val="en-IE"/>
              </w:rPr>
              <w:t>eview</w:t>
            </w:r>
            <w:r>
              <w:rPr>
                <w:rFonts w:ascii="Calibri" w:eastAsia="Times New Roman" w:hAnsi="Calibri" w:cs="Calibri"/>
                <w:bCs/>
                <w:lang w:val="en-IE"/>
              </w:rPr>
              <w:t>s</w:t>
            </w:r>
            <w:r w:rsidR="00E515EB" w:rsidRPr="001E2EB1">
              <w:rPr>
                <w:rFonts w:ascii="Calibri" w:eastAsia="Times New Roman" w:hAnsi="Calibri" w:cs="Calibri"/>
                <w:bCs/>
                <w:lang w:val="en-IE"/>
              </w:rPr>
              <w:t xml:space="preserve"> of existing model(s) for DSA </w:t>
            </w:r>
          </w:p>
          <w:p w14:paraId="080F08B2" w14:textId="77777777" w:rsidR="00E515EB" w:rsidRPr="001E2EB1" w:rsidRDefault="00E515EB" w:rsidP="00E515EB">
            <w:pPr>
              <w:numPr>
                <w:ilvl w:val="1"/>
                <w:numId w:val="24"/>
              </w:numPr>
              <w:spacing w:after="0" w:line="240" w:lineRule="auto"/>
              <w:jc w:val="both"/>
              <w:rPr>
                <w:rFonts w:ascii="Calibri" w:eastAsia="Times New Roman" w:hAnsi="Calibri" w:cs="Calibri"/>
                <w:bCs/>
                <w:lang w:val="en-IE"/>
              </w:rPr>
            </w:pPr>
            <w:r w:rsidRPr="001E2EB1">
              <w:rPr>
                <w:rFonts w:ascii="Calibri" w:eastAsia="Times New Roman" w:hAnsi="Calibri" w:cs="Calibri"/>
                <w:bCs/>
                <w:lang w:val="en-IE"/>
              </w:rPr>
              <w:t>Recommendations on the approach to follow for building a database for DSA and developing a new/upgraded model (e.g. based on a stochastic framework)</w:t>
            </w:r>
          </w:p>
          <w:p w14:paraId="43CD53DE" w14:textId="2D2510E9" w:rsidR="00E515EB" w:rsidRDefault="00ED0C4C" w:rsidP="00E515EB">
            <w:pPr>
              <w:numPr>
                <w:ilvl w:val="1"/>
                <w:numId w:val="24"/>
              </w:numPr>
              <w:spacing w:after="0" w:line="240" w:lineRule="auto"/>
              <w:jc w:val="both"/>
              <w:rPr>
                <w:rFonts w:ascii="Calibri" w:eastAsia="Times New Roman" w:hAnsi="Calibri" w:cs="Calibri"/>
                <w:bCs/>
                <w:lang w:val="en-IE"/>
              </w:rPr>
            </w:pPr>
            <w:r>
              <w:rPr>
                <w:rFonts w:ascii="Calibri" w:eastAsia="Times New Roman" w:hAnsi="Calibri" w:cs="Calibri"/>
                <w:bCs/>
                <w:lang w:val="en-IE"/>
              </w:rPr>
              <w:t>P</w:t>
            </w:r>
            <w:r w:rsidRPr="00ED0C4C">
              <w:rPr>
                <w:rFonts w:ascii="Calibri" w:eastAsia="Times New Roman" w:hAnsi="Calibri" w:cs="Calibri"/>
                <w:bCs/>
                <w:lang w:val="en-IE"/>
              </w:rPr>
              <w:t>rovision of expertise to incorporate the new model and analyse its results</w:t>
            </w:r>
            <w:r>
              <w:rPr>
                <w:rFonts w:ascii="Calibri" w:eastAsia="Times New Roman" w:hAnsi="Calibri" w:cs="Calibri"/>
                <w:bCs/>
                <w:lang w:val="en-IE"/>
              </w:rPr>
              <w:t>.</w:t>
            </w:r>
          </w:p>
          <w:p w14:paraId="37173A83" w14:textId="716A6A66" w:rsidR="00E515EB" w:rsidRPr="00DE2C1D" w:rsidRDefault="00CE02EE" w:rsidP="00FC297D">
            <w:pPr>
              <w:spacing w:after="0" w:line="240" w:lineRule="auto"/>
              <w:ind w:left="720"/>
              <w:jc w:val="both"/>
              <w:rPr>
                <w:rFonts w:ascii="Calibri" w:eastAsia="Times New Roman" w:hAnsi="Calibri" w:cs="Calibri"/>
                <w:b/>
                <w:lang w:val="en-IE"/>
              </w:rPr>
            </w:pPr>
            <w:r w:rsidRPr="00410FFA">
              <w:rPr>
                <w:rFonts w:ascii="Segoe UI Symbol" w:eastAsia="Calibri" w:hAnsi="Segoe UI Symbol" w:cs="Segoe UI Symbol"/>
              </w:rPr>
              <w:t xml:space="preserve">☐ </w:t>
            </w:r>
            <w:r w:rsidR="00C9766C" w:rsidRPr="00C9766C">
              <w:rPr>
                <w:rFonts w:eastAsia="Calibri" w:cstheme="minorHAnsi"/>
              </w:rPr>
              <w:t xml:space="preserve">Institutional, administrative or sectoral capacity building and related supporting actions for </w:t>
            </w:r>
            <w:r w:rsidR="00C9766C" w:rsidRPr="00DE2C1D">
              <w:rPr>
                <w:rFonts w:ascii="Calibri" w:eastAsia="Times New Roman" w:hAnsi="Calibri" w:cs="Calibri"/>
                <w:b/>
                <w:lang w:val="en-IE"/>
              </w:rPr>
              <w:t>p</w:t>
            </w:r>
            <w:r w:rsidR="00E515EB" w:rsidRPr="00DE2C1D">
              <w:rPr>
                <w:rFonts w:ascii="Calibri" w:eastAsia="Times New Roman" w:hAnsi="Calibri" w:cs="Calibri"/>
                <w:b/>
                <w:lang w:val="en-IE"/>
              </w:rPr>
              <w:t>e</w:t>
            </w:r>
            <w:r w:rsidR="00E515EB" w:rsidRPr="00DE2C1D">
              <w:rPr>
                <w:rFonts w:eastAsia="Times New Roman" w:cstheme="minorHAnsi"/>
                <w:b/>
                <w:lang w:val="en-IE"/>
              </w:rPr>
              <w:t xml:space="preserve">er </w:t>
            </w:r>
            <w:r w:rsidR="00C9766C" w:rsidRPr="00DE2C1D">
              <w:rPr>
                <w:rFonts w:eastAsia="Times New Roman" w:cstheme="minorHAnsi"/>
                <w:b/>
                <w:lang w:val="en-IE"/>
              </w:rPr>
              <w:t>e</w:t>
            </w:r>
            <w:r w:rsidR="00E515EB" w:rsidRPr="00DE2C1D">
              <w:rPr>
                <w:rFonts w:eastAsia="Times New Roman" w:cstheme="minorHAnsi"/>
                <w:b/>
                <w:lang w:val="en-IE"/>
              </w:rPr>
              <w:t xml:space="preserve">xchange and </w:t>
            </w:r>
            <w:r w:rsidR="00C9766C" w:rsidRPr="00DE2C1D">
              <w:rPr>
                <w:rFonts w:eastAsia="Times New Roman" w:cstheme="minorHAnsi"/>
                <w:b/>
                <w:lang w:val="en-IE"/>
              </w:rPr>
              <w:t>k</w:t>
            </w:r>
            <w:r w:rsidR="00E515EB" w:rsidRPr="00DE2C1D">
              <w:rPr>
                <w:rFonts w:eastAsia="Times New Roman" w:cstheme="minorHAnsi"/>
                <w:b/>
                <w:lang w:val="en-IE"/>
              </w:rPr>
              <w:t>nowledge</w:t>
            </w:r>
            <w:r w:rsidR="00E515EB" w:rsidRPr="00DE2C1D">
              <w:rPr>
                <w:rFonts w:ascii="Calibri" w:eastAsia="Times New Roman" w:hAnsi="Calibri" w:cs="Calibri"/>
                <w:b/>
                <w:lang w:val="en-IE"/>
              </w:rPr>
              <w:t xml:space="preserve"> </w:t>
            </w:r>
            <w:r w:rsidR="00C9766C" w:rsidRPr="00DE2C1D">
              <w:rPr>
                <w:rFonts w:ascii="Calibri" w:eastAsia="Times New Roman" w:hAnsi="Calibri" w:cs="Calibri"/>
                <w:b/>
                <w:lang w:val="en-IE"/>
              </w:rPr>
              <w:t>h</w:t>
            </w:r>
            <w:r w:rsidR="00E515EB" w:rsidRPr="00DE2C1D">
              <w:rPr>
                <w:rFonts w:ascii="Calibri" w:eastAsia="Times New Roman" w:hAnsi="Calibri" w:cs="Calibri"/>
                <w:b/>
                <w:lang w:val="en-IE"/>
              </w:rPr>
              <w:t>ub for DSA modelling</w:t>
            </w:r>
          </w:p>
          <w:p w14:paraId="755F33B9" w14:textId="77777777" w:rsidR="00AE1C5B" w:rsidRPr="00DE2C1D" w:rsidRDefault="00AE1C5B" w:rsidP="00AE1C5B">
            <w:pPr>
              <w:spacing w:after="240" w:line="240" w:lineRule="auto"/>
              <w:contextualSpacing/>
              <w:jc w:val="both"/>
              <w:rPr>
                <w:rFonts w:ascii="Calibri" w:eastAsia="Calibri" w:hAnsi="Calibri" w:cs="Calibri"/>
                <w:b/>
                <w:lang w:eastAsia="en-GB"/>
              </w:rPr>
            </w:pPr>
          </w:p>
          <w:p w14:paraId="3514D67A" w14:textId="77777777" w:rsidR="002E766E" w:rsidRPr="00934FAB" w:rsidRDefault="002E766E" w:rsidP="002E766E">
            <w:pPr>
              <w:pStyle w:val="paragraph"/>
              <w:spacing w:after="0"/>
              <w:textAlignment w:val="baseline"/>
              <w:rPr>
                <w:rStyle w:val="normaltextrun"/>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6256773D" w14:textId="77777777" w:rsidR="001E2EB1" w:rsidRPr="001E2EB1" w:rsidRDefault="001E2EB1" w:rsidP="001E2EB1">
            <w:pPr>
              <w:spacing w:after="0" w:line="240" w:lineRule="auto"/>
              <w:ind w:left="360"/>
              <w:jc w:val="both"/>
              <w:rPr>
                <w:rFonts w:ascii="Calibri" w:eastAsia="Times New Roman" w:hAnsi="Calibri" w:cs="Calibri"/>
                <w:bCs/>
                <w:lang w:val="en-IE"/>
              </w:rPr>
            </w:pPr>
          </w:p>
          <w:p w14:paraId="783ACF6D" w14:textId="188F65EE" w:rsidR="004422E1" w:rsidRDefault="004422E1" w:rsidP="004422E1">
            <w:pPr>
              <w:spacing w:after="0"/>
              <w:rPr>
                <w:rFonts w:eastAsia="Times New Roman" w:cstheme="minorHAnsi"/>
                <w:lang w:eastAsia="en-GB"/>
              </w:rPr>
            </w:pPr>
            <w:r w:rsidRPr="00D909FD">
              <w:rPr>
                <w:rFonts w:ascii="Segoe UI Symbol" w:eastAsia="Calibri" w:hAnsi="Segoe UI Symbol" w:cs="Segoe UI Symbol"/>
              </w:rPr>
              <w:t>☐</w:t>
            </w:r>
            <w:r w:rsidRPr="00C15E87">
              <w:rPr>
                <w:rFonts w:ascii="Verdana" w:eastAsia="Times New Roman" w:hAnsi="Verdana" w:cs="Arial"/>
                <w:sz w:val="20"/>
                <w:szCs w:val="20"/>
                <w:lang w:eastAsia="en-GB"/>
              </w:rPr>
              <w:t xml:space="preserve"> </w:t>
            </w:r>
            <w:r w:rsidRPr="00C15E87">
              <w:rPr>
                <w:rFonts w:eastAsia="Times New Roman" w:cstheme="minorHAnsi"/>
                <w:lang w:eastAsia="en-GB"/>
              </w:rPr>
              <w:t>Other [please specify]</w:t>
            </w:r>
          </w:p>
          <w:p w14:paraId="0195E744" w14:textId="7B29C86B" w:rsidR="00F67738" w:rsidRDefault="00F67738" w:rsidP="004422E1">
            <w:pPr>
              <w:spacing w:after="0"/>
              <w:rPr>
                <w:rFonts w:eastAsia="Times New Roman" w:cstheme="minorHAnsi"/>
                <w:lang w:eastAsia="en-GB"/>
              </w:rPr>
            </w:pPr>
          </w:p>
          <w:p w14:paraId="5460F9BA" w14:textId="77777777" w:rsidR="002E766E" w:rsidRPr="00934FAB" w:rsidRDefault="002E766E" w:rsidP="002E766E">
            <w:pPr>
              <w:pStyle w:val="paragraph"/>
              <w:spacing w:after="0"/>
              <w:textAlignment w:val="baseline"/>
              <w:rPr>
                <w:rStyle w:val="normaltextrun"/>
                <w:rFonts w:ascii="Calibri" w:hAnsi="Calibri" w:cs="Calibri"/>
                <w:sz w:val="22"/>
                <w:szCs w:val="22"/>
                <w:highlight w:val="lightGray"/>
                <w:lang w:val="en-GB"/>
              </w:rPr>
            </w:pPr>
            <w:r w:rsidRPr="00934FAB">
              <w:rPr>
                <w:rStyle w:val="normaltextrun"/>
                <w:rFonts w:ascii="Calibri" w:hAnsi="Calibri" w:cs="Calibri"/>
                <w:sz w:val="22"/>
                <w:szCs w:val="22"/>
                <w:highlight w:val="lightGray"/>
                <w:lang w:val="en-GB"/>
              </w:rPr>
              <w:t>TEXT BOX HERE</w:t>
            </w:r>
          </w:p>
          <w:p w14:paraId="0334868F" w14:textId="77777777" w:rsidR="004422E1" w:rsidRPr="00C15E87" w:rsidRDefault="004422E1" w:rsidP="004422E1">
            <w:pPr>
              <w:spacing w:after="0"/>
              <w:rPr>
                <w:rFonts w:ascii="Verdana" w:eastAsia="Times New Roman" w:hAnsi="Verdana" w:cs="Arial"/>
                <w:sz w:val="20"/>
                <w:szCs w:val="20"/>
                <w:lang w:eastAsia="en-GB"/>
              </w:rPr>
            </w:pPr>
          </w:p>
          <w:p w14:paraId="111ACD08" w14:textId="77777777" w:rsidR="004422E1" w:rsidRPr="00C15E87" w:rsidRDefault="004422E1" w:rsidP="004422E1">
            <w:pPr>
              <w:spacing w:after="0"/>
              <w:rPr>
                <w:rFonts w:ascii="Verdana" w:eastAsia="Times New Roman" w:hAnsi="Verdana" w:cs="Arial"/>
                <w:sz w:val="20"/>
                <w:szCs w:val="20"/>
                <w:lang w:eastAsia="en-GB"/>
              </w:rPr>
            </w:pPr>
            <w:r w:rsidRPr="00C15E87">
              <w:rPr>
                <w:rFonts w:ascii="Verdana" w:eastAsia="Times New Roman" w:hAnsi="Verdana" w:cs="Arial"/>
                <w:i/>
                <w:color w:val="FF0000"/>
                <w:sz w:val="20"/>
                <w:szCs w:val="20"/>
                <w:lang w:eastAsia="en-GB"/>
              </w:rPr>
              <w:t xml:space="preserve">When filling in the request online, please </w:t>
            </w:r>
            <w:r>
              <w:rPr>
                <w:rFonts w:ascii="Verdana" w:eastAsia="Times New Roman" w:hAnsi="Verdana" w:cs="Arial"/>
                <w:i/>
                <w:color w:val="FF0000"/>
                <w:sz w:val="20"/>
                <w:szCs w:val="20"/>
                <w:lang w:eastAsia="en-GB"/>
              </w:rPr>
              <w:t xml:space="preserve">provide additional explanation on the measures requested and how you would envisage those </w:t>
            </w:r>
            <w:r w:rsidRPr="00C15E87">
              <w:rPr>
                <w:rFonts w:ascii="Verdana" w:eastAsia="Times New Roman" w:hAnsi="Verdana" w:cs="Arial"/>
                <w:i/>
                <w:color w:val="FF0000"/>
                <w:sz w:val="20"/>
                <w:szCs w:val="20"/>
                <w:lang w:eastAsia="en-GB"/>
              </w:rPr>
              <w:t>to be delivered and structured</w:t>
            </w:r>
            <w:r w:rsidRPr="00C15E87">
              <w:rPr>
                <w:rFonts w:ascii="Verdana" w:eastAsia="Times New Roman" w:hAnsi="Verdana" w:cs="Arial"/>
                <w:sz w:val="20"/>
                <w:szCs w:val="20"/>
                <w:lang w:eastAsia="en-GB"/>
              </w:rPr>
              <w:t xml:space="preserve">. </w:t>
            </w:r>
          </w:p>
          <w:p w14:paraId="57778759" w14:textId="77777777" w:rsidR="004422E1" w:rsidRPr="00F64CAB" w:rsidRDefault="004422E1" w:rsidP="004422E1">
            <w:pPr>
              <w:rPr>
                <w:rFonts w:ascii="Verdana" w:eastAsia="Times New Roman" w:hAnsi="Verdana" w:cs="Arial"/>
                <w:b/>
                <w:bCs/>
                <w:sz w:val="20"/>
                <w:szCs w:val="20"/>
                <w:lang w:val="en-US" w:eastAsia="en-GB"/>
              </w:rPr>
            </w:pPr>
          </w:p>
        </w:tc>
      </w:tr>
      <w:tr w:rsidR="004422E1" w:rsidRPr="00F64CAB" w14:paraId="4744803C" w14:textId="77777777" w:rsidTr="61A24D0A">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35B7C228"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4422E1" w:rsidRPr="00F64CAB" w:rsidRDefault="004422E1" w:rsidP="004422E1">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4422E1" w:rsidRPr="00F64CAB" w14:paraId="366983D8" w14:textId="77777777" w:rsidTr="61A24D0A">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4624E96"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p w14:paraId="29F851DE" w14:textId="1CCECB84" w:rsidR="004422E1" w:rsidRPr="00F64CAB" w:rsidRDefault="004422E1" w:rsidP="004422E1">
            <w:pPr>
              <w:spacing w:after="0"/>
              <w:jc w:val="both"/>
              <w:rPr>
                <w:rFonts w:ascii="Verdana" w:eastAsia="Times New Roman" w:hAnsi="Verdana" w:cs="Arial"/>
                <w:b/>
                <w:bCs/>
                <w:sz w:val="20"/>
                <w:szCs w:val="20"/>
                <w:lang w:val="en-US" w:eastAsia="en-GB"/>
              </w:rPr>
            </w:pPr>
          </w:p>
        </w:tc>
      </w:tr>
      <w:tr w:rsidR="004422E1" w:rsidRPr="00F64CAB" w14:paraId="5ED5A85C" w14:textId="77777777" w:rsidTr="61A24D0A">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4422E1" w:rsidRPr="00F64CAB" w:rsidRDefault="004422E1" w:rsidP="004422E1">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4422E1" w:rsidRPr="00F64CAB" w14:paraId="72B93B44" w14:textId="77777777" w:rsidTr="61A24D0A">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A26E7D5" w14:textId="45CA92C3"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0A6D9CD9"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0914688" w14:textId="77777777" w:rsidTr="61A24D0A">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4422E1" w:rsidRPr="00F64CAB" w:rsidRDefault="004422E1" w:rsidP="004422E1">
            <w:pPr>
              <w:pStyle w:val="Text2"/>
              <w:spacing w:after="0"/>
              <w:ind w:left="0"/>
              <w:rPr>
                <w:rFonts w:ascii="Verdana" w:hAnsi="Verdana" w:cs="Arial"/>
                <w:sz w:val="20"/>
                <w:szCs w:val="20"/>
                <w:lang w:val="en-US"/>
              </w:rPr>
            </w:pPr>
            <w:r w:rsidRPr="5ED146BE">
              <w:rPr>
                <w:rFonts w:ascii="Verdana" w:hAnsi="Verdana" w:cs="Arial"/>
                <w:b/>
                <w:bCs/>
                <w:sz w:val="20"/>
                <w:szCs w:val="20"/>
              </w:rPr>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4422E1" w:rsidRPr="00F64CAB" w:rsidRDefault="004422E1" w:rsidP="004422E1">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4422E1" w:rsidRPr="00F64CAB" w14:paraId="6F6401AE" w14:textId="77777777" w:rsidTr="61A24D0A">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C9D9755" w14:textId="77777777" w:rsidTr="61A24D0A">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4422E1" w:rsidRDefault="004422E1" w:rsidP="004422E1">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4422E1" w:rsidRPr="003A5562" w:rsidRDefault="004422E1" w:rsidP="004422E1">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4422E1" w:rsidRPr="00F64CAB" w14:paraId="481F7AD4" w14:textId="77777777" w:rsidTr="61A24D0A">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4422E1" w:rsidRPr="00F64CAB" w:rsidRDefault="004422E1" w:rsidP="004422E1">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lastRenderedPageBreak/>
              <w:t>[Insert Text; between 200-250 words]</w:t>
            </w:r>
          </w:p>
        </w:tc>
      </w:tr>
      <w:tr w:rsidR="00976AC0" w:rsidRPr="00F64CAB" w14:paraId="029CF237" w14:textId="77777777" w:rsidTr="61A24D0A">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EEC589B" w14:textId="413AF371" w:rsidR="00976AC0" w:rsidRPr="008C2EFF" w:rsidRDefault="00976AC0" w:rsidP="004422E1">
            <w:pPr>
              <w:pStyle w:val="Text2"/>
              <w:spacing w:after="0"/>
              <w:ind w:left="0"/>
              <w:rPr>
                <w:rFonts w:ascii="Verdana" w:hAnsi="Verdana" w:cs="Arial"/>
                <w:b/>
                <w:bCs/>
                <w:sz w:val="20"/>
                <w:szCs w:val="20"/>
              </w:rPr>
            </w:pPr>
            <w:r>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C102660" w14:textId="34F05387" w:rsidR="00976AC0" w:rsidRPr="008C2EFF" w:rsidRDefault="00976AC0" w:rsidP="004422E1">
            <w:pPr>
              <w:spacing w:after="0"/>
              <w:jc w:val="both"/>
              <w:rPr>
                <w:rFonts w:ascii="Verdana" w:eastAsia="Times New Roman" w:hAnsi="Verdana" w:cs="Arial"/>
                <w:b/>
                <w:bCs/>
                <w:sz w:val="20"/>
                <w:szCs w:val="20"/>
                <w:lang w:val="en-US" w:eastAsia="en-GB"/>
              </w:rPr>
            </w:pPr>
            <w:r>
              <w:rPr>
                <w:rFonts w:ascii="Verdana" w:eastAsia="Times New Roman" w:hAnsi="Verdana" w:cs="Arial"/>
                <w:b/>
                <w:bCs/>
                <w:sz w:val="20"/>
                <w:szCs w:val="20"/>
                <w:lang w:val="en-US" w:eastAsia="en-GB"/>
              </w:rPr>
              <w:t>If applicable, indicate any envisaged provider or implementing partner of technical support measures (please do not provide names of private providers). Include the reasoning behind and explanations as to their know-how/capacity.</w:t>
            </w:r>
          </w:p>
        </w:tc>
      </w:tr>
      <w:tr w:rsidR="00976AC0" w:rsidRPr="00F64CAB" w14:paraId="146DCEC3" w14:textId="77777777" w:rsidTr="00976AC0">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1AB51CC" w14:textId="6CB917C4" w:rsidR="00976AC0" w:rsidRPr="008C2EFF" w:rsidRDefault="00976AC0" w:rsidP="004422E1">
            <w:pPr>
              <w:spacing w:after="0"/>
              <w:jc w:val="both"/>
              <w:rPr>
                <w:rFonts w:ascii="Verdana" w:eastAsia="Times New Roman" w:hAnsi="Verdana" w:cs="Arial"/>
                <w:b/>
                <w:bCs/>
                <w:sz w:val="20"/>
                <w:szCs w:val="20"/>
                <w:lang w:val="en-US" w:eastAsia="en-GB"/>
              </w:rPr>
            </w:pPr>
            <w:r>
              <w:rPr>
                <w:rFonts w:ascii="Verdana" w:eastAsia="Times New Roman" w:hAnsi="Verdana" w:cs="Arial"/>
                <w:sz w:val="20"/>
                <w:szCs w:val="20"/>
                <w:lang w:val="en-US" w:eastAsia="en-GB"/>
              </w:rPr>
              <w:t>[Insert Text; between 50-100 words]</w:t>
            </w:r>
          </w:p>
        </w:tc>
      </w:tr>
      <w:tr w:rsidR="004422E1" w:rsidRPr="00F64CAB" w14:paraId="4C689B59" w14:textId="77777777" w:rsidTr="61A24D0A">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16D40C9A"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976AC0">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 in an area relevant to the reform/support 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4422E1" w:rsidRPr="00F64CAB" w14:paraId="361377F7" w14:textId="77777777" w:rsidTr="61A24D0A">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4422E1" w:rsidRPr="00F64CAB" w14:paraId="12C970A9" w14:textId="77777777" w:rsidTr="61A24D0A">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154F1431"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976AC0">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4422E1" w:rsidRPr="008C2EFF" w:rsidRDefault="004422E1" w:rsidP="004422E1">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4422E1" w:rsidRPr="00F64CAB" w14:paraId="28C62C21" w14:textId="77777777" w:rsidTr="61A24D0A">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4422E1" w:rsidRPr="00F64CAB" w14:paraId="0F6F3099" w14:textId="77777777" w:rsidTr="61A24D0A">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20C1DF19"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976AC0">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4422E1" w:rsidRPr="00F64CAB" w14:paraId="473E4BA1" w14:textId="77777777" w:rsidTr="61A24D0A">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6C7EF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w:t>
            </w:r>
            <w:proofErr w:type="spellStart"/>
            <w:r w:rsidR="00CA498B" w:rsidRPr="00E73C92">
              <w:rPr>
                <w:rFonts w:ascii="Verdana" w:hAnsi="Verdana" w:cs="Arial"/>
                <w:sz w:val="20"/>
                <w:szCs w:val="20"/>
              </w:rPr>
              <w:t>REPowerEU</w:t>
            </w:r>
            <w:proofErr w:type="spellEnd"/>
            <w:r w:rsidR="00CA498B" w:rsidRPr="00E73C92">
              <w:rPr>
                <w:rFonts w:ascii="Verdana" w:hAnsi="Verdana" w:cs="Arial"/>
                <w:sz w:val="20"/>
                <w:szCs w:val="20"/>
              </w:rPr>
              <w:t xml:space="preserve">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6C7EF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6C7EF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proofErr w:type="spellStart"/>
            <w:r w:rsidR="00A008E6" w:rsidRPr="00A008E6">
              <w:rPr>
                <w:rFonts w:ascii="Verdana" w:hAnsi="Verdana" w:cs="Arial"/>
                <w:sz w:val="20"/>
                <w:szCs w:val="20"/>
              </w:rPr>
              <w:t>REPowerEU</w:t>
            </w:r>
            <w:proofErr w:type="spellEnd"/>
            <w:r w:rsidR="00A008E6" w:rsidRPr="00A008E6">
              <w:rPr>
                <w:rFonts w:ascii="Verdana" w:hAnsi="Verdana" w:cs="Arial"/>
                <w:sz w:val="20"/>
                <w:szCs w:val="20"/>
              </w:rPr>
              <w:t xml:space="preserve">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6C7EF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6C7EF8"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lastRenderedPageBreak/>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 xml:space="preserve">including </w:t>
            </w:r>
            <w:proofErr w:type="spellStart"/>
            <w:r w:rsidR="00603227" w:rsidRPr="00E73C92">
              <w:rPr>
                <w:rFonts w:ascii="Verdana" w:hAnsi="Verdana" w:cs="Arial"/>
                <w:sz w:val="20"/>
                <w:szCs w:val="20"/>
              </w:rPr>
              <w:t>REPowerEU</w:t>
            </w:r>
            <w:proofErr w:type="spellEnd"/>
            <w:r w:rsidR="00603227" w:rsidRPr="00E73C92">
              <w:rPr>
                <w:rFonts w:ascii="Verdana" w:hAnsi="Verdana" w:cs="Arial"/>
                <w:sz w:val="20"/>
                <w:szCs w:val="20"/>
              </w:rPr>
              <w:t xml:space="preserve">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lastRenderedPageBreak/>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w:t>
            </w:r>
            <w:proofErr w:type="spellStart"/>
            <w:r w:rsidR="00CA498B">
              <w:rPr>
                <w:rFonts w:ascii="Verdana" w:hAnsi="Verdana" w:cs="Arial"/>
                <w:i/>
                <w:iCs/>
                <w:sz w:val="20"/>
                <w:szCs w:val="20"/>
              </w:rPr>
              <w:t>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w:t>
            </w:r>
            <w:proofErr w:type="spellEnd"/>
            <w:r w:rsidR="00CA498B">
              <w:rPr>
                <w:rFonts w:ascii="Verdana" w:hAnsi="Verdana" w:cs="Arial"/>
                <w:i/>
                <w:iCs/>
                <w:sz w:val="20"/>
                <w:szCs w:val="20"/>
              </w:rPr>
              <w:t xml:space="preserve">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6C7EF8"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6C7EF8"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6C7EF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6C7EF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6C7EF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6C7EF8"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lastRenderedPageBreak/>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The Member States shall counter fraud and any other illegal activities 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 xml:space="preserve">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w:t>
            </w:r>
            <w:r w:rsidRPr="00F9656B">
              <w:rPr>
                <w:rFonts w:ascii="Verdana" w:hAnsi="Verdana" w:cs="Arial"/>
                <w:sz w:val="20"/>
                <w:szCs w:val="20"/>
              </w:rPr>
              <w:lastRenderedPageBreak/>
              <w:t>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lastRenderedPageBreak/>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tbl>
    <w:bookmarkEnd w:id="0"/>
    <w:p w14:paraId="5A38EA12" w14:textId="57E0633A" w:rsidR="007A1609" w:rsidRDefault="00696049" w:rsidP="00696049">
      <w:pPr>
        <w:jc w:val="both"/>
        <w:rPr>
          <w:rFonts w:ascii="Verdana" w:hAnsi="Verdana"/>
          <w:b/>
          <w:sz w:val="20"/>
        </w:rPr>
      </w:pPr>
      <w:r>
        <w:rPr>
          <w:rFonts w:ascii="Verdana" w:hAnsi="Verdana"/>
          <w:b/>
          <w:sz w:val="20"/>
        </w:rPr>
        <w:t xml:space="preserve"> </w:t>
      </w:r>
    </w:p>
    <w:p w14:paraId="619CD694" w14:textId="77777777" w:rsidR="00A752AF" w:rsidRPr="003A5F9A" w:rsidRDefault="00A752AF" w:rsidP="5AD5729F">
      <w:pPr>
        <w:spacing w:after="0"/>
        <w:rPr>
          <w:rFonts w:ascii="Verdana" w:hAnsi="Verdana"/>
          <w:b/>
          <w:noProof/>
        </w:rPr>
      </w:pPr>
    </w:p>
    <w:sectPr w:rsidR="00A752AF" w:rsidRPr="003A5F9A" w:rsidSect="00130D4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2F18C" w14:textId="77777777" w:rsidR="009D33FD" w:rsidRDefault="009D33FD" w:rsidP="00EE6AE0">
      <w:pPr>
        <w:spacing w:after="0" w:line="240" w:lineRule="auto"/>
      </w:pPr>
      <w:r>
        <w:separator/>
      </w:r>
    </w:p>
  </w:endnote>
  <w:endnote w:type="continuationSeparator" w:id="0">
    <w:p w14:paraId="6C3EC1A0" w14:textId="77777777" w:rsidR="009D33FD" w:rsidRDefault="009D33FD" w:rsidP="00EE6AE0">
      <w:pPr>
        <w:spacing w:after="0" w:line="240" w:lineRule="auto"/>
      </w:pPr>
      <w:r>
        <w:continuationSeparator/>
      </w:r>
    </w:p>
  </w:endnote>
  <w:endnote w:type="continuationNotice" w:id="1">
    <w:p w14:paraId="41A6AE75" w14:textId="77777777" w:rsidR="009D33FD" w:rsidRDefault="009D33FD">
      <w:pPr>
        <w:spacing w:after="0" w:line="240" w:lineRule="auto"/>
      </w:pPr>
    </w:p>
  </w:endnote>
  <w:endnote w:id="2">
    <w:p w14:paraId="7A1EDC16" w14:textId="3033F1B1" w:rsidR="009D33FD" w:rsidRPr="00F60328" w:rsidRDefault="009D33FD"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2C2F3648" w:rsidR="009D33FD" w:rsidRDefault="009D33FD">
        <w:pPr>
          <w:pStyle w:val="Footer"/>
          <w:jc w:val="right"/>
        </w:pPr>
        <w:r>
          <w:fldChar w:fldCharType="begin"/>
        </w:r>
        <w:r>
          <w:instrText xml:space="preserve"> PAGE   \* MERGEFORMAT </w:instrText>
        </w:r>
        <w:r>
          <w:fldChar w:fldCharType="separate"/>
        </w:r>
        <w:r w:rsidR="00976AC0">
          <w:rPr>
            <w:noProof/>
          </w:rPr>
          <w:t>8</w:t>
        </w:r>
        <w:r>
          <w:rPr>
            <w:noProof/>
          </w:rPr>
          <w:fldChar w:fldCharType="end"/>
        </w:r>
      </w:p>
    </w:sdtContent>
  </w:sdt>
  <w:p w14:paraId="18949379" w14:textId="77777777" w:rsidR="009D33FD" w:rsidRDefault="009D3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29525" w14:textId="77777777" w:rsidR="009D33FD" w:rsidRDefault="009D33FD" w:rsidP="00EE6AE0">
      <w:pPr>
        <w:spacing w:after="0" w:line="240" w:lineRule="auto"/>
      </w:pPr>
      <w:r>
        <w:separator/>
      </w:r>
    </w:p>
  </w:footnote>
  <w:footnote w:type="continuationSeparator" w:id="0">
    <w:p w14:paraId="15AA22B3" w14:textId="77777777" w:rsidR="009D33FD" w:rsidRDefault="009D33FD" w:rsidP="00EE6AE0">
      <w:pPr>
        <w:spacing w:after="0" w:line="240" w:lineRule="auto"/>
      </w:pPr>
      <w:r>
        <w:continuationSeparator/>
      </w:r>
    </w:p>
  </w:footnote>
  <w:footnote w:type="continuationNotice" w:id="1">
    <w:p w14:paraId="563BD66D" w14:textId="77777777" w:rsidR="009D33FD" w:rsidRDefault="009D33FD">
      <w:pPr>
        <w:spacing w:after="0" w:line="240" w:lineRule="auto"/>
      </w:pPr>
    </w:p>
  </w:footnote>
  <w:footnote w:id="2">
    <w:p w14:paraId="4E2C912F" w14:textId="77777777" w:rsidR="009D33FD" w:rsidRPr="0047408E" w:rsidRDefault="009D33FD">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 w:id="3">
    <w:p w14:paraId="4236412D" w14:textId="1E7F027B" w:rsidR="009D33FD" w:rsidRPr="00EA3693" w:rsidRDefault="009D33FD">
      <w:pPr>
        <w:pStyle w:val="FootnoteText"/>
      </w:pPr>
      <w:r>
        <w:rPr>
          <w:rStyle w:val="FootnoteReference"/>
        </w:rPr>
        <w:footnoteRef/>
      </w:r>
      <w:r>
        <w:t xml:space="preserve"> </w:t>
      </w:r>
      <w:r w:rsidRPr="00EA3693">
        <w:t>2023 European Semester: Spring Package Communication COM(2023) 600 final, dated 24 May 2023.</w:t>
      </w:r>
    </w:p>
  </w:footnote>
  <w:footnote w:id="4">
    <w:p w14:paraId="77EF761B" w14:textId="77777777" w:rsidR="009D33FD" w:rsidRDefault="009D33FD" w:rsidP="0022351D">
      <w:pPr>
        <w:pStyle w:val="FootnoteText"/>
        <w:ind w:left="0" w:firstLine="0"/>
      </w:pPr>
      <w:r>
        <w:rPr>
          <w:rStyle w:val="FootnoteReference"/>
        </w:rPr>
        <w:footnoteRef/>
      </w:r>
      <w:r>
        <w:t>:</w:t>
      </w:r>
      <w:hyperlink r:id="rId1" w:history="1">
        <w:r w:rsidRPr="00650808">
          <w:rPr>
            <w:rStyle w:val="Hyperlink"/>
          </w:rPr>
          <w:t>https://eur-lex.europa.eu/legal-content/en/ALL/?uri=CELEX%3A32011L0085</w:t>
        </w:r>
      </w:hyperlink>
      <w:r>
        <w:t>;</w:t>
      </w:r>
      <w:r>
        <w:br/>
      </w:r>
      <w:hyperlink r:id="rId2" w:history="1">
        <w:r w:rsidRPr="0065663B">
          <w:rPr>
            <w:rStyle w:val="Hyperlink"/>
          </w:rPr>
          <w:t>https://economy-finance.ec.europa.eu/system/files/2023-03/dp184_en.pdf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9D33FD" w:rsidRPr="00FA4464" w:rsidRDefault="009D33FD"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9D33FD" w:rsidRDefault="009D3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4"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057FD"/>
    <w:multiLevelType w:val="hybridMultilevel"/>
    <w:tmpl w:val="68F85768"/>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0"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FAE"/>
    <w:multiLevelType w:val="hybridMultilevel"/>
    <w:tmpl w:val="339417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1F081B"/>
    <w:multiLevelType w:val="hybridMultilevel"/>
    <w:tmpl w:val="0FB4C028"/>
    <w:lvl w:ilvl="0" w:tplc="41CA708C">
      <w:start w:val="1"/>
      <w:numFmt w:val="lowerLetter"/>
      <w:lvlText w:val="%1."/>
      <w:lvlJc w:val="left"/>
      <w:pPr>
        <w:ind w:left="1800" w:hanging="360"/>
      </w:pPr>
      <w:rPr>
        <w:rFonts w:ascii="Calibri" w:eastAsia="Times New Roman" w:hAnsi="Calibri" w:cs="Calibri"/>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337C473D"/>
    <w:multiLevelType w:val="hybridMultilevel"/>
    <w:tmpl w:val="5614C5B2"/>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37C11E31"/>
    <w:multiLevelType w:val="hybridMultilevel"/>
    <w:tmpl w:val="D1624D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4530CA"/>
    <w:multiLevelType w:val="hybridMultilevel"/>
    <w:tmpl w:val="35AEE3A2"/>
    <w:lvl w:ilvl="0" w:tplc="08130017">
      <w:start w:val="1"/>
      <w:numFmt w:val="lowerLetter"/>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19"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02372AC"/>
    <w:multiLevelType w:val="hybridMultilevel"/>
    <w:tmpl w:val="DC3C92FE"/>
    <w:lvl w:ilvl="0" w:tplc="18090017">
      <w:start w:val="1"/>
      <w:numFmt w:val="lowerLetter"/>
      <w:lvlText w:val="%1)"/>
      <w:lvlJc w:val="left"/>
      <w:pPr>
        <w:ind w:left="720" w:hanging="360"/>
      </w:pPr>
    </w:lvl>
    <w:lvl w:ilvl="1" w:tplc="9DE6F0AA">
      <w:start w:val="1"/>
      <w:numFmt w:val="lowerLetter"/>
      <w:lvlText w:val="%2."/>
      <w:lvlJc w:val="left"/>
      <w:pPr>
        <w:ind w:left="1440" w:hanging="360"/>
      </w:pPr>
      <w:rPr>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5D1CAF"/>
    <w:multiLevelType w:val="hybridMultilevel"/>
    <w:tmpl w:val="18084B3C"/>
    <w:lvl w:ilvl="0" w:tplc="B3FC752C">
      <w:start w:val="1"/>
      <w:numFmt w:val="lowerLetter"/>
      <w:lvlText w:val="%1)"/>
      <w:lvlJc w:val="left"/>
      <w:pPr>
        <w:ind w:left="720" w:hanging="360"/>
      </w:pPr>
      <w:rPr>
        <w:rFonts w:asciiTheme="minorHAnsi" w:eastAsiaTheme="minorHAnsi" w:hAnsiTheme="minorHAnsi" w:cstheme="minorHAns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1299874">
    <w:abstractNumId w:val="2"/>
  </w:num>
  <w:num w:numId="2" w16cid:durableId="1665233258">
    <w:abstractNumId w:val="5"/>
  </w:num>
  <w:num w:numId="3" w16cid:durableId="914046066">
    <w:abstractNumId w:val="4"/>
  </w:num>
  <w:num w:numId="4" w16cid:durableId="418990588">
    <w:abstractNumId w:val="26"/>
  </w:num>
  <w:num w:numId="5" w16cid:durableId="1316953141">
    <w:abstractNumId w:val="8"/>
  </w:num>
  <w:num w:numId="6" w16cid:durableId="578755880">
    <w:abstractNumId w:val="9"/>
  </w:num>
  <w:num w:numId="7" w16cid:durableId="853036168">
    <w:abstractNumId w:val="10"/>
  </w:num>
  <w:num w:numId="8" w16cid:durableId="857039866">
    <w:abstractNumId w:val="25"/>
  </w:num>
  <w:num w:numId="9" w16cid:durableId="897476194">
    <w:abstractNumId w:val="22"/>
  </w:num>
  <w:num w:numId="10" w16cid:durableId="376319858">
    <w:abstractNumId w:val="17"/>
  </w:num>
  <w:num w:numId="11" w16cid:durableId="1141575879">
    <w:abstractNumId w:val="20"/>
  </w:num>
  <w:num w:numId="12" w16cid:durableId="1582790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3782677">
    <w:abstractNumId w:val="3"/>
  </w:num>
  <w:num w:numId="14" w16cid:durableId="610823947">
    <w:abstractNumId w:val="16"/>
  </w:num>
  <w:num w:numId="15" w16cid:durableId="2131898833">
    <w:abstractNumId w:val="0"/>
  </w:num>
  <w:num w:numId="16" w16cid:durableId="811361985">
    <w:abstractNumId w:val="19"/>
  </w:num>
  <w:num w:numId="17" w16cid:durableId="808278028">
    <w:abstractNumId w:val="1"/>
  </w:num>
  <w:num w:numId="18" w16cid:durableId="71781867">
    <w:abstractNumId w:val="7"/>
  </w:num>
  <w:num w:numId="19" w16cid:durableId="1353921790">
    <w:abstractNumId w:val="23"/>
  </w:num>
  <w:num w:numId="20" w16cid:durableId="199055957">
    <w:abstractNumId w:val="18"/>
  </w:num>
  <w:num w:numId="21" w16cid:durableId="1886990786">
    <w:abstractNumId w:val="24"/>
  </w:num>
  <w:num w:numId="22" w16cid:durableId="328874544">
    <w:abstractNumId w:val="14"/>
  </w:num>
  <w:num w:numId="23" w16cid:durableId="1890071782">
    <w:abstractNumId w:val="6"/>
  </w:num>
  <w:num w:numId="24" w16cid:durableId="895506644">
    <w:abstractNumId w:val="15"/>
  </w:num>
  <w:num w:numId="25" w16cid:durableId="324481668">
    <w:abstractNumId w:val="27"/>
  </w:num>
  <w:num w:numId="26" w16cid:durableId="2000036977">
    <w:abstractNumId w:val="13"/>
  </w:num>
  <w:num w:numId="27" w16cid:durableId="996035302">
    <w:abstractNumId w:val="21"/>
  </w:num>
  <w:num w:numId="28" w16cid:durableId="1318458318">
    <w:abstractNumId w:val="12"/>
  </w:num>
  <w:num w:numId="29" w16cid:durableId="1664167173">
    <w:abstractNumId w:val="11"/>
  </w:num>
  <w:num w:numId="30" w16cid:durableId="23477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C69"/>
    <w:rsid w:val="00006A39"/>
    <w:rsid w:val="00010D04"/>
    <w:rsid w:val="00013D60"/>
    <w:rsid w:val="0001491A"/>
    <w:rsid w:val="00015D1A"/>
    <w:rsid w:val="00016208"/>
    <w:rsid w:val="0001731C"/>
    <w:rsid w:val="00025F52"/>
    <w:rsid w:val="00027FE2"/>
    <w:rsid w:val="00032090"/>
    <w:rsid w:val="00036D70"/>
    <w:rsid w:val="00037D40"/>
    <w:rsid w:val="000433AC"/>
    <w:rsid w:val="00045DD2"/>
    <w:rsid w:val="00047AF3"/>
    <w:rsid w:val="00052F40"/>
    <w:rsid w:val="00054544"/>
    <w:rsid w:val="000573A6"/>
    <w:rsid w:val="00060746"/>
    <w:rsid w:val="00060B9E"/>
    <w:rsid w:val="00062713"/>
    <w:rsid w:val="00071AC4"/>
    <w:rsid w:val="00073CEF"/>
    <w:rsid w:val="00080242"/>
    <w:rsid w:val="0008152E"/>
    <w:rsid w:val="00084951"/>
    <w:rsid w:val="0008727F"/>
    <w:rsid w:val="00087BC9"/>
    <w:rsid w:val="00087D96"/>
    <w:rsid w:val="000A0FAA"/>
    <w:rsid w:val="000A3888"/>
    <w:rsid w:val="000A48F1"/>
    <w:rsid w:val="000A6292"/>
    <w:rsid w:val="000A7759"/>
    <w:rsid w:val="000B0B04"/>
    <w:rsid w:val="000B3147"/>
    <w:rsid w:val="000B63C0"/>
    <w:rsid w:val="000B6951"/>
    <w:rsid w:val="000B6CF7"/>
    <w:rsid w:val="000C308A"/>
    <w:rsid w:val="000C5361"/>
    <w:rsid w:val="000C612B"/>
    <w:rsid w:val="000D06F2"/>
    <w:rsid w:val="000D25FF"/>
    <w:rsid w:val="000D5A14"/>
    <w:rsid w:val="000E0C93"/>
    <w:rsid w:val="000E0E25"/>
    <w:rsid w:val="000E1567"/>
    <w:rsid w:val="000E57D0"/>
    <w:rsid w:val="000F257B"/>
    <w:rsid w:val="000F5BC6"/>
    <w:rsid w:val="000F67D3"/>
    <w:rsid w:val="000F6884"/>
    <w:rsid w:val="001056AC"/>
    <w:rsid w:val="001060ED"/>
    <w:rsid w:val="00106160"/>
    <w:rsid w:val="00107CD6"/>
    <w:rsid w:val="001127D2"/>
    <w:rsid w:val="001152AE"/>
    <w:rsid w:val="00117A61"/>
    <w:rsid w:val="00123EA4"/>
    <w:rsid w:val="001240F8"/>
    <w:rsid w:val="00125364"/>
    <w:rsid w:val="00126003"/>
    <w:rsid w:val="00127287"/>
    <w:rsid w:val="00130D40"/>
    <w:rsid w:val="00132A25"/>
    <w:rsid w:val="0013762F"/>
    <w:rsid w:val="00140C8E"/>
    <w:rsid w:val="001427C5"/>
    <w:rsid w:val="00145C07"/>
    <w:rsid w:val="00154168"/>
    <w:rsid w:val="00155BD1"/>
    <w:rsid w:val="0015773E"/>
    <w:rsid w:val="00163FA5"/>
    <w:rsid w:val="00170569"/>
    <w:rsid w:val="0017179C"/>
    <w:rsid w:val="001722E2"/>
    <w:rsid w:val="00173710"/>
    <w:rsid w:val="001738FE"/>
    <w:rsid w:val="00177BB5"/>
    <w:rsid w:val="0018295F"/>
    <w:rsid w:val="00186D3F"/>
    <w:rsid w:val="00187FF6"/>
    <w:rsid w:val="001924BA"/>
    <w:rsid w:val="00193469"/>
    <w:rsid w:val="001977ED"/>
    <w:rsid w:val="001A0B00"/>
    <w:rsid w:val="001A5290"/>
    <w:rsid w:val="001A6C1A"/>
    <w:rsid w:val="001A7979"/>
    <w:rsid w:val="001B3A5B"/>
    <w:rsid w:val="001B3D7E"/>
    <w:rsid w:val="001B4CA4"/>
    <w:rsid w:val="001B6A3A"/>
    <w:rsid w:val="001B6E02"/>
    <w:rsid w:val="001C1AB3"/>
    <w:rsid w:val="001C2730"/>
    <w:rsid w:val="001C44E8"/>
    <w:rsid w:val="001D017F"/>
    <w:rsid w:val="001D4B8D"/>
    <w:rsid w:val="001D6943"/>
    <w:rsid w:val="001D76F9"/>
    <w:rsid w:val="001E077E"/>
    <w:rsid w:val="001E0C62"/>
    <w:rsid w:val="001E2EB1"/>
    <w:rsid w:val="001E306A"/>
    <w:rsid w:val="001E4A3B"/>
    <w:rsid w:val="001E6743"/>
    <w:rsid w:val="001F1272"/>
    <w:rsid w:val="001F4161"/>
    <w:rsid w:val="001F44A1"/>
    <w:rsid w:val="001F461A"/>
    <w:rsid w:val="001F5ABC"/>
    <w:rsid w:val="002012DE"/>
    <w:rsid w:val="00201F30"/>
    <w:rsid w:val="00203C56"/>
    <w:rsid w:val="002062A3"/>
    <w:rsid w:val="00206966"/>
    <w:rsid w:val="002075D7"/>
    <w:rsid w:val="00211E64"/>
    <w:rsid w:val="002127E9"/>
    <w:rsid w:val="0021322B"/>
    <w:rsid w:val="0021614B"/>
    <w:rsid w:val="00217AFD"/>
    <w:rsid w:val="002221E3"/>
    <w:rsid w:val="0022351D"/>
    <w:rsid w:val="00227A50"/>
    <w:rsid w:val="002329AC"/>
    <w:rsid w:val="002420DA"/>
    <w:rsid w:val="002427CC"/>
    <w:rsid w:val="00243E91"/>
    <w:rsid w:val="002451FC"/>
    <w:rsid w:val="00247986"/>
    <w:rsid w:val="002507B4"/>
    <w:rsid w:val="00250CCC"/>
    <w:rsid w:val="00254055"/>
    <w:rsid w:val="00254CC9"/>
    <w:rsid w:val="00255B72"/>
    <w:rsid w:val="00255BEB"/>
    <w:rsid w:val="002566BA"/>
    <w:rsid w:val="00257DA6"/>
    <w:rsid w:val="002616EF"/>
    <w:rsid w:val="00264F57"/>
    <w:rsid w:val="00266464"/>
    <w:rsid w:val="002664C5"/>
    <w:rsid w:val="00266F67"/>
    <w:rsid w:val="00270E0E"/>
    <w:rsid w:val="00271C51"/>
    <w:rsid w:val="00271C71"/>
    <w:rsid w:val="002738E2"/>
    <w:rsid w:val="0028448B"/>
    <w:rsid w:val="002848DC"/>
    <w:rsid w:val="00286CA3"/>
    <w:rsid w:val="00292CD3"/>
    <w:rsid w:val="00295EAD"/>
    <w:rsid w:val="00297F87"/>
    <w:rsid w:val="002A6200"/>
    <w:rsid w:val="002A7B01"/>
    <w:rsid w:val="002B5F8E"/>
    <w:rsid w:val="002B703C"/>
    <w:rsid w:val="002C02B1"/>
    <w:rsid w:val="002C11A9"/>
    <w:rsid w:val="002C449C"/>
    <w:rsid w:val="002C5913"/>
    <w:rsid w:val="002C77CA"/>
    <w:rsid w:val="002D64D2"/>
    <w:rsid w:val="002D670E"/>
    <w:rsid w:val="002E3AFF"/>
    <w:rsid w:val="002E766E"/>
    <w:rsid w:val="002F1566"/>
    <w:rsid w:val="002F4656"/>
    <w:rsid w:val="002F712F"/>
    <w:rsid w:val="00300A4B"/>
    <w:rsid w:val="003018BC"/>
    <w:rsid w:val="0030491C"/>
    <w:rsid w:val="00305060"/>
    <w:rsid w:val="003061EF"/>
    <w:rsid w:val="003065BC"/>
    <w:rsid w:val="00313E82"/>
    <w:rsid w:val="00320931"/>
    <w:rsid w:val="0032586D"/>
    <w:rsid w:val="00326FF9"/>
    <w:rsid w:val="0033195E"/>
    <w:rsid w:val="00331EE6"/>
    <w:rsid w:val="00334152"/>
    <w:rsid w:val="00336C9F"/>
    <w:rsid w:val="00343951"/>
    <w:rsid w:val="003448F1"/>
    <w:rsid w:val="00347344"/>
    <w:rsid w:val="003508A6"/>
    <w:rsid w:val="00351D5C"/>
    <w:rsid w:val="00356CC4"/>
    <w:rsid w:val="0035718D"/>
    <w:rsid w:val="003571E6"/>
    <w:rsid w:val="00377808"/>
    <w:rsid w:val="003802CB"/>
    <w:rsid w:val="00380899"/>
    <w:rsid w:val="003823AB"/>
    <w:rsid w:val="00386826"/>
    <w:rsid w:val="00386CCE"/>
    <w:rsid w:val="00387629"/>
    <w:rsid w:val="00393CA9"/>
    <w:rsid w:val="00394080"/>
    <w:rsid w:val="00394820"/>
    <w:rsid w:val="00395FCF"/>
    <w:rsid w:val="00395FF7"/>
    <w:rsid w:val="003A4B93"/>
    <w:rsid w:val="003A5562"/>
    <w:rsid w:val="003A5F9A"/>
    <w:rsid w:val="003A62A3"/>
    <w:rsid w:val="003A6379"/>
    <w:rsid w:val="003B077A"/>
    <w:rsid w:val="003B3BB0"/>
    <w:rsid w:val="003C4F83"/>
    <w:rsid w:val="003C5A57"/>
    <w:rsid w:val="003C6E67"/>
    <w:rsid w:val="003D06A2"/>
    <w:rsid w:val="003D2C75"/>
    <w:rsid w:val="003D3A3D"/>
    <w:rsid w:val="003D4D40"/>
    <w:rsid w:val="003D68FB"/>
    <w:rsid w:val="003D7B7B"/>
    <w:rsid w:val="003E0249"/>
    <w:rsid w:val="003E0A87"/>
    <w:rsid w:val="003E2A73"/>
    <w:rsid w:val="003E3E6E"/>
    <w:rsid w:val="003F34D5"/>
    <w:rsid w:val="003F68D7"/>
    <w:rsid w:val="00401832"/>
    <w:rsid w:val="004019E1"/>
    <w:rsid w:val="00404E6D"/>
    <w:rsid w:val="004051A0"/>
    <w:rsid w:val="00405A02"/>
    <w:rsid w:val="00405D81"/>
    <w:rsid w:val="00410166"/>
    <w:rsid w:val="00410FFA"/>
    <w:rsid w:val="00412B20"/>
    <w:rsid w:val="00412CB4"/>
    <w:rsid w:val="00413C63"/>
    <w:rsid w:val="00414364"/>
    <w:rsid w:val="004146B0"/>
    <w:rsid w:val="0041552D"/>
    <w:rsid w:val="00420A19"/>
    <w:rsid w:val="0042111B"/>
    <w:rsid w:val="004219E4"/>
    <w:rsid w:val="00431136"/>
    <w:rsid w:val="00434040"/>
    <w:rsid w:val="00434B92"/>
    <w:rsid w:val="004377EC"/>
    <w:rsid w:val="004422E1"/>
    <w:rsid w:val="0044533F"/>
    <w:rsid w:val="0044775D"/>
    <w:rsid w:val="00447B04"/>
    <w:rsid w:val="00450562"/>
    <w:rsid w:val="004519D5"/>
    <w:rsid w:val="004608F2"/>
    <w:rsid w:val="00471F42"/>
    <w:rsid w:val="0047305E"/>
    <w:rsid w:val="0047408E"/>
    <w:rsid w:val="00474C8C"/>
    <w:rsid w:val="00477CA5"/>
    <w:rsid w:val="00480822"/>
    <w:rsid w:val="00483128"/>
    <w:rsid w:val="00485788"/>
    <w:rsid w:val="00490741"/>
    <w:rsid w:val="00491980"/>
    <w:rsid w:val="004924BB"/>
    <w:rsid w:val="004A36BA"/>
    <w:rsid w:val="004A44F0"/>
    <w:rsid w:val="004A6C1B"/>
    <w:rsid w:val="004B2A29"/>
    <w:rsid w:val="004B3274"/>
    <w:rsid w:val="004B34AE"/>
    <w:rsid w:val="004B5E1D"/>
    <w:rsid w:val="004C3C68"/>
    <w:rsid w:val="004D2640"/>
    <w:rsid w:val="004D485E"/>
    <w:rsid w:val="004D7489"/>
    <w:rsid w:val="004E2E17"/>
    <w:rsid w:val="004F00EB"/>
    <w:rsid w:val="004F1F58"/>
    <w:rsid w:val="004F799C"/>
    <w:rsid w:val="00513403"/>
    <w:rsid w:val="00515693"/>
    <w:rsid w:val="0051578B"/>
    <w:rsid w:val="00526429"/>
    <w:rsid w:val="0053252D"/>
    <w:rsid w:val="00535B22"/>
    <w:rsid w:val="005431F1"/>
    <w:rsid w:val="00543A8D"/>
    <w:rsid w:val="00547B77"/>
    <w:rsid w:val="00547BCA"/>
    <w:rsid w:val="00552555"/>
    <w:rsid w:val="00555995"/>
    <w:rsid w:val="00556727"/>
    <w:rsid w:val="005647CA"/>
    <w:rsid w:val="0056717D"/>
    <w:rsid w:val="00571AC4"/>
    <w:rsid w:val="005728FE"/>
    <w:rsid w:val="005827FF"/>
    <w:rsid w:val="005830C0"/>
    <w:rsid w:val="00591B63"/>
    <w:rsid w:val="00594A2C"/>
    <w:rsid w:val="00596E2C"/>
    <w:rsid w:val="005A125A"/>
    <w:rsid w:val="005A184C"/>
    <w:rsid w:val="005A2007"/>
    <w:rsid w:val="005A609F"/>
    <w:rsid w:val="005A7336"/>
    <w:rsid w:val="005B0AB3"/>
    <w:rsid w:val="005B155B"/>
    <w:rsid w:val="005B28A5"/>
    <w:rsid w:val="005B4299"/>
    <w:rsid w:val="005B50AB"/>
    <w:rsid w:val="005B6243"/>
    <w:rsid w:val="005B79C4"/>
    <w:rsid w:val="005B7E6E"/>
    <w:rsid w:val="005C1F5E"/>
    <w:rsid w:val="005C3A5B"/>
    <w:rsid w:val="005C48CB"/>
    <w:rsid w:val="005C5525"/>
    <w:rsid w:val="005C6F09"/>
    <w:rsid w:val="005C6F51"/>
    <w:rsid w:val="005D1F69"/>
    <w:rsid w:val="005D3C6F"/>
    <w:rsid w:val="005D5ABD"/>
    <w:rsid w:val="005D7685"/>
    <w:rsid w:val="005E33B1"/>
    <w:rsid w:val="005E7011"/>
    <w:rsid w:val="005F1235"/>
    <w:rsid w:val="005F3D5C"/>
    <w:rsid w:val="005F4747"/>
    <w:rsid w:val="005F56F9"/>
    <w:rsid w:val="005F59EC"/>
    <w:rsid w:val="005F6ED7"/>
    <w:rsid w:val="00603227"/>
    <w:rsid w:val="0060330B"/>
    <w:rsid w:val="00603A01"/>
    <w:rsid w:val="00603B74"/>
    <w:rsid w:val="0060523A"/>
    <w:rsid w:val="00606DDB"/>
    <w:rsid w:val="00607164"/>
    <w:rsid w:val="00607CF0"/>
    <w:rsid w:val="00613C34"/>
    <w:rsid w:val="00614C17"/>
    <w:rsid w:val="006161CE"/>
    <w:rsid w:val="006227C2"/>
    <w:rsid w:val="0062328B"/>
    <w:rsid w:val="00626265"/>
    <w:rsid w:val="006262E0"/>
    <w:rsid w:val="00626C81"/>
    <w:rsid w:val="00632580"/>
    <w:rsid w:val="006370FD"/>
    <w:rsid w:val="006409AD"/>
    <w:rsid w:val="006425CE"/>
    <w:rsid w:val="00646298"/>
    <w:rsid w:val="00650695"/>
    <w:rsid w:val="00656307"/>
    <w:rsid w:val="00656BE6"/>
    <w:rsid w:val="00667807"/>
    <w:rsid w:val="00670295"/>
    <w:rsid w:val="00673774"/>
    <w:rsid w:val="00677A34"/>
    <w:rsid w:val="006864AE"/>
    <w:rsid w:val="006874CA"/>
    <w:rsid w:val="00692942"/>
    <w:rsid w:val="00693EFF"/>
    <w:rsid w:val="0069518D"/>
    <w:rsid w:val="00696049"/>
    <w:rsid w:val="00696AEE"/>
    <w:rsid w:val="006979CD"/>
    <w:rsid w:val="006A3BAA"/>
    <w:rsid w:val="006A4CF2"/>
    <w:rsid w:val="006B4E8B"/>
    <w:rsid w:val="006B6BFF"/>
    <w:rsid w:val="006C2B61"/>
    <w:rsid w:val="006C5D49"/>
    <w:rsid w:val="006C7EF8"/>
    <w:rsid w:val="006D04FD"/>
    <w:rsid w:val="006D0F37"/>
    <w:rsid w:val="006D4F1C"/>
    <w:rsid w:val="006D5913"/>
    <w:rsid w:val="006D7E6F"/>
    <w:rsid w:val="006E0CAD"/>
    <w:rsid w:val="006E5356"/>
    <w:rsid w:val="006E57F1"/>
    <w:rsid w:val="006E6DEF"/>
    <w:rsid w:val="006E6E3E"/>
    <w:rsid w:val="006E74D2"/>
    <w:rsid w:val="006F297D"/>
    <w:rsid w:val="006F3282"/>
    <w:rsid w:val="006F3347"/>
    <w:rsid w:val="006F3E3C"/>
    <w:rsid w:val="006F7BB1"/>
    <w:rsid w:val="00706F0C"/>
    <w:rsid w:val="00707EE9"/>
    <w:rsid w:val="00712B39"/>
    <w:rsid w:val="00714D6C"/>
    <w:rsid w:val="00720F78"/>
    <w:rsid w:val="0072487E"/>
    <w:rsid w:val="0073016D"/>
    <w:rsid w:val="00731204"/>
    <w:rsid w:val="00731789"/>
    <w:rsid w:val="007336D0"/>
    <w:rsid w:val="007353E2"/>
    <w:rsid w:val="00736FCB"/>
    <w:rsid w:val="00741237"/>
    <w:rsid w:val="00741C91"/>
    <w:rsid w:val="00745037"/>
    <w:rsid w:val="0074774C"/>
    <w:rsid w:val="00751662"/>
    <w:rsid w:val="00756C93"/>
    <w:rsid w:val="0076002F"/>
    <w:rsid w:val="00762EAE"/>
    <w:rsid w:val="00765249"/>
    <w:rsid w:val="00765C35"/>
    <w:rsid w:val="00766EBF"/>
    <w:rsid w:val="00766EC1"/>
    <w:rsid w:val="0077477B"/>
    <w:rsid w:val="00775D1C"/>
    <w:rsid w:val="00776993"/>
    <w:rsid w:val="00783A7A"/>
    <w:rsid w:val="00783D15"/>
    <w:rsid w:val="0078425F"/>
    <w:rsid w:val="00784DDF"/>
    <w:rsid w:val="00786BF7"/>
    <w:rsid w:val="00786E2C"/>
    <w:rsid w:val="00787E9D"/>
    <w:rsid w:val="007911D4"/>
    <w:rsid w:val="007A1609"/>
    <w:rsid w:val="007A2C4C"/>
    <w:rsid w:val="007A2DB5"/>
    <w:rsid w:val="007B061E"/>
    <w:rsid w:val="007B0E72"/>
    <w:rsid w:val="007B12F9"/>
    <w:rsid w:val="007B79D7"/>
    <w:rsid w:val="007C1298"/>
    <w:rsid w:val="007D09AE"/>
    <w:rsid w:val="007D6BEA"/>
    <w:rsid w:val="007D6CAD"/>
    <w:rsid w:val="007E0322"/>
    <w:rsid w:val="007E1666"/>
    <w:rsid w:val="007E1781"/>
    <w:rsid w:val="007E1AA0"/>
    <w:rsid w:val="007E460E"/>
    <w:rsid w:val="007E53E9"/>
    <w:rsid w:val="007E64B3"/>
    <w:rsid w:val="007F03C3"/>
    <w:rsid w:val="007F0405"/>
    <w:rsid w:val="007F2B4B"/>
    <w:rsid w:val="007F5617"/>
    <w:rsid w:val="007F76C3"/>
    <w:rsid w:val="00800221"/>
    <w:rsid w:val="00800352"/>
    <w:rsid w:val="00801E43"/>
    <w:rsid w:val="008054D1"/>
    <w:rsid w:val="00805A85"/>
    <w:rsid w:val="00807ED1"/>
    <w:rsid w:val="00816654"/>
    <w:rsid w:val="00820831"/>
    <w:rsid w:val="0082283C"/>
    <w:rsid w:val="00824E65"/>
    <w:rsid w:val="008256C7"/>
    <w:rsid w:val="008332EE"/>
    <w:rsid w:val="00833A74"/>
    <w:rsid w:val="00840332"/>
    <w:rsid w:val="0084345E"/>
    <w:rsid w:val="008455EB"/>
    <w:rsid w:val="00845604"/>
    <w:rsid w:val="0084652C"/>
    <w:rsid w:val="008502B4"/>
    <w:rsid w:val="0085036E"/>
    <w:rsid w:val="00852E8E"/>
    <w:rsid w:val="00854A82"/>
    <w:rsid w:val="00860C8C"/>
    <w:rsid w:val="008638C4"/>
    <w:rsid w:val="00866E39"/>
    <w:rsid w:val="008737FC"/>
    <w:rsid w:val="00875BC5"/>
    <w:rsid w:val="00884486"/>
    <w:rsid w:val="0089219C"/>
    <w:rsid w:val="00894643"/>
    <w:rsid w:val="00895122"/>
    <w:rsid w:val="008A2C86"/>
    <w:rsid w:val="008A46ED"/>
    <w:rsid w:val="008A4D75"/>
    <w:rsid w:val="008A4D8E"/>
    <w:rsid w:val="008A4DC9"/>
    <w:rsid w:val="008A787C"/>
    <w:rsid w:val="008B0DFC"/>
    <w:rsid w:val="008B3127"/>
    <w:rsid w:val="008B492C"/>
    <w:rsid w:val="008C164A"/>
    <w:rsid w:val="008C2A80"/>
    <w:rsid w:val="008C2EFF"/>
    <w:rsid w:val="008D74DA"/>
    <w:rsid w:val="008D7F0D"/>
    <w:rsid w:val="008E0A79"/>
    <w:rsid w:val="008F2881"/>
    <w:rsid w:val="008F7E04"/>
    <w:rsid w:val="00900E61"/>
    <w:rsid w:val="0090180B"/>
    <w:rsid w:val="00905CDE"/>
    <w:rsid w:val="00906136"/>
    <w:rsid w:val="0090678A"/>
    <w:rsid w:val="00912B2D"/>
    <w:rsid w:val="00914465"/>
    <w:rsid w:val="009165E1"/>
    <w:rsid w:val="009174E2"/>
    <w:rsid w:val="0092148D"/>
    <w:rsid w:val="009226A6"/>
    <w:rsid w:val="0092612D"/>
    <w:rsid w:val="00935657"/>
    <w:rsid w:val="00937AC0"/>
    <w:rsid w:val="00940AAD"/>
    <w:rsid w:val="00940EB6"/>
    <w:rsid w:val="009435EE"/>
    <w:rsid w:val="00946DF0"/>
    <w:rsid w:val="00953A8B"/>
    <w:rsid w:val="00956321"/>
    <w:rsid w:val="00961AAB"/>
    <w:rsid w:val="00962426"/>
    <w:rsid w:val="00962F61"/>
    <w:rsid w:val="00972619"/>
    <w:rsid w:val="0097568F"/>
    <w:rsid w:val="00976AC0"/>
    <w:rsid w:val="00982E93"/>
    <w:rsid w:val="00984960"/>
    <w:rsid w:val="009866B1"/>
    <w:rsid w:val="00997319"/>
    <w:rsid w:val="009A05F6"/>
    <w:rsid w:val="009A500A"/>
    <w:rsid w:val="009B5DA5"/>
    <w:rsid w:val="009C133C"/>
    <w:rsid w:val="009C25C6"/>
    <w:rsid w:val="009C31F7"/>
    <w:rsid w:val="009C4676"/>
    <w:rsid w:val="009C6DD4"/>
    <w:rsid w:val="009C72DD"/>
    <w:rsid w:val="009D1D3E"/>
    <w:rsid w:val="009D2B8D"/>
    <w:rsid w:val="009D33FD"/>
    <w:rsid w:val="009E160E"/>
    <w:rsid w:val="009E1C0A"/>
    <w:rsid w:val="009E2123"/>
    <w:rsid w:val="009E2AB7"/>
    <w:rsid w:val="009E3306"/>
    <w:rsid w:val="009E33A8"/>
    <w:rsid w:val="009E7916"/>
    <w:rsid w:val="009E7AF2"/>
    <w:rsid w:val="009F0856"/>
    <w:rsid w:val="009F2561"/>
    <w:rsid w:val="009F3D97"/>
    <w:rsid w:val="00A008E6"/>
    <w:rsid w:val="00A00921"/>
    <w:rsid w:val="00A06932"/>
    <w:rsid w:val="00A07817"/>
    <w:rsid w:val="00A10390"/>
    <w:rsid w:val="00A108DE"/>
    <w:rsid w:val="00A11C3D"/>
    <w:rsid w:val="00A12619"/>
    <w:rsid w:val="00A138DE"/>
    <w:rsid w:val="00A2151A"/>
    <w:rsid w:val="00A3118E"/>
    <w:rsid w:val="00A3620D"/>
    <w:rsid w:val="00A36EC6"/>
    <w:rsid w:val="00A4640A"/>
    <w:rsid w:val="00A50355"/>
    <w:rsid w:val="00A50DD6"/>
    <w:rsid w:val="00A55717"/>
    <w:rsid w:val="00A55814"/>
    <w:rsid w:val="00A60AD9"/>
    <w:rsid w:val="00A61EE1"/>
    <w:rsid w:val="00A6296E"/>
    <w:rsid w:val="00A63E64"/>
    <w:rsid w:val="00A7100F"/>
    <w:rsid w:val="00A72B53"/>
    <w:rsid w:val="00A73E9F"/>
    <w:rsid w:val="00A752AF"/>
    <w:rsid w:val="00A77664"/>
    <w:rsid w:val="00A8277E"/>
    <w:rsid w:val="00A915F0"/>
    <w:rsid w:val="00A9384D"/>
    <w:rsid w:val="00A95153"/>
    <w:rsid w:val="00A97C92"/>
    <w:rsid w:val="00AA0769"/>
    <w:rsid w:val="00AA3062"/>
    <w:rsid w:val="00AA43E1"/>
    <w:rsid w:val="00AA5A63"/>
    <w:rsid w:val="00AB3CCC"/>
    <w:rsid w:val="00AB72EA"/>
    <w:rsid w:val="00AB7D36"/>
    <w:rsid w:val="00AC3FFE"/>
    <w:rsid w:val="00AC7E95"/>
    <w:rsid w:val="00AD04D6"/>
    <w:rsid w:val="00AD2138"/>
    <w:rsid w:val="00AD2252"/>
    <w:rsid w:val="00AD2980"/>
    <w:rsid w:val="00AD3BC9"/>
    <w:rsid w:val="00AE1C5B"/>
    <w:rsid w:val="00AE388C"/>
    <w:rsid w:val="00AE4F74"/>
    <w:rsid w:val="00AF0831"/>
    <w:rsid w:val="00AF08B2"/>
    <w:rsid w:val="00B105B2"/>
    <w:rsid w:val="00B11516"/>
    <w:rsid w:val="00B11C31"/>
    <w:rsid w:val="00B15EC2"/>
    <w:rsid w:val="00B1775D"/>
    <w:rsid w:val="00B241B1"/>
    <w:rsid w:val="00B26DE0"/>
    <w:rsid w:val="00B30305"/>
    <w:rsid w:val="00B30661"/>
    <w:rsid w:val="00B31A32"/>
    <w:rsid w:val="00B320E5"/>
    <w:rsid w:val="00B342B4"/>
    <w:rsid w:val="00B41660"/>
    <w:rsid w:val="00B42CE9"/>
    <w:rsid w:val="00B46999"/>
    <w:rsid w:val="00B50F3C"/>
    <w:rsid w:val="00B57B38"/>
    <w:rsid w:val="00B61EBA"/>
    <w:rsid w:val="00B673DF"/>
    <w:rsid w:val="00B74A52"/>
    <w:rsid w:val="00B82655"/>
    <w:rsid w:val="00B90C21"/>
    <w:rsid w:val="00B91A80"/>
    <w:rsid w:val="00B9504D"/>
    <w:rsid w:val="00B974B9"/>
    <w:rsid w:val="00B97EB6"/>
    <w:rsid w:val="00BA13A5"/>
    <w:rsid w:val="00BA2FC2"/>
    <w:rsid w:val="00BA4ABF"/>
    <w:rsid w:val="00BA749B"/>
    <w:rsid w:val="00BB180F"/>
    <w:rsid w:val="00BB19CD"/>
    <w:rsid w:val="00BB27BC"/>
    <w:rsid w:val="00BB4B21"/>
    <w:rsid w:val="00BB5C53"/>
    <w:rsid w:val="00BB7CF9"/>
    <w:rsid w:val="00BC4A69"/>
    <w:rsid w:val="00BC4DE2"/>
    <w:rsid w:val="00BD1C5F"/>
    <w:rsid w:val="00BD2D6A"/>
    <w:rsid w:val="00BD4922"/>
    <w:rsid w:val="00BD5082"/>
    <w:rsid w:val="00BD75C8"/>
    <w:rsid w:val="00BE4F39"/>
    <w:rsid w:val="00BE556C"/>
    <w:rsid w:val="00BF3BF0"/>
    <w:rsid w:val="00BF4345"/>
    <w:rsid w:val="00BF4619"/>
    <w:rsid w:val="00BF4FE2"/>
    <w:rsid w:val="00BF6092"/>
    <w:rsid w:val="00C06589"/>
    <w:rsid w:val="00C10F59"/>
    <w:rsid w:val="00C15E87"/>
    <w:rsid w:val="00C21EA8"/>
    <w:rsid w:val="00C23927"/>
    <w:rsid w:val="00C244E5"/>
    <w:rsid w:val="00C31D13"/>
    <w:rsid w:val="00C33B2C"/>
    <w:rsid w:val="00C37707"/>
    <w:rsid w:val="00C4127D"/>
    <w:rsid w:val="00C415CB"/>
    <w:rsid w:val="00C41B8A"/>
    <w:rsid w:val="00C435B9"/>
    <w:rsid w:val="00C45BD6"/>
    <w:rsid w:val="00C462EE"/>
    <w:rsid w:val="00C52F24"/>
    <w:rsid w:val="00C55217"/>
    <w:rsid w:val="00C63699"/>
    <w:rsid w:val="00C659FE"/>
    <w:rsid w:val="00C72BBE"/>
    <w:rsid w:val="00C7446E"/>
    <w:rsid w:val="00C77AB9"/>
    <w:rsid w:val="00C8131F"/>
    <w:rsid w:val="00C83E77"/>
    <w:rsid w:val="00C868D8"/>
    <w:rsid w:val="00C878F5"/>
    <w:rsid w:val="00C91800"/>
    <w:rsid w:val="00C91F4C"/>
    <w:rsid w:val="00C96D03"/>
    <w:rsid w:val="00C9766C"/>
    <w:rsid w:val="00CA33AA"/>
    <w:rsid w:val="00CA498B"/>
    <w:rsid w:val="00CA5055"/>
    <w:rsid w:val="00CA5DB7"/>
    <w:rsid w:val="00CB2B6A"/>
    <w:rsid w:val="00CB68D4"/>
    <w:rsid w:val="00CB7E84"/>
    <w:rsid w:val="00CC0BA2"/>
    <w:rsid w:val="00CC1798"/>
    <w:rsid w:val="00CC4817"/>
    <w:rsid w:val="00CC6125"/>
    <w:rsid w:val="00CC61F8"/>
    <w:rsid w:val="00CD4389"/>
    <w:rsid w:val="00CD73BD"/>
    <w:rsid w:val="00CD7801"/>
    <w:rsid w:val="00CE02EE"/>
    <w:rsid w:val="00CE24F0"/>
    <w:rsid w:val="00CE586A"/>
    <w:rsid w:val="00CE5E2C"/>
    <w:rsid w:val="00CE622B"/>
    <w:rsid w:val="00CE678C"/>
    <w:rsid w:val="00CE6F82"/>
    <w:rsid w:val="00CE7F2E"/>
    <w:rsid w:val="00CF27BA"/>
    <w:rsid w:val="00CF2803"/>
    <w:rsid w:val="00CF3547"/>
    <w:rsid w:val="00CF4A3F"/>
    <w:rsid w:val="00D00C9D"/>
    <w:rsid w:val="00D101BA"/>
    <w:rsid w:val="00D13858"/>
    <w:rsid w:val="00D171AF"/>
    <w:rsid w:val="00D2057A"/>
    <w:rsid w:val="00D22D5C"/>
    <w:rsid w:val="00D25DEF"/>
    <w:rsid w:val="00D31033"/>
    <w:rsid w:val="00D33A1A"/>
    <w:rsid w:val="00D3645C"/>
    <w:rsid w:val="00D40879"/>
    <w:rsid w:val="00D40B58"/>
    <w:rsid w:val="00D5039B"/>
    <w:rsid w:val="00D53C14"/>
    <w:rsid w:val="00D56489"/>
    <w:rsid w:val="00D61EE4"/>
    <w:rsid w:val="00D65209"/>
    <w:rsid w:val="00D6661C"/>
    <w:rsid w:val="00D666F4"/>
    <w:rsid w:val="00D710D0"/>
    <w:rsid w:val="00D71631"/>
    <w:rsid w:val="00D725BE"/>
    <w:rsid w:val="00D72B9F"/>
    <w:rsid w:val="00D777E7"/>
    <w:rsid w:val="00D81722"/>
    <w:rsid w:val="00D8292F"/>
    <w:rsid w:val="00D85169"/>
    <w:rsid w:val="00D85501"/>
    <w:rsid w:val="00D85CF2"/>
    <w:rsid w:val="00D867C1"/>
    <w:rsid w:val="00D8683B"/>
    <w:rsid w:val="00D87AD4"/>
    <w:rsid w:val="00D909FD"/>
    <w:rsid w:val="00D917A2"/>
    <w:rsid w:val="00D95A2E"/>
    <w:rsid w:val="00DA119D"/>
    <w:rsid w:val="00DA1F4C"/>
    <w:rsid w:val="00DA6BB8"/>
    <w:rsid w:val="00DB3F6A"/>
    <w:rsid w:val="00DB40DC"/>
    <w:rsid w:val="00DB7BED"/>
    <w:rsid w:val="00DC426E"/>
    <w:rsid w:val="00DD0FF5"/>
    <w:rsid w:val="00DD1E2B"/>
    <w:rsid w:val="00DD2F32"/>
    <w:rsid w:val="00DE1966"/>
    <w:rsid w:val="00DE2C1D"/>
    <w:rsid w:val="00DE3E99"/>
    <w:rsid w:val="00DE504B"/>
    <w:rsid w:val="00DE6604"/>
    <w:rsid w:val="00DE7646"/>
    <w:rsid w:val="00DE76BA"/>
    <w:rsid w:val="00DF0256"/>
    <w:rsid w:val="00DF665E"/>
    <w:rsid w:val="00DF7FD1"/>
    <w:rsid w:val="00E0003B"/>
    <w:rsid w:val="00E0171B"/>
    <w:rsid w:val="00E02B88"/>
    <w:rsid w:val="00E02CA5"/>
    <w:rsid w:val="00E03ADF"/>
    <w:rsid w:val="00E077A0"/>
    <w:rsid w:val="00E1214D"/>
    <w:rsid w:val="00E15437"/>
    <w:rsid w:val="00E15C98"/>
    <w:rsid w:val="00E30019"/>
    <w:rsid w:val="00E315EB"/>
    <w:rsid w:val="00E40CA3"/>
    <w:rsid w:val="00E44E8D"/>
    <w:rsid w:val="00E515EB"/>
    <w:rsid w:val="00E5529F"/>
    <w:rsid w:val="00E56007"/>
    <w:rsid w:val="00E62E5B"/>
    <w:rsid w:val="00E66473"/>
    <w:rsid w:val="00E671B0"/>
    <w:rsid w:val="00E72687"/>
    <w:rsid w:val="00E73796"/>
    <w:rsid w:val="00E73C92"/>
    <w:rsid w:val="00E74D52"/>
    <w:rsid w:val="00E76E3D"/>
    <w:rsid w:val="00E802BC"/>
    <w:rsid w:val="00E80674"/>
    <w:rsid w:val="00E83199"/>
    <w:rsid w:val="00E84FE8"/>
    <w:rsid w:val="00E921B1"/>
    <w:rsid w:val="00E93B44"/>
    <w:rsid w:val="00E94478"/>
    <w:rsid w:val="00E95301"/>
    <w:rsid w:val="00E9577D"/>
    <w:rsid w:val="00E97188"/>
    <w:rsid w:val="00EA285F"/>
    <w:rsid w:val="00EA3693"/>
    <w:rsid w:val="00EA5C20"/>
    <w:rsid w:val="00EA5ECA"/>
    <w:rsid w:val="00EA60C4"/>
    <w:rsid w:val="00EA7970"/>
    <w:rsid w:val="00EB308A"/>
    <w:rsid w:val="00EB3270"/>
    <w:rsid w:val="00EB4733"/>
    <w:rsid w:val="00EB62A9"/>
    <w:rsid w:val="00EC294B"/>
    <w:rsid w:val="00EC5A01"/>
    <w:rsid w:val="00EC73E7"/>
    <w:rsid w:val="00ED050A"/>
    <w:rsid w:val="00ED0C4C"/>
    <w:rsid w:val="00ED0C7C"/>
    <w:rsid w:val="00ED254E"/>
    <w:rsid w:val="00ED28FD"/>
    <w:rsid w:val="00ED3549"/>
    <w:rsid w:val="00ED6716"/>
    <w:rsid w:val="00ED6FEE"/>
    <w:rsid w:val="00EE0361"/>
    <w:rsid w:val="00EE3A88"/>
    <w:rsid w:val="00EE6AE0"/>
    <w:rsid w:val="00EE7533"/>
    <w:rsid w:val="00EF0A5B"/>
    <w:rsid w:val="00EF6DD3"/>
    <w:rsid w:val="00F00147"/>
    <w:rsid w:val="00F01ABA"/>
    <w:rsid w:val="00F01DBF"/>
    <w:rsid w:val="00F06502"/>
    <w:rsid w:val="00F07EF6"/>
    <w:rsid w:val="00F1336F"/>
    <w:rsid w:val="00F13CF3"/>
    <w:rsid w:val="00F20050"/>
    <w:rsid w:val="00F266F8"/>
    <w:rsid w:val="00F35416"/>
    <w:rsid w:val="00F3550B"/>
    <w:rsid w:val="00F37F8D"/>
    <w:rsid w:val="00F40A75"/>
    <w:rsid w:val="00F546E2"/>
    <w:rsid w:val="00F5509A"/>
    <w:rsid w:val="00F60328"/>
    <w:rsid w:val="00F64CAB"/>
    <w:rsid w:val="00F64D4E"/>
    <w:rsid w:val="00F67738"/>
    <w:rsid w:val="00F7738C"/>
    <w:rsid w:val="00F81DC4"/>
    <w:rsid w:val="00F83C79"/>
    <w:rsid w:val="00F85D79"/>
    <w:rsid w:val="00F87D55"/>
    <w:rsid w:val="00F90D35"/>
    <w:rsid w:val="00F91EB3"/>
    <w:rsid w:val="00F92ED9"/>
    <w:rsid w:val="00F9526A"/>
    <w:rsid w:val="00F9656B"/>
    <w:rsid w:val="00F978FB"/>
    <w:rsid w:val="00FA3A47"/>
    <w:rsid w:val="00FA42E4"/>
    <w:rsid w:val="00FA4413"/>
    <w:rsid w:val="00FA4464"/>
    <w:rsid w:val="00FA78CA"/>
    <w:rsid w:val="00FB1290"/>
    <w:rsid w:val="00FB24EE"/>
    <w:rsid w:val="00FB5CCD"/>
    <w:rsid w:val="00FB71D4"/>
    <w:rsid w:val="00FC0511"/>
    <w:rsid w:val="00FC297D"/>
    <w:rsid w:val="00FC49EF"/>
    <w:rsid w:val="00FC4D28"/>
    <w:rsid w:val="00FC6DF4"/>
    <w:rsid w:val="00FC7F7A"/>
    <w:rsid w:val="00FE3E5A"/>
    <w:rsid w:val="00FE4D9B"/>
    <w:rsid w:val="00FE67D0"/>
    <w:rsid w:val="00FE7DEE"/>
    <w:rsid w:val="00FF3CCB"/>
    <w:rsid w:val="00FF3DA1"/>
    <w:rsid w:val="00FF4289"/>
    <w:rsid w:val="00FF46D0"/>
    <w:rsid w:val="00FF507C"/>
    <w:rsid w:val="0718BC95"/>
    <w:rsid w:val="0BF28E0C"/>
    <w:rsid w:val="0E457489"/>
    <w:rsid w:val="12DEB849"/>
    <w:rsid w:val="16C985C5"/>
    <w:rsid w:val="187A3000"/>
    <w:rsid w:val="22B394E3"/>
    <w:rsid w:val="22F8166F"/>
    <w:rsid w:val="2E4F5906"/>
    <w:rsid w:val="2F915F43"/>
    <w:rsid w:val="3BB5AE5B"/>
    <w:rsid w:val="3DE0BE35"/>
    <w:rsid w:val="3FA69669"/>
    <w:rsid w:val="4D747EA9"/>
    <w:rsid w:val="5AD5729F"/>
    <w:rsid w:val="5B75B0EE"/>
    <w:rsid w:val="5ED146BE"/>
    <w:rsid w:val="61A24D0A"/>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paragraph" w:customStyle="1" w:styleId="oj-normal">
    <w:name w:val="oj-normal"/>
    <w:basedOn w:val="Normal"/>
    <w:rsid w:val="008332E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graph">
    <w:name w:val="paragraph"/>
    <w:basedOn w:val="Normal"/>
    <w:rsid w:val="002E766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2E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8583">
      <w:bodyDiv w:val="1"/>
      <w:marLeft w:val="0"/>
      <w:marRight w:val="0"/>
      <w:marTop w:val="0"/>
      <w:marBottom w:val="0"/>
      <w:divBdr>
        <w:top w:val="none" w:sz="0" w:space="0" w:color="auto"/>
        <w:left w:val="none" w:sz="0" w:space="0" w:color="auto"/>
        <w:bottom w:val="none" w:sz="0" w:space="0" w:color="auto"/>
        <w:right w:val="none" w:sz="0" w:space="0" w:color="auto"/>
      </w:divBdr>
    </w:div>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138310693">
      <w:bodyDiv w:val="1"/>
      <w:marLeft w:val="0"/>
      <w:marRight w:val="0"/>
      <w:marTop w:val="0"/>
      <w:marBottom w:val="0"/>
      <w:divBdr>
        <w:top w:val="none" w:sz="0" w:space="0" w:color="auto"/>
        <w:left w:val="none" w:sz="0" w:space="0" w:color="auto"/>
        <w:bottom w:val="none" w:sz="0" w:space="0" w:color="auto"/>
        <w:right w:val="none" w:sz="0" w:space="0" w:color="auto"/>
      </w:divBdr>
    </w:div>
    <w:div w:id="260069910">
      <w:bodyDiv w:val="1"/>
      <w:marLeft w:val="0"/>
      <w:marRight w:val="0"/>
      <w:marTop w:val="0"/>
      <w:marBottom w:val="0"/>
      <w:divBdr>
        <w:top w:val="none" w:sz="0" w:space="0" w:color="auto"/>
        <w:left w:val="none" w:sz="0" w:space="0" w:color="auto"/>
        <w:bottom w:val="none" w:sz="0" w:space="0" w:color="auto"/>
        <w:right w:val="none" w:sz="0" w:space="0" w:color="auto"/>
      </w:divBdr>
    </w:div>
    <w:div w:id="270475560">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65466688">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891356000">
      <w:bodyDiv w:val="1"/>
      <w:marLeft w:val="0"/>
      <w:marRight w:val="0"/>
      <w:marTop w:val="0"/>
      <w:marBottom w:val="0"/>
      <w:divBdr>
        <w:top w:val="none" w:sz="0" w:space="0" w:color="auto"/>
        <w:left w:val="none" w:sz="0" w:space="0" w:color="auto"/>
        <w:bottom w:val="none" w:sz="0" w:space="0" w:color="auto"/>
        <w:right w:val="none" w:sz="0" w:space="0" w:color="auto"/>
      </w:divBdr>
    </w:div>
    <w:div w:id="934286979">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140339652">
      <w:bodyDiv w:val="1"/>
      <w:marLeft w:val="0"/>
      <w:marRight w:val="0"/>
      <w:marTop w:val="0"/>
      <w:marBottom w:val="0"/>
      <w:divBdr>
        <w:top w:val="none" w:sz="0" w:space="0" w:color="auto"/>
        <w:left w:val="none" w:sz="0" w:space="0" w:color="auto"/>
        <w:bottom w:val="none" w:sz="0" w:space="0" w:color="auto"/>
        <w:right w:val="none" w:sz="0" w:space="0" w:color="auto"/>
      </w:divBdr>
    </w:div>
    <w:div w:id="1181354094">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00595902">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55921135">
      <w:bodyDiv w:val="1"/>
      <w:marLeft w:val="0"/>
      <w:marRight w:val="0"/>
      <w:marTop w:val="0"/>
      <w:marBottom w:val="0"/>
      <w:divBdr>
        <w:top w:val="none" w:sz="0" w:space="0" w:color="auto"/>
        <w:left w:val="none" w:sz="0" w:space="0" w:color="auto"/>
        <w:bottom w:val="none" w:sz="0" w:space="0" w:color="auto"/>
        <w:right w:val="none" w:sz="0" w:space="0" w:color="auto"/>
      </w:divBdr>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67772706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936017878">
      <w:bodyDiv w:val="1"/>
      <w:marLeft w:val="0"/>
      <w:marRight w:val="0"/>
      <w:marTop w:val="0"/>
      <w:marBottom w:val="0"/>
      <w:divBdr>
        <w:top w:val="none" w:sz="0" w:space="0" w:color="auto"/>
        <w:left w:val="none" w:sz="0" w:space="0" w:color="auto"/>
        <w:bottom w:val="none" w:sz="0" w:space="0" w:color="auto"/>
        <w:right w:val="none" w:sz="0" w:space="0" w:color="auto"/>
      </w:divBdr>
    </w:div>
    <w:div w:id="1995790978">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ystem/files/2023-07/List%20of%20topics%20for%20TSI%202024%20templat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onomy-finance.ec.europa.eu/system/files/2023-03/dp184_en.pdf" TargetMode="External"/><Relationship Id="rId1" Type="http://schemas.openxmlformats.org/officeDocument/2006/relationships/hyperlink" Target="https://eur-lex.europa.eu/legal-content/en/ALL/?uri=CELEX%3A32011L0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12F4D79488C4C8AB826665B2C2A4F" ma:contentTypeVersion="2" ma:contentTypeDescription="Create a new document." ma:contentTypeScope="" ma:versionID="7be9d07900181b845341db0d7f50d49d">
  <xsd:schema xmlns:xsd="http://www.w3.org/2001/XMLSchema" xmlns:xs="http://www.w3.org/2001/XMLSchema" xmlns:p="http://schemas.microsoft.com/office/2006/metadata/properties" xmlns:ns2="61062803-d75f-4bfc-a09b-f8bb25535719" targetNamespace="http://schemas.microsoft.com/office/2006/metadata/properties" ma:root="true" ma:fieldsID="fe58a6b1cbc2b543396f456ef8a63ae6" ns2:_="">
    <xsd:import namespace="61062803-d75f-4bfc-a09b-f8bb255357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62803-d75f-4bfc-a09b-f8bb25535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E6A66-72B6-468F-A188-6ED082B43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62803-d75f-4bfc-a09b-f8bb25535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3.xml><?xml version="1.0" encoding="utf-8"?>
<ds:datastoreItem xmlns:ds="http://schemas.openxmlformats.org/officeDocument/2006/customXml" ds:itemID="{9D3F1A50-6163-442F-93E5-2E044B5413C1}">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1062803-d75f-4bfc-a09b-f8bb25535719"/>
    <ds:schemaRef ds:uri="http://www.w3.org/XML/1998/namespace"/>
    <ds:schemaRef ds:uri="http://purl.org/dc/dcmitype/"/>
  </ds:schemaRefs>
</ds:datastoreItem>
</file>

<file path=customXml/itemProps4.xml><?xml version="1.0" encoding="utf-8"?>
<ds:datastoreItem xmlns:ds="http://schemas.openxmlformats.org/officeDocument/2006/customXml" ds:itemID="{2E37315D-A42A-43F0-A494-5E3E07CC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3884</Words>
  <Characters>22531</Characters>
  <Application>Microsoft Office Word</Application>
  <DocSecurity>0</DocSecurity>
  <Lines>536</Lines>
  <Paragraphs>284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RONGA Eugenio (REFORM)</cp:lastModifiedBy>
  <cp:revision>10</cp:revision>
  <cp:lastPrinted>2023-04-27T09:23:00Z</cp:lastPrinted>
  <dcterms:created xsi:type="dcterms:W3CDTF">2023-06-22T08:18:00Z</dcterms:created>
  <dcterms:modified xsi:type="dcterms:W3CDTF">2023-07-20T13:03:00Z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0x010100DD712F4D79488C4C8AB826665B2C2A4F</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