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D3C2"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65CBD19" wp14:editId="5ECF525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B326E73"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58C41BBA"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14:paraId="76688269"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260002A" w14:textId="7751128A"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57F31536"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23819D2C"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3E7771AF"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14:paraId="0751121B"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4C304CE1"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DD9BBD5" w14:textId="77777777" w:rsidTr="0BF28E0C">
        <w:trPr>
          <w:trHeight w:val="443"/>
        </w:trPr>
        <w:tc>
          <w:tcPr>
            <w:tcW w:w="1996" w:type="pct"/>
            <w:tcBorders>
              <w:right w:val="single" w:sz="12" w:space="0" w:color="auto"/>
            </w:tcBorders>
          </w:tcPr>
          <w:p w14:paraId="740240FB"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1583D6F2"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170CC89" w14:textId="77777777" w:rsidTr="00FC5808">
        <w:trPr>
          <w:trHeight w:val="443"/>
        </w:trPr>
        <w:tc>
          <w:tcPr>
            <w:tcW w:w="1996" w:type="pct"/>
            <w:tcBorders>
              <w:right w:val="single" w:sz="12" w:space="0" w:color="auto"/>
            </w:tcBorders>
          </w:tcPr>
          <w:p w14:paraId="2507C3E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2E32D7FE" w14:textId="73116EDC" w:rsidR="00997A38" w:rsidRPr="00F577DB" w:rsidRDefault="00E11400" w:rsidP="00997A38">
            <w:pPr>
              <w:pStyle w:val="Text1"/>
              <w:spacing w:before="60" w:after="60"/>
              <w:ind w:left="0"/>
              <w:rPr>
                <w:rFonts w:ascii="Verdana" w:hAnsi="Verdana" w:cs="Arial"/>
                <w:b/>
                <w:bCs/>
                <w:i/>
                <w:sz w:val="20"/>
                <w:szCs w:val="20"/>
              </w:rPr>
            </w:pPr>
            <w:r w:rsidRPr="00F577DB">
              <w:rPr>
                <w:rFonts w:ascii="Verdana" w:hAnsi="Verdana" w:cs="Arial"/>
                <w:b/>
                <w:bCs/>
                <w:i/>
                <w:sz w:val="20"/>
                <w:szCs w:val="20"/>
              </w:rPr>
              <w:t>Support to the tourism ecosystem: towards a more sustainable, resilient and digital tourism</w:t>
            </w:r>
          </w:p>
          <w:p w14:paraId="6F94FB12" w14:textId="77777777" w:rsidR="00A7100F" w:rsidRPr="00F577DB" w:rsidRDefault="00997A38" w:rsidP="00997A38">
            <w:pPr>
              <w:pStyle w:val="Text1"/>
              <w:spacing w:before="60" w:after="60"/>
              <w:ind w:left="0"/>
              <w:jc w:val="left"/>
              <w:rPr>
                <w:rFonts w:ascii="Verdana" w:hAnsi="Verdana" w:cs="Arial"/>
                <w:bCs/>
                <w:i/>
                <w:sz w:val="20"/>
                <w:szCs w:val="20"/>
              </w:rPr>
            </w:pPr>
            <w:r w:rsidRPr="00F577DB">
              <w:rPr>
                <w:rFonts w:ascii="Verdana" w:hAnsi="Verdana" w:cs="Arial"/>
                <w:bCs/>
                <w:i/>
                <w:sz w:val="20"/>
                <w:szCs w:val="20"/>
              </w:rPr>
              <w:t>[Insert text: maximum 15 words]</w:t>
            </w:r>
          </w:p>
        </w:tc>
      </w:tr>
      <w:tr w:rsidR="00A7100F" w:rsidRPr="003A5F9A" w14:paraId="1FFB6AEE" w14:textId="77777777" w:rsidTr="0BF28E0C">
        <w:trPr>
          <w:trHeight w:val="443"/>
        </w:trPr>
        <w:tc>
          <w:tcPr>
            <w:tcW w:w="1996" w:type="pct"/>
            <w:tcBorders>
              <w:right w:val="single" w:sz="12" w:space="0" w:color="auto"/>
            </w:tcBorders>
          </w:tcPr>
          <w:p w14:paraId="1F638C4C"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490A01F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67090816" w14:textId="77777777" w:rsidTr="0BF28E0C">
        <w:trPr>
          <w:trHeight w:val="443"/>
        </w:trPr>
        <w:tc>
          <w:tcPr>
            <w:tcW w:w="1996" w:type="pct"/>
            <w:tcBorders>
              <w:right w:val="single" w:sz="12" w:space="0" w:color="auto"/>
            </w:tcBorders>
          </w:tcPr>
          <w:p w14:paraId="0B41F765"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7CBC8361"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08127B1" w14:textId="77777777" w:rsidTr="0BF28E0C">
        <w:trPr>
          <w:trHeight w:val="443"/>
        </w:trPr>
        <w:tc>
          <w:tcPr>
            <w:tcW w:w="1996" w:type="pct"/>
            <w:tcBorders>
              <w:right w:val="single" w:sz="12" w:space="0" w:color="auto"/>
            </w:tcBorders>
          </w:tcPr>
          <w:p w14:paraId="60882AE7"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2E2C3DF"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5DC776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C3C96E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5DEB7C3"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2078F0" w14:textId="77777777" w:rsidTr="0BF28E0C">
        <w:trPr>
          <w:trHeight w:val="412"/>
        </w:trPr>
        <w:tc>
          <w:tcPr>
            <w:tcW w:w="2003" w:type="pct"/>
            <w:tcBorders>
              <w:top w:val="single" w:sz="18" w:space="0" w:color="auto"/>
              <w:left w:val="single" w:sz="12" w:space="0" w:color="auto"/>
              <w:right w:val="single" w:sz="12" w:space="0" w:color="auto"/>
            </w:tcBorders>
          </w:tcPr>
          <w:p w14:paraId="1B75ADF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CA0210C"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473E50FA" w14:textId="77777777" w:rsidTr="0BF28E0C">
        <w:trPr>
          <w:trHeight w:val="412"/>
        </w:trPr>
        <w:tc>
          <w:tcPr>
            <w:tcW w:w="2003" w:type="pct"/>
            <w:tcBorders>
              <w:top w:val="single" w:sz="8" w:space="0" w:color="auto"/>
              <w:left w:val="single" w:sz="12" w:space="0" w:color="auto"/>
              <w:right w:val="single" w:sz="12" w:space="0" w:color="auto"/>
            </w:tcBorders>
          </w:tcPr>
          <w:p w14:paraId="56CC7623"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CDD0CBB"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3293A1" w14:textId="77777777" w:rsidTr="0BF28E0C">
        <w:trPr>
          <w:trHeight w:val="412"/>
        </w:trPr>
        <w:tc>
          <w:tcPr>
            <w:tcW w:w="2003" w:type="pct"/>
            <w:tcBorders>
              <w:top w:val="single" w:sz="8" w:space="0" w:color="auto"/>
              <w:left w:val="single" w:sz="12" w:space="0" w:color="auto"/>
              <w:right w:val="single" w:sz="12" w:space="0" w:color="auto"/>
            </w:tcBorders>
          </w:tcPr>
          <w:p w14:paraId="3CB56827"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16697823"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2812B01C" w14:textId="77777777" w:rsidTr="0BF28E0C">
        <w:trPr>
          <w:trHeight w:val="412"/>
        </w:trPr>
        <w:tc>
          <w:tcPr>
            <w:tcW w:w="2003" w:type="pct"/>
            <w:tcBorders>
              <w:top w:val="single" w:sz="8" w:space="0" w:color="auto"/>
              <w:left w:val="single" w:sz="12" w:space="0" w:color="auto"/>
              <w:right w:val="single" w:sz="12" w:space="0" w:color="auto"/>
            </w:tcBorders>
          </w:tcPr>
          <w:p w14:paraId="1A567B2E"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2C05893"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3F2862DD" w14:textId="77777777" w:rsidTr="0BF28E0C">
        <w:trPr>
          <w:trHeight w:val="412"/>
        </w:trPr>
        <w:tc>
          <w:tcPr>
            <w:tcW w:w="2003" w:type="pct"/>
            <w:tcBorders>
              <w:top w:val="single" w:sz="8" w:space="0" w:color="auto"/>
              <w:left w:val="single" w:sz="12" w:space="0" w:color="auto"/>
              <w:right w:val="single" w:sz="12" w:space="0" w:color="auto"/>
            </w:tcBorders>
          </w:tcPr>
          <w:p w14:paraId="6FFAD832"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544E596" w14:textId="77777777" w:rsidR="00E0003B" w:rsidRPr="003A5F9A" w:rsidRDefault="00E0003B" w:rsidP="0008727F">
            <w:pPr>
              <w:pStyle w:val="Text2"/>
              <w:spacing w:before="60" w:after="120"/>
              <w:ind w:left="0"/>
              <w:rPr>
                <w:rFonts w:ascii="Verdana" w:hAnsi="Verdana"/>
                <w:b/>
                <w:sz w:val="20"/>
                <w:szCs w:val="20"/>
              </w:rPr>
            </w:pPr>
          </w:p>
        </w:tc>
      </w:tr>
    </w:tbl>
    <w:p w14:paraId="0B659B0B" w14:textId="77777777" w:rsidR="00AA5A63" w:rsidRDefault="00AA5A63" w:rsidP="00060746">
      <w:pPr>
        <w:jc w:val="center"/>
        <w:rPr>
          <w:rFonts w:ascii="Verdana" w:hAnsi="Verdana"/>
          <w:b/>
          <w:sz w:val="32"/>
          <w:szCs w:val="32"/>
        </w:rPr>
      </w:pPr>
    </w:p>
    <w:p w14:paraId="53F9B7E8"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2E1120FD" w14:textId="77777777" w:rsidR="00A7100F" w:rsidRDefault="00A7100F" w:rsidP="00060746">
      <w:pPr>
        <w:jc w:val="center"/>
        <w:rPr>
          <w:rFonts w:ascii="Verdana" w:hAnsi="Verdana"/>
          <w:b/>
          <w:sz w:val="16"/>
          <w:szCs w:val="16"/>
        </w:rPr>
      </w:pPr>
    </w:p>
    <w:p w14:paraId="622B5E5A" w14:textId="77777777"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AFCD680"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CF97BC" w14:textId="77777777" w:rsidR="00A7100F" w:rsidRPr="003A5F9A" w:rsidRDefault="00A7100F" w:rsidP="00DC0080">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C857C91" w14:textId="77777777" w:rsidTr="0BF28E0C">
        <w:trPr>
          <w:trHeight w:val="412"/>
        </w:trPr>
        <w:tc>
          <w:tcPr>
            <w:tcW w:w="2003" w:type="pct"/>
            <w:tcBorders>
              <w:top w:val="single" w:sz="18" w:space="0" w:color="auto"/>
              <w:left w:val="single" w:sz="12" w:space="0" w:color="auto"/>
              <w:right w:val="single" w:sz="12" w:space="0" w:color="auto"/>
            </w:tcBorders>
          </w:tcPr>
          <w:p w14:paraId="70BD9FC0" w14:textId="77777777" w:rsidR="00A7100F" w:rsidRPr="00AA5A63" w:rsidRDefault="00A7100F" w:rsidP="00DC0080">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5A66BE2" w14:textId="77777777" w:rsidR="00A7100F" w:rsidRPr="003A5F9A" w:rsidRDefault="00A7100F" w:rsidP="00DC0080">
            <w:pPr>
              <w:pStyle w:val="Text2"/>
              <w:spacing w:before="60" w:after="60"/>
              <w:ind w:left="0"/>
              <w:jc w:val="left"/>
              <w:rPr>
                <w:rFonts w:ascii="Verdana" w:hAnsi="Verdana" w:cs="Arial"/>
                <w:b/>
                <w:sz w:val="20"/>
                <w:szCs w:val="20"/>
                <w:u w:val="single"/>
              </w:rPr>
            </w:pPr>
          </w:p>
        </w:tc>
      </w:tr>
      <w:tr w:rsidR="00A7100F" w:rsidRPr="003A5F9A" w14:paraId="5E6A2EEF" w14:textId="77777777" w:rsidTr="0BF28E0C">
        <w:trPr>
          <w:trHeight w:val="412"/>
        </w:trPr>
        <w:tc>
          <w:tcPr>
            <w:tcW w:w="2003" w:type="pct"/>
            <w:tcBorders>
              <w:top w:val="single" w:sz="8" w:space="0" w:color="auto"/>
              <w:left w:val="single" w:sz="12" w:space="0" w:color="auto"/>
              <w:right w:val="single" w:sz="12" w:space="0" w:color="auto"/>
            </w:tcBorders>
          </w:tcPr>
          <w:p w14:paraId="38089ABF" w14:textId="77777777" w:rsidR="00A7100F" w:rsidRPr="00AA5A63" w:rsidRDefault="00A7100F" w:rsidP="00DC0080">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56395"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6A2F5F69" w14:textId="77777777" w:rsidTr="0BF28E0C">
        <w:trPr>
          <w:trHeight w:val="412"/>
        </w:trPr>
        <w:tc>
          <w:tcPr>
            <w:tcW w:w="2003" w:type="pct"/>
            <w:tcBorders>
              <w:top w:val="single" w:sz="8" w:space="0" w:color="auto"/>
              <w:left w:val="single" w:sz="12" w:space="0" w:color="auto"/>
              <w:right w:val="single" w:sz="12" w:space="0" w:color="auto"/>
            </w:tcBorders>
          </w:tcPr>
          <w:p w14:paraId="2A975E91"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C13AF0E" w14:textId="77777777" w:rsidR="00A7100F" w:rsidRPr="003A5F9A" w:rsidRDefault="00A7100F" w:rsidP="00DC0080">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68D9F901" w14:textId="77777777" w:rsidTr="0BF28E0C">
        <w:trPr>
          <w:trHeight w:val="412"/>
        </w:trPr>
        <w:tc>
          <w:tcPr>
            <w:tcW w:w="2003" w:type="pct"/>
            <w:tcBorders>
              <w:top w:val="single" w:sz="8" w:space="0" w:color="auto"/>
              <w:left w:val="single" w:sz="12" w:space="0" w:color="auto"/>
              <w:right w:val="single" w:sz="12" w:space="0" w:color="auto"/>
            </w:tcBorders>
          </w:tcPr>
          <w:p w14:paraId="366C293E" w14:textId="77777777" w:rsidR="00A7100F" w:rsidRPr="5ED146BE" w:rsidRDefault="00A7100F" w:rsidP="00DC0080">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6E771127" w14:textId="77777777" w:rsidR="00A7100F" w:rsidRPr="5ED146BE" w:rsidRDefault="00A7100F" w:rsidP="00DC0080">
            <w:pPr>
              <w:pStyle w:val="Text2"/>
              <w:spacing w:before="60" w:after="120"/>
              <w:ind w:left="0"/>
              <w:rPr>
                <w:rFonts w:ascii="Verdana" w:hAnsi="Verdana" w:cs="Arial"/>
                <w:b/>
                <w:bCs/>
                <w:sz w:val="20"/>
                <w:szCs w:val="20"/>
              </w:rPr>
            </w:pPr>
          </w:p>
        </w:tc>
      </w:tr>
      <w:tr w:rsidR="00A7100F" w:rsidRPr="003A5F9A" w14:paraId="544BB0C8" w14:textId="77777777" w:rsidTr="0BF28E0C">
        <w:trPr>
          <w:trHeight w:val="412"/>
        </w:trPr>
        <w:tc>
          <w:tcPr>
            <w:tcW w:w="2003" w:type="pct"/>
            <w:tcBorders>
              <w:top w:val="single" w:sz="8" w:space="0" w:color="auto"/>
              <w:left w:val="single" w:sz="12" w:space="0" w:color="auto"/>
              <w:right w:val="single" w:sz="12" w:space="0" w:color="auto"/>
            </w:tcBorders>
          </w:tcPr>
          <w:p w14:paraId="0D3294AD"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87E673E"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48426AED" w14:textId="77777777" w:rsidTr="0BF28E0C">
        <w:trPr>
          <w:trHeight w:val="412"/>
        </w:trPr>
        <w:tc>
          <w:tcPr>
            <w:tcW w:w="2003" w:type="pct"/>
            <w:tcBorders>
              <w:top w:val="single" w:sz="8" w:space="0" w:color="auto"/>
              <w:left w:val="single" w:sz="12" w:space="0" w:color="auto"/>
              <w:right w:val="single" w:sz="12" w:space="0" w:color="auto"/>
            </w:tcBorders>
          </w:tcPr>
          <w:p w14:paraId="76C9BAC6"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0F4121" w14:textId="77777777" w:rsidR="00A7100F" w:rsidRPr="003A5F9A" w:rsidRDefault="00A7100F" w:rsidP="00DC0080">
            <w:pPr>
              <w:pStyle w:val="Text2"/>
              <w:spacing w:before="60" w:after="120"/>
              <w:ind w:left="0"/>
              <w:rPr>
                <w:rFonts w:ascii="Verdana" w:hAnsi="Verdana"/>
                <w:b/>
                <w:sz w:val="20"/>
                <w:szCs w:val="20"/>
              </w:rPr>
            </w:pPr>
          </w:p>
        </w:tc>
      </w:tr>
    </w:tbl>
    <w:p w14:paraId="370CDB11" w14:textId="77777777" w:rsidR="008C2EFF" w:rsidRDefault="008C2EFF" w:rsidP="008C2EFF">
      <w:pPr>
        <w:pStyle w:val="Text2"/>
        <w:spacing w:after="0"/>
        <w:ind w:left="0"/>
        <w:rPr>
          <w:rFonts w:ascii="Verdana" w:hAnsi="Verdana"/>
          <w:sz w:val="20"/>
          <w:szCs w:val="20"/>
        </w:rPr>
      </w:pPr>
    </w:p>
    <w:p w14:paraId="033CF445" w14:textId="77777777" w:rsidR="008C2EFF" w:rsidRDefault="008C2EFF" w:rsidP="008C2EFF">
      <w:pPr>
        <w:pStyle w:val="Text2"/>
        <w:spacing w:after="0"/>
        <w:ind w:left="0"/>
        <w:rPr>
          <w:rFonts w:ascii="Verdana" w:hAnsi="Verdana"/>
          <w:sz w:val="20"/>
          <w:szCs w:val="20"/>
        </w:rPr>
      </w:pPr>
    </w:p>
    <w:p w14:paraId="5473AD6B"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14:paraId="74D0BE1B" w14:textId="77777777" w:rsidR="008C2EFF" w:rsidRDefault="008C2EFF">
      <w:pPr>
        <w:rPr>
          <w:rFonts w:ascii="Verdana" w:hAnsi="Verdana"/>
          <w:b/>
          <w:sz w:val="32"/>
          <w:szCs w:val="32"/>
        </w:rPr>
      </w:pPr>
      <w:r>
        <w:rPr>
          <w:rFonts w:ascii="Verdana" w:hAnsi="Verdana"/>
          <w:b/>
          <w:sz w:val="32"/>
          <w:szCs w:val="32"/>
        </w:rPr>
        <w:br w:type="page"/>
      </w:r>
    </w:p>
    <w:p w14:paraId="071A19A8" w14:textId="77777777"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17E6F8F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F5701A6"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7622559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2E94C3C"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B1E57FD" w14:textId="77777777"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14:paraId="04C0DC9E"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E3B0D34" w14:textId="77777777" w:rsidR="00B26DE0" w:rsidRPr="00E84FE8" w:rsidRDefault="00F577DB"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5A763AF6" w14:textId="2D03A018" w:rsidR="00B26DE0" w:rsidRPr="00E84FE8" w:rsidRDefault="00F577DB"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14:paraId="0086CA8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1E86CA2C" w14:textId="5E48051F"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406B627"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14:paraId="4434084D"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E14D7D7" w14:textId="7752B805" w:rsidR="00B26DE0" w:rsidRPr="00E84FE8" w:rsidRDefault="00F577DB"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14:paraId="10A9266E" w14:textId="77ECA01D" w:rsidR="00B26DE0" w:rsidRPr="00E84FE8" w:rsidRDefault="00F577DB"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14:paraId="4ABA1C30"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B2F509C"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13433F6" w14:textId="77777777"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14:paraId="63A7C697" w14:textId="77777777" w:rsidTr="008C2EFF">
        <w:trPr>
          <w:trHeight w:val="412"/>
        </w:trPr>
        <w:tc>
          <w:tcPr>
            <w:tcW w:w="5000" w:type="pct"/>
            <w:gridSpan w:val="2"/>
            <w:tcBorders>
              <w:top w:val="single" w:sz="8" w:space="0" w:color="auto"/>
              <w:left w:val="single" w:sz="12" w:space="0" w:color="auto"/>
              <w:right w:val="single" w:sz="12" w:space="0" w:color="auto"/>
            </w:tcBorders>
          </w:tcPr>
          <w:p w14:paraId="60D843A4" w14:textId="77777777"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14:paraId="367A6ACB"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76B1CC2" w14:textId="77777777" w:rsidTr="008C2EFF">
        <w:trPr>
          <w:trHeight w:val="420"/>
        </w:trPr>
        <w:tc>
          <w:tcPr>
            <w:tcW w:w="673" w:type="dxa"/>
            <w:shd w:val="clear" w:color="auto" w:fill="D9D9D9" w:themeFill="background1" w:themeFillShade="D9"/>
            <w:vAlign w:val="center"/>
          </w:tcPr>
          <w:p w14:paraId="115FC2B8"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21BDBF93"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2596E5F5" w14:textId="77777777" w:rsidTr="008C2EFF">
        <w:trPr>
          <w:trHeight w:val="420"/>
        </w:trPr>
        <w:tc>
          <w:tcPr>
            <w:tcW w:w="673" w:type="dxa"/>
            <w:shd w:val="clear" w:color="auto" w:fill="D9D9D9" w:themeFill="background1" w:themeFillShade="D9"/>
            <w:vAlign w:val="center"/>
          </w:tcPr>
          <w:p w14:paraId="333AF45A"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77BCEB2C"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60DE67A1" w14:textId="77777777" w:rsidTr="003550B7">
        <w:trPr>
          <w:trHeight w:val="420"/>
        </w:trPr>
        <w:tc>
          <w:tcPr>
            <w:tcW w:w="9072" w:type="dxa"/>
            <w:gridSpan w:val="3"/>
            <w:shd w:val="clear" w:color="auto" w:fill="auto"/>
            <w:vAlign w:val="center"/>
          </w:tcPr>
          <w:p w14:paraId="4C706495" w14:textId="2446746A"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 xml:space="preserve">This request targets reforms aimed at supporting the sustainability and the resilient recovery of tourism. More specifically and since 2010, several EU Member States and the EFTA countries have submitted every three years Tourism Satellite Account (TSA) data to Eurostat (2010, 2013, 2016 and 2019). Different Member States are still at very different levels of implementation of the TSA collection. The key challenge for the TSA is to improve the harmonisation of TSA compilation across Europe. </w:t>
            </w:r>
          </w:p>
          <w:p w14:paraId="359A8FB0" w14:textId="77777777" w:rsidR="001C0889" w:rsidRDefault="001C0889" w:rsidP="00747D88">
            <w:pPr>
              <w:spacing w:after="0"/>
              <w:jc w:val="both"/>
              <w:rPr>
                <w:rFonts w:ascii="Verdana" w:eastAsia="Times New Roman" w:hAnsi="Verdana" w:cs="Arial"/>
                <w:sz w:val="20"/>
                <w:szCs w:val="20"/>
                <w:lang w:val="en-US" w:eastAsia="en-GB"/>
              </w:rPr>
            </w:pPr>
          </w:p>
          <w:p w14:paraId="0ECF7D1A" w14:textId="07752F0C"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 xml:space="preserve">In addition, progress towards green and digital transition of European tourism requires ability to accompany, steer and monitor the change with suitable indicators followed at national level and EU level. </w:t>
            </w:r>
          </w:p>
          <w:p w14:paraId="48FF012C" w14:textId="77777777"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 xml:space="preserve">Besides, national tourism data collection should be published on national, or shared at European digital platforms in quasi-real-time manner, thereby enhancing the "link" between the tourism ecosystem and other information systems of public administration and self-government. </w:t>
            </w:r>
          </w:p>
          <w:p w14:paraId="5BF52FD9" w14:textId="77777777" w:rsidR="001C0889" w:rsidRDefault="001C0889" w:rsidP="00747D88">
            <w:pPr>
              <w:spacing w:after="0"/>
              <w:jc w:val="both"/>
              <w:rPr>
                <w:rFonts w:ascii="Verdana" w:eastAsia="Times New Roman" w:hAnsi="Verdana" w:cs="Arial"/>
                <w:sz w:val="20"/>
                <w:szCs w:val="20"/>
                <w:lang w:val="en-US" w:eastAsia="en-GB"/>
              </w:rPr>
            </w:pPr>
          </w:p>
          <w:p w14:paraId="79DCCDB2" w14:textId="54C6714B"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 xml:space="preserve">Furthermore, there is a lack of a shared framework for sustainability monitoring for destinations as well as a need of efficient management tools for destinations to address seasonality and density of tourism flows. Destination management organisation (DMO) can play the role of leading organisational entities, which facilitate tourism ecosystem partnerships towards a collective destination vision. </w:t>
            </w:r>
          </w:p>
          <w:p w14:paraId="00980FC3" w14:textId="77777777" w:rsidR="001C0889" w:rsidRDefault="001C0889" w:rsidP="00747D88">
            <w:pPr>
              <w:spacing w:after="0"/>
              <w:jc w:val="both"/>
              <w:rPr>
                <w:rFonts w:ascii="Verdana" w:eastAsia="Times New Roman" w:hAnsi="Verdana" w:cs="Arial"/>
                <w:sz w:val="20"/>
                <w:szCs w:val="20"/>
                <w:lang w:val="en-US" w:eastAsia="en-GB"/>
              </w:rPr>
            </w:pPr>
          </w:p>
          <w:p w14:paraId="26CC2844" w14:textId="4ADD1633"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 xml:space="preserve">Finally, tourism is characterised by micro and small enterprises (99.8%) providing a wide array of tourism services. Micro and SMEs often may lack the resources, capacity and expertise to develop and finance new business models fit for dynamic future challenges, benefit from the opportunities for skills development, product development, </w:t>
            </w:r>
            <w:r w:rsidRPr="00747D88">
              <w:rPr>
                <w:rFonts w:ascii="Verdana" w:eastAsia="Times New Roman" w:hAnsi="Verdana" w:cs="Arial"/>
                <w:sz w:val="20"/>
                <w:szCs w:val="20"/>
                <w:lang w:val="en-US" w:eastAsia="en-GB"/>
              </w:rPr>
              <w:lastRenderedPageBreak/>
              <w:t>innovation and market development.</w:t>
            </w:r>
            <w:r w:rsidR="006A49B3">
              <w:rPr>
                <w:rFonts w:ascii="Verdana" w:eastAsia="Times New Roman" w:hAnsi="Verdana" w:cs="Arial"/>
                <w:sz w:val="20"/>
                <w:szCs w:val="20"/>
                <w:lang w:val="en-US" w:eastAsia="en-GB"/>
              </w:rPr>
              <w:t xml:space="preserve"> </w:t>
            </w:r>
          </w:p>
          <w:p w14:paraId="01318343" w14:textId="652969EF"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This request proposes to address some of the technical support needs encountered by Member States that engage in reforms that contribute to the sustainability and resilient recovery of tourism.</w:t>
            </w:r>
            <w:r w:rsidR="006A49B3">
              <w:rPr>
                <w:rFonts w:ascii="Verdana" w:eastAsia="Times New Roman" w:hAnsi="Verdana" w:cs="Arial"/>
                <w:sz w:val="20"/>
                <w:szCs w:val="20"/>
                <w:lang w:val="en-US" w:eastAsia="en-GB"/>
              </w:rPr>
              <w:t xml:space="preserve"> </w:t>
            </w:r>
            <w:r w:rsidRPr="00747D88">
              <w:rPr>
                <w:rFonts w:ascii="Verdana" w:eastAsia="Times New Roman" w:hAnsi="Verdana" w:cs="Arial"/>
                <w:sz w:val="20"/>
                <w:szCs w:val="20"/>
                <w:lang w:val="en-US" w:eastAsia="en-GB"/>
              </w:rPr>
              <w:t xml:space="preserve">Based on experience gained from supporting Member States, it identifies key technical support needs as follows: </w:t>
            </w:r>
          </w:p>
          <w:p w14:paraId="63854A8C" w14:textId="77777777" w:rsidR="00747D88" w:rsidRPr="00747D88" w:rsidRDefault="00747D88" w:rsidP="00747D88">
            <w:pPr>
              <w:spacing w:after="0"/>
              <w:jc w:val="both"/>
              <w:rPr>
                <w:rFonts w:ascii="Verdana" w:eastAsia="Times New Roman" w:hAnsi="Verdana" w:cs="Arial"/>
                <w:sz w:val="20"/>
                <w:szCs w:val="20"/>
                <w:lang w:val="en-US" w:eastAsia="en-GB"/>
              </w:rPr>
            </w:pPr>
            <w:r w:rsidRPr="00747D88">
              <w:rPr>
                <w:rFonts w:ascii="Verdana" w:eastAsia="Times New Roman" w:hAnsi="Verdana" w:cs="Arial"/>
                <w:sz w:val="20"/>
                <w:szCs w:val="20"/>
                <w:lang w:val="en-US" w:eastAsia="en-GB"/>
              </w:rPr>
              <w:t>(i) Closing the implementation gap of the Tourism Satellite Account statistical framework, ii) Upgrading tourism statistics to include sustainability, (iii) Sharing up-to-date tourism data for citizens, entrepreneurs and policy makers, (iv Putting in place effective sustainable tourism management and monitoring tools at destination level and (v) improving the enabling framework for SMEs in the tourism ecosystem.</w:t>
            </w:r>
          </w:p>
          <w:p w14:paraId="0B89D952" w14:textId="77777777" w:rsidR="00747D88" w:rsidRPr="00747D88" w:rsidRDefault="00747D88" w:rsidP="00747D88">
            <w:pPr>
              <w:spacing w:after="0"/>
              <w:jc w:val="both"/>
              <w:rPr>
                <w:rFonts w:ascii="Verdana" w:eastAsia="Times New Roman" w:hAnsi="Verdana" w:cs="Arial"/>
                <w:sz w:val="20"/>
                <w:szCs w:val="20"/>
                <w:lang w:val="en-US" w:eastAsia="en-GB"/>
              </w:rPr>
            </w:pPr>
          </w:p>
          <w:p w14:paraId="4262D26A" w14:textId="77777777" w:rsidR="00747D88" w:rsidRPr="00F577DB" w:rsidRDefault="00747D88" w:rsidP="00747D88">
            <w:pPr>
              <w:spacing w:after="0"/>
              <w:jc w:val="both"/>
              <w:rPr>
                <w:rFonts w:ascii="Verdana" w:eastAsia="Times New Roman" w:hAnsi="Verdana" w:cs="Arial"/>
                <w:i/>
                <w:sz w:val="20"/>
                <w:szCs w:val="20"/>
                <w:lang w:val="en-US" w:eastAsia="en-GB"/>
              </w:rPr>
            </w:pPr>
            <w:r w:rsidRPr="00F577DB">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p>
          <w:p w14:paraId="642F0C1D" w14:textId="77777777" w:rsidR="00747D88" w:rsidRPr="00F577DB" w:rsidRDefault="00747D88" w:rsidP="00747D88">
            <w:pPr>
              <w:spacing w:after="0"/>
              <w:jc w:val="both"/>
              <w:rPr>
                <w:rFonts w:ascii="Verdana" w:eastAsia="Times New Roman" w:hAnsi="Verdana" w:cs="Arial"/>
                <w:i/>
                <w:sz w:val="20"/>
                <w:szCs w:val="20"/>
                <w:lang w:val="en-US" w:eastAsia="en-GB"/>
              </w:rPr>
            </w:pPr>
          </w:p>
          <w:p w14:paraId="3F2655CC" w14:textId="63455876" w:rsidR="00747D88" w:rsidRPr="00F577DB" w:rsidRDefault="001C0889" w:rsidP="00EB26D4">
            <w:pPr>
              <w:spacing w:after="0"/>
              <w:jc w:val="both"/>
              <w:rPr>
                <w:rFonts w:ascii="Verdana" w:eastAsia="Times New Roman" w:hAnsi="Verdana" w:cs="Arial"/>
                <w:i/>
                <w:sz w:val="20"/>
                <w:szCs w:val="20"/>
                <w:lang w:val="en-US" w:eastAsia="en-GB"/>
              </w:rPr>
            </w:pPr>
            <w:r w:rsidRPr="00F577DB">
              <w:rPr>
                <w:rFonts w:ascii="Verdana" w:eastAsia="Times New Roman" w:hAnsi="Verdana" w:cs="Arial"/>
                <w:i/>
                <w:sz w:val="20"/>
                <w:szCs w:val="20"/>
                <w:lang w:val="en-US" w:eastAsia="en-GB"/>
              </w:rPr>
              <w:t>[Insert Text; between 250-400 words]</w:t>
            </w:r>
          </w:p>
          <w:p w14:paraId="25379867" w14:textId="205A3169" w:rsidR="00747D88" w:rsidRPr="00747D88" w:rsidDel="00CA5DB7" w:rsidRDefault="00747D88" w:rsidP="00EB26D4">
            <w:pPr>
              <w:spacing w:after="0"/>
              <w:jc w:val="both"/>
              <w:rPr>
                <w:rFonts w:ascii="Verdana" w:eastAsia="Times New Roman" w:hAnsi="Verdana" w:cs="Arial"/>
                <w:bCs/>
                <w:sz w:val="20"/>
                <w:szCs w:val="20"/>
                <w:lang w:val="en-US" w:eastAsia="en-GB"/>
              </w:rPr>
            </w:pPr>
          </w:p>
        </w:tc>
      </w:tr>
      <w:tr w:rsidR="00CA5DB7" w:rsidRPr="00F64CAB" w14:paraId="48F42C8B" w14:textId="77777777" w:rsidTr="008C2EFF">
        <w:trPr>
          <w:trHeight w:val="420"/>
        </w:trPr>
        <w:tc>
          <w:tcPr>
            <w:tcW w:w="673" w:type="dxa"/>
            <w:shd w:val="clear" w:color="auto" w:fill="D9D9D9" w:themeFill="background1" w:themeFillShade="D9"/>
            <w:vAlign w:val="center"/>
          </w:tcPr>
          <w:p w14:paraId="4F3A7E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12224D1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5684B51A" w14:textId="77777777" w:rsidTr="008C2EFF">
        <w:trPr>
          <w:trHeight w:val="420"/>
        </w:trPr>
        <w:tc>
          <w:tcPr>
            <w:tcW w:w="9072" w:type="dxa"/>
            <w:gridSpan w:val="3"/>
            <w:shd w:val="clear" w:color="auto" w:fill="FFFFFF" w:themeFill="background1"/>
            <w:vAlign w:val="center"/>
          </w:tcPr>
          <w:p w14:paraId="5A5DAB62" w14:textId="77777777"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78E0C012" w14:textId="77777777" w:rsidTr="008C2EFF">
        <w:trPr>
          <w:trHeight w:val="420"/>
        </w:trPr>
        <w:tc>
          <w:tcPr>
            <w:tcW w:w="673" w:type="dxa"/>
            <w:shd w:val="clear" w:color="auto" w:fill="D9D9D9" w:themeFill="background1" w:themeFillShade="D9"/>
            <w:vAlign w:val="center"/>
          </w:tcPr>
          <w:p w14:paraId="3C2492DE"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223221E"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F64CAB" w14:paraId="5B2F0CCE" w14:textId="77777777" w:rsidTr="008C2EFF">
        <w:trPr>
          <w:trHeight w:val="420"/>
        </w:trPr>
        <w:tc>
          <w:tcPr>
            <w:tcW w:w="9072" w:type="dxa"/>
            <w:gridSpan w:val="3"/>
            <w:shd w:val="clear" w:color="auto" w:fill="FFFFFF" w:themeFill="background1"/>
            <w:vAlign w:val="center"/>
          </w:tcPr>
          <w:p w14:paraId="6135774F"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1934BF54" w14:textId="77777777" w:rsidTr="008C2EFF">
        <w:trPr>
          <w:trHeight w:val="420"/>
        </w:trPr>
        <w:tc>
          <w:tcPr>
            <w:tcW w:w="673" w:type="dxa"/>
            <w:shd w:val="clear" w:color="auto" w:fill="D9D9D9" w:themeFill="background1" w:themeFillShade="D9"/>
            <w:vAlign w:val="center"/>
          </w:tcPr>
          <w:p w14:paraId="370B2563"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1A605AE"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6FED6638" w14:textId="77777777" w:rsidTr="008C2EFF">
        <w:trPr>
          <w:trHeight w:val="355"/>
        </w:trPr>
        <w:tc>
          <w:tcPr>
            <w:tcW w:w="9072" w:type="dxa"/>
            <w:gridSpan w:val="3"/>
            <w:shd w:val="clear" w:color="auto" w:fill="FFFFFF" w:themeFill="background1"/>
            <w:vAlign w:val="center"/>
          </w:tcPr>
          <w:p w14:paraId="179CA833"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3764C452" w14:textId="77777777" w:rsidTr="008C2EFF">
        <w:trPr>
          <w:trHeight w:val="420"/>
        </w:trPr>
        <w:tc>
          <w:tcPr>
            <w:tcW w:w="673" w:type="dxa"/>
            <w:shd w:val="clear" w:color="auto" w:fill="D9D9D9" w:themeFill="background1" w:themeFillShade="D9"/>
            <w:vAlign w:val="center"/>
          </w:tcPr>
          <w:p w14:paraId="01776D4E"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DA8FFA8"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4E785F95" w14:textId="77777777" w:rsidTr="008C2EFF">
        <w:trPr>
          <w:trHeight w:val="365"/>
        </w:trPr>
        <w:tc>
          <w:tcPr>
            <w:tcW w:w="9072" w:type="dxa"/>
            <w:gridSpan w:val="3"/>
            <w:shd w:val="clear" w:color="auto" w:fill="FFFFFF" w:themeFill="background1"/>
            <w:vAlign w:val="center"/>
          </w:tcPr>
          <w:p w14:paraId="2FCC5F7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7201F5F5" w14:textId="77777777" w:rsidTr="008C2EFF">
        <w:trPr>
          <w:trHeight w:val="966"/>
        </w:trPr>
        <w:tc>
          <w:tcPr>
            <w:tcW w:w="708" w:type="dxa"/>
            <w:gridSpan w:val="2"/>
            <w:shd w:val="clear" w:color="auto" w:fill="D9D9D9" w:themeFill="background1" w:themeFillShade="D9"/>
            <w:vAlign w:val="center"/>
          </w:tcPr>
          <w:p w14:paraId="7AF7A5C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9A09F0A"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1A68A114" w14:textId="77777777" w:rsidTr="008C2EFF">
        <w:trPr>
          <w:trHeight w:val="333"/>
        </w:trPr>
        <w:tc>
          <w:tcPr>
            <w:tcW w:w="9072" w:type="dxa"/>
            <w:gridSpan w:val="3"/>
            <w:shd w:val="clear" w:color="auto" w:fill="FFFFFF" w:themeFill="background1"/>
            <w:vAlign w:val="center"/>
          </w:tcPr>
          <w:p w14:paraId="5045A21A"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3AF849BE"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C5D50A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231D0D1"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2C24D71D"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1FB087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2ECA7DB"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F06071" w14:textId="77777777" w:rsidR="00B320E5" w:rsidRPr="00F64CAB" w:rsidRDefault="00AF08B2" w:rsidP="008C2EFF">
            <w:pPr>
              <w:spacing w:after="0"/>
              <w:jc w:val="both"/>
              <w:rPr>
                <w:rFonts w:ascii="Verdana" w:eastAsia="Times New Roman" w:hAnsi="Verdana" w:cs="Arial"/>
                <w:sz w:val="20"/>
                <w:szCs w:val="20"/>
                <w:u w:val="single"/>
                <w:lang w:val="en-US" w:eastAsia="en-GB"/>
              </w:rPr>
            </w:pPr>
            <w:r w:rsidRPr="008C2EFF">
              <w:rPr>
                <w:rFonts w:ascii="Verdana" w:hAnsi="Verdana"/>
                <w:b/>
                <w:bCs/>
                <w:sz w:val="20"/>
                <w:szCs w:val="20"/>
                <w:lang w:val="en-US" w:eastAsia="en-GB"/>
              </w:rPr>
              <w:t xml:space="preserve">Briefly </w:t>
            </w:r>
            <w:r w:rsidR="008C2EFF">
              <w:rPr>
                <w:rFonts w:ascii="Verdana" w:hAnsi="Verdana"/>
                <w:b/>
                <w:bCs/>
                <w:sz w:val="20"/>
                <w:szCs w:val="20"/>
                <w:lang w:val="en-US" w:eastAsia="en-GB"/>
              </w:rPr>
              <w:t>indicate the</w:t>
            </w:r>
            <w:r w:rsidRPr="008C2EFF">
              <w:rPr>
                <w:rFonts w:ascii="Verdana" w:hAnsi="Verdana"/>
                <w:b/>
                <w:bCs/>
                <w:sz w:val="20"/>
                <w:szCs w:val="20"/>
                <w:lang w:val="en-US" w:eastAsia="en-GB"/>
              </w:rPr>
              <w:t xml:space="preserve"> support measures </w:t>
            </w:r>
            <w:r w:rsidR="008C2EFF">
              <w:rPr>
                <w:rFonts w:ascii="Verdana" w:hAnsi="Verdana"/>
                <w:b/>
                <w:bCs/>
                <w:sz w:val="20"/>
                <w:szCs w:val="20"/>
                <w:lang w:val="en-US" w:eastAsia="en-GB"/>
              </w:rPr>
              <w:t xml:space="preserve">envisaged </w:t>
            </w:r>
            <w:r w:rsidRPr="008C2EFF">
              <w:rPr>
                <w:rFonts w:ascii="Verdana" w:hAnsi="Verdana"/>
                <w:b/>
                <w:bCs/>
                <w:sz w:val="20"/>
                <w:szCs w:val="20"/>
                <w:lang w:val="en-US" w:eastAsia="en-GB"/>
              </w:rPr>
              <w:t xml:space="preserve">(key outputs/deliverables) </w:t>
            </w:r>
            <w:r w:rsidR="008C2EFF" w:rsidRPr="008C2EFF">
              <w:rPr>
                <w:rFonts w:ascii="Verdana" w:eastAsia="Times New Roman" w:hAnsi="Verdana" w:cs="Arial"/>
                <w:b/>
                <w:bCs/>
                <w:sz w:val="20"/>
                <w:szCs w:val="20"/>
                <w:lang w:val="en-US" w:eastAsia="en-GB"/>
              </w:rPr>
              <w:t>(e.g. diagnostic report, comparative analysis, recommendations, feasibility study, technical specifications fo</w:t>
            </w:r>
            <w:r w:rsidR="008C2EFF">
              <w:rPr>
                <w:rFonts w:ascii="Verdana" w:eastAsia="Times New Roman" w:hAnsi="Verdana" w:cs="Arial"/>
                <w:b/>
                <w:bCs/>
                <w:sz w:val="20"/>
                <w:szCs w:val="20"/>
                <w:lang w:val="en-US" w:eastAsia="en-GB"/>
              </w:rPr>
              <w:t>r an IT tool, guidelines, etc.). Describe how these measures</w:t>
            </w:r>
            <w:r w:rsidR="00EC5A01" w:rsidRPr="008C2EFF">
              <w:rPr>
                <w:rFonts w:ascii="Verdana" w:eastAsia="Times New Roman" w:hAnsi="Verdana" w:cs="Arial"/>
                <w:b/>
                <w:bCs/>
                <w:sz w:val="20"/>
                <w:szCs w:val="20"/>
                <w:lang w:val="en-US" w:eastAsia="en-GB"/>
              </w:rPr>
              <w:t xml:space="preserve"> will help to </w:t>
            </w:r>
            <w:r w:rsidR="008C2EFF">
              <w:rPr>
                <w:rFonts w:ascii="Verdana" w:eastAsia="Times New Roman" w:hAnsi="Verdana" w:cs="Arial"/>
                <w:b/>
                <w:bCs/>
                <w:sz w:val="20"/>
                <w:szCs w:val="20"/>
                <w:lang w:val="en-US" w:eastAsia="en-GB"/>
              </w:rPr>
              <w:t>address the problem identified.</w:t>
            </w:r>
          </w:p>
        </w:tc>
      </w:tr>
      <w:tr w:rsidR="00D81722" w:rsidRPr="00F64CAB" w14:paraId="592E40E1" w14:textId="77777777" w:rsidTr="006C155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C80C64E" w14:textId="1627DEB7" w:rsidR="00E11400" w:rsidRPr="00F577DB" w:rsidRDefault="00E11400" w:rsidP="006C155F">
            <w:pPr>
              <w:spacing w:after="0" w:line="240" w:lineRule="auto"/>
              <w:jc w:val="both"/>
              <w:textAlignment w:val="baseline"/>
              <w:rPr>
                <w:rFonts w:ascii="Verdana" w:eastAsia="Times New Roman" w:hAnsi="Verdana" w:cs="Segoe UI"/>
                <w:i/>
                <w:iCs/>
                <w:sz w:val="20"/>
                <w:szCs w:val="20"/>
                <w:lang w:eastAsia="en-GB"/>
              </w:rPr>
            </w:pPr>
            <w:r w:rsidRPr="00F577DB">
              <w:rPr>
                <w:rFonts w:ascii="Verdana" w:eastAsia="Times New Roman" w:hAnsi="Verdana" w:cs="Segoe UI"/>
                <w:i/>
                <w:iCs/>
                <w:sz w:val="20"/>
                <w:szCs w:val="20"/>
                <w:lang w:eastAsia="en-GB"/>
              </w:rPr>
              <w:t xml:space="preserve">This request identifies measures needed to assist the sustainable </w:t>
            </w:r>
            <w:r w:rsidR="005629C7" w:rsidRPr="00F577DB">
              <w:rPr>
                <w:rFonts w:ascii="Verdana" w:eastAsia="Times New Roman" w:hAnsi="Verdana" w:cs="Segoe UI"/>
                <w:i/>
                <w:iCs/>
                <w:sz w:val="20"/>
                <w:szCs w:val="20"/>
                <w:lang w:eastAsia="en-GB"/>
              </w:rPr>
              <w:t xml:space="preserve">and innovative </w:t>
            </w:r>
            <w:r w:rsidRPr="00F577DB">
              <w:rPr>
                <w:rFonts w:ascii="Verdana" w:eastAsia="Times New Roman" w:hAnsi="Verdana" w:cs="Segoe UI"/>
                <w:i/>
                <w:iCs/>
                <w:sz w:val="20"/>
                <w:szCs w:val="20"/>
                <w:lang w:eastAsia="en-GB"/>
              </w:rPr>
              <w:t xml:space="preserve">recovery </w:t>
            </w:r>
            <w:r w:rsidR="005629C7" w:rsidRPr="00F577DB">
              <w:rPr>
                <w:rFonts w:ascii="Verdana" w:eastAsia="Times New Roman" w:hAnsi="Verdana" w:cs="Segoe UI"/>
                <w:i/>
                <w:iCs/>
                <w:sz w:val="20"/>
                <w:szCs w:val="20"/>
                <w:lang w:eastAsia="en-GB"/>
              </w:rPr>
              <w:t xml:space="preserve">and development </w:t>
            </w:r>
            <w:r w:rsidRPr="00F577DB">
              <w:rPr>
                <w:rFonts w:ascii="Verdana" w:eastAsia="Times New Roman" w:hAnsi="Verdana" w:cs="Segoe UI"/>
                <w:i/>
                <w:iCs/>
                <w:sz w:val="20"/>
                <w:szCs w:val="20"/>
                <w:lang w:eastAsia="en-GB"/>
              </w:rPr>
              <w:t xml:space="preserve">of tourism </w:t>
            </w:r>
            <w:r w:rsidR="005629C7" w:rsidRPr="00F577DB">
              <w:rPr>
                <w:rFonts w:ascii="Verdana" w:eastAsia="Times New Roman" w:hAnsi="Verdana" w:cs="Segoe UI"/>
                <w:i/>
                <w:iCs/>
                <w:sz w:val="20"/>
                <w:szCs w:val="20"/>
                <w:lang w:eastAsia="en-GB"/>
              </w:rPr>
              <w:t xml:space="preserve">with improved evidence base and monitoring framework for the </w:t>
            </w:r>
            <w:r w:rsidRPr="00F577DB">
              <w:rPr>
                <w:rFonts w:ascii="Verdana" w:eastAsia="Times New Roman" w:hAnsi="Verdana" w:cs="Segoe UI"/>
                <w:i/>
                <w:iCs/>
                <w:sz w:val="20"/>
                <w:szCs w:val="20"/>
                <w:lang w:eastAsia="en-GB"/>
              </w:rPr>
              <w:t xml:space="preserve">tourism ecosystem. The beneficiary authority can choose </w:t>
            </w:r>
            <w:r w:rsidR="005629C7" w:rsidRPr="00F577DB">
              <w:rPr>
                <w:rFonts w:ascii="Verdana" w:eastAsia="Times New Roman" w:hAnsi="Verdana" w:cs="Segoe UI"/>
                <w:i/>
                <w:iCs/>
                <w:sz w:val="20"/>
                <w:szCs w:val="20"/>
                <w:lang w:eastAsia="en-GB"/>
              </w:rPr>
              <w:t xml:space="preserve">modules </w:t>
            </w:r>
            <w:r w:rsidR="005629C7" w:rsidRPr="00F577DB">
              <w:rPr>
                <w:rFonts w:ascii="Verdana" w:eastAsia="Times New Roman" w:hAnsi="Verdana" w:cs="Segoe UI"/>
                <w:i/>
                <w:iCs/>
                <w:sz w:val="20"/>
                <w:szCs w:val="20"/>
                <w:lang w:eastAsia="en-GB"/>
              </w:rPr>
              <w:lastRenderedPageBreak/>
              <w:t xml:space="preserve">from </w:t>
            </w:r>
            <w:r w:rsidRPr="00F577DB">
              <w:rPr>
                <w:rFonts w:ascii="Verdana" w:eastAsia="Times New Roman" w:hAnsi="Verdana" w:cs="Segoe UI"/>
                <w:i/>
                <w:iCs/>
                <w:sz w:val="20"/>
                <w:szCs w:val="20"/>
                <w:lang w:eastAsia="en-GB"/>
              </w:rPr>
              <w:t>2 packages with measures that can be tailor</w:t>
            </w:r>
            <w:r w:rsidR="005629C7" w:rsidRPr="00F577DB">
              <w:rPr>
                <w:rFonts w:ascii="Verdana" w:eastAsia="Times New Roman" w:hAnsi="Verdana" w:cs="Segoe UI"/>
                <w:i/>
                <w:iCs/>
                <w:sz w:val="20"/>
                <w:szCs w:val="20"/>
                <w:lang w:eastAsia="en-GB"/>
              </w:rPr>
              <w:t>ed</w:t>
            </w:r>
            <w:r w:rsidRPr="00F577DB">
              <w:rPr>
                <w:rFonts w:ascii="Verdana" w:eastAsia="Times New Roman" w:hAnsi="Verdana" w:cs="Segoe UI"/>
                <w:i/>
                <w:iCs/>
                <w:sz w:val="20"/>
                <w:szCs w:val="20"/>
                <w:lang w:eastAsia="en-GB"/>
              </w:rPr>
              <w:t xml:space="preserve"> to their national and local context.</w:t>
            </w:r>
          </w:p>
          <w:p w14:paraId="0D6296C4" w14:textId="77777777" w:rsidR="004E36C2" w:rsidRPr="00E11400" w:rsidRDefault="004E36C2" w:rsidP="006C155F">
            <w:pPr>
              <w:spacing w:after="0" w:line="240" w:lineRule="auto"/>
              <w:jc w:val="both"/>
              <w:textAlignment w:val="baseline"/>
              <w:rPr>
                <w:rFonts w:ascii="Verdana" w:eastAsia="Times New Roman" w:hAnsi="Verdana" w:cs="Arial"/>
                <w:i/>
                <w:iCs/>
                <w:color w:val="FF0000"/>
                <w:sz w:val="20"/>
                <w:szCs w:val="20"/>
                <w:lang w:val="en-IE"/>
              </w:rPr>
            </w:pPr>
          </w:p>
          <w:p w14:paraId="241885AD" w14:textId="0E2686C4" w:rsidR="00E11400" w:rsidRPr="00F577DB" w:rsidRDefault="00E11400" w:rsidP="006C155F">
            <w:pPr>
              <w:spacing w:after="0" w:line="240" w:lineRule="auto"/>
              <w:jc w:val="both"/>
              <w:textAlignment w:val="baseline"/>
              <w:rPr>
                <w:rFonts w:ascii="Segoe UI" w:eastAsia="Times New Roman" w:hAnsi="Segoe UI" w:cs="Segoe UI"/>
                <w:sz w:val="18"/>
                <w:szCs w:val="18"/>
                <w:lang w:val="en-IE" w:eastAsia="fr-BE"/>
              </w:rPr>
            </w:pPr>
            <w:r w:rsidRPr="00F577DB">
              <w:rPr>
                <w:rFonts w:ascii="Verdana" w:eastAsia="Times New Roman" w:hAnsi="Verdana" w:cs="Segoe UI"/>
                <w:i/>
                <w:iCs/>
                <w:sz w:val="20"/>
                <w:szCs w:val="20"/>
                <w:lang w:eastAsia="fr-BE"/>
              </w:rPr>
              <w:t>Please tick relevant boxes and provide justification for each selected support measure</w:t>
            </w:r>
            <w:r w:rsidRPr="00F577DB">
              <w:rPr>
                <w:rFonts w:ascii="Verdana" w:eastAsia="Times New Roman" w:hAnsi="Verdana" w:cs="Segoe UI"/>
                <w:sz w:val="20"/>
                <w:szCs w:val="20"/>
                <w:lang w:eastAsia="fr-BE"/>
              </w:rPr>
              <w:t>.</w:t>
            </w:r>
            <w:r w:rsidR="006A49B3" w:rsidRPr="00F577DB">
              <w:rPr>
                <w:rFonts w:ascii="Verdana" w:eastAsia="Times New Roman" w:hAnsi="Verdana" w:cs="Segoe UI"/>
                <w:sz w:val="20"/>
                <w:szCs w:val="20"/>
                <w:lang w:eastAsia="fr-BE"/>
              </w:rPr>
              <w:t xml:space="preserve"> </w:t>
            </w:r>
          </w:p>
          <w:p w14:paraId="5BCCF717" w14:textId="77777777" w:rsidR="00E11400" w:rsidRPr="00E11400" w:rsidRDefault="00E11400" w:rsidP="006C155F">
            <w:pPr>
              <w:spacing w:after="0" w:line="240" w:lineRule="auto"/>
              <w:jc w:val="both"/>
              <w:textAlignment w:val="baseline"/>
              <w:rPr>
                <w:rFonts w:ascii="Segoe UI" w:eastAsia="Times New Roman" w:hAnsi="Segoe UI" w:cs="Segoe UI"/>
                <w:sz w:val="18"/>
                <w:szCs w:val="18"/>
                <w:lang w:val="en-IE" w:eastAsia="fr-BE"/>
              </w:rPr>
            </w:pPr>
            <w:r w:rsidRPr="00E11400">
              <w:rPr>
                <w:rFonts w:ascii="Verdana" w:eastAsia="Times New Roman" w:hAnsi="Verdana" w:cs="Segoe UI"/>
                <w:color w:val="4F81BD"/>
                <w:sz w:val="20"/>
                <w:szCs w:val="20"/>
                <w:lang w:val="en-IE" w:eastAsia="fr-BE"/>
              </w:rPr>
              <w:t> </w:t>
            </w:r>
          </w:p>
          <w:p w14:paraId="613024DD" w14:textId="77777777" w:rsidR="00E11400" w:rsidRPr="00E11400" w:rsidRDefault="00E11400" w:rsidP="00E11400">
            <w:pPr>
              <w:spacing w:after="0" w:line="240" w:lineRule="auto"/>
              <w:jc w:val="both"/>
              <w:textAlignment w:val="baseline"/>
              <w:rPr>
                <w:rFonts w:ascii="Verdana" w:eastAsia="Times New Roman" w:hAnsi="Verdana" w:cs="Segoe UI"/>
                <w:sz w:val="20"/>
                <w:szCs w:val="20"/>
                <w:lang w:val="en-IE" w:eastAsia="fr-BE"/>
              </w:rPr>
            </w:pPr>
            <w:r w:rsidRPr="00E11400">
              <w:rPr>
                <w:rFonts w:ascii="Verdana" w:eastAsia="Times New Roman" w:hAnsi="Verdana" w:cs="Segoe UI"/>
                <w:b/>
                <w:bCs/>
                <w:sz w:val="20"/>
                <w:szCs w:val="20"/>
                <w:lang w:val="en-IE" w:eastAsia="fr-BE"/>
              </w:rPr>
              <w:t>Component A: Sound evidence and data gathering and sharing for better decision making</w:t>
            </w:r>
            <w:r w:rsidRPr="00E11400">
              <w:rPr>
                <w:rFonts w:ascii="Verdana" w:eastAsia="Times New Roman" w:hAnsi="Verdana" w:cs="Segoe UI"/>
                <w:sz w:val="20"/>
                <w:szCs w:val="20"/>
                <w:lang w:val="en-IE" w:eastAsia="fr-BE"/>
              </w:rPr>
              <w:t> </w:t>
            </w:r>
          </w:p>
          <w:p w14:paraId="0F0327A0" w14:textId="77777777" w:rsidR="00E11400" w:rsidRPr="00E11400" w:rsidRDefault="00E11400" w:rsidP="00E11400">
            <w:pPr>
              <w:spacing w:after="0" w:line="240" w:lineRule="auto"/>
              <w:jc w:val="both"/>
              <w:textAlignment w:val="baseline"/>
              <w:rPr>
                <w:rFonts w:ascii="Segoe UI" w:eastAsia="Times New Roman" w:hAnsi="Segoe UI" w:cs="Segoe UI"/>
                <w:sz w:val="18"/>
                <w:szCs w:val="18"/>
                <w:lang w:val="en-IE" w:eastAsia="fr-BE"/>
              </w:rPr>
            </w:pPr>
          </w:p>
          <w:p w14:paraId="671C07C5" w14:textId="63FCAF49" w:rsidR="005201E1" w:rsidRDefault="00E11400" w:rsidP="005E1BA8">
            <w:pPr>
              <w:pStyle w:val="ListParagraph"/>
              <w:spacing w:after="0" w:line="240" w:lineRule="auto"/>
              <w:ind w:left="360"/>
              <w:jc w:val="both"/>
              <w:textAlignment w:val="baseline"/>
              <w:rPr>
                <w:rFonts w:ascii="Verdana" w:eastAsia="Times New Roman" w:hAnsi="Verdana" w:cs="Segoe UI"/>
                <w:sz w:val="20"/>
                <w:szCs w:val="20"/>
                <w:lang w:val="en-IE" w:eastAsia="fr-BE"/>
              </w:rPr>
            </w:pPr>
            <w:r w:rsidRPr="00E11400">
              <w:rPr>
                <w:rFonts w:ascii="Segoe UI Symbol" w:eastAsia="Times New Roman" w:hAnsi="Segoe UI Symbol" w:cs="Segoe UI Symbol"/>
                <w:b/>
                <w:bCs/>
                <w:sz w:val="20"/>
                <w:szCs w:val="20"/>
                <w:lang w:eastAsia="fr-BE"/>
              </w:rPr>
              <w:t>☐</w:t>
            </w:r>
            <w:r w:rsidR="006A49B3">
              <w:rPr>
                <w:rFonts w:ascii="Verdana" w:eastAsia="Times New Roman" w:hAnsi="Verdana" w:cs="Segoe UI"/>
                <w:b/>
                <w:bCs/>
                <w:sz w:val="20"/>
                <w:szCs w:val="20"/>
                <w:lang w:val="en-IE" w:eastAsia="fr-BE"/>
              </w:rPr>
              <w:t xml:space="preserve"> </w:t>
            </w:r>
            <w:r w:rsidRPr="00E11400">
              <w:rPr>
                <w:rFonts w:ascii="Verdana" w:eastAsia="Times New Roman" w:hAnsi="Verdana" w:cs="Segoe UI"/>
                <w:b/>
                <w:bCs/>
                <w:sz w:val="20"/>
                <w:szCs w:val="20"/>
                <w:lang w:val="en-IE" w:eastAsia="fr-BE"/>
              </w:rPr>
              <w:t>Closing the implementation gap of the Tourism Satellite Account statistical framework</w:t>
            </w:r>
            <w:r w:rsidRPr="00E11400">
              <w:rPr>
                <w:rFonts w:ascii="Verdana" w:eastAsia="Times New Roman" w:hAnsi="Verdana" w:cs="Segoe UI"/>
                <w:sz w:val="20"/>
                <w:szCs w:val="20"/>
                <w:lang w:val="en-IE" w:eastAsia="fr-BE"/>
              </w:rPr>
              <w:t>:</w:t>
            </w:r>
            <w:r w:rsidR="005E1BA8">
              <w:rPr>
                <w:rFonts w:ascii="Verdana" w:eastAsia="Times New Roman" w:hAnsi="Verdana" w:cs="Segoe UI"/>
                <w:sz w:val="20"/>
                <w:szCs w:val="20"/>
                <w:lang w:val="en-IE" w:eastAsia="fr-BE"/>
              </w:rPr>
              <w:t xml:space="preserve"> This entails</w:t>
            </w:r>
            <w:r w:rsidRPr="00E11400">
              <w:rPr>
                <w:rFonts w:ascii="Verdana" w:eastAsia="Times New Roman" w:hAnsi="Verdana" w:cs="Segoe UI"/>
                <w:sz w:val="20"/>
                <w:szCs w:val="20"/>
                <w:lang w:val="en-IE" w:eastAsia="fr-BE"/>
              </w:rPr>
              <w:t> support to improve Tourism Satellite Account (TSA)</w:t>
            </w:r>
            <w:r w:rsidR="006A49B3">
              <w:rPr>
                <w:rFonts w:ascii="Verdana" w:eastAsia="Times New Roman" w:hAnsi="Verdana" w:cs="Segoe UI"/>
                <w:sz w:val="20"/>
                <w:szCs w:val="20"/>
                <w:lang w:val="en-IE" w:eastAsia="fr-BE"/>
              </w:rPr>
              <w:t xml:space="preserve"> </w:t>
            </w:r>
            <w:r w:rsidRPr="00E11400">
              <w:rPr>
                <w:rFonts w:ascii="Verdana" w:eastAsia="Times New Roman" w:hAnsi="Verdana" w:cs="Segoe UI"/>
                <w:sz w:val="20"/>
                <w:szCs w:val="20"/>
                <w:lang w:val="en-IE" w:eastAsia="fr-BE"/>
              </w:rPr>
              <w:t>collection and implementation</w:t>
            </w:r>
            <w:r w:rsidR="005E1BA8">
              <w:rPr>
                <w:rFonts w:ascii="Verdana" w:eastAsia="Times New Roman" w:hAnsi="Verdana" w:cs="Segoe UI"/>
                <w:sz w:val="20"/>
                <w:szCs w:val="20"/>
                <w:lang w:val="en-IE" w:eastAsia="fr-BE"/>
              </w:rPr>
              <w:t xml:space="preserve">. Measures could include: </w:t>
            </w:r>
          </w:p>
          <w:p w14:paraId="6E4B88C0" w14:textId="42B9E27A" w:rsidR="005201E1" w:rsidRDefault="00E11400" w:rsidP="005201E1">
            <w:pPr>
              <w:pStyle w:val="ListParagraph"/>
              <w:numPr>
                <w:ilvl w:val="0"/>
                <w:numId w:val="15"/>
              </w:numPr>
              <w:spacing w:after="0" w:line="240" w:lineRule="auto"/>
              <w:jc w:val="both"/>
              <w:textAlignment w:val="baseline"/>
              <w:rPr>
                <w:rFonts w:ascii="Verdana" w:eastAsia="Times New Roman" w:hAnsi="Verdana" w:cs="Segoe UI"/>
                <w:sz w:val="20"/>
                <w:szCs w:val="20"/>
                <w:lang w:val="en-IE" w:eastAsia="fr-BE"/>
              </w:rPr>
            </w:pPr>
            <w:r w:rsidRPr="00E11400">
              <w:rPr>
                <w:rFonts w:ascii="Verdana" w:eastAsia="Times New Roman" w:hAnsi="Verdana" w:cs="Segoe UI"/>
                <w:sz w:val="20"/>
                <w:szCs w:val="20"/>
                <w:lang w:val="en-IE" w:eastAsia="fr-BE"/>
              </w:rPr>
              <w:t>assessing the state-of-play of the TSA implementation at national level</w:t>
            </w:r>
            <w:r w:rsidR="00141D7E">
              <w:rPr>
                <w:rFonts w:ascii="Verdana" w:eastAsia="Times New Roman" w:hAnsi="Verdana" w:cs="Segoe UI"/>
                <w:sz w:val="20"/>
                <w:szCs w:val="20"/>
                <w:lang w:val="en-IE" w:eastAsia="fr-BE"/>
              </w:rPr>
              <w:t>, including identification of relevant sources</w:t>
            </w:r>
            <w:r w:rsidRPr="00E11400">
              <w:rPr>
                <w:rFonts w:ascii="Verdana" w:eastAsia="Times New Roman" w:hAnsi="Verdana" w:cs="Segoe UI"/>
                <w:sz w:val="20"/>
                <w:szCs w:val="20"/>
                <w:lang w:val="en-IE" w:eastAsia="fr-BE"/>
              </w:rPr>
              <w:t xml:space="preserve">; </w:t>
            </w:r>
          </w:p>
          <w:p w14:paraId="444C8C96" w14:textId="10A6E631" w:rsidR="005201E1" w:rsidRDefault="00E11400" w:rsidP="005201E1">
            <w:pPr>
              <w:pStyle w:val="ListParagraph"/>
              <w:numPr>
                <w:ilvl w:val="0"/>
                <w:numId w:val="15"/>
              </w:numPr>
              <w:spacing w:after="0" w:line="240" w:lineRule="auto"/>
              <w:jc w:val="both"/>
              <w:textAlignment w:val="baseline"/>
              <w:rPr>
                <w:rFonts w:ascii="Verdana" w:eastAsia="Times New Roman" w:hAnsi="Verdana" w:cs="Segoe UI"/>
                <w:sz w:val="20"/>
                <w:szCs w:val="20"/>
                <w:lang w:val="en-IE" w:eastAsia="fr-BE"/>
              </w:rPr>
            </w:pPr>
            <w:r w:rsidRPr="00E11400">
              <w:rPr>
                <w:rFonts w:ascii="Verdana" w:eastAsia="Times New Roman" w:hAnsi="Verdana" w:cs="Segoe UI"/>
                <w:sz w:val="20"/>
                <w:szCs w:val="20"/>
                <w:lang w:val="en-IE" w:eastAsia="fr-BE"/>
              </w:rPr>
              <w:t xml:space="preserve">conducting capacity building workshops targeting public administration/National Statistical Offices on best practices for TSA implementation; </w:t>
            </w:r>
          </w:p>
          <w:p w14:paraId="3046D53F" w14:textId="70EE2CF3" w:rsidR="00E11400" w:rsidRDefault="00E11400" w:rsidP="005201E1">
            <w:pPr>
              <w:pStyle w:val="ListParagraph"/>
              <w:numPr>
                <w:ilvl w:val="0"/>
                <w:numId w:val="15"/>
              </w:numPr>
              <w:spacing w:after="0" w:line="240" w:lineRule="auto"/>
              <w:jc w:val="both"/>
              <w:textAlignment w:val="baseline"/>
              <w:rPr>
                <w:rFonts w:ascii="Verdana" w:eastAsia="Times New Roman" w:hAnsi="Verdana" w:cs="Segoe UI"/>
                <w:sz w:val="20"/>
                <w:szCs w:val="20"/>
                <w:lang w:val="en-IE" w:eastAsia="fr-BE"/>
              </w:rPr>
            </w:pPr>
            <w:r w:rsidRPr="00E11400">
              <w:rPr>
                <w:rFonts w:ascii="Verdana" w:eastAsia="Times New Roman" w:hAnsi="Verdana" w:cs="Segoe UI"/>
                <w:sz w:val="20"/>
                <w:szCs w:val="20"/>
                <w:lang w:val="en-IE" w:eastAsia="fr-BE"/>
              </w:rPr>
              <w:t>performing training sessions, including structured peer learning on improving processes and operational framework on data collection and compilation.</w:t>
            </w:r>
          </w:p>
          <w:p w14:paraId="70E43F89" w14:textId="77777777" w:rsidR="005201E1" w:rsidRPr="005201E1" w:rsidRDefault="005201E1" w:rsidP="005201E1">
            <w:pPr>
              <w:spacing w:after="0" w:line="240" w:lineRule="auto"/>
              <w:ind w:left="360"/>
              <w:jc w:val="both"/>
              <w:textAlignment w:val="baseline"/>
              <w:rPr>
                <w:rFonts w:ascii="Verdana" w:eastAsia="Times New Roman" w:hAnsi="Verdana" w:cs="Segoe UI"/>
                <w:sz w:val="20"/>
                <w:szCs w:val="20"/>
                <w:lang w:val="en-IE" w:eastAsia="fr-BE"/>
              </w:rPr>
            </w:pPr>
          </w:p>
          <w:p w14:paraId="5C58B00E" w14:textId="77777777" w:rsidR="00E11400" w:rsidRPr="00E11400" w:rsidRDefault="00E11400" w:rsidP="00E11400">
            <w:pPr>
              <w:spacing w:after="0" w:line="240" w:lineRule="auto"/>
              <w:ind w:left="1275"/>
              <w:jc w:val="both"/>
              <w:textAlignment w:val="baseline"/>
              <w:rPr>
                <w:rFonts w:ascii="Verdana" w:eastAsia="Times New Roman" w:hAnsi="Verdana" w:cs="Segoe UI"/>
                <w:sz w:val="18"/>
                <w:szCs w:val="18"/>
                <w:lang w:val="en-IE" w:eastAsia="fr-BE"/>
              </w:rPr>
            </w:pPr>
          </w:p>
          <w:p w14:paraId="5166F2CF" w14:textId="77777777" w:rsidR="00E11400" w:rsidRPr="00F577DB" w:rsidRDefault="00E11400" w:rsidP="00E11400">
            <w:pPr>
              <w:spacing w:after="0" w:line="240" w:lineRule="auto"/>
              <w:ind w:left="360"/>
              <w:jc w:val="both"/>
              <w:textAlignment w:val="baseline"/>
              <w:rPr>
                <w:rFonts w:ascii="Verdana" w:eastAsia="Times New Roman" w:hAnsi="Verdana" w:cs="Segoe UI"/>
                <w:i/>
                <w:sz w:val="18"/>
                <w:szCs w:val="18"/>
                <w:lang w:val="en-IE" w:eastAsia="fr-BE"/>
              </w:rPr>
            </w:pPr>
            <w:r w:rsidRPr="00F577DB">
              <w:rPr>
                <w:rFonts w:ascii="Verdana" w:eastAsia="Times New Roman" w:hAnsi="Verdana" w:cs="Segoe UI"/>
                <w:i/>
                <w:sz w:val="20"/>
                <w:szCs w:val="20"/>
                <w:lang w:val="en-US" w:eastAsia="fr-BE"/>
              </w:rPr>
              <w:t>[Insert Text; between 100-200 words]</w:t>
            </w:r>
          </w:p>
          <w:p w14:paraId="757DD459" w14:textId="77777777" w:rsidR="00E11400" w:rsidRPr="00E11400" w:rsidRDefault="00E11400" w:rsidP="00E11400">
            <w:pPr>
              <w:spacing w:after="0" w:line="240" w:lineRule="auto"/>
              <w:ind w:left="360"/>
              <w:jc w:val="both"/>
              <w:textAlignment w:val="baseline"/>
              <w:rPr>
                <w:rFonts w:ascii="Verdana" w:eastAsia="Times New Roman" w:hAnsi="Verdana" w:cs="Segoe UI"/>
                <w:sz w:val="18"/>
                <w:szCs w:val="18"/>
                <w:lang w:val="en-IE" w:eastAsia="fr-BE"/>
              </w:rPr>
            </w:pPr>
          </w:p>
          <w:p w14:paraId="746F429A" w14:textId="1FD3E4BA" w:rsidR="00F211B3" w:rsidRDefault="00E11400" w:rsidP="00E11400">
            <w:pPr>
              <w:spacing w:after="0" w:line="240" w:lineRule="auto"/>
              <w:ind w:left="360"/>
              <w:jc w:val="both"/>
              <w:textAlignment w:val="baseline"/>
              <w:rPr>
                <w:rFonts w:ascii="Verdana" w:eastAsia="Times New Roman" w:hAnsi="Verdana" w:cs="Segoe UI"/>
                <w:sz w:val="20"/>
                <w:szCs w:val="20"/>
                <w:lang w:val="en-IE" w:eastAsia="fr-BE"/>
              </w:rPr>
            </w:pPr>
            <w:r w:rsidRPr="00E11400">
              <w:rPr>
                <w:rFonts w:ascii="Segoe UI Symbol" w:eastAsia="Times New Roman" w:hAnsi="Segoe UI Symbol" w:cs="Segoe UI Symbol"/>
                <w:b/>
                <w:bCs/>
                <w:sz w:val="20"/>
                <w:szCs w:val="20"/>
                <w:lang w:val="en-IE" w:eastAsia="fr-BE"/>
              </w:rPr>
              <w:t>☐</w:t>
            </w:r>
            <w:r w:rsidRPr="00E11400">
              <w:rPr>
                <w:rFonts w:ascii="Verdana" w:eastAsia="Times New Roman" w:hAnsi="Verdana" w:cs="Segoe UI"/>
                <w:b/>
                <w:bCs/>
                <w:sz w:val="20"/>
                <w:szCs w:val="20"/>
                <w:lang w:val="en-IE" w:eastAsia="fr-BE"/>
              </w:rPr>
              <w:t> Upgrading tourism statistics to include sustainability</w:t>
            </w:r>
            <w:r w:rsidRPr="00E11400">
              <w:rPr>
                <w:rFonts w:ascii="Verdana" w:eastAsia="Times New Roman" w:hAnsi="Verdana" w:cs="Segoe UI"/>
                <w:sz w:val="20"/>
                <w:szCs w:val="20"/>
                <w:lang w:val="en-IE" w:eastAsia="fr-BE"/>
              </w:rPr>
              <w:t>: </w:t>
            </w:r>
            <w:r w:rsidR="005E1BA8">
              <w:rPr>
                <w:rFonts w:ascii="Verdana" w:eastAsia="Times New Roman" w:hAnsi="Verdana" w:cs="Segoe UI"/>
                <w:sz w:val="20"/>
                <w:szCs w:val="20"/>
                <w:lang w:val="en-IE" w:eastAsia="fr-BE"/>
              </w:rPr>
              <w:t xml:space="preserve">This entails </w:t>
            </w:r>
            <w:r w:rsidRPr="00E11400">
              <w:rPr>
                <w:rFonts w:ascii="Verdana" w:eastAsia="Times New Roman" w:hAnsi="Verdana" w:cs="Segoe UI"/>
                <w:sz w:val="20"/>
                <w:szCs w:val="20"/>
                <w:lang w:val="en-IE" w:eastAsia="fr-BE"/>
              </w:rPr>
              <w:t>support to develop and collect suitable indicators to steer and monitor the progress towards green and digital transition of European tourism</w:t>
            </w:r>
            <w:r w:rsidR="005E1BA8">
              <w:rPr>
                <w:rFonts w:ascii="Verdana" w:eastAsia="Times New Roman" w:hAnsi="Verdana" w:cs="Segoe UI"/>
                <w:sz w:val="20"/>
                <w:szCs w:val="20"/>
                <w:lang w:val="en-IE" w:eastAsia="fr-BE"/>
              </w:rPr>
              <w:t>. Measures could include</w:t>
            </w:r>
            <w:r w:rsidR="00114147">
              <w:rPr>
                <w:rFonts w:ascii="Verdana" w:eastAsia="Times New Roman" w:hAnsi="Verdana" w:cs="Segoe UI"/>
                <w:sz w:val="20"/>
                <w:szCs w:val="20"/>
                <w:lang w:val="en-IE" w:eastAsia="fr-BE"/>
              </w:rPr>
              <w:t>:</w:t>
            </w:r>
            <w:r w:rsidR="006A49B3">
              <w:rPr>
                <w:rFonts w:ascii="Verdana" w:eastAsia="Times New Roman" w:hAnsi="Verdana" w:cs="Segoe UI"/>
                <w:sz w:val="20"/>
                <w:szCs w:val="20"/>
                <w:lang w:val="en-IE" w:eastAsia="fr-BE"/>
              </w:rPr>
              <w:t xml:space="preserve"> </w:t>
            </w:r>
          </w:p>
          <w:p w14:paraId="3F07B256" w14:textId="07EEEFB9" w:rsidR="005201E1" w:rsidRDefault="005201E1" w:rsidP="00E11400">
            <w:pPr>
              <w:spacing w:after="0" w:line="240" w:lineRule="auto"/>
              <w:ind w:left="360"/>
              <w:jc w:val="both"/>
              <w:textAlignment w:val="baseline"/>
              <w:rPr>
                <w:rFonts w:ascii="Verdana" w:eastAsia="Times New Roman" w:hAnsi="Verdana" w:cs="Segoe UI"/>
                <w:sz w:val="20"/>
                <w:szCs w:val="20"/>
                <w:lang w:val="en-IE" w:eastAsia="fr-BE"/>
              </w:rPr>
            </w:pPr>
            <w:r>
              <w:rPr>
                <w:rFonts w:ascii="Verdana" w:eastAsia="Times New Roman" w:hAnsi="Verdana" w:cs="Segoe UI"/>
                <w:sz w:val="20"/>
                <w:szCs w:val="20"/>
                <w:lang w:val="en-IE" w:eastAsia="fr-BE"/>
              </w:rPr>
              <w:t xml:space="preserve">(i) </w:t>
            </w:r>
            <w:r w:rsidR="00E11400" w:rsidRPr="00E11400">
              <w:rPr>
                <w:rFonts w:ascii="Verdana" w:eastAsia="Times New Roman" w:hAnsi="Verdana" w:cs="Segoe UI"/>
                <w:sz w:val="20"/>
                <w:szCs w:val="20"/>
                <w:lang w:val="en-IE" w:eastAsia="fr-BE"/>
              </w:rPr>
              <w:t xml:space="preserve">assessing the state-of-play and national context for collection of </w:t>
            </w:r>
            <w:r>
              <w:rPr>
                <w:rFonts w:ascii="Verdana" w:eastAsia="Times New Roman" w:hAnsi="Verdana" w:cs="Segoe UI"/>
                <w:sz w:val="20"/>
                <w:szCs w:val="20"/>
                <w:lang w:val="en-IE" w:eastAsia="fr-BE"/>
              </w:rPr>
              <w:t>sustainability indicators data;</w:t>
            </w:r>
          </w:p>
          <w:p w14:paraId="2CA8B4FC" w14:textId="706405A6" w:rsidR="005201E1" w:rsidRDefault="005E1BA8" w:rsidP="00E11400">
            <w:pPr>
              <w:spacing w:after="0" w:line="240" w:lineRule="auto"/>
              <w:ind w:left="360"/>
              <w:jc w:val="both"/>
              <w:textAlignment w:val="baseline"/>
              <w:rPr>
                <w:rFonts w:ascii="Verdana" w:eastAsia="Times New Roman" w:hAnsi="Verdana" w:cs="Segoe UI"/>
                <w:sz w:val="20"/>
                <w:szCs w:val="20"/>
                <w:lang w:val="en-IE" w:eastAsia="fr-BE"/>
              </w:rPr>
            </w:pPr>
            <w:r>
              <w:rPr>
                <w:rFonts w:ascii="Verdana" w:eastAsia="Times New Roman" w:hAnsi="Verdana" w:cs="Segoe UI"/>
                <w:sz w:val="20"/>
                <w:szCs w:val="20"/>
                <w:lang w:val="en-IE" w:eastAsia="fr-BE"/>
              </w:rPr>
              <w:t xml:space="preserve">(ii) </w:t>
            </w:r>
            <w:r w:rsidR="00E11400" w:rsidRPr="00E11400">
              <w:rPr>
                <w:rFonts w:ascii="Verdana" w:eastAsia="Times New Roman" w:hAnsi="Verdana" w:cs="Segoe UI"/>
                <w:sz w:val="20"/>
                <w:szCs w:val="20"/>
                <w:lang w:val="en-IE" w:eastAsia="fr-BE"/>
              </w:rPr>
              <w:t xml:space="preserve">developing a strategy for collection of </w:t>
            </w:r>
            <w:r w:rsidR="005201E1">
              <w:rPr>
                <w:rFonts w:ascii="Verdana" w:eastAsia="Times New Roman" w:hAnsi="Verdana" w:cs="Segoe UI"/>
                <w:sz w:val="20"/>
                <w:szCs w:val="20"/>
                <w:lang w:val="en-IE" w:eastAsia="fr-BE"/>
              </w:rPr>
              <w:t>sustainability indicators data;</w:t>
            </w:r>
          </w:p>
          <w:p w14:paraId="774862C6" w14:textId="73089E2A" w:rsidR="00E11400" w:rsidRPr="00E11400" w:rsidRDefault="005E1BA8" w:rsidP="00E11400">
            <w:pPr>
              <w:spacing w:after="0" w:line="240" w:lineRule="auto"/>
              <w:ind w:left="360"/>
              <w:jc w:val="both"/>
              <w:textAlignment w:val="baseline"/>
              <w:rPr>
                <w:rFonts w:ascii="Verdana" w:eastAsia="Times New Roman" w:hAnsi="Verdana" w:cs="Segoe UI"/>
                <w:sz w:val="18"/>
                <w:szCs w:val="18"/>
                <w:lang w:val="en-IE" w:eastAsia="fr-BE"/>
              </w:rPr>
            </w:pPr>
            <w:r>
              <w:rPr>
                <w:rFonts w:ascii="Verdana" w:eastAsia="Times New Roman" w:hAnsi="Verdana" w:cs="Segoe UI"/>
                <w:sz w:val="20"/>
                <w:szCs w:val="20"/>
                <w:lang w:val="en-IE" w:eastAsia="fr-BE"/>
              </w:rPr>
              <w:t xml:space="preserve">(iii) </w:t>
            </w:r>
            <w:r w:rsidR="00E11400" w:rsidRPr="00E11400">
              <w:rPr>
                <w:rFonts w:ascii="Verdana" w:eastAsia="Times New Roman" w:hAnsi="Verdana" w:cs="Segoe UI"/>
                <w:sz w:val="20"/>
                <w:szCs w:val="20"/>
                <w:lang w:val="en-IE" w:eastAsia="fr-BE"/>
              </w:rPr>
              <w:t>conducting trainings and best practice exchange workshops on sustainability indicators.</w:t>
            </w:r>
          </w:p>
          <w:p w14:paraId="2F023D4B" w14:textId="77777777" w:rsidR="00E11400" w:rsidRPr="00E11400" w:rsidRDefault="00E11400" w:rsidP="00E11400">
            <w:pPr>
              <w:spacing w:after="0" w:line="240" w:lineRule="auto"/>
              <w:ind w:left="720"/>
              <w:jc w:val="both"/>
              <w:textAlignment w:val="baseline"/>
              <w:rPr>
                <w:rFonts w:ascii="Verdana" w:eastAsia="Times New Roman" w:hAnsi="Verdana" w:cs="Segoe UI"/>
                <w:sz w:val="18"/>
                <w:szCs w:val="18"/>
                <w:lang w:val="en-IE" w:eastAsia="fr-BE"/>
              </w:rPr>
            </w:pPr>
          </w:p>
          <w:p w14:paraId="03F6275D" w14:textId="77777777" w:rsidR="00E11400" w:rsidRPr="00F577DB" w:rsidRDefault="00E11400" w:rsidP="00E11400">
            <w:pPr>
              <w:spacing w:after="0" w:line="240" w:lineRule="auto"/>
              <w:ind w:left="360"/>
              <w:jc w:val="both"/>
              <w:textAlignment w:val="baseline"/>
              <w:rPr>
                <w:rFonts w:ascii="Verdana" w:eastAsia="Times New Roman" w:hAnsi="Verdana" w:cs="Segoe UI"/>
                <w:i/>
                <w:sz w:val="18"/>
                <w:szCs w:val="18"/>
                <w:lang w:val="en-IE" w:eastAsia="fr-BE"/>
              </w:rPr>
            </w:pPr>
            <w:r w:rsidRPr="00F577DB">
              <w:rPr>
                <w:rFonts w:ascii="Verdana" w:eastAsia="Times New Roman" w:hAnsi="Verdana" w:cs="Segoe UI"/>
                <w:i/>
                <w:sz w:val="20"/>
                <w:szCs w:val="20"/>
                <w:lang w:val="en-US" w:eastAsia="fr-BE"/>
              </w:rPr>
              <w:t>[Insert Text; between 100-200 words]</w:t>
            </w:r>
          </w:p>
          <w:p w14:paraId="1550C858" w14:textId="77777777" w:rsidR="00E11400" w:rsidRPr="00E11400" w:rsidRDefault="00E11400" w:rsidP="00E11400">
            <w:pPr>
              <w:spacing w:after="0" w:line="240" w:lineRule="auto"/>
              <w:jc w:val="both"/>
              <w:textAlignment w:val="baseline"/>
              <w:rPr>
                <w:rFonts w:ascii="Verdana" w:eastAsia="Times New Roman" w:hAnsi="Verdana" w:cs="Segoe UI"/>
                <w:sz w:val="18"/>
                <w:szCs w:val="18"/>
                <w:lang w:val="en-IE" w:eastAsia="fr-BE"/>
              </w:rPr>
            </w:pPr>
          </w:p>
          <w:p w14:paraId="75C043B7" w14:textId="095571C2" w:rsidR="005201E1" w:rsidRDefault="00E11400" w:rsidP="00E11400">
            <w:pPr>
              <w:spacing w:after="0" w:line="240" w:lineRule="auto"/>
              <w:ind w:left="360"/>
              <w:jc w:val="both"/>
              <w:textAlignment w:val="baseline"/>
              <w:rPr>
                <w:rFonts w:ascii="Verdana" w:eastAsia="Times New Roman" w:hAnsi="Verdana" w:cs="Segoe UI"/>
                <w:sz w:val="20"/>
                <w:szCs w:val="20"/>
                <w:lang w:val="en-IE" w:eastAsia="fr-BE"/>
              </w:rPr>
            </w:pPr>
            <w:r w:rsidRPr="00E11400">
              <w:rPr>
                <w:rFonts w:ascii="Segoe UI Symbol" w:eastAsia="Times New Roman" w:hAnsi="Segoe UI Symbol" w:cs="Segoe UI Symbol"/>
                <w:b/>
                <w:bCs/>
                <w:sz w:val="20"/>
                <w:szCs w:val="20"/>
                <w:lang w:eastAsia="fr-BE"/>
              </w:rPr>
              <w:t>☐</w:t>
            </w:r>
            <w:r w:rsidR="006A49B3">
              <w:rPr>
                <w:rFonts w:ascii="Verdana" w:eastAsia="Times New Roman" w:hAnsi="Verdana" w:cs="Segoe UI"/>
                <w:b/>
                <w:bCs/>
                <w:sz w:val="20"/>
                <w:szCs w:val="20"/>
                <w:lang w:val="en-IE" w:eastAsia="fr-BE"/>
              </w:rPr>
              <w:t xml:space="preserve"> </w:t>
            </w:r>
            <w:r w:rsidRPr="00E11400">
              <w:rPr>
                <w:rFonts w:ascii="Verdana" w:eastAsia="Times New Roman" w:hAnsi="Verdana" w:cs="Segoe UI"/>
                <w:b/>
                <w:bCs/>
                <w:sz w:val="20"/>
                <w:szCs w:val="20"/>
                <w:lang w:val="en-IE" w:eastAsia="fr-BE"/>
              </w:rPr>
              <w:t>Sharing up-to-date tourism data for citizens, entrepreneurs and policy makers: </w:t>
            </w:r>
            <w:r w:rsidR="005E1BA8" w:rsidRPr="005E1BA8">
              <w:rPr>
                <w:rFonts w:ascii="Verdana" w:eastAsia="Times New Roman" w:hAnsi="Verdana" w:cs="Segoe UI"/>
                <w:sz w:val="20"/>
                <w:szCs w:val="20"/>
                <w:lang w:val="en-IE" w:eastAsia="fr-BE"/>
              </w:rPr>
              <w:t>This entails</w:t>
            </w:r>
            <w:r w:rsidR="005E1BA8">
              <w:rPr>
                <w:rFonts w:ascii="Verdana" w:eastAsia="Times New Roman" w:hAnsi="Verdana" w:cs="Segoe UI"/>
                <w:b/>
                <w:bCs/>
                <w:sz w:val="20"/>
                <w:szCs w:val="20"/>
                <w:lang w:val="en-IE" w:eastAsia="fr-BE"/>
              </w:rPr>
              <w:t xml:space="preserve"> </w:t>
            </w:r>
            <w:r w:rsidRPr="00E11400">
              <w:rPr>
                <w:rFonts w:ascii="Verdana" w:eastAsia="Times New Roman" w:hAnsi="Verdana" w:cs="Segoe UI"/>
                <w:sz w:val="20"/>
                <w:szCs w:val="20"/>
                <w:lang w:val="en-IE" w:eastAsia="fr-BE"/>
              </w:rPr>
              <w:t>support aimed at making national tourism data systematically collected and available</w:t>
            </w:r>
            <w:r w:rsidR="005E1BA8">
              <w:rPr>
                <w:rFonts w:ascii="Verdana" w:eastAsia="Times New Roman" w:hAnsi="Verdana" w:cs="Segoe UI"/>
                <w:sz w:val="20"/>
                <w:szCs w:val="20"/>
                <w:lang w:val="en-IE" w:eastAsia="fr-BE"/>
              </w:rPr>
              <w:t xml:space="preserve">. Measures could include: </w:t>
            </w:r>
          </w:p>
          <w:p w14:paraId="3937130E" w14:textId="77777777" w:rsidR="005201E1" w:rsidRDefault="00E11400" w:rsidP="005201E1">
            <w:pPr>
              <w:pStyle w:val="ListParagraph"/>
              <w:numPr>
                <w:ilvl w:val="0"/>
                <w:numId w:val="14"/>
              </w:numPr>
              <w:spacing w:after="0" w:line="240" w:lineRule="auto"/>
              <w:jc w:val="both"/>
              <w:textAlignment w:val="baseline"/>
              <w:rPr>
                <w:rFonts w:ascii="Verdana" w:eastAsia="Times New Roman" w:hAnsi="Verdana" w:cs="Segoe UI"/>
                <w:sz w:val="20"/>
                <w:szCs w:val="20"/>
                <w:lang w:val="en-IE" w:eastAsia="fr-BE"/>
              </w:rPr>
            </w:pPr>
            <w:r w:rsidRPr="005201E1">
              <w:rPr>
                <w:rFonts w:ascii="Verdana" w:eastAsia="Times New Roman" w:hAnsi="Verdana" w:cs="Segoe UI"/>
                <w:sz w:val="20"/>
                <w:szCs w:val="20"/>
                <w:lang w:val="en-IE" w:eastAsia="fr-BE"/>
              </w:rPr>
              <w:t xml:space="preserve">assessing the state-of-play and providing policy recommendations for future reforms to increase the availability </w:t>
            </w:r>
            <w:r w:rsidR="00141D7E" w:rsidRPr="005201E1">
              <w:rPr>
                <w:rFonts w:ascii="Verdana" w:eastAsia="Times New Roman" w:hAnsi="Verdana" w:cs="Segoe UI"/>
                <w:sz w:val="20"/>
                <w:szCs w:val="20"/>
                <w:lang w:val="en-IE" w:eastAsia="fr-BE"/>
              </w:rPr>
              <w:t xml:space="preserve">and timeliness </w:t>
            </w:r>
            <w:r w:rsidRPr="005201E1">
              <w:rPr>
                <w:rFonts w:ascii="Verdana" w:eastAsia="Times New Roman" w:hAnsi="Verdana" w:cs="Segoe UI"/>
                <w:sz w:val="20"/>
                <w:szCs w:val="20"/>
                <w:lang w:val="en-IE" w:eastAsia="fr-BE"/>
              </w:rPr>
              <w:t>of digital tourism data</w:t>
            </w:r>
            <w:r w:rsidR="005E1BA8" w:rsidRPr="005201E1">
              <w:rPr>
                <w:rFonts w:ascii="Verdana" w:eastAsia="Times New Roman" w:hAnsi="Verdana" w:cs="Segoe UI"/>
                <w:sz w:val="20"/>
                <w:szCs w:val="20"/>
                <w:lang w:val="en-IE" w:eastAsia="fr-BE"/>
              </w:rPr>
              <w:t xml:space="preserve">; </w:t>
            </w:r>
          </w:p>
          <w:p w14:paraId="07E6719C" w14:textId="77777777" w:rsidR="005201E1" w:rsidRDefault="005201E1" w:rsidP="005201E1">
            <w:pPr>
              <w:pStyle w:val="ListParagraph"/>
              <w:numPr>
                <w:ilvl w:val="0"/>
                <w:numId w:val="14"/>
              </w:numPr>
              <w:spacing w:after="0" w:line="240" w:lineRule="auto"/>
              <w:jc w:val="both"/>
              <w:textAlignment w:val="baseline"/>
              <w:rPr>
                <w:rFonts w:ascii="Verdana" w:eastAsia="Times New Roman" w:hAnsi="Verdana" w:cs="Segoe UI"/>
                <w:sz w:val="20"/>
                <w:szCs w:val="20"/>
                <w:lang w:val="en-IE" w:eastAsia="fr-BE"/>
              </w:rPr>
            </w:pPr>
            <w:r w:rsidRPr="005201E1">
              <w:rPr>
                <w:rFonts w:ascii="Verdana" w:eastAsia="Times New Roman" w:hAnsi="Verdana" w:cs="Segoe UI"/>
                <w:sz w:val="20"/>
                <w:szCs w:val="20"/>
                <w:lang w:val="en-IE" w:eastAsia="fr-BE"/>
              </w:rPr>
              <w:t>d</w:t>
            </w:r>
            <w:r w:rsidR="00E11400" w:rsidRPr="005201E1">
              <w:rPr>
                <w:rFonts w:ascii="Verdana" w:eastAsia="Times New Roman" w:hAnsi="Verdana" w:cs="Segoe UI"/>
                <w:sz w:val="20"/>
                <w:szCs w:val="20"/>
                <w:lang w:val="en-IE" w:eastAsia="fr-BE"/>
              </w:rPr>
              <w:t xml:space="preserve">eveloping a strategy for open public data on tourism statistics; </w:t>
            </w:r>
          </w:p>
          <w:p w14:paraId="57229C3A" w14:textId="26D01C86" w:rsidR="00E11400" w:rsidRPr="005201E1" w:rsidRDefault="00E11400" w:rsidP="005201E1">
            <w:pPr>
              <w:pStyle w:val="ListParagraph"/>
              <w:numPr>
                <w:ilvl w:val="0"/>
                <w:numId w:val="14"/>
              </w:numPr>
              <w:spacing w:after="0" w:line="240" w:lineRule="auto"/>
              <w:jc w:val="both"/>
              <w:textAlignment w:val="baseline"/>
              <w:rPr>
                <w:rFonts w:ascii="Verdana" w:eastAsia="Times New Roman" w:hAnsi="Verdana" w:cs="Segoe UI"/>
                <w:sz w:val="20"/>
                <w:szCs w:val="20"/>
                <w:lang w:val="en-IE" w:eastAsia="fr-BE"/>
              </w:rPr>
            </w:pPr>
            <w:r w:rsidRPr="005201E1">
              <w:rPr>
                <w:rFonts w:ascii="Verdana" w:eastAsia="Times New Roman" w:hAnsi="Verdana" w:cs="Segoe UI"/>
                <w:sz w:val="20"/>
                <w:szCs w:val="20"/>
                <w:lang w:val="en-IE" w:eastAsia="fr-BE"/>
              </w:rPr>
              <w:t>conducting trainings and best practice exchange workshops on tourism data.</w:t>
            </w:r>
          </w:p>
          <w:p w14:paraId="65D0491D" w14:textId="77777777" w:rsidR="00E11400" w:rsidRPr="00E11400" w:rsidRDefault="00E11400" w:rsidP="00E11400">
            <w:pPr>
              <w:spacing w:after="0" w:line="240" w:lineRule="auto"/>
              <w:ind w:left="720"/>
              <w:jc w:val="both"/>
              <w:textAlignment w:val="baseline"/>
              <w:rPr>
                <w:rFonts w:ascii="Verdana" w:eastAsia="Times New Roman" w:hAnsi="Verdana" w:cs="Segoe UI"/>
                <w:sz w:val="20"/>
                <w:szCs w:val="20"/>
                <w:lang w:val="en-IE" w:eastAsia="fr-BE"/>
              </w:rPr>
            </w:pPr>
          </w:p>
          <w:p w14:paraId="0291DAE5" w14:textId="621F0355" w:rsidR="00E11400" w:rsidRPr="00E11400" w:rsidRDefault="00E11400" w:rsidP="00E11400">
            <w:pPr>
              <w:spacing w:after="0" w:line="240" w:lineRule="auto"/>
              <w:ind w:left="360"/>
              <w:jc w:val="both"/>
              <w:textAlignment w:val="baseline"/>
              <w:rPr>
                <w:rFonts w:ascii="Verdana" w:eastAsia="Times New Roman" w:hAnsi="Verdana" w:cs="Segoe UI"/>
                <w:sz w:val="18"/>
                <w:szCs w:val="18"/>
                <w:lang w:val="en-IE" w:eastAsia="fr-BE"/>
              </w:rPr>
            </w:pPr>
            <w:r w:rsidRPr="00E11400">
              <w:rPr>
                <w:rFonts w:ascii="Segoe UI Symbol" w:eastAsia="MS Gothic" w:hAnsi="Segoe UI Symbol" w:cs="Segoe UI Symbol"/>
                <w:b/>
                <w:bCs/>
                <w:sz w:val="20"/>
                <w:szCs w:val="20"/>
                <w:lang w:val="en-IE" w:eastAsia="fr-BE"/>
              </w:rPr>
              <w:t>☐</w:t>
            </w:r>
            <w:r w:rsidR="006A49B3">
              <w:rPr>
                <w:rFonts w:ascii="Verdana" w:eastAsia="Times New Roman" w:hAnsi="Verdana" w:cs="Segoe UI"/>
                <w:b/>
                <w:bCs/>
                <w:sz w:val="20"/>
                <w:szCs w:val="20"/>
                <w:lang w:val="en-IE" w:eastAsia="fr-BE"/>
              </w:rPr>
              <w:t xml:space="preserve"> </w:t>
            </w:r>
            <w:r w:rsidRPr="00E11400">
              <w:rPr>
                <w:rFonts w:ascii="Verdana" w:eastAsia="Times New Roman" w:hAnsi="Verdana" w:cs="Segoe UI"/>
                <w:b/>
                <w:bCs/>
                <w:sz w:val="20"/>
                <w:szCs w:val="20"/>
                <w:lang w:val="en-IE" w:eastAsia="fr-BE"/>
              </w:rPr>
              <w:t>Other</w:t>
            </w:r>
          </w:p>
          <w:p w14:paraId="3087323F" w14:textId="6747617E" w:rsidR="00E11400" w:rsidRPr="00F577DB" w:rsidRDefault="00E11400" w:rsidP="00E11400">
            <w:pPr>
              <w:spacing w:after="0" w:line="240" w:lineRule="auto"/>
              <w:ind w:left="360"/>
              <w:jc w:val="both"/>
              <w:textAlignment w:val="baseline"/>
              <w:rPr>
                <w:rFonts w:ascii="Verdana" w:eastAsia="Times New Roman" w:hAnsi="Verdana" w:cs="Segoe UI"/>
                <w:i/>
                <w:sz w:val="18"/>
                <w:szCs w:val="18"/>
                <w:lang w:val="en-IE" w:eastAsia="fr-BE"/>
              </w:rPr>
            </w:pPr>
            <w:r w:rsidRPr="00F577DB">
              <w:rPr>
                <w:rFonts w:ascii="Verdana" w:eastAsia="Times New Roman" w:hAnsi="Verdana" w:cs="Segoe UI"/>
                <w:i/>
                <w:sz w:val="20"/>
                <w:szCs w:val="20"/>
                <w:lang w:val="en-US" w:eastAsia="fr-BE"/>
              </w:rPr>
              <w:t xml:space="preserve">[Insert Text; between </w:t>
            </w:r>
            <w:r w:rsidR="005E1BA8" w:rsidRPr="00F577DB">
              <w:rPr>
                <w:rFonts w:ascii="Verdana" w:eastAsia="Times New Roman" w:hAnsi="Verdana" w:cs="Segoe UI"/>
                <w:i/>
                <w:sz w:val="20"/>
                <w:szCs w:val="20"/>
                <w:lang w:val="en-US" w:eastAsia="fr-BE"/>
              </w:rPr>
              <w:t>150</w:t>
            </w:r>
            <w:r w:rsidRPr="00F577DB">
              <w:rPr>
                <w:rFonts w:ascii="Verdana" w:eastAsia="Times New Roman" w:hAnsi="Verdana" w:cs="Segoe UI"/>
                <w:i/>
                <w:sz w:val="20"/>
                <w:szCs w:val="20"/>
                <w:lang w:val="en-US" w:eastAsia="fr-BE"/>
              </w:rPr>
              <w:t>-</w:t>
            </w:r>
            <w:r w:rsidR="005E1BA8" w:rsidRPr="00F577DB">
              <w:rPr>
                <w:rFonts w:ascii="Verdana" w:eastAsia="Times New Roman" w:hAnsi="Verdana" w:cs="Segoe UI"/>
                <w:i/>
                <w:sz w:val="20"/>
                <w:szCs w:val="20"/>
                <w:lang w:val="en-US" w:eastAsia="fr-BE"/>
              </w:rPr>
              <w:t>35</w:t>
            </w:r>
            <w:r w:rsidRPr="00F577DB">
              <w:rPr>
                <w:rFonts w:ascii="Verdana" w:eastAsia="Times New Roman" w:hAnsi="Verdana" w:cs="Segoe UI"/>
                <w:i/>
                <w:sz w:val="20"/>
                <w:szCs w:val="20"/>
                <w:lang w:val="en-US" w:eastAsia="fr-BE"/>
              </w:rPr>
              <w:t>0 words]</w:t>
            </w:r>
          </w:p>
          <w:p w14:paraId="4D9F776D" w14:textId="77777777" w:rsidR="00E11400" w:rsidRPr="00E11400" w:rsidRDefault="00E11400" w:rsidP="00E11400">
            <w:pPr>
              <w:spacing w:after="0" w:line="240" w:lineRule="auto"/>
              <w:ind w:left="720"/>
              <w:jc w:val="both"/>
              <w:textAlignment w:val="baseline"/>
              <w:rPr>
                <w:rFonts w:ascii="Segoe UI" w:eastAsia="Times New Roman" w:hAnsi="Segoe UI" w:cs="Segoe UI"/>
                <w:sz w:val="18"/>
                <w:szCs w:val="18"/>
                <w:lang w:val="en-IE" w:eastAsia="fr-BE"/>
              </w:rPr>
            </w:pPr>
          </w:p>
          <w:p w14:paraId="79B56796" w14:textId="77777777" w:rsidR="00E11400" w:rsidRPr="00E11400" w:rsidRDefault="00E11400" w:rsidP="00E11400">
            <w:pPr>
              <w:spacing w:after="0" w:line="240" w:lineRule="auto"/>
              <w:jc w:val="both"/>
              <w:textAlignment w:val="baseline"/>
              <w:rPr>
                <w:rFonts w:ascii="Verdana" w:eastAsia="Times New Roman" w:hAnsi="Verdana" w:cs="Segoe UI"/>
                <w:sz w:val="18"/>
                <w:szCs w:val="18"/>
                <w:lang w:val="en-IE" w:eastAsia="fr-BE"/>
              </w:rPr>
            </w:pPr>
            <w:r w:rsidRPr="00E11400">
              <w:rPr>
                <w:rFonts w:ascii="Verdana" w:eastAsia="Times New Roman" w:hAnsi="Verdana" w:cs="Segoe UI"/>
                <w:b/>
                <w:bCs/>
                <w:sz w:val="20"/>
                <w:szCs w:val="20"/>
                <w:lang w:val="en-IE" w:eastAsia="fr-BE"/>
              </w:rPr>
              <w:t>Component B: Promoting sustainable, resilient and digital tourism ecosystem</w:t>
            </w:r>
            <w:r w:rsidRPr="00E11400">
              <w:rPr>
                <w:rFonts w:ascii="Verdana" w:eastAsia="Times New Roman" w:hAnsi="Verdana" w:cs="Segoe UI"/>
                <w:sz w:val="20"/>
                <w:szCs w:val="20"/>
                <w:lang w:val="en-IE" w:eastAsia="fr-BE"/>
              </w:rPr>
              <w:t> </w:t>
            </w:r>
          </w:p>
          <w:p w14:paraId="3F53E146" w14:textId="77777777" w:rsidR="00E11400" w:rsidRPr="00E11400" w:rsidRDefault="00E11400" w:rsidP="00E11400">
            <w:pPr>
              <w:spacing w:after="0" w:line="240" w:lineRule="auto"/>
              <w:jc w:val="both"/>
              <w:textAlignment w:val="baseline"/>
              <w:rPr>
                <w:rFonts w:ascii="Verdana" w:eastAsia="Times New Roman" w:hAnsi="Verdana" w:cs="Arial"/>
                <w:i/>
                <w:iCs/>
                <w:sz w:val="20"/>
                <w:szCs w:val="20"/>
                <w:lang w:val="en-IE"/>
              </w:rPr>
            </w:pPr>
          </w:p>
          <w:p w14:paraId="6524A41B" w14:textId="2DD8D6C3" w:rsidR="00272BAA" w:rsidRDefault="00E11400" w:rsidP="00E11400">
            <w:pPr>
              <w:spacing w:after="0" w:line="240" w:lineRule="auto"/>
              <w:ind w:left="360"/>
              <w:jc w:val="both"/>
              <w:textAlignment w:val="baseline"/>
              <w:rPr>
                <w:rFonts w:ascii="Verdana" w:eastAsia="Times New Roman" w:hAnsi="Verdana" w:cs="Segoe UI"/>
                <w:sz w:val="20"/>
                <w:szCs w:val="20"/>
                <w:lang w:val="en-IE" w:eastAsia="fr-BE"/>
              </w:rPr>
            </w:pPr>
            <w:r w:rsidRPr="00E11400">
              <w:rPr>
                <w:rFonts w:ascii="Segoe UI Symbol" w:eastAsia="Times New Roman" w:hAnsi="Segoe UI Symbol" w:cs="Segoe UI Symbol"/>
                <w:b/>
                <w:bCs/>
                <w:sz w:val="20"/>
                <w:szCs w:val="20"/>
                <w:lang w:eastAsia="fr-BE"/>
              </w:rPr>
              <w:t>☐</w:t>
            </w:r>
            <w:r w:rsidR="006A49B3">
              <w:rPr>
                <w:rFonts w:ascii="Verdana" w:eastAsia="Times New Roman" w:hAnsi="Verdana" w:cs="Segoe UI"/>
                <w:b/>
                <w:bCs/>
                <w:sz w:val="20"/>
                <w:szCs w:val="20"/>
                <w:lang w:val="en-IE" w:eastAsia="fr-BE"/>
              </w:rPr>
              <w:t xml:space="preserve"> </w:t>
            </w:r>
            <w:r w:rsidRPr="00E11400">
              <w:rPr>
                <w:rFonts w:ascii="Verdana" w:eastAsia="Times New Roman" w:hAnsi="Verdana" w:cs="Segoe UI"/>
                <w:b/>
                <w:bCs/>
                <w:sz w:val="20"/>
                <w:szCs w:val="20"/>
                <w:lang w:val="en-IE" w:eastAsia="fr-BE"/>
              </w:rPr>
              <w:t>Putting in place effective sustainable tourism management and monitoring tools at destination level</w:t>
            </w:r>
            <w:r w:rsidRPr="00E11400">
              <w:rPr>
                <w:rFonts w:ascii="Verdana" w:eastAsia="Times New Roman" w:hAnsi="Verdana" w:cs="Segoe UI"/>
                <w:sz w:val="20"/>
                <w:szCs w:val="20"/>
                <w:lang w:val="en-IE" w:eastAsia="fr-BE"/>
              </w:rPr>
              <w:t>: </w:t>
            </w:r>
            <w:r w:rsidR="005E1BA8">
              <w:rPr>
                <w:rFonts w:ascii="Verdana" w:eastAsia="Times New Roman" w:hAnsi="Verdana" w:cs="Segoe UI"/>
                <w:sz w:val="20"/>
                <w:szCs w:val="20"/>
                <w:lang w:val="en-IE" w:eastAsia="fr-BE"/>
              </w:rPr>
              <w:t xml:space="preserve">This entails </w:t>
            </w:r>
            <w:r w:rsidRPr="00E11400">
              <w:rPr>
                <w:rFonts w:ascii="Verdana" w:eastAsia="Times New Roman" w:hAnsi="Verdana" w:cs="Segoe UI"/>
                <w:sz w:val="20"/>
                <w:szCs w:val="20"/>
                <w:lang w:val="en-IE" w:eastAsia="fr-BE"/>
              </w:rPr>
              <w:t>support to put in place efficient management tools for destinations to address seasonality and density of tourism flows</w:t>
            </w:r>
            <w:r w:rsidR="005E1BA8">
              <w:rPr>
                <w:rFonts w:ascii="Verdana" w:eastAsia="Times New Roman" w:hAnsi="Verdana" w:cs="Segoe UI"/>
                <w:sz w:val="20"/>
                <w:szCs w:val="20"/>
                <w:lang w:val="en-IE" w:eastAsia="fr-BE"/>
              </w:rPr>
              <w:t xml:space="preserve">. Measures could include: </w:t>
            </w:r>
          </w:p>
          <w:p w14:paraId="6EBB2CFC" w14:textId="77777777" w:rsidR="00705C9D" w:rsidRPr="00705C9D" w:rsidRDefault="00705C9D" w:rsidP="00705C9D">
            <w:pPr>
              <w:numPr>
                <w:ilvl w:val="0"/>
                <w:numId w:val="16"/>
              </w:numPr>
              <w:spacing w:after="0" w:line="240" w:lineRule="auto"/>
              <w:jc w:val="both"/>
              <w:textAlignment w:val="baseline"/>
              <w:rPr>
                <w:rFonts w:ascii="Verdana" w:eastAsia="Times New Roman" w:hAnsi="Verdana" w:cs="Segoe UI"/>
                <w:sz w:val="20"/>
                <w:szCs w:val="20"/>
                <w:lang w:val="en-IE" w:eastAsia="fr-BE"/>
              </w:rPr>
            </w:pPr>
            <w:r w:rsidRPr="00705C9D">
              <w:rPr>
                <w:rFonts w:ascii="Verdana" w:eastAsia="Times New Roman" w:hAnsi="Verdana" w:cs="Segoe UI"/>
                <w:sz w:val="20"/>
                <w:szCs w:val="20"/>
                <w:lang w:val="en-IE" w:eastAsia="fr-BE"/>
              </w:rPr>
              <w:t>developing recommendations to set up/improve existing sustainability monitoring system with KPIs at destination level; </w:t>
            </w:r>
          </w:p>
          <w:p w14:paraId="1DB9A1EE" w14:textId="77777777" w:rsidR="00705C9D" w:rsidRPr="00705C9D" w:rsidRDefault="00705C9D" w:rsidP="00705C9D">
            <w:pPr>
              <w:numPr>
                <w:ilvl w:val="0"/>
                <w:numId w:val="16"/>
              </w:numPr>
              <w:spacing w:after="0" w:line="240" w:lineRule="auto"/>
              <w:jc w:val="both"/>
              <w:textAlignment w:val="baseline"/>
              <w:rPr>
                <w:rFonts w:ascii="Verdana" w:eastAsia="Times New Roman" w:hAnsi="Verdana" w:cs="Segoe UI"/>
                <w:sz w:val="20"/>
                <w:szCs w:val="20"/>
                <w:lang w:val="en-IE" w:eastAsia="fr-BE"/>
              </w:rPr>
            </w:pPr>
            <w:r w:rsidRPr="00705C9D">
              <w:rPr>
                <w:rFonts w:ascii="Verdana" w:eastAsia="Times New Roman" w:hAnsi="Verdana" w:cs="Segoe UI"/>
                <w:sz w:val="20"/>
                <w:szCs w:val="20"/>
                <w:lang w:val="en-IE" w:eastAsia="fr-BE"/>
              </w:rPr>
              <w:t xml:space="preserve">developing a Strategy for setting up a Destination Management Organisation (DMO) and pilots for sustainable destination management and monitoring tools; </w:t>
            </w:r>
          </w:p>
          <w:p w14:paraId="3586EB5D" w14:textId="77777777" w:rsidR="00272BAA" w:rsidRPr="00272BAA" w:rsidRDefault="00E11400" w:rsidP="00272BAA">
            <w:pPr>
              <w:pStyle w:val="ListParagraph"/>
              <w:numPr>
                <w:ilvl w:val="0"/>
                <w:numId w:val="16"/>
              </w:numPr>
              <w:spacing w:after="0" w:line="240" w:lineRule="auto"/>
              <w:jc w:val="both"/>
              <w:textAlignment w:val="baseline"/>
              <w:rPr>
                <w:rFonts w:ascii="Verdana" w:eastAsia="Times New Roman" w:hAnsi="Verdana" w:cs="Segoe UI"/>
                <w:sz w:val="18"/>
                <w:szCs w:val="18"/>
                <w:lang w:val="en-IE" w:eastAsia="fr-BE"/>
              </w:rPr>
            </w:pPr>
            <w:r w:rsidRPr="00272BAA">
              <w:rPr>
                <w:rFonts w:ascii="Verdana" w:eastAsia="Times New Roman" w:hAnsi="Verdana" w:cs="Segoe UI"/>
                <w:sz w:val="20"/>
                <w:szCs w:val="20"/>
                <w:lang w:val="en-IE" w:eastAsia="fr-BE"/>
              </w:rPr>
              <w:t>executing capacity building and exchange on best practices for DMOs on sustainable management of tourism, including monitoring frameworks; </w:t>
            </w:r>
          </w:p>
          <w:p w14:paraId="0FF616F8" w14:textId="6A15E6E3" w:rsidR="00E11400" w:rsidRPr="00272BAA" w:rsidRDefault="00E11400" w:rsidP="00272BAA">
            <w:pPr>
              <w:pStyle w:val="ListParagraph"/>
              <w:numPr>
                <w:ilvl w:val="0"/>
                <w:numId w:val="16"/>
              </w:numPr>
              <w:spacing w:after="0" w:line="240" w:lineRule="auto"/>
              <w:jc w:val="both"/>
              <w:textAlignment w:val="baseline"/>
              <w:rPr>
                <w:rFonts w:ascii="Verdana" w:eastAsia="Times New Roman" w:hAnsi="Verdana" w:cs="Segoe UI"/>
                <w:sz w:val="18"/>
                <w:szCs w:val="18"/>
                <w:lang w:val="en-IE" w:eastAsia="fr-BE"/>
              </w:rPr>
            </w:pPr>
            <w:r w:rsidRPr="00272BAA">
              <w:rPr>
                <w:rFonts w:ascii="Verdana" w:eastAsia="Times New Roman" w:hAnsi="Verdana" w:cs="Segoe UI"/>
                <w:sz w:val="20"/>
                <w:szCs w:val="20"/>
                <w:lang w:val="en-IE" w:eastAsia="fr-BE"/>
              </w:rPr>
              <w:t xml:space="preserve">providing recommendations for destinations to address future challenges and </w:t>
            </w:r>
            <w:r w:rsidRPr="00272BAA">
              <w:rPr>
                <w:rFonts w:ascii="Verdana" w:eastAsia="Times New Roman" w:hAnsi="Verdana" w:cs="Segoe UI"/>
                <w:sz w:val="20"/>
                <w:szCs w:val="20"/>
                <w:lang w:val="en-IE" w:eastAsia="fr-BE"/>
              </w:rPr>
              <w:lastRenderedPageBreak/>
              <w:t>trends, including diversification of the tourism offer. </w:t>
            </w:r>
          </w:p>
          <w:p w14:paraId="6EDBE814" w14:textId="77777777" w:rsidR="00E11400" w:rsidRPr="00E11400" w:rsidRDefault="00E11400" w:rsidP="00E11400">
            <w:pPr>
              <w:spacing w:after="0" w:line="240" w:lineRule="auto"/>
              <w:ind w:left="360"/>
              <w:jc w:val="both"/>
              <w:textAlignment w:val="baseline"/>
              <w:rPr>
                <w:rFonts w:ascii="Verdana" w:eastAsia="Times New Roman" w:hAnsi="Verdana" w:cs="Segoe UI"/>
                <w:sz w:val="18"/>
                <w:szCs w:val="18"/>
                <w:lang w:val="en-IE" w:eastAsia="fr-BE"/>
              </w:rPr>
            </w:pPr>
            <w:r w:rsidRPr="00E11400">
              <w:rPr>
                <w:rFonts w:ascii="Verdana" w:eastAsia="Times New Roman" w:hAnsi="Verdana" w:cs="Segoe UI"/>
                <w:color w:val="FF0000"/>
                <w:sz w:val="20"/>
                <w:szCs w:val="20"/>
                <w:lang w:val="en-IE" w:eastAsia="fr-BE"/>
              </w:rPr>
              <w:t> </w:t>
            </w:r>
          </w:p>
          <w:p w14:paraId="05634C1E" w14:textId="77777777" w:rsidR="00E11400" w:rsidRPr="00F577DB" w:rsidRDefault="00E11400" w:rsidP="00E11400">
            <w:pPr>
              <w:spacing w:after="0" w:line="240" w:lineRule="auto"/>
              <w:ind w:left="360"/>
              <w:jc w:val="both"/>
              <w:textAlignment w:val="baseline"/>
              <w:rPr>
                <w:rFonts w:ascii="Verdana" w:eastAsia="Times New Roman" w:hAnsi="Verdana" w:cs="Segoe UI"/>
                <w:i/>
                <w:sz w:val="18"/>
                <w:szCs w:val="18"/>
                <w:lang w:val="en-IE" w:eastAsia="fr-BE"/>
              </w:rPr>
            </w:pPr>
            <w:r w:rsidRPr="00F577DB">
              <w:rPr>
                <w:rFonts w:ascii="Verdana" w:eastAsia="Times New Roman" w:hAnsi="Verdana" w:cs="Segoe UI"/>
                <w:i/>
                <w:sz w:val="20"/>
                <w:szCs w:val="20"/>
                <w:lang w:val="en-US" w:eastAsia="fr-BE"/>
              </w:rPr>
              <w:t>[Insert Text; between 100-200 words]</w:t>
            </w:r>
            <w:r w:rsidRPr="00F577DB">
              <w:rPr>
                <w:rFonts w:ascii="Verdana" w:eastAsia="Times New Roman" w:hAnsi="Verdana" w:cs="Segoe UI"/>
                <w:i/>
                <w:sz w:val="20"/>
                <w:szCs w:val="20"/>
                <w:lang w:val="en-IE" w:eastAsia="fr-BE"/>
              </w:rPr>
              <w:t> </w:t>
            </w:r>
          </w:p>
          <w:p w14:paraId="4D6BD052" w14:textId="7A9D4A79" w:rsidR="00E11400" w:rsidRPr="00E11400" w:rsidRDefault="00E11400" w:rsidP="00E11400">
            <w:pPr>
              <w:spacing w:after="0" w:line="240" w:lineRule="auto"/>
              <w:textAlignment w:val="baseline"/>
              <w:rPr>
                <w:rFonts w:ascii="Verdana" w:eastAsia="Times New Roman" w:hAnsi="Verdana" w:cs="Segoe UI"/>
                <w:sz w:val="18"/>
                <w:szCs w:val="18"/>
                <w:lang w:val="en-IE" w:eastAsia="fr-BE"/>
              </w:rPr>
            </w:pPr>
          </w:p>
          <w:p w14:paraId="61833455" w14:textId="02E7F501" w:rsidR="00272BAA" w:rsidRDefault="00E11400" w:rsidP="00E11400">
            <w:pPr>
              <w:spacing w:after="0" w:line="240" w:lineRule="auto"/>
              <w:ind w:left="360"/>
              <w:jc w:val="both"/>
              <w:textAlignment w:val="baseline"/>
              <w:rPr>
                <w:rFonts w:ascii="Verdana" w:eastAsia="Times New Roman" w:hAnsi="Verdana" w:cs="Segoe UI"/>
                <w:sz w:val="20"/>
                <w:szCs w:val="20"/>
                <w:lang w:val="en-IE" w:eastAsia="fr-BE"/>
              </w:rPr>
            </w:pPr>
            <w:r w:rsidRPr="00E11400">
              <w:rPr>
                <w:rFonts w:ascii="Segoe UI Symbol" w:eastAsia="Times New Roman" w:hAnsi="Segoe UI Symbol" w:cs="Segoe UI Symbol"/>
                <w:b/>
                <w:bCs/>
                <w:sz w:val="20"/>
                <w:szCs w:val="20"/>
                <w:lang w:eastAsia="fr-BE"/>
              </w:rPr>
              <w:t>☐</w:t>
            </w:r>
            <w:r w:rsidR="006A49B3">
              <w:rPr>
                <w:rFonts w:ascii="Verdana" w:eastAsia="Times New Roman" w:hAnsi="Verdana" w:cs="Segoe UI"/>
                <w:b/>
                <w:bCs/>
                <w:sz w:val="20"/>
                <w:szCs w:val="20"/>
                <w:lang w:val="en-IE" w:eastAsia="fr-BE"/>
              </w:rPr>
              <w:t xml:space="preserve"> </w:t>
            </w:r>
            <w:r w:rsidRPr="00E11400">
              <w:rPr>
                <w:rFonts w:ascii="Verdana" w:eastAsia="Times New Roman" w:hAnsi="Verdana" w:cs="Segoe UI"/>
                <w:b/>
                <w:bCs/>
                <w:sz w:val="20"/>
                <w:szCs w:val="20"/>
                <w:lang w:val="en-IE" w:eastAsia="fr-BE"/>
              </w:rPr>
              <w:t>Improving the enabling framework for SMEs in the tourism ecosystem</w:t>
            </w:r>
            <w:r w:rsidRPr="00E11400">
              <w:rPr>
                <w:rFonts w:ascii="Verdana" w:eastAsia="Times New Roman" w:hAnsi="Verdana" w:cs="Segoe UI"/>
                <w:sz w:val="20"/>
                <w:szCs w:val="20"/>
                <w:lang w:val="en-IE" w:eastAsia="fr-BE"/>
              </w:rPr>
              <w:t>:</w:t>
            </w:r>
            <w:r w:rsidR="006A49B3">
              <w:rPr>
                <w:rFonts w:ascii="Verdana" w:eastAsia="Times New Roman" w:hAnsi="Verdana" w:cs="Segoe UI"/>
                <w:sz w:val="20"/>
                <w:szCs w:val="20"/>
                <w:lang w:val="en-IE" w:eastAsia="fr-BE"/>
              </w:rPr>
              <w:t xml:space="preserve"> </w:t>
            </w:r>
            <w:r w:rsidR="00B62B76">
              <w:rPr>
                <w:rFonts w:ascii="Verdana" w:eastAsia="Times New Roman" w:hAnsi="Verdana" w:cs="Calibri"/>
                <w:lang w:eastAsia="fr-BE"/>
              </w:rPr>
              <w:t xml:space="preserve">This entails </w:t>
            </w:r>
            <w:r w:rsidR="00B62B76">
              <w:rPr>
                <w:rFonts w:ascii="Verdana" w:eastAsia="Times New Roman" w:hAnsi="Verdana" w:cs="Segoe UI"/>
                <w:sz w:val="20"/>
                <w:szCs w:val="20"/>
                <w:lang w:val="en-IE" w:eastAsia="fr-BE"/>
              </w:rPr>
              <w:t>s</w:t>
            </w:r>
            <w:r w:rsidRPr="00E11400">
              <w:rPr>
                <w:rFonts w:ascii="Verdana" w:eastAsia="Times New Roman" w:hAnsi="Verdana" w:cs="Segoe UI"/>
                <w:sz w:val="20"/>
                <w:szCs w:val="20"/>
                <w:lang w:val="en-IE" w:eastAsia="fr-BE"/>
              </w:rPr>
              <w:t>upport to improve the framework conditions for SMEs in tourism ecosystem</w:t>
            </w:r>
            <w:r w:rsidR="00B62B76">
              <w:rPr>
                <w:rFonts w:ascii="Verdana" w:eastAsia="Times New Roman" w:hAnsi="Verdana" w:cs="Segoe UI"/>
                <w:sz w:val="20"/>
                <w:szCs w:val="20"/>
                <w:lang w:val="en-IE" w:eastAsia="fr-BE"/>
              </w:rPr>
              <w:t xml:space="preserve">. Measures could include: </w:t>
            </w:r>
          </w:p>
          <w:p w14:paraId="2597B7F4" w14:textId="334C474B" w:rsidR="00272BAA" w:rsidRPr="00272BAA" w:rsidRDefault="00E11400" w:rsidP="00272BAA">
            <w:pPr>
              <w:pStyle w:val="ListParagraph"/>
              <w:numPr>
                <w:ilvl w:val="0"/>
                <w:numId w:val="17"/>
              </w:numPr>
              <w:spacing w:after="0" w:line="240" w:lineRule="auto"/>
              <w:jc w:val="both"/>
              <w:textAlignment w:val="baseline"/>
              <w:rPr>
                <w:rFonts w:ascii="Verdana" w:eastAsia="Times New Roman" w:hAnsi="Verdana" w:cs="Segoe UI"/>
                <w:sz w:val="20"/>
                <w:szCs w:val="20"/>
                <w:lang w:val="en-IE" w:eastAsia="fr-BE"/>
              </w:rPr>
            </w:pPr>
            <w:r w:rsidRPr="00272BAA">
              <w:rPr>
                <w:rFonts w:ascii="Verdana" w:eastAsia="Times New Roman" w:hAnsi="Verdana" w:cs="Segoe UI"/>
                <w:sz w:val="20"/>
                <w:szCs w:val="20"/>
                <w:lang w:val="en-IE" w:eastAsia="fr-BE"/>
              </w:rPr>
              <w:t xml:space="preserve">developing a national strategy and action plan for digital one-stop-shop advisory services including access to finance; </w:t>
            </w:r>
          </w:p>
          <w:p w14:paraId="273DD517" w14:textId="77777777" w:rsidR="00272BAA" w:rsidRPr="00272BAA" w:rsidRDefault="00E11400" w:rsidP="00272BAA">
            <w:pPr>
              <w:pStyle w:val="ListParagraph"/>
              <w:numPr>
                <w:ilvl w:val="0"/>
                <w:numId w:val="17"/>
              </w:numPr>
              <w:spacing w:after="0" w:line="240" w:lineRule="auto"/>
              <w:jc w:val="both"/>
              <w:textAlignment w:val="baseline"/>
              <w:rPr>
                <w:rFonts w:ascii="Verdana" w:eastAsia="Times New Roman" w:hAnsi="Verdana" w:cs="Segoe UI"/>
                <w:sz w:val="18"/>
                <w:szCs w:val="18"/>
                <w:lang w:val="en-IE" w:eastAsia="fr-BE"/>
              </w:rPr>
            </w:pPr>
            <w:r w:rsidRPr="00272BAA">
              <w:rPr>
                <w:rFonts w:ascii="Verdana" w:eastAsia="Times New Roman" w:hAnsi="Verdana" w:cs="Segoe UI"/>
                <w:sz w:val="20"/>
                <w:szCs w:val="20"/>
                <w:lang w:val="en-IE" w:eastAsia="fr-BE"/>
              </w:rPr>
              <w:t xml:space="preserve">providing recommendations for increased digital tools uptake by SMEs, including digitalisation of tourism offers and services as well as digital reskilling and upskilling of tourism SMEs; </w:t>
            </w:r>
          </w:p>
          <w:p w14:paraId="3C23C72F" w14:textId="2350CD34" w:rsidR="00E11400" w:rsidRPr="00272BAA" w:rsidRDefault="00E11400" w:rsidP="00272BAA">
            <w:pPr>
              <w:pStyle w:val="ListParagraph"/>
              <w:numPr>
                <w:ilvl w:val="0"/>
                <w:numId w:val="17"/>
              </w:numPr>
              <w:spacing w:after="0" w:line="240" w:lineRule="auto"/>
              <w:jc w:val="both"/>
              <w:textAlignment w:val="baseline"/>
              <w:rPr>
                <w:rFonts w:ascii="Verdana" w:eastAsia="Times New Roman" w:hAnsi="Verdana" w:cs="Segoe UI"/>
                <w:sz w:val="18"/>
                <w:szCs w:val="18"/>
                <w:lang w:val="en-IE" w:eastAsia="fr-BE"/>
              </w:rPr>
            </w:pPr>
            <w:r w:rsidRPr="00272BAA">
              <w:rPr>
                <w:rFonts w:ascii="Verdana" w:eastAsia="Times New Roman" w:hAnsi="Verdana" w:cs="Segoe UI"/>
                <w:sz w:val="20"/>
                <w:szCs w:val="20"/>
                <w:lang w:val="en-IE" w:eastAsia="fr-BE"/>
              </w:rPr>
              <w:t>executing capacity building and awareness raising for green and digital transition of SMEs.     </w:t>
            </w:r>
          </w:p>
          <w:p w14:paraId="439D3768" w14:textId="77777777" w:rsidR="00E11400" w:rsidRPr="00E11400" w:rsidRDefault="00E11400" w:rsidP="00E11400">
            <w:pPr>
              <w:spacing w:after="0" w:line="240" w:lineRule="auto"/>
              <w:ind w:left="720"/>
              <w:jc w:val="both"/>
              <w:textAlignment w:val="baseline"/>
              <w:rPr>
                <w:rFonts w:ascii="Verdana" w:eastAsia="Times New Roman" w:hAnsi="Verdana" w:cs="Segoe UI"/>
                <w:sz w:val="18"/>
                <w:szCs w:val="18"/>
                <w:lang w:val="en-IE" w:eastAsia="fr-BE"/>
              </w:rPr>
            </w:pPr>
            <w:r w:rsidRPr="00E11400">
              <w:rPr>
                <w:rFonts w:ascii="Verdana" w:eastAsia="Times New Roman" w:hAnsi="Verdana" w:cs="Segoe UI"/>
                <w:sz w:val="20"/>
                <w:szCs w:val="20"/>
                <w:lang w:val="en-IE" w:eastAsia="fr-BE"/>
              </w:rPr>
              <w:t> </w:t>
            </w:r>
          </w:p>
          <w:p w14:paraId="016368C0" w14:textId="77777777" w:rsidR="00E11400" w:rsidRPr="00F577DB" w:rsidRDefault="00E11400" w:rsidP="00E11400">
            <w:pPr>
              <w:spacing w:after="0" w:line="240" w:lineRule="auto"/>
              <w:ind w:left="360"/>
              <w:jc w:val="both"/>
              <w:textAlignment w:val="baseline"/>
              <w:rPr>
                <w:rFonts w:ascii="Verdana" w:eastAsia="Times New Roman" w:hAnsi="Verdana" w:cs="Segoe UI"/>
                <w:i/>
                <w:sz w:val="18"/>
                <w:szCs w:val="18"/>
                <w:lang w:val="en-IE" w:eastAsia="fr-BE"/>
              </w:rPr>
            </w:pPr>
            <w:r w:rsidRPr="00F577DB">
              <w:rPr>
                <w:rFonts w:ascii="Verdana" w:eastAsia="Times New Roman" w:hAnsi="Verdana" w:cs="Segoe UI"/>
                <w:i/>
                <w:sz w:val="20"/>
                <w:szCs w:val="20"/>
                <w:lang w:val="en-US" w:eastAsia="fr-BE"/>
              </w:rPr>
              <w:t>[Insert Text; between 100-200 words]</w:t>
            </w:r>
            <w:r w:rsidRPr="00F577DB">
              <w:rPr>
                <w:rFonts w:ascii="Verdana" w:eastAsia="Times New Roman" w:hAnsi="Verdana" w:cs="Segoe UI"/>
                <w:i/>
                <w:sz w:val="20"/>
                <w:szCs w:val="20"/>
                <w:lang w:val="en-IE" w:eastAsia="fr-BE"/>
              </w:rPr>
              <w:t> </w:t>
            </w:r>
          </w:p>
          <w:p w14:paraId="3F0A55ED" w14:textId="77777777" w:rsidR="004E36C2" w:rsidRPr="00E11400" w:rsidRDefault="004E36C2" w:rsidP="00E11400">
            <w:pPr>
              <w:spacing w:after="0"/>
              <w:jc w:val="both"/>
              <w:textAlignment w:val="baseline"/>
              <w:rPr>
                <w:rFonts w:ascii="Verdana" w:eastAsia="Times New Roman" w:hAnsi="Verdana" w:cs="Arial"/>
                <w:color w:val="FF0000"/>
                <w:sz w:val="20"/>
                <w:szCs w:val="20"/>
                <w:lang w:val="en-US" w:eastAsia="en-GB"/>
              </w:rPr>
            </w:pPr>
          </w:p>
          <w:p w14:paraId="0A8F43A9" w14:textId="12D7A214" w:rsidR="004E36C2" w:rsidRPr="00331BD8" w:rsidRDefault="00F577DB" w:rsidP="004E36C2">
            <w:pPr>
              <w:spacing w:after="0"/>
              <w:ind w:left="360"/>
              <w:jc w:val="both"/>
              <w:rPr>
                <w:rFonts w:ascii="Verdana" w:eastAsia="Arial" w:hAnsi="Verdana" w:cs="Arial"/>
                <w:sz w:val="20"/>
                <w:szCs w:val="20"/>
                <w:lang w:val="en-IE"/>
              </w:rPr>
            </w:pPr>
            <w:sdt>
              <w:sdtPr>
                <w:rPr>
                  <w:rFonts w:ascii="Verdana" w:eastAsia="Times New Roman" w:hAnsi="Verdana" w:cs="Arial"/>
                  <w:b/>
                  <w:sz w:val="20"/>
                  <w:szCs w:val="20"/>
                  <w:lang w:val="en-IE"/>
                </w:rPr>
                <w:id w:val="-1018241543"/>
                <w14:checkbox>
                  <w14:checked w14:val="0"/>
                  <w14:checkedState w14:val="2612" w14:font="MS Gothic"/>
                  <w14:uncheckedState w14:val="2610" w14:font="MS Gothic"/>
                </w14:checkbox>
              </w:sdtPr>
              <w:sdtEndPr/>
              <w:sdtContent>
                <w:r w:rsidR="004E36C2" w:rsidRPr="00331BD8">
                  <w:rPr>
                    <w:rFonts w:ascii="MS Gothic" w:eastAsia="MS Gothic" w:hAnsi="MS Gothic" w:cs="Arial" w:hint="eastAsia"/>
                    <w:b/>
                    <w:sz w:val="20"/>
                    <w:szCs w:val="20"/>
                    <w:lang w:val="en-IE"/>
                  </w:rPr>
                  <w:t>☐</w:t>
                </w:r>
              </w:sdtContent>
            </w:sdt>
            <w:r w:rsidR="004E36C2" w:rsidRPr="00331BD8">
              <w:rPr>
                <w:rFonts w:ascii="Verdana" w:eastAsia="Times New Roman" w:hAnsi="Verdana" w:cs="Arial"/>
                <w:b/>
                <w:sz w:val="20"/>
                <w:szCs w:val="20"/>
                <w:lang w:val="en-IE"/>
              </w:rPr>
              <w:t xml:space="preserve"> </w:t>
            </w:r>
            <w:r w:rsidR="004E36C2" w:rsidRPr="00331BD8">
              <w:rPr>
                <w:rFonts w:ascii="Verdana" w:eastAsia="Times New Roman" w:hAnsi="Verdana" w:cs="Arial"/>
                <w:b/>
                <w:sz w:val="20"/>
                <w:szCs w:val="20"/>
                <w:lang w:val="en-IE"/>
              </w:rPr>
              <w:tab/>
            </w:r>
            <w:r w:rsidR="004E36C2" w:rsidRPr="00331BD8">
              <w:rPr>
                <w:rFonts w:ascii="Verdana" w:eastAsia="Arial" w:hAnsi="Verdana" w:cs="Arial"/>
                <w:b/>
                <w:sz w:val="20"/>
                <w:szCs w:val="20"/>
                <w:lang w:val="en-IE"/>
              </w:rPr>
              <w:t>Other</w:t>
            </w:r>
          </w:p>
          <w:p w14:paraId="352366B6" w14:textId="77777777" w:rsidR="004E36C2" w:rsidRPr="00F577DB" w:rsidRDefault="004E36C2" w:rsidP="004E36C2">
            <w:pPr>
              <w:spacing w:after="0"/>
              <w:ind w:left="360"/>
              <w:jc w:val="both"/>
              <w:textAlignment w:val="baseline"/>
              <w:rPr>
                <w:rFonts w:ascii="Verdana" w:eastAsia="Times New Roman" w:hAnsi="Verdana" w:cs="Arial"/>
                <w:i/>
                <w:sz w:val="20"/>
                <w:szCs w:val="20"/>
                <w:lang w:val="en-US" w:eastAsia="en-GB"/>
              </w:rPr>
            </w:pPr>
            <w:bookmarkStart w:id="0" w:name="_GoBack"/>
            <w:r w:rsidRPr="00F577DB" w:rsidDel="00A27E1A">
              <w:rPr>
                <w:rFonts w:ascii="Verdana" w:eastAsia="Times New Roman" w:hAnsi="Verdana" w:cs="Arial"/>
                <w:i/>
                <w:sz w:val="20"/>
                <w:szCs w:val="20"/>
                <w:lang w:val="en-US" w:eastAsia="en-GB"/>
              </w:rPr>
              <w:t xml:space="preserve"> </w:t>
            </w:r>
            <w:r w:rsidRPr="00F577DB">
              <w:rPr>
                <w:rFonts w:ascii="Verdana" w:eastAsia="Times New Roman" w:hAnsi="Verdana" w:cs="Arial"/>
                <w:i/>
                <w:sz w:val="20"/>
                <w:szCs w:val="20"/>
                <w:lang w:val="en-US" w:eastAsia="en-GB"/>
              </w:rPr>
              <w:t xml:space="preserve">[Insert Text; between </w:t>
            </w:r>
            <w:r w:rsidR="004819DF" w:rsidRPr="00F577DB">
              <w:rPr>
                <w:rFonts w:ascii="Verdana" w:eastAsia="Times New Roman" w:hAnsi="Verdana" w:cs="Arial"/>
                <w:i/>
                <w:sz w:val="20"/>
                <w:szCs w:val="20"/>
                <w:lang w:val="en-US" w:eastAsia="en-GB"/>
              </w:rPr>
              <w:t>1</w:t>
            </w:r>
            <w:r w:rsidR="002E0E33" w:rsidRPr="00F577DB">
              <w:rPr>
                <w:rFonts w:ascii="Verdana" w:eastAsia="Times New Roman" w:hAnsi="Verdana" w:cs="Arial"/>
                <w:i/>
                <w:sz w:val="20"/>
                <w:szCs w:val="20"/>
                <w:lang w:val="en-US" w:eastAsia="en-GB"/>
              </w:rPr>
              <w:t>5</w:t>
            </w:r>
            <w:r w:rsidR="004819DF" w:rsidRPr="00F577DB">
              <w:rPr>
                <w:rFonts w:ascii="Verdana" w:eastAsia="Times New Roman" w:hAnsi="Verdana" w:cs="Arial"/>
                <w:i/>
                <w:sz w:val="20"/>
                <w:szCs w:val="20"/>
                <w:lang w:val="en-US" w:eastAsia="en-GB"/>
              </w:rPr>
              <w:t>0-350</w:t>
            </w:r>
            <w:r w:rsidRPr="00F577DB">
              <w:rPr>
                <w:rFonts w:ascii="Verdana" w:eastAsia="Times New Roman" w:hAnsi="Verdana" w:cs="Arial"/>
                <w:i/>
                <w:sz w:val="20"/>
                <w:szCs w:val="20"/>
                <w:lang w:val="en-US" w:eastAsia="en-GB"/>
              </w:rPr>
              <w:t xml:space="preserve"> words]</w:t>
            </w:r>
          </w:p>
          <w:bookmarkEnd w:id="0"/>
          <w:p w14:paraId="2A28366D" w14:textId="77777777" w:rsidR="004E36C2" w:rsidRPr="00E11400" w:rsidRDefault="004E36C2" w:rsidP="005B0AB3">
            <w:pPr>
              <w:spacing w:after="0"/>
              <w:jc w:val="both"/>
              <w:rPr>
                <w:rFonts w:ascii="Verdana" w:eastAsia="Times New Roman" w:hAnsi="Verdana" w:cs="Arial"/>
                <w:sz w:val="20"/>
                <w:szCs w:val="20"/>
                <w:lang w:val="en-US" w:eastAsia="en-GB"/>
              </w:rPr>
            </w:pPr>
          </w:p>
          <w:p w14:paraId="63BCB30F" w14:textId="77777777" w:rsidR="00D81722" w:rsidRPr="00E11400" w:rsidRDefault="00D81722" w:rsidP="005B0AB3">
            <w:pPr>
              <w:spacing w:after="0"/>
              <w:jc w:val="both"/>
              <w:rPr>
                <w:rFonts w:ascii="Verdana" w:eastAsia="Times New Roman" w:hAnsi="Verdana" w:cs="Arial"/>
                <w:b/>
                <w:bCs/>
                <w:sz w:val="20"/>
                <w:szCs w:val="20"/>
                <w:lang w:val="en-US" w:eastAsia="en-GB"/>
              </w:rPr>
            </w:pPr>
          </w:p>
        </w:tc>
      </w:tr>
      <w:tr w:rsidR="00C52F24" w:rsidRPr="00F64CAB" w14:paraId="4CF7F54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7BF04C"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3BE776A"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0ED5E1D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8866A0"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14:paraId="04DFFD06"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E44D2A9"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1527F06"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676AC49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FFA7BC4" w14:textId="77777777"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14:paraId="61AA3F2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6051CD8"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9D2BE9" w14:textId="194D75EC" w:rsidR="008A787C" w:rsidRPr="006A49B3" w:rsidRDefault="00EC5A01" w:rsidP="006A49B3">
            <w:pPr>
              <w:rPr>
                <w:b/>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8A787C" w:rsidRPr="00F64CAB" w14:paraId="0A2C9844"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453C71"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59B45D5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DA1AAE"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93E64F9"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C52F24" w:rsidRPr="00F64CAB" w14:paraId="3377D2A8"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6D342E"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18601C6C"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D939F2"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690B442"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3E679ED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A2F29E9" w14:textId="77777777" w:rsidR="00217AFD" w:rsidRPr="008C2EFF" w:rsidRDefault="00217AFD"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377BEE3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8459E16"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E6EC3"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 xml:space="preserve">Please describe the team that will be responsible for coordinating/following the reform and the work of DG REFORM and its providers. If possible provide a description of the steering committee that could be put in </w:t>
            </w:r>
            <w:r w:rsidR="007D6BEA" w:rsidRPr="008C2EFF">
              <w:rPr>
                <w:rFonts w:ascii="Verdana" w:hAnsi="Verdana"/>
                <w:b/>
                <w:bCs/>
                <w:sz w:val="20"/>
                <w:szCs w:val="20"/>
                <w:lang w:val="en-US" w:eastAsia="en-GB"/>
              </w:rPr>
              <w:lastRenderedPageBreak/>
              <w:t>place to supervise the reform.</w:t>
            </w:r>
          </w:p>
        </w:tc>
      </w:tr>
      <w:tr w:rsidR="00C52F24" w:rsidRPr="00F64CAB" w14:paraId="4959D016"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86F1A89" w14:textId="77777777" w:rsidR="00C52F24" w:rsidRPr="008C2EFF" w:rsidRDefault="00C52F24"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lastRenderedPageBreak/>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10D1841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90BF6D"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0C6D7F" w14:textId="77777777" w:rsidR="003B077A" w:rsidRPr="008C2EFF" w:rsidRDefault="003B077A" w:rsidP="004A67D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623003B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C64ACA" w14:textId="77777777" w:rsidR="003B077A" w:rsidRPr="008C2EFF" w:rsidRDefault="007A2DB5"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5CE32067"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0A951C"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73E06"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279F92B0"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05F006A"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2FCB3BE9"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14:paraId="68D1213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22C6288C" w14:textId="77777777"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70E409A"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8A0670F"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9F35F6B"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14:paraId="29250BCE"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C9E8676" w14:textId="30AA0900" w:rsidR="00D22D5C" w:rsidRDefault="00F577DB"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9938CD" w14:textId="77777777"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14:paraId="79B12D94"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42B714" w14:textId="4F8DCEE4"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3763A8E" w14:textId="77777777"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14:paraId="2466F4EA"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1D2E785C" w14:textId="79EB56F4"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ACC22FD"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14:paraId="1B3811D8"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CCE86E8" w14:textId="72AA70EB"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A1A3A37"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14:paraId="6FA3DBD0"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51115858" w14:textId="58CDF5F5"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1770FBF" w14:textId="77777777" w:rsidR="00F01ABA" w:rsidRPr="0089320F" w:rsidRDefault="00F01ABA" w:rsidP="00DC0080">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2E766C46"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C34BB10" w14:textId="4A5EC436"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DF9427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412FFA7"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10248C01" w14:textId="6CD2F6F4" w:rsidR="00F01ABA" w:rsidRPr="0089320F" w:rsidRDefault="00F577DB"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1BBC48"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5A887DD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7E6A048"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59FB251"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41938879"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62E5A913" w14:textId="29A3E091" w:rsidR="00623690" w:rsidRPr="00623690" w:rsidRDefault="00623690" w:rsidP="00623690">
            <w:pPr>
              <w:spacing w:before="60" w:after="60"/>
              <w:jc w:val="both"/>
              <w:rPr>
                <w:rFonts w:ascii="Verdana" w:hAnsi="Verdana" w:cs="Arial"/>
                <w:sz w:val="20"/>
                <w:szCs w:val="20"/>
              </w:rPr>
            </w:pPr>
            <w:r w:rsidRPr="00623690">
              <w:rPr>
                <w:rFonts w:ascii="Verdana" w:hAnsi="Verdana" w:cs="Arial"/>
                <w:sz w:val="20"/>
                <w:szCs w:val="20"/>
              </w:rPr>
              <w:t>Enhancing the sustainability and the resilient recovery of tourism meets key European priorities: A European Green Deal, a Europe fit for the digital age, and an Economy that works for people. In particular, these priorities are also reflected in the following tourism related documents:</w:t>
            </w:r>
            <w:r w:rsidR="006A49B3">
              <w:rPr>
                <w:rFonts w:ascii="Verdana" w:hAnsi="Verdana" w:cs="Arial"/>
                <w:sz w:val="20"/>
                <w:szCs w:val="20"/>
              </w:rPr>
              <w:t xml:space="preserve"> </w:t>
            </w:r>
          </w:p>
          <w:p w14:paraId="1F941DF6" w14:textId="642F5A98" w:rsidR="00623690" w:rsidRPr="00623690" w:rsidRDefault="00623690" w:rsidP="00623690">
            <w:pPr>
              <w:spacing w:before="60" w:after="60"/>
              <w:jc w:val="both"/>
              <w:rPr>
                <w:rFonts w:ascii="Verdana" w:hAnsi="Verdana" w:cs="Arial"/>
                <w:sz w:val="20"/>
                <w:szCs w:val="20"/>
              </w:rPr>
            </w:pPr>
            <w:r w:rsidRPr="00623690">
              <w:rPr>
                <w:rFonts w:ascii="Verdana" w:hAnsi="Verdana" w:cs="Arial"/>
                <w:sz w:val="20"/>
                <w:szCs w:val="20"/>
              </w:rPr>
              <w:t>The Council Conclusions, adopted on 27 May 2021 provide guidelines for the way forward and call for the development of a sustainable, resilient, digital, global and social tourism in Europe.</w:t>
            </w:r>
            <w:r w:rsidR="006A49B3">
              <w:rPr>
                <w:rFonts w:ascii="Verdana" w:hAnsi="Verdana" w:cs="Arial"/>
                <w:sz w:val="20"/>
                <w:szCs w:val="20"/>
              </w:rPr>
              <w:t xml:space="preserve"> </w:t>
            </w:r>
          </w:p>
          <w:p w14:paraId="104E3AF7" w14:textId="05D0F4C3" w:rsidR="00623690" w:rsidRPr="00623690" w:rsidRDefault="00623690" w:rsidP="00623690">
            <w:pPr>
              <w:spacing w:before="60" w:after="60"/>
              <w:jc w:val="both"/>
              <w:rPr>
                <w:rFonts w:ascii="Verdana" w:hAnsi="Verdana" w:cs="Arial"/>
                <w:sz w:val="20"/>
                <w:szCs w:val="20"/>
              </w:rPr>
            </w:pPr>
            <w:r w:rsidRPr="00623690">
              <w:rPr>
                <w:rFonts w:ascii="Verdana" w:hAnsi="Verdana" w:cs="Arial"/>
                <w:sz w:val="20"/>
                <w:szCs w:val="20"/>
              </w:rPr>
              <w:t>The update of the EU Industrial Strategy highlights the need to accelerate the green and digital transitions and increase resilience, giving priority to the ecosystems and sectors that face the most important challenges and have been most heavily affected by the crisis. Tourism has been recognised to be one of these critical ecosystems.</w:t>
            </w:r>
            <w:r w:rsidR="006A49B3">
              <w:rPr>
                <w:rFonts w:ascii="Verdana" w:hAnsi="Verdana" w:cs="Arial"/>
                <w:sz w:val="20"/>
                <w:szCs w:val="20"/>
              </w:rPr>
              <w:t xml:space="preserve"> </w:t>
            </w:r>
          </w:p>
          <w:p w14:paraId="2438CBFB" w14:textId="14AEB82B" w:rsidR="00623690" w:rsidRPr="00623690" w:rsidRDefault="00623690" w:rsidP="00623690">
            <w:pPr>
              <w:spacing w:before="60" w:after="60"/>
              <w:jc w:val="both"/>
              <w:rPr>
                <w:rFonts w:ascii="Verdana" w:hAnsi="Verdana" w:cs="Arial"/>
                <w:sz w:val="20"/>
                <w:szCs w:val="20"/>
              </w:rPr>
            </w:pPr>
            <w:r w:rsidRPr="00623690">
              <w:rPr>
                <w:rFonts w:ascii="Verdana" w:hAnsi="Verdana" w:cs="Arial"/>
                <w:sz w:val="20"/>
                <w:szCs w:val="20"/>
              </w:rPr>
              <w:t>Furthermore, the "2030 Digital Compass: the European way for the Digital Decade" of 9 March 2021 defines targets for the digital transformation of businesses, including tourism, and lays out the ground for different support measures to be provided.</w:t>
            </w:r>
            <w:r w:rsidR="006A49B3">
              <w:rPr>
                <w:rFonts w:ascii="Verdana" w:hAnsi="Verdana" w:cs="Arial"/>
                <w:sz w:val="20"/>
                <w:szCs w:val="20"/>
              </w:rPr>
              <w:t xml:space="preserve"> </w:t>
            </w:r>
          </w:p>
          <w:p w14:paraId="31F62324" w14:textId="7BA2702A" w:rsidR="00623690" w:rsidRPr="00623690" w:rsidRDefault="00623690" w:rsidP="00623690">
            <w:pPr>
              <w:spacing w:before="60" w:after="60"/>
              <w:jc w:val="both"/>
              <w:rPr>
                <w:rFonts w:ascii="Verdana" w:hAnsi="Verdana" w:cs="Arial"/>
                <w:sz w:val="20"/>
                <w:szCs w:val="20"/>
              </w:rPr>
            </w:pPr>
            <w:r w:rsidRPr="00623690">
              <w:rPr>
                <w:rFonts w:ascii="Verdana" w:hAnsi="Verdana" w:cs="Arial"/>
                <w:sz w:val="20"/>
                <w:szCs w:val="20"/>
              </w:rPr>
              <w:lastRenderedPageBreak/>
              <w:t>The European Parliament’s resolution on establishing an EU strategy for sustainable tourism of 25 March 2021 recalls the need for accurate quantitative and qualitative data, including big data to understand the evolution of tourism flows and the changes in demand, as well as to adapt the offer and implement adequate policies.</w:t>
            </w:r>
          </w:p>
          <w:p w14:paraId="3579DF3E" w14:textId="4CF3A975" w:rsidR="00623690" w:rsidRDefault="00623690" w:rsidP="00623690">
            <w:pPr>
              <w:spacing w:before="60" w:after="60"/>
              <w:jc w:val="both"/>
              <w:rPr>
                <w:rFonts w:ascii="Verdana" w:hAnsi="Verdana" w:cs="Arial"/>
                <w:sz w:val="20"/>
                <w:szCs w:val="20"/>
              </w:rPr>
            </w:pPr>
            <w:r w:rsidRPr="00623690">
              <w:rPr>
                <w:rFonts w:ascii="Verdana" w:hAnsi="Verdana" w:cs="Arial"/>
                <w:sz w:val="20"/>
                <w:szCs w:val="20"/>
              </w:rPr>
              <w:t>The Commission Staff Working Document “Scenarios towards co-creation of transition pathway for tourism for a more resilient, innovative and sustainable ecosystem”</w:t>
            </w:r>
            <w:r w:rsidR="006A49B3">
              <w:rPr>
                <w:rFonts w:ascii="Verdana" w:hAnsi="Verdana" w:cs="Arial"/>
                <w:sz w:val="20"/>
                <w:szCs w:val="20"/>
              </w:rPr>
              <w:t xml:space="preserve"> </w:t>
            </w:r>
            <w:r w:rsidRPr="00623690">
              <w:rPr>
                <w:rFonts w:ascii="Verdana" w:hAnsi="Verdana" w:cs="Arial"/>
                <w:sz w:val="20"/>
                <w:szCs w:val="20"/>
              </w:rPr>
              <w:t>highlights the need for improved knowledge base, skills development and best practice sharing for implementing the transition pathway for the tourism ecosystem towards 2030.</w:t>
            </w:r>
          </w:p>
          <w:p w14:paraId="799B5A8E" w14:textId="77777777" w:rsidR="00623690" w:rsidRDefault="00623690" w:rsidP="00DC0080">
            <w:pPr>
              <w:spacing w:before="60" w:after="60"/>
              <w:jc w:val="both"/>
              <w:rPr>
                <w:rFonts w:ascii="Verdana" w:hAnsi="Verdana" w:cs="Arial"/>
                <w:sz w:val="20"/>
                <w:szCs w:val="20"/>
              </w:rPr>
            </w:pPr>
          </w:p>
          <w:p w14:paraId="4AB85FCC" w14:textId="67707DCF" w:rsidR="00F01ABA" w:rsidRPr="00623690" w:rsidRDefault="004A67DF" w:rsidP="00DC0080">
            <w:pPr>
              <w:spacing w:before="60" w:after="60"/>
              <w:jc w:val="both"/>
              <w:rPr>
                <w:rFonts w:ascii="Verdana" w:hAnsi="Verdana" w:cs="Arial"/>
                <w:sz w:val="20"/>
                <w:szCs w:val="20"/>
              </w:rPr>
            </w:pPr>
            <w:r w:rsidRPr="00623690">
              <w:rPr>
                <w:rFonts w:ascii="Verdana" w:hAnsi="Verdana" w:cs="Arial"/>
                <w:sz w:val="20"/>
                <w:szCs w:val="20"/>
              </w:rPr>
              <w:t>Add re</w:t>
            </w:r>
            <w:r w:rsidR="00F01ABA" w:rsidRPr="00623690">
              <w:rPr>
                <w:rFonts w:ascii="Verdana" w:hAnsi="Verdana" w:cs="Arial"/>
                <w:sz w:val="20"/>
                <w:szCs w:val="20"/>
              </w:rPr>
              <w:t>levant explanations as appropriate:</w:t>
            </w:r>
          </w:p>
          <w:p w14:paraId="1E3FFE29" w14:textId="77777777" w:rsidR="00F01ABA" w:rsidRPr="00623690" w:rsidRDefault="00F01ABA" w:rsidP="00DC0080">
            <w:pPr>
              <w:spacing w:before="60" w:after="60"/>
              <w:jc w:val="both"/>
              <w:rPr>
                <w:rFonts w:ascii="Verdana" w:hAnsi="Verdana" w:cs="Arial"/>
                <w:sz w:val="20"/>
                <w:szCs w:val="20"/>
              </w:rPr>
            </w:pPr>
            <w:r w:rsidRPr="00623690">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80637B3" w14:textId="77777777" w:rsidR="00F01ABA" w:rsidRPr="00623690" w:rsidRDefault="00F01ABA" w:rsidP="002E0E33">
            <w:pPr>
              <w:spacing w:before="60" w:after="60"/>
              <w:jc w:val="both"/>
              <w:rPr>
                <w:rFonts w:ascii="Verdana" w:eastAsia="Times New Roman" w:hAnsi="Verdana" w:cs="Arial"/>
                <w:b/>
                <w:bCs/>
                <w:sz w:val="20"/>
                <w:szCs w:val="20"/>
                <w:lang w:eastAsia="en-GB"/>
              </w:rPr>
            </w:pPr>
            <w:r w:rsidRPr="00623690">
              <w:rPr>
                <w:rFonts w:ascii="Verdana" w:hAnsi="Verdana" w:cs="Arial"/>
                <w:sz w:val="20"/>
                <w:szCs w:val="20"/>
              </w:rPr>
              <w:t>[</w:t>
            </w:r>
            <w:r w:rsidRPr="00623690">
              <w:rPr>
                <w:rFonts w:ascii="Verdana" w:eastAsia="Times New Roman" w:hAnsi="Verdana" w:cs="Arial"/>
                <w:sz w:val="20"/>
                <w:szCs w:val="20"/>
                <w:lang w:eastAsia="en-GB"/>
              </w:rPr>
              <w:t xml:space="preserve">Insert Text; indicatively between </w:t>
            </w:r>
            <w:r w:rsidR="002E0E33" w:rsidRPr="00623690">
              <w:rPr>
                <w:rFonts w:ascii="Verdana" w:eastAsia="Times New Roman" w:hAnsi="Verdana" w:cs="Arial"/>
                <w:sz w:val="20"/>
                <w:szCs w:val="20"/>
                <w:lang w:eastAsia="en-GB"/>
              </w:rPr>
              <w:t>150-200</w:t>
            </w:r>
            <w:r w:rsidRPr="00623690">
              <w:rPr>
                <w:rFonts w:ascii="Verdana" w:eastAsia="Times New Roman" w:hAnsi="Verdana" w:cs="Arial"/>
                <w:sz w:val="20"/>
                <w:szCs w:val="20"/>
                <w:lang w:eastAsia="en-GB"/>
              </w:rPr>
              <w:t xml:space="preserve"> words]</w:t>
            </w:r>
          </w:p>
        </w:tc>
      </w:tr>
    </w:tbl>
    <w:p w14:paraId="53E75782" w14:textId="77777777" w:rsidR="00E84FE8" w:rsidRDefault="00E84FE8"/>
    <w:p w14:paraId="6D14EFFD" w14:textId="77777777" w:rsidR="00E84FE8" w:rsidRDefault="00E84FE8">
      <w:r>
        <w:br w:type="page"/>
      </w:r>
    </w:p>
    <w:p w14:paraId="5747ADFA"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2548B61A"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EA2D67" w14:textId="77777777"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14:paraId="79DCC399" w14:textId="77777777"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14:paraId="265040FE" w14:textId="77777777" w:rsidTr="008C2EFF">
        <w:tc>
          <w:tcPr>
            <w:tcW w:w="5000" w:type="pct"/>
            <w:tcBorders>
              <w:top w:val="single" w:sz="12" w:space="0" w:color="auto"/>
              <w:left w:val="single" w:sz="12" w:space="0" w:color="auto"/>
              <w:bottom w:val="single" w:sz="12" w:space="0" w:color="auto"/>
              <w:right w:val="single" w:sz="12" w:space="0" w:color="auto"/>
            </w:tcBorders>
          </w:tcPr>
          <w:p w14:paraId="717EBE1D"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1DB7016B" w14:textId="77777777" w:rsidTr="008C2EFF">
        <w:tc>
          <w:tcPr>
            <w:tcW w:w="5000" w:type="pct"/>
            <w:tcBorders>
              <w:top w:val="single" w:sz="12" w:space="0" w:color="auto"/>
              <w:left w:val="single" w:sz="12" w:space="0" w:color="auto"/>
              <w:bottom w:val="single" w:sz="12" w:space="0" w:color="auto"/>
              <w:right w:val="single" w:sz="12" w:space="0" w:color="auto"/>
            </w:tcBorders>
          </w:tcPr>
          <w:p w14:paraId="6FDA1DD2"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6B6014A7" w14:textId="77777777" w:rsidTr="008C2EFF">
        <w:tc>
          <w:tcPr>
            <w:tcW w:w="5000" w:type="pct"/>
            <w:tcBorders>
              <w:top w:val="single" w:sz="12" w:space="0" w:color="auto"/>
              <w:left w:val="single" w:sz="12" w:space="0" w:color="auto"/>
              <w:bottom w:val="single" w:sz="12" w:space="0" w:color="auto"/>
              <w:right w:val="single" w:sz="12" w:space="0" w:color="auto"/>
            </w:tcBorders>
          </w:tcPr>
          <w:p w14:paraId="10BE30BA"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14:paraId="430E01AD" w14:textId="77777777" w:rsidTr="008C2EFF">
        <w:tc>
          <w:tcPr>
            <w:tcW w:w="5000" w:type="pct"/>
            <w:tcBorders>
              <w:top w:val="single" w:sz="12" w:space="0" w:color="auto"/>
              <w:left w:val="single" w:sz="12" w:space="0" w:color="auto"/>
              <w:bottom w:val="single" w:sz="12" w:space="0" w:color="auto"/>
              <w:right w:val="single" w:sz="12" w:space="0" w:color="auto"/>
            </w:tcBorders>
          </w:tcPr>
          <w:p w14:paraId="600536A3" w14:textId="77777777"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0B632A5C" w14:textId="77777777" w:rsidR="00305060" w:rsidRPr="003A5F9A" w:rsidRDefault="00305060" w:rsidP="5AD5729F">
      <w:pPr>
        <w:spacing w:after="0"/>
        <w:rPr>
          <w:rFonts w:ascii="Verdana" w:hAnsi="Verdana"/>
          <w:b/>
          <w:noProof/>
        </w:rPr>
      </w:pPr>
    </w:p>
    <w:sectPr w:rsidR="00305060" w:rsidRPr="003A5F9A"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C896" w14:textId="77777777" w:rsidR="0073537F" w:rsidRDefault="0073537F" w:rsidP="00EE6AE0">
      <w:pPr>
        <w:spacing w:after="0" w:line="240" w:lineRule="auto"/>
      </w:pPr>
      <w:r>
        <w:separator/>
      </w:r>
    </w:p>
  </w:endnote>
  <w:endnote w:type="continuationSeparator" w:id="0">
    <w:p w14:paraId="1FAF9C50" w14:textId="77777777" w:rsidR="0073537F" w:rsidRDefault="0073537F"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C22089D" w14:textId="717314A0" w:rsidR="00DC0080" w:rsidRDefault="00DC0080">
        <w:pPr>
          <w:pStyle w:val="Footer"/>
          <w:jc w:val="right"/>
        </w:pPr>
        <w:r>
          <w:fldChar w:fldCharType="begin"/>
        </w:r>
        <w:r>
          <w:instrText xml:space="preserve"> PAGE   \* MERGEFORMAT </w:instrText>
        </w:r>
        <w:r>
          <w:fldChar w:fldCharType="separate"/>
        </w:r>
        <w:r w:rsidR="00F577DB">
          <w:rPr>
            <w:noProof/>
          </w:rPr>
          <w:t>9</w:t>
        </w:r>
        <w:r>
          <w:rPr>
            <w:noProof/>
          </w:rPr>
          <w:fldChar w:fldCharType="end"/>
        </w:r>
      </w:p>
    </w:sdtContent>
  </w:sdt>
  <w:p w14:paraId="00B143A2"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EF1D" w14:textId="77777777" w:rsidR="0073537F" w:rsidRDefault="0073537F" w:rsidP="00EE6AE0">
      <w:pPr>
        <w:spacing w:after="0" w:line="240" w:lineRule="auto"/>
      </w:pPr>
      <w:r>
        <w:separator/>
      </w:r>
    </w:p>
  </w:footnote>
  <w:footnote w:type="continuationSeparator" w:id="0">
    <w:p w14:paraId="05798327" w14:textId="77777777" w:rsidR="0073537F" w:rsidRDefault="0073537F" w:rsidP="00EE6AE0">
      <w:pPr>
        <w:spacing w:after="0" w:line="240" w:lineRule="auto"/>
      </w:pPr>
      <w:r>
        <w:continuationSeparator/>
      </w:r>
    </w:p>
  </w:footnote>
  <w:footnote w:id="1">
    <w:p w14:paraId="0454C549"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7EE0"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E2321"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715BF"/>
    <w:multiLevelType w:val="hybridMultilevel"/>
    <w:tmpl w:val="0A9A3224"/>
    <w:lvl w:ilvl="0" w:tplc="C39EFB7A">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3692B"/>
    <w:multiLevelType w:val="hybridMultilevel"/>
    <w:tmpl w:val="8E62DC94"/>
    <w:lvl w:ilvl="0" w:tplc="30824F4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649"/>
    <w:multiLevelType w:val="hybridMultilevel"/>
    <w:tmpl w:val="5D307D4C"/>
    <w:lvl w:ilvl="0" w:tplc="5CA24FE4">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8"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465BE"/>
    <w:multiLevelType w:val="hybridMultilevel"/>
    <w:tmpl w:val="124E83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2" w15:restartNumberingAfterBreak="0">
    <w:nsid w:val="5F145E9D"/>
    <w:multiLevelType w:val="hybridMultilevel"/>
    <w:tmpl w:val="DA966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31541D"/>
    <w:multiLevelType w:val="hybridMultilevel"/>
    <w:tmpl w:val="6396EAF6"/>
    <w:lvl w:ilvl="0" w:tplc="2E8AED3A">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5"/>
  </w:num>
  <w:num w:numId="5">
    <w:abstractNumId w:val="6"/>
  </w:num>
  <w:num w:numId="6">
    <w:abstractNumId w:val="7"/>
  </w:num>
  <w:num w:numId="7">
    <w:abstractNumId w:val="8"/>
  </w:num>
  <w:num w:numId="8">
    <w:abstractNumId w:val="14"/>
  </w:num>
  <w:num w:numId="9">
    <w:abstractNumId w:val="13"/>
  </w:num>
  <w:num w:numId="10">
    <w:abstractNumId w:val="10"/>
  </w:num>
  <w:num w:numId="11">
    <w:abstractNumId w:val="11"/>
  </w:num>
  <w:num w:numId="12">
    <w:abstractNumId w:val="12"/>
  </w:num>
  <w:num w:numId="13">
    <w:abstractNumId w:val="9"/>
  </w:num>
  <w:num w:numId="14">
    <w:abstractNumId w:val="3"/>
  </w:num>
  <w:num w:numId="15">
    <w:abstractNumId w:val="16"/>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7D40"/>
    <w:rsid w:val="000433AC"/>
    <w:rsid w:val="00054544"/>
    <w:rsid w:val="000573A6"/>
    <w:rsid w:val="00060746"/>
    <w:rsid w:val="00073CEF"/>
    <w:rsid w:val="00080242"/>
    <w:rsid w:val="00083D08"/>
    <w:rsid w:val="0008727F"/>
    <w:rsid w:val="00087D96"/>
    <w:rsid w:val="000A3888"/>
    <w:rsid w:val="000A48F1"/>
    <w:rsid w:val="000A6292"/>
    <w:rsid w:val="000A7759"/>
    <w:rsid w:val="000B63C0"/>
    <w:rsid w:val="000C5361"/>
    <w:rsid w:val="000C612B"/>
    <w:rsid w:val="000D06F2"/>
    <w:rsid w:val="000D25FF"/>
    <w:rsid w:val="000D320C"/>
    <w:rsid w:val="000E0C93"/>
    <w:rsid w:val="000E0E25"/>
    <w:rsid w:val="000F6884"/>
    <w:rsid w:val="00105BAF"/>
    <w:rsid w:val="001060ED"/>
    <w:rsid w:val="00106160"/>
    <w:rsid w:val="00114147"/>
    <w:rsid w:val="00123A91"/>
    <w:rsid w:val="00123EA4"/>
    <w:rsid w:val="00126003"/>
    <w:rsid w:val="00130D40"/>
    <w:rsid w:val="00132A25"/>
    <w:rsid w:val="00141D7E"/>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0889"/>
    <w:rsid w:val="001C44E8"/>
    <w:rsid w:val="001D6943"/>
    <w:rsid w:val="001D76F9"/>
    <w:rsid w:val="001E0C62"/>
    <w:rsid w:val="001E306A"/>
    <w:rsid w:val="001E4A3B"/>
    <w:rsid w:val="001F1272"/>
    <w:rsid w:val="001F44A1"/>
    <w:rsid w:val="001F461A"/>
    <w:rsid w:val="001F5ABC"/>
    <w:rsid w:val="001F5BD3"/>
    <w:rsid w:val="002012DE"/>
    <w:rsid w:val="00206966"/>
    <w:rsid w:val="002075D7"/>
    <w:rsid w:val="00211E64"/>
    <w:rsid w:val="002127E9"/>
    <w:rsid w:val="0021322B"/>
    <w:rsid w:val="00214FC4"/>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2BAA"/>
    <w:rsid w:val="002738E2"/>
    <w:rsid w:val="0028448B"/>
    <w:rsid w:val="002848DC"/>
    <w:rsid w:val="00286CA3"/>
    <w:rsid w:val="00292CD3"/>
    <w:rsid w:val="00294BF9"/>
    <w:rsid w:val="00295EAD"/>
    <w:rsid w:val="002A6200"/>
    <w:rsid w:val="002B5F8E"/>
    <w:rsid w:val="002C02B1"/>
    <w:rsid w:val="002C11A9"/>
    <w:rsid w:val="002C5913"/>
    <w:rsid w:val="002D64D2"/>
    <w:rsid w:val="002D670E"/>
    <w:rsid w:val="002E0E33"/>
    <w:rsid w:val="002E3AFF"/>
    <w:rsid w:val="002F1566"/>
    <w:rsid w:val="002F4656"/>
    <w:rsid w:val="00300A4B"/>
    <w:rsid w:val="003018BC"/>
    <w:rsid w:val="00305060"/>
    <w:rsid w:val="003061EF"/>
    <w:rsid w:val="003065BC"/>
    <w:rsid w:val="00320931"/>
    <w:rsid w:val="0032586D"/>
    <w:rsid w:val="00326FF9"/>
    <w:rsid w:val="00331BD8"/>
    <w:rsid w:val="00347344"/>
    <w:rsid w:val="00351D5C"/>
    <w:rsid w:val="003550B7"/>
    <w:rsid w:val="00356CC4"/>
    <w:rsid w:val="003571E6"/>
    <w:rsid w:val="00376B8F"/>
    <w:rsid w:val="003776F1"/>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68D7"/>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5E1D"/>
    <w:rsid w:val="004D2640"/>
    <w:rsid w:val="004D485E"/>
    <w:rsid w:val="004E36C2"/>
    <w:rsid w:val="004E55DE"/>
    <w:rsid w:val="00513403"/>
    <w:rsid w:val="00515693"/>
    <w:rsid w:val="005201E1"/>
    <w:rsid w:val="00526429"/>
    <w:rsid w:val="0053252D"/>
    <w:rsid w:val="00535B22"/>
    <w:rsid w:val="005431F1"/>
    <w:rsid w:val="00543A8D"/>
    <w:rsid w:val="00547BCA"/>
    <w:rsid w:val="00552555"/>
    <w:rsid w:val="0055398E"/>
    <w:rsid w:val="00554A88"/>
    <w:rsid w:val="00555995"/>
    <w:rsid w:val="00556727"/>
    <w:rsid w:val="005629C7"/>
    <w:rsid w:val="005647CA"/>
    <w:rsid w:val="0056717D"/>
    <w:rsid w:val="00571AC4"/>
    <w:rsid w:val="005728FE"/>
    <w:rsid w:val="005827FF"/>
    <w:rsid w:val="005970ED"/>
    <w:rsid w:val="005A184C"/>
    <w:rsid w:val="005A2007"/>
    <w:rsid w:val="005B0AB3"/>
    <w:rsid w:val="005B155B"/>
    <w:rsid w:val="005B4299"/>
    <w:rsid w:val="005B6243"/>
    <w:rsid w:val="005B79C4"/>
    <w:rsid w:val="005B7E6E"/>
    <w:rsid w:val="005C1DEB"/>
    <w:rsid w:val="005C1F5E"/>
    <w:rsid w:val="005C33AE"/>
    <w:rsid w:val="005C5525"/>
    <w:rsid w:val="005C6F09"/>
    <w:rsid w:val="005D1F69"/>
    <w:rsid w:val="005D3C6F"/>
    <w:rsid w:val="005E1BA8"/>
    <w:rsid w:val="005E7011"/>
    <w:rsid w:val="005F3D5C"/>
    <w:rsid w:val="005F56F9"/>
    <w:rsid w:val="005F59EC"/>
    <w:rsid w:val="0060330B"/>
    <w:rsid w:val="00603B74"/>
    <w:rsid w:val="0060523A"/>
    <w:rsid w:val="00606DDB"/>
    <w:rsid w:val="00607164"/>
    <w:rsid w:val="00607CF0"/>
    <w:rsid w:val="00614C17"/>
    <w:rsid w:val="006227C2"/>
    <w:rsid w:val="0062328B"/>
    <w:rsid w:val="00623690"/>
    <w:rsid w:val="00626265"/>
    <w:rsid w:val="006262E0"/>
    <w:rsid w:val="00632580"/>
    <w:rsid w:val="006370FD"/>
    <w:rsid w:val="00646298"/>
    <w:rsid w:val="00650695"/>
    <w:rsid w:val="00670295"/>
    <w:rsid w:val="00677A34"/>
    <w:rsid w:val="006864AE"/>
    <w:rsid w:val="006874CA"/>
    <w:rsid w:val="00693EFF"/>
    <w:rsid w:val="00696AEE"/>
    <w:rsid w:val="006A3BAA"/>
    <w:rsid w:val="006A49B3"/>
    <w:rsid w:val="006A4CF2"/>
    <w:rsid w:val="006B4E8B"/>
    <w:rsid w:val="006B6BFF"/>
    <w:rsid w:val="006C155F"/>
    <w:rsid w:val="006D4F1C"/>
    <w:rsid w:val="006D5913"/>
    <w:rsid w:val="006E5356"/>
    <w:rsid w:val="006E6DEF"/>
    <w:rsid w:val="006E74D2"/>
    <w:rsid w:val="006F3282"/>
    <w:rsid w:val="006F3E3C"/>
    <w:rsid w:val="006F7BB1"/>
    <w:rsid w:val="00705C9D"/>
    <w:rsid w:val="00706C0B"/>
    <w:rsid w:val="00706F0C"/>
    <w:rsid w:val="00707EE9"/>
    <w:rsid w:val="00712B39"/>
    <w:rsid w:val="007134EF"/>
    <w:rsid w:val="00714D6C"/>
    <w:rsid w:val="0073016D"/>
    <w:rsid w:val="00731789"/>
    <w:rsid w:val="0073537F"/>
    <w:rsid w:val="007353E2"/>
    <w:rsid w:val="00736FCB"/>
    <w:rsid w:val="00741C91"/>
    <w:rsid w:val="00745037"/>
    <w:rsid w:val="0074774C"/>
    <w:rsid w:val="00747D88"/>
    <w:rsid w:val="00762EAE"/>
    <w:rsid w:val="00765249"/>
    <w:rsid w:val="00765C35"/>
    <w:rsid w:val="00783A7A"/>
    <w:rsid w:val="0078425F"/>
    <w:rsid w:val="007A2C4C"/>
    <w:rsid w:val="007A2DB5"/>
    <w:rsid w:val="007B061E"/>
    <w:rsid w:val="007B79D7"/>
    <w:rsid w:val="007D6BEA"/>
    <w:rsid w:val="007E0322"/>
    <w:rsid w:val="007E1666"/>
    <w:rsid w:val="007E460E"/>
    <w:rsid w:val="007E53E9"/>
    <w:rsid w:val="007E7C2D"/>
    <w:rsid w:val="007F03C3"/>
    <w:rsid w:val="007F0405"/>
    <w:rsid w:val="007F04BB"/>
    <w:rsid w:val="007F1364"/>
    <w:rsid w:val="007F2B4B"/>
    <w:rsid w:val="007F5617"/>
    <w:rsid w:val="007F76C3"/>
    <w:rsid w:val="00800221"/>
    <w:rsid w:val="00801E43"/>
    <w:rsid w:val="008054D1"/>
    <w:rsid w:val="00805A85"/>
    <w:rsid w:val="00811C20"/>
    <w:rsid w:val="00816654"/>
    <w:rsid w:val="008256C7"/>
    <w:rsid w:val="00833A74"/>
    <w:rsid w:val="00837AD6"/>
    <w:rsid w:val="0084345E"/>
    <w:rsid w:val="008455EB"/>
    <w:rsid w:val="0085036E"/>
    <w:rsid w:val="00854A82"/>
    <w:rsid w:val="00860C8C"/>
    <w:rsid w:val="008638C4"/>
    <w:rsid w:val="00866E39"/>
    <w:rsid w:val="008737FC"/>
    <w:rsid w:val="00875BC5"/>
    <w:rsid w:val="00883039"/>
    <w:rsid w:val="00884486"/>
    <w:rsid w:val="0089219C"/>
    <w:rsid w:val="00894643"/>
    <w:rsid w:val="008A2C86"/>
    <w:rsid w:val="008A46ED"/>
    <w:rsid w:val="008A4D75"/>
    <w:rsid w:val="008A5724"/>
    <w:rsid w:val="008A787C"/>
    <w:rsid w:val="008B492C"/>
    <w:rsid w:val="008C164A"/>
    <w:rsid w:val="008C2EFF"/>
    <w:rsid w:val="008D74DA"/>
    <w:rsid w:val="008D7F0D"/>
    <w:rsid w:val="008E0A79"/>
    <w:rsid w:val="0090180B"/>
    <w:rsid w:val="00905CDE"/>
    <w:rsid w:val="00906136"/>
    <w:rsid w:val="0090678A"/>
    <w:rsid w:val="009165E1"/>
    <w:rsid w:val="009226A6"/>
    <w:rsid w:val="0092612D"/>
    <w:rsid w:val="0093470C"/>
    <w:rsid w:val="00935657"/>
    <w:rsid w:val="00940AAD"/>
    <w:rsid w:val="00940EB6"/>
    <w:rsid w:val="00953A8B"/>
    <w:rsid w:val="00956321"/>
    <w:rsid w:val="00961AAB"/>
    <w:rsid w:val="00962426"/>
    <w:rsid w:val="00972619"/>
    <w:rsid w:val="00982E93"/>
    <w:rsid w:val="009866B1"/>
    <w:rsid w:val="00987072"/>
    <w:rsid w:val="00997319"/>
    <w:rsid w:val="00997A38"/>
    <w:rsid w:val="009B5DA5"/>
    <w:rsid w:val="009C133C"/>
    <w:rsid w:val="009C25C6"/>
    <w:rsid w:val="009C31F7"/>
    <w:rsid w:val="009C4676"/>
    <w:rsid w:val="009C72DD"/>
    <w:rsid w:val="009D1D3E"/>
    <w:rsid w:val="009D2B8D"/>
    <w:rsid w:val="009E2AB7"/>
    <w:rsid w:val="009E33A8"/>
    <w:rsid w:val="00A063B7"/>
    <w:rsid w:val="00A06932"/>
    <w:rsid w:val="00A07817"/>
    <w:rsid w:val="00A108DE"/>
    <w:rsid w:val="00A10DA8"/>
    <w:rsid w:val="00A11C3D"/>
    <w:rsid w:val="00A12619"/>
    <w:rsid w:val="00A138DE"/>
    <w:rsid w:val="00A3118E"/>
    <w:rsid w:val="00A4640A"/>
    <w:rsid w:val="00A50355"/>
    <w:rsid w:val="00A50DD6"/>
    <w:rsid w:val="00A55814"/>
    <w:rsid w:val="00A61EE1"/>
    <w:rsid w:val="00A6296E"/>
    <w:rsid w:val="00A63E64"/>
    <w:rsid w:val="00A7100F"/>
    <w:rsid w:val="00A72B53"/>
    <w:rsid w:val="00A95153"/>
    <w:rsid w:val="00A97C92"/>
    <w:rsid w:val="00AA0769"/>
    <w:rsid w:val="00AA3062"/>
    <w:rsid w:val="00AA5A63"/>
    <w:rsid w:val="00AA6B7C"/>
    <w:rsid w:val="00AA7FF8"/>
    <w:rsid w:val="00AB3CCC"/>
    <w:rsid w:val="00AB72EA"/>
    <w:rsid w:val="00AC3FFE"/>
    <w:rsid w:val="00AD04D6"/>
    <w:rsid w:val="00AD2252"/>
    <w:rsid w:val="00AD3BC9"/>
    <w:rsid w:val="00AE388C"/>
    <w:rsid w:val="00AF0831"/>
    <w:rsid w:val="00AF08B2"/>
    <w:rsid w:val="00AF0EE8"/>
    <w:rsid w:val="00B11516"/>
    <w:rsid w:val="00B1775D"/>
    <w:rsid w:val="00B241B1"/>
    <w:rsid w:val="00B26DE0"/>
    <w:rsid w:val="00B30305"/>
    <w:rsid w:val="00B31A32"/>
    <w:rsid w:val="00B320E5"/>
    <w:rsid w:val="00B37829"/>
    <w:rsid w:val="00B41660"/>
    <w:rsid w:val="00B42CE9"/>
    <w:rsid w:val="00B46435"/>
    <w:rsid w:val="00B46999"/>
    <w:rsid w:val="00B57B38"/>
    <w:rsid w:val="00B62473"/>
    <w:rsid w:val="00B62B76"/>
    <w:rsid w:val="00B673DF"/>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6083A"/>
    <w:rsid w:val="00C7446E"/>
    <w:rsid w:val="00C8131F"/>
    <w:rsid w:val="00C878F5"/>
    <w:rsid w:val="00C91F4C"/>
    <w:rsid w:val="00C96D03"/>
    <w:rsid w:val="00CA33AA"/>
    <w:rsid w:val="00CA5055"/>
    <w:rsid w:val="00CA5DB7"/>
    <w:rsid w:val="00CB7E84"/>
    <w:rsid w:val="00CC1798"/>
    <w:rsid w:val="00CC5AF2"/>
    <w:rsid w:val="00CC61F8"/>
    <w:rsid w:val="00CD4389"/>
    <w:rsid w:val="00CD73BD"/>
    <w:rsid w:val="00CD7801"/>
    <w:rsid w:val="00CE5E2C"/>
    <w:rsid w:val="00CE622B"/>
    <w:rsid w:val="00CF27BA"/>
    <w:rsid w:val="00CF3547"/>
    <w:rsid w:val="00D00C9D"/>
    <w:rsid w:val="00D101BA"/>
    <w:rsid w:val="00D2057A"/>
    <w:rsid w:val="00D22D5C"/>
    <w:rsid w:val="00D25DEF"/>
    <w:rsid w:val="00D31033"/>
    <w:rsid w:val="00D33A1A"/>
    <w:rsid w:val="00D3645C"/>
    <w:rsid w:val="00D5039B"/>
    <w:rsid w:val="00D53C14"/>
    <w:rsid w:val="00D56489"/>
    <w:rsid w:val="00D65209"/>
    <w:rsid w:val="00D6661C"/>
    <w:rsid w:val="00D70AE4"/>
    <w:rsid w:val="00D71631"/>
    <w:rsid w:val="00D725BE"/>
    <w:rsid w:val="00D72B9F"/>
    <w:rsid w:val="00D81722"/>
    <w:rsid w:val="00D85169"/>
    <w:rsid w:val="00D85CF2"/>
    <w:rsid w:val="00D87AD4"/>
    <w:rsid w:val="00DB40DC"/>
    <w:rsid w:val="00DB7BED"/>
    <w:rsid w:val="00DC0080"/>
    <w:rsid w:val="00DD1E2B"/>
    <w:rsid w:val="00DE1966"/>
    <w:rsid w:val="00DE3E99"/>
    <w:rsid w:val="00DE504B"/>
    <w:rsid w:val="00DE6604"/>
    <w:rsid w:val="00DE7646"/>
    <w:rsid w:val="00DF0256"/>
    <w:rsid w:val="00DF665E"/>
    <w:rsid w:val="00DF7FD1"/>
    <w:rsid w:val="00E0003B"/>
    <w:rsid w:val="00E0171B"/>
    <w:rsid w:val="00E02B88"/>
    <w:rsid w:val="00E03ADF"/>
    <w:rsid w:val="00E11400"/>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C5A01"/>
    <w:rsid w:val="00ED254E"/>
    <w:rsid w:val="00ED28FD"/>
    <w:rsid w:val="00ED6716"/>
    <w:rsid w:val="00EE0361"/>
    <w:rsid w:val="00EE6AE0"/>
    <w:rsid w:val="00EE7533"/>
    <w:rsid w:val="00EF0A5B"/>
    <w:rsid w:val="00EF6DD3"/>
    <w:rsid w:val="00F00147"/>
    <w:rsid w:val="00F01ABA"/>
    <w:rsid w:val="00F04110"/>
    <w:rsid w:val="00F06502"/>
    <w:rsid w:val="00F07EF6"/>
    <w:rsid w:val="00F13CF3"/>
    <w:rsid w:val="00F211B3"/>
    <w:rsid w:val="00F3550B"/>
    <w:rsid w:val="00F546E2"/>
    <w:rsid w:val="00F577DB"/>
    <w:rsid w:val="00F64CAB"/>
    <w:rsid w:val="00F7738C"/>
    <w:rsid w:val="00F81DC4"/>
    <w:rsid w:val="00F83841"/>
    <w:rsid w:val="00F85D79"/>
    <w:rsid w:val="00F90D35"/>
    <w:rsid w:val="00F91EB3"/>
    <w:rsid w:val="00F92ED9"/>
    <w:rsid w:val="00F972C4"/>
    <w:rsid w:val="00F978FB"/>
    <w:rsid w:val="00FA4413"/>
    <w:rsid w:val="00FA4464"/>
    <w:rsid w:val="00FB24EE"/>
    <w:rsid w:val="00FB5CCD"/>
    <w:rsid w:val="00FB71D4"/>
    <w:rsid w:val="00FC0511"/>
    <w:rsid w:val="00FC49EF"/>
    <w:rsid w:val="00FC4D28"/>
    <w:rsid w:val="00FC5808"/>
    <w:rsid w:val="00FC7F7A"/>
    <w:rsid w:val="00FD2D24"/>
    <w:rsid w:val="00FE4D9B"/>
    <w:rsid w:val="00FE67D0"/>
    <w:rsid w:val="00FF3DA1"/>
    <w:rsid w:val="00FF4289"/>
    <w:rsid w:val="00FF46D0"/>
    <w:rsid w:val="00FF507C"/>
    <w:rsid w:val="00FF618D"/>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98CF7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link w:val="FootnotesymbolCarZchn"/>
    <w:qFormat/>
    <w:rsid w:val="00EE6AE0"/>
    <w:rPr>
      <w:rFonts w:ascii="TimesNewRomanPS" w:hAnsi="TimesNewRomanPS"/>
      <w:position w:val="6"/>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ußnotentex"/>
    <w:basedOn w:val="Normal"/>
    <w:link w:val="FootnoteTextChar"/>
    <w:uiPriority w:val="99"/>
    <w:qFormat/>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qFormat/>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331BD8"/>
    <w:pPr>
      <w:spacing w:after="0" w:line="240" w:lineRule="auto"/>
      <w:jc w:val="both"/>
    </w:pPr>
    <w:rPr>
      <w:rFonts w:ascii="TimesNewRomanPS" w:hAnsi="TimesNewRomanP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9D3F1A50-6163-442F-93E5-2E044B5413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a30d10d-b30d-4a7a-9d26-d2ca493895f6"/>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77F87B9-D589-432D-9551-84DAA3C7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2425</Words>
  <Characters>14358</Characters>
  <Application>Microsoft Office Word</Application>
  <DocSecurity>0</DocSecurity>
  <Lines>377</Lines>
  <Paragraphs>190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2021-08-05T13:06:00Z</dcterms:created>
  <dcterms:modified xsi:type="dcterms:W3CDTF">2021-08-05T13:06:00Z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