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7DD48" w14:textId="77777777" w:rsidR="009C77C5" w:rsidRPr="00B4719E" w:rsidRDefault="00487793" w:rsidP="00A64D26">
      <w:pPr>
        <w:autoSpaceDE w:val="0"/>
        <w:autoSpaceDN w:val="0"/>
        <w:adjustRightInd w:val="0"/>
        <w:jc w:val="center"/>
        <w:rPr>
          <w:rFonts w:ascii="Arial" w:hAnsi="Arial" w:cs="Arial"/>
          <w:b/>
          <w:bCs/>
          <w:color w:val="000000"/>
          <w:sz w:val="48"/>
          <w:szCs w:val="48"/>
        </w:rPr>
      </w:pPr>
      <w:r>
        <w:rPr>
          <w:rFonts w:ascii="Arial" w:hAnsi="Arial" w:cs="Arial"/>
          <w:b/>
          <w:bCs/>
          <w:noProof/>
          <w:color w:val="000000"/>
          <w:sz w:val="48"/>
          <w:szCs w:val="48"/>
        </w:rPr>
        <w:drawing>
          <wp:anchor distT="0" distB="0" distL="114300" distR="114300" simplePos="0" relativeHeight="251657216" behindDoc="1" locked="0" layoutInCell="0" allowOverlap="1" wp14:anchorId="7D306EF9" wp14:editId="461E5160">
            <wp:simplePos x="0" y="0"/>
            <wp:positionH relativeFrom="column">
              <wp:posOffset>-636905</wp:posOffset>
            </wp:positionH>
            <wp:positionV relativeFrom="paragraph">
              <wp:posOffset>-196214</wp:posOffset>
            </wp:positionV>
            <wp:extent cx="6810093" cy="9391650"/>
            <wp:effectExtent l="0" t="0" r="0" b="0"/>
            <wp:wrapNone/>
            <wp:docPr id="2" name="Picture 2" descr="Letterhead_A4_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A4_EN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0375" cy="93920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105F3" w14:textId="77777777" w:rsidR="009C77C5" w:rsidRPr="00B4719E" w:rsidRDefault="009C77C5" w:rsidP="00A64D26">
      <w:pPr>
        <w:autoSpaceDE w:val="0"/>
        <w:autoSpaceDN w:val="0"/>
        <w:adjustRightInd w:val="0"/>
        <w:jc w:val="center"/>
        <w:rPr>
          <w:rFonts w:ascii="Arial" w:hAnsi="Arial" w:cs="Arial"/>
          <w:b/>
          <w:bCs/>
          <w:color w:val="000000"/>
          <w:sz w:val="48"/>
          <w:szCs w:val="48"/>
        </w:rPr>
      </w:pPr>
    </w:p>
    <w:p w14:paraId="0E9DF93F" w14:textId="77777777" w:rsidR="009C77C5" w:rsidRPr="00B4719E" w:rsidRDefault="009C77C5" w:rsidP="00A64D26">
      <w:pPr>
        <w:autoSpaceDE w:val="0"/>
        <w:autoSpaceDN w:val="0"/>
        <w:adjustRightInd w:val="0"/>
        <w:jc w:val="center"/>
        <w:rPr>
          <w:rFonts w:ascii="Arial" w:hAnsi="Arial" w:cs="Arial"/>
          <w:b/>
          <w:bCs/>
          <w:color w:val="000000"/>
          <w:sz w:val="48"/>
          <w:szCs w:val="48"/>
        </w:rPr>
      </w:pPr>
    </w:p>
    <w:p w14:paraId="5D6FA1AE" w14:textId="77777777" w:rsidR="00C65C37" w:rsidRPr="00B4719E" w:rsidRDefault="00C65C37" w:rsidP="00A64D26">
      <w:pPr>
        <w:autoSpaceDE w:val="0"/>
        <w:autoSpaceDN w:val="0"/>
        <w:adjustRightInd w:val="0"/>
        <w:jc w:val="center"/>
        <w:rPr>
          <w:rFonts w:ascii="Arial" w:hAnsi="Arial" w:cs="Arial"/>
          <w:b/>
          <w:bCs/>
          <w:color w:val="000000"/>
          <w:sz w:val="32"/>
          <w:szCs w:val="32"/>
          <w:u w:val="single"/>
        </w:rPr>
      </w:pPr>
    </w:p>
    <w:p w14:paraId="1E9A681B" w14:textId="77777777" w:rsidR="00A07AEC" w:rsidRDefault="00A07AEC" w:rsidP="00A64D26">
      <w:pPr>
        <w:autoSpaceDE w:val="0"/>
        <w:autoSpaceDN w:val="0"/>
        <w:adjustRightInd w:val="0"/>
        <w:rPr>
          <w:rFonts w:ascii="Arial" w:hAnsi="Arial" w:cs="Arial"/>
          <w:b/>
          <w:bCs/>
          <w:color w:val="000000"/>
          <w:sz w:val="32"/>
          <w:szCs w:val="32"/>
          <w:u w:val="single"/>
        </w:rPr>
      </w:pPr>
    </w:p>
    <w:p w14:paraId="249889C2" w14:textId="77777777" w:rsidR="00A07AEC" w:rsidRDefault="00A07AEC" w:rsidP="00A64D26">
      <w:pPr>
        <w:autoSpaceDE w:val="0"/>
        <w:autoSpaceDN w:val="0"/>
        <w:adjustRightInd w:val="0"/>
        <w:rPr>
          <w:rFonts w:ascii="Arial" w:hAnsi="Arial" w:cs="Arial"/>
          <w:b/>
          <w:bCs/>
          <w:color w:val="000000"/>
          <w:sz w:val="32"/>
          <w:szCs w:val="32"/>
          <w:u w:val="single"/>
        </w:rPr>
      </w:pPr>
    </w:p>
    <w:p w14:paraId="0AE9A8ED" w14:textId="77777777" w:rsidR="00A07AEC" w:rsidRDefault="00A07AEC" w:rsidP="00A64D26">
      <w:pPr>
        <w:autoSpaceDE w:val="0"/>
        <w:autoSpaceDN w:val="0"/>
        <w:adjustRightInd w:val="0"/>
        <w:rPr>
          <w:rFonts w:ascii="Arial" w:hAnsi="Arial" w:cs="Arial"/>
          <w:b/>
          <w:bCs/>
          <w:color w:val="000000"/>
          <w:sz w:val="32"/>
          <w:szCs w:val="32"/>
          <w:u w:val="single"/>
        </w:rPr>
      </w:pPr>
    </w:p>
    <w:p w14:paraId="41025095" w14:textId="77777777" w:rsidR="00A07AEC" w:rsidRDefault="00487793" w:rsidP="00A64D26">
      <w:pPr>
        <w:autoSpaceDE w:val="0"/>
        <w:autoSpaceDN w:val="0"/>
        <w:adjustRightInd w:val="0"/>
        <w:rPr>
          <w:rFonts w:ascii="Arial" w:hAnsi="Arial" w:cs="Arial"/>
          <w:b/>
          <w:bCs/>
          <w:color w:val="000000"/>
          <w:sz w:val="32"/>
          <w:szCs w:val="32"/>
          <w:u w:val="single"/>
        </w:rPr>
      </w:pPr>
      <w:r>
        <w:rPr>
          <w:rFonts w:ascii="Arial" w:hAnsi="Arial" w:cs="Arial"/>
          <w:b/>
          <w:bCs/>
          <w:noProof/>
          <w:color w:val="000000"/>
          <w:sz w:val="32"/>
          <w:szCs w:val="32"/>
          <w:u w:val="single"/>
        </w:rPr>
        <mc:AlternateContent>
          <mc:Choice Requires="wps">
            <w:drawing>
              <wp:anchor distT="0" distB="0" distL="114300" distR="114300" simplePos="0" relativeHeight="251658240" behindDoc="0" locked="0" layoutInCell="0" allowOverlap="1" wp14:anchorId="1424A0BA" wp14:editId="5C36B2AC">
                <wp:simplePos x="0" y="0"/>
                <wp:positionH relativeFrom="column">
                  <wp:posOffset>-571500</wp:posOffset>
                </wp:positionH>
                <wp:positionV relativeFrom="paragraph">
                  <wp:posOffset>177800</wp:posOffset>
                </wp:positionV>
                <wp:extent cx="7010400" cy="62515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25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8C08" w14:textId="7885250F" w:rsidR="00EE159E" w:rsidRPr="00A55131" w:rsidRDefault="0051325C" w:rsidP="00A55131">
                            <w:pPr>
                              <w:pStyle w:val="Covertitle2"/>
                              <w:spacing w:after="240"/>
                              <w:ind w:left="0"/>
                              <w:jc w:val="center"/>
                              <w:rPr>
                                <w:sz w:val="52"/>
                                <w:szCs w:val="52"/>
                              </w:rPr>
                            </w:pPr>
                            <w:r>
                              <w:rPr>
                                <w:sz w:val="52"/>
                                <w:szCs w:val="52"/>
                              </w:rPr>
                              <w:t>Fi</w:t>
                            </w:r>
                            <w:r w:rsidR="00EE159E" w:rsidRPr="00A55131">
                              <w:rPr>
                                <w:sz w:val="52"/>
                                <w:szCs w:val="52"/>
                              </w:rPr>
                              <w:t>nal Annual Accounts</w:t>
                            </w:r>
                            <w:r w:rsidR="00EE159E" w:rsidRPr="00A55131">
                              <w:rPr>
                                <w:sz w:val="52"/>
                                <w:szCs w:val="52"/>
                              </w:rPr>
                              <w:br/>
                            </w:r>
                          </w:p>
                          <w:p w14:paraId="75DC0B95" w14:textId="77777777" w:rsidR="00EE159E" w:rsidRDefault="00EE159E" w:rsidP="003D6E3D">
                            <w:pPr>
                              <w:pStyle w:val="Covertitle2"/>
                              <w:ind w:left="0"/>
                              <w:jc w:val="center"/>
                              <w:rPr>
                                <w:sz w:val="52"/>
                                <w:szCs w:val="52"/>
                              </w:rPr>
                            </w:pPr>
                            <w:r w:rsidRPr="00A55131">
                              <w:rPr>
                                <w:sz w:val="52"/>
                                <w:szCs w:val="52"/>
                              </w:rPr>
                              <w:t>Research Executive Agency</w:t>
                            </w:r>
                          </w:p>
                          <w:p w14:paraId="15B55CED" w14:textId="77777777" w:rsidR="00EE159E" w:rsidRPr="00A55131" w:rsidRDefault="00EE159E" w:rsidP="003D6E3D">
                            <w:pPr>
                              <w:pStyle w:val="Covertitle2"/>
                              <w:ind w:left="0"/>
                              <w:jc w:val="center"/>
                              <w:rPr>
                                <w:sz w:val="52"/>
                                <w:szCs w:val="52"/>
                              </w:rPr>
                            </w:pPr>
                          </w:p>
                          <w:p w14:paraId="69BAA512" w14:textId="77777777" w:rsidR="00EE159E" w:rsidRDefault="00EE159E" w:rsidP="003D6E3D">
                            <w:pPr>
                              <w:pStyle w:val="Covertitle2"/>
                              <w:spacing w:after="240"/>
                              <w:ind w:left="0"/>
                              <w:jc w:val="center"/>
                              <w:rPr>
                                <w:sz w:val="44"/>
                                <w:szCs w:val="44"/>
                              </w:rPr>
                            </w:pPr>
                            <w:r>
                              <w:rPr>
                                <w:sz w:val="44"/>
                                <w:szCs w:val="44"/>
                              </w:rPr>
                              <w:t>Financial Statements</w:t>
                            </w:r>
                          </w:p>
                          <w:p w14:paraId="385B8D7D" w14:textId="77777777" w:rsidR="00EE159E" w:rsidRDefault="00EE159E" w:rsidP="00B07E7D">
                            <w:pPr>
                              <w:pStyle w:val="Covertitle2"/>
                              <w:spacing w:after="0"/>
                              <w:ind w:left="0"/>
                              <w:jc w:val="center"/>
                              <w:rPr>
                                <w:sz w:val="44"/>
                                <w:szCs w:val="44"/>
                              </w:rPr>
                            </w:pPr>
                            <w:r>
                              <w:rPr>
                                <w:sz w:val="44"/>
                                <w:szCs w:val="44"/>
                              </w:rPr>
                              <w:t>R</w:t>
                            </w:r>
                            <w:r w:rsidRPr="00866037">
                              <w:rPr>
                                <w:sz w:val="44"/>
                                <w:szCs w:val="44"/>
                              </w:rPr>
                              <w:t>eport</w:t>
                            </w:r>
                            <w:r>
                              <w:rPr>
                                <w:sz w:val="44"/>
                                <w:szCs w:val="44"/>
                              </w:rPr>
                              <w:t>s</w:t>
                            </w:r>
                            <w:r w:rsidRPr="00866037">
                              <w:rPr>
                                <w:sz w:val="44"/>
                                <w:szCs w:val="44"/>
                              </w:rPr>
                              <w:t xml:space="preserve"> on </w:t>
                            </w:r>
                            <w:r>
                              <w:rPr>
                                <w:sz w:val="44"/>
                                <w:szCs w:val="44"/>
                              </w:rPr>
                              <w:t xml:space="preserve">the implementation </w:t>
                            </w:r>
                          </w:p>
                          <w:p w14:paraId="2B4FC81B" w14:textId="77777777" w:rsidR="00EE159E" w:rsidRDefault="00EE159E" w:rsidP="003D6E3D">
                            <w:pPr>
                              <w:pStyle w:val="Covertitle2"/>
                              <w:spacing w:after="240"/>
                              <w:ind w:left="0"/>
                              <w:jc w:val="center"/>
                              <w:rPr>
                                <w:sz w:val="44"/>
                                <w:szCs w:val="44"/>
                              </w:rPr>
                            </w:pPr>
                            <w:r>
                              <w:rPr>
                                <w:sz w:val="44"/>
                                <w:szCs w:val="44"/>
                              </w:rPr>
                              <w:t>of the budget</w:t>
                            </w:r>
                          </w:p>
                          <w:p w14:paraId="2EBC8987" w14:textId="77777777" w:rsidR="00EE159E" w:rsidRDefault="00EE159E" w:rsidP="003D6E3D">
                            <w:pPr>
                              <w:pStyle w:val="Covertitle2"/>
                              <w:spacing w:after="240"/>
                              <w:ind w:left="0"/>
                              <w:jc w:val="center"/>
                              <w:rPr>
                                <w:sz w:val="44"/>
                                <w:szCs w:val="44"/>
                              </w:rPr>
                            </w:pPr>
                          </w:p>
                          <w:p w14:paraId="11F4D218" w14:textId="77777777" w:rsidR="00EE159E" w:rsidRPr="00866037" w:rsidRDefault="00EE159E" w:rsidP="003D6E3D">
                            <w:pPr>
                              <w:pStyle w:val="Covertitle2"/>
                              <w:spacing w:after="240"/>
                              <w:ind w:left="0"/>
                              <w:jc w:val="center"/>
                              <w:rPr>
                                <w:sz w:val="44"/>
                                <w:szCs w:val="44"/>
                              </w:rPr>
                            </w:pPr>
                            <w:r>
                              <w:rPr>
                                <w:sz w:val="44"/>
                                <w:szCs w:val="44"/>
                              </w:rPr>
                              <w:t>Financial year 2019</w:t>
                            </w:r>
                          </w:p>
                          <w:p w14:paraId="782C9238" w14:textId="77777777" w:rsidR="00EE159E" w:rsidRDefault="00EE159E" w:rsidP="00A07AEC">
                            <w:pPr>
                              <w:autoSpaceDE w:val="0"/>
                              <w:autoSpaceDN w:val="0"/>
                              <w:adjustRightInd w:val="0"/>
                              <w:rPr>
                                <w:rFonts w:ascii="Arial" w:hAnsi="Arial" w:cs="Arial"/>
                                <w:bCs/>
                                <w:color w:val="000000"/>
                                <w:sz w:val="16"/>
                                <w:szCs w:val="16"/>
                              </w:rPr>
                            </w:pPr>
                          </w:p>
                          <w:p w14:paraId="60F274B0" w14:textId="77777777" w:rsidR="00EE159E" w:rsidRDefault="00EE159E" w:rsidP="00A07AEC">
                            <w:pPr>
                              <w:autoSpaceDE w:val="0"/>
                              <w:autoSpaceDN w:val="0"/>
                              <w:adjustRightInd w:val="0"/>
                              <w:rPr>
                                <w:rFonts w:ascii="Arial" w:hAnsi="Arial" w:cs="Arial"/>
                                <w:bCs/>
                                <w:color w:val="000000"/>
                                <w:sz w:val="16"/>
                                <w:szCs w:val="16"/>
                              </w:rPr>
                            </w:pPr>
                          </w:p>
                          <w:p w14:paraId="50737800" w14:textId="7C30F7FC" w:rsidR="00EE159E" w:rsidRDefault="00EE159E" w:rsidP="00A07AEC">
                            <w:pPr>
                              <w:autoSpaceDE w:val="0"/>
                              <w:autoSpaceDN w:val="0"/>
                              <w:adjustRightInd w:val="0"/>
                              <w:rPr>
                                <w:rFonts w:ascii="Verdana" w:hAnsi="Verdana" w:cs="Arial"/>
                                <w:bCs/>
                                <w:color w:val="000000"/>
                                <w:sz w:val="16"/>
                                <w:szCs w:val="16"/>
                              </w:rPr>
                            </w:pPr>
                            <w:r w:rsidRPr="00EA5869">
                              <w:rPr>
                                <w:rFonts w:ascii="Verdana" w:hAnsi="Verdana" w:cs="Arial"/>
                                <w:bCs/>
                                <w:color w:val="000000"/>
                                <w:sz w:val="16"/>
                                <w:szCs w:val="16"/>
                              </w:rPr>
                              <w:t xml:space="preserve">The opinion of the Steering </w:t>
                            </w:r>
                            <w:r w:rsidRPr="008436DA">
                              <w:rPr>
                                <w:rFonts w:ascii="Verdana" w:hAnsi="Verdana" w:cs="Arial"/>
                                <w:bCs/>
                                <w:color w:val="000000"/>
                                <w:sz w:val="16"/>
                                <w:szCs w:val="16"/>
                              </w:rPr>
                              <w:t xml:space="preserve">Committee was given </w:t>
                            </w:r>
                            <w:r w:rsidR="00F52504">
                              <w:rPr>
                                <w:rFonts w:ascii="Verdana" w:hAnsi="Verdana" w:cs="Arial"/>
                                <w:bCs/>
                                <w:color w:val="000000"/>
                                <w:sz w:val="16"/>
                                <w:szCs w:val="16"/>
                                <w:highlight w:val="yellow"/>
                              </w:rPr>
                              <w:t>on 16.06</w:t>
                            </w:r>
                            <w:r w:rsidRPr="00011C65">
                              <w:rPr>
                                <w:rFonts w:ascii="Verdana" w:hAnsi="Verdana" w:cs="Arial"/>
                                <w:bCs/>
                                <w:color w:val="000000"/>
                                <w:sz w:val="16"/>
                                <w:szCs w:val="16"/>
                                <w:highlight w:val="yellow"/>
                              </w:rPr>
                              <w:t>.20</w:t>
                            </w:r>
                            <w:r>
                              <w:rPr>
                                <w:rFonts w:ascii="Verdana" w:hAnsi="Verdana" w:cs="Arial"/>
                                <w:bCs/>
                                <w:color w:val="000000"/>
                                <w:sz w:val="16"/>
                                <w:szCs w:val="16"/>
                                <w:highlight w:val="yellow"/>
                              </w:rPr>
                              <w:t>20</w:t>
                            </w:r>
                          </w:p>
                          <w:p w14:paraId="78CF7FB3" w14:textId="0D990762" w:rsidR="00EE159E" w:rsidRPr="00EA5869" w:rsidRDefault="00EE159E" w:rsidP="00A07AEC">
                            <w:pPr>
                              <w:autoSpaceDE w:val="0"/>
                              <w:autoSpaceDN w:val="0"/>
                              <w:adjustRightInd w:val="0"/>
                              <w:rPr>
                                <w:rFonts w:ascii="Verdana" w:hAnsi="Verdana" w:cs="Arial"/>
                                <w:bCs/>
                                <w:color w:val="000000"/>
                                <w:sz w:val="16"/>
                                <w:szCs w:val="16"/>
                              </w:rPr>
                            </w:pPr>
                            <w:r w:rsidRPr="00EA5869">
                              <w:rPr>
                                <w:rFonts w:ascii="Verdana" w:hAnsi="Verdana" w:cs="Arial"/>
                                <w:bCs/>
                                <w:color w:val="000000"/>
                                <w:sz w:val="16"/>
                                <w:szCs w:val="16"/>
                              </w:rPr>
                              <w:t>The accounts</w:t>
                            </w:r>
                            <w:r>
                              <w:rPr>
                                <w:rFonts w:ascii="Verdana" w:hAnsi="Verdana" w:cs="Arial"/>
                                <w:bCs/>
                                <w:color w:val="000000"/>
                                <w:sz w:val="16"/>
                                <w:szCs w:val="16"/>
                              </w:rPr>
                              <w:t xml:space="preserve"> are</w:t>
                            </w:r>
                            <w:r w:rsidRPr="00EA5869">
                              <w:rPr>
                                <w:rFonts w:ascii="Verdana" w:hAnsi="Verdana" w:cs="Arial"/>
                                <w:bCs/>
                                <w:color w:val="000000"/>
                                <w:sz w:val="16"/>
                                <w:szCs w:val="16"/>
                              </w:rPr>
                              <w:t xml:space="preserve"> sent to the Commission's Accounting Officer, the </w:t>
                            </w:r>
                            <w:r>
                              <w:rPr>
                                <w:rFonts w:ascii="Verdana" w:hAnsi="Verdana" w:cs="Arial"/>
                                <w:bCs/>
                                <w:color w:val="000000"/>
                                <w:sz w:val="16"/>
                                <w:szCs w:val="16"/>
                              </w:rPr>
                              <w:t xml:space="preserve">European </w:t>
                            </w:r>
                            <w:r w:rsidRPr="00EA5869">
                              <w:rPr>
                                <w:rFonts w:ascii="Verdana" w:hAnsi="Verdana" w:cs="Arial"/>
                                <w:bCs/>
                                <w:color w:val="000000"/>
                                <w:sz w:val="16"/>
                                <w:szCs w:val="16"/>
                              </w:rPr>
                              <w:t>Court of Auditors, the European Parliament and the Council</w:t>
                            </w:r>
                            <w:r>
                              <w:rPr>
                                <w:rFonts w:ascii="Verdana" w:hAnsi="Verdana" w:cs="Arial"/>
                                <w:bCs/>
                                <w:color w:val="000000"/>
                                <w:sz w:val="16"/>
                                <w:szCs w:val="16"/>
                              </w:rPr>
                              <w:t>.</w:t>
                            </w:r>
                          </w:p>
                          <w:p w14:paraId="4B62DEDA" w14:textId="77777777" w:rsidR="00EE159E" w:rsidRPr="00EA5869" w:rsidRDefault="00EE159E" w:rsidP="00A07AEC">
                            <w:pPr>
                              <w:rPr>
                                <w:rFonts w:ascii="Verdana" w:hAnsi="Verdana"/>
                              </w:rPr>
                            </w:pPr>
                            <w:r w:rsidRPr="00EA5869">
                              <w:rPr>
                                <w:rFonts w:ascii="Verdana" w:hAnsi="Verdana" w:cs="Arial"/>
                                <w:bCs/>
                                <w:color w:val="000000"/>
                                <w:sz w:val="16"/>
                                <w:szCs w:val="16"/>
                              </w:rPr>
                              <w:t>The</w:t>
                            </w:r>
                            <w:r>
                              <w:rPr>
                                <w:rFonts w:ascii="Verdana" w:hAnsi="Verdana" w:cs="Arial"/>
                                <w:bCs/>
                                <w:color w:val="000000"/>
                                <w:sz w:val="16"/>
                                <w:szCs w:val="16"/>
                              </w:rPr>
                              <w:t xml:space="preserve">y will also be </w:t>
                            </w:r>
                            <w:r w:rsidRPr="00EA5869">
                              <w:rPr>
                                <w:rFonts w:ascii="Verdana" w:hAnsi="Verdana" w:cs="Arial"/>
                                <w:bCs/>
                                <w:color w:val="000000"/>
                                <w:sz w:val="16"/>
                                <w:szCs w:val="16"/>
                              </w:rPr>
                              <w:t>published on the REA website:</w:t>
                            </w:r>
                            <w:r>
                              <w:rPr>
                                <w:rFonts w:ascii="Verdana" w:hAnsi="Verdana" w:cs="Arial"/>
                                <w:bCs/>
                                <w:color w:val="000000"/>
                                <w:sz w:val="16"/>
                                <w:szCs w:val="16"/>
                              </w:rPr>
                              <w:t xml:space="preserve"> </w:t>
                            </w:r>
                            <w:hyperlink r:id="rId9" w:tooltip="http://ec.europa.eu/research/rea/" w:history="1">
                              <w:r w:rsidRPr="00ED5B0F">
                                <w:rPr>
                                  <w:rFonts w:ascii="Verdana" w:hAnsi="Verdana" w:cs="Arial"/>
                                  <w:color w:val="0000FF"/>
                                  <w:sz w:val="16"/>
                                  <w:u w:val="single"/>
                                </w:rPr>
                                <w:t>http://ec.europa.eu/research/rea/</w:t>
                              </w:r>
                            </w:hyperlink>
                          </w:p>
                          <w:p w14:paraId="2B0C2F88" w14:textId="77777777" w:rsidR="00EE159E" w:rsidRPr="00866037" w:rsidRDefault="00EE159E" w:rsidP="00A07AEC">
                            <w:pPr>
                              <w:pStyle w:val="Covertitle2"/>
                              <w:ind w:left="0"/>
                              <w:rPr>
                                <w:sz w:val="44"/>
                                <w:szCs w:val="44"/>
                              </w:rPr>
                            </w:pPr>
                          </w:p>
                          <w:p w14:paraId="0D88422F" w14:textId="77777777" w:rsidR="00EE159E" w:rsidRPr="00866037" w:rsidRDefault="00EE159E" w:rsidP="00A07AEC">
                            <w:pPr>
                              <w:pStyle w:val="Covertitle2"/>
                            </w:pPr>
                          </w:p>
                          <w:p w14:paraId="3F5FCD61" w14:textId="77777777" w:rsidR="00EE159E" w:rsidRPr="00AA0976" w:rsidRDefault="00EE159E" w:rsidP="00A07AEC"/>
                          <w:p w14:paraId="5956E6F1" w14:textId="77777777" w:rsidR="00EE159E" w:rsidRPr="00AA0976" w:rsidRDefault="00EE159E" w:rsidP="00A07AEC"/>
                          <w:p w14:paraId="75E68A2F" w14:textId="77777777" w:rsidR="00EE159E" w:rsidRPr="00AA0976" w:rsidRDefault="00EE159E" w:rsidP="00A07A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4A0BA" id="_x0000_t202" coordsize="21600,21600" o:spt="202" path="m,l,21600r21600,l21600,xe">
                <v:stroke joinstyle="miter"/>
                <v:path gradientshapeok="t" o:connecttype="rect"/>
              </v:shapetype>
              <v:shape id="Text Box 3" o:spid="_x0000_s1026" type="#_x0000_t202" style="position:absolute;margin-left:-45pt;margin-top:14pt;width:552pt;height:4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lu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" o:allowincell="f" filled="f" stroked="f">
                <v:textbox>
                  <w:txbxContent>
                    <w:p w14:paraId="79EF8C08" w14:textId="7885250F" w:rsidR="00EE159E" w:rsidRPr="00A55131" w:rsidRDefault="0051325C" w:rsidP="00A55131">
                      <w:pPr>
                        <w:pStyle w:val="Covertitle2"/>
                        <w:spacing w:after="240"/>
                        <w:ind w:left="0"/>
                        <w:jc w:val="center"/>
                        <w:rPr>
                          <w:sz w:val="52"/>
                          <w:szCs w:val="52"/>
                        </w:rPr>
                      </w:pPr>
                      <w:r>
                        <w:rPr>
                          <w:sz w:val="52"/>
                          <w:szCs w:val="52"/>
                        </w:rPr>
                        <w:t>Fi</w:t>
                      </w:r>
                      <w:r w:rsidR="00EE159E" w:rsidRPr="00A55131">
                        <w:rPr>
                          <w:sz w:val="52"/>
                          <w:szCs w:val="52"/>
                        </w:rPr>
                        <w:t>nal Annual Accounts</w:t>
                      </w:r>
                      <w:r w:rsidR="00EE159E" w:rsidRPr="00A55131">
                        <w:rPr>
                          <w:sz w:val="52"/>
                          <w:szCs w:val="52"/>
                        </w:rPr>
                        <w:br/>
                      </w:r>
                    </w:p>
                    <w:p w14:paraId="75DC0B95" w14:textId="77777777" w:rsidR="00EE159E" w:rsidRDefault="00EE159E" w:rsidP="003D6E3D">
                      <w:pPr>
                        <w:pStyle w:val="Covertitle2"/>
                        <w:ind w:left="0"/>
                        <w:jc w:val="center"/>
                        <w:rPr>
                          <w:sz w:val="52"/>
                          <w:szCs w:val="52"/>
                        </w:rPr>
                      </w:pPr>
                      <w:r w:rsidRPr="00A55131">
                        <w:rPr>
                          <w:sz w:val="52"/>
                          <w:szCs w:val="52"/>
                        </w:rPr>
                        <w:t>Research Executive Agency</w:t>
                      </w:r>
                    </w:p>
                    <w:p w14:paraId="15B55CED" w14:textId="77777777" w:rsidR="00EE159E" w:rsidRPr="00A55131" w:rsidRDefault="00EE159E" w:rsidP="003D6E3D">
                      <w:pPr>
                        <w:pStyle w:val="Covertitle2"/>
                        <w:ind w:left="0"/>
                        <w:jc w:val="center"/>
                        <w:rPr>
                          <w:sz w:val="52"/>
                          <w:szCs w:val="52"/>
                        </w:rPr>
                      </w:pPr>
                    </w:p>
                    <w:p w14:paraId="69BAA512" w14:textId="77777777" w:rsidR="00EE159E" w:rsidRDefault="00EE159E" w:rsidP="003D6E3D">
                      <w:pPr>
                        <w:pStyle w:val="Covertitle2"/>
                        <w:spacing w:after="240"/>
                        <w:ind w:left="0"/>
                        <w:jc w:val="center"/>
                        <w:rPr>
                          <w:sz w:val="44"/>
                          <w:szCs w:val="44"/>
                        </w:rPr>
                      </w:pPr>
                      <w:r>
                        <w:rPr>
                          <w:sz w:val="44"/>
                          <w:szCs w:val="44"/>
                        </w:rPr>
                        <w:t>Financial Statements</w:t>
                      </w:r>
                    </w:p>
                    <w:p w14:paraId="385B8D7D" w14:textId="77777777" w:rsidR="00EE159E" w:rsidRDefault="00EE159E" w:rsidP="00B07E7D">
                      <w:pPr>
                        <w:pStyle w:val="Covertitle2"/>
                        <w:spacing w:after="0"/>
                        <w:ind w:left="0"/>
                        <w:jc w:val="center"/>
                        <w:rPr>
                          <w:sz w:val="44"/>
                          <w:szCs w:val="44"/>
                        </w:rPr>
                      </w:pPr>
                      <w:r>
                        <w:rPr>
                          <w:sz w:val="44"/>
                          <w:szCs w:val="44"/>
                        </w:rPr>
                        <w:t>R</w:t>
                      </w:r>
                      <w:r w:rsidRPr="00866037">
                        <w:rPr>
                          <w:sz w:val="44"/>
                          <w:szCs w:val="44"/>
                        </w:rPr>
                        <w:t>eport</w:t>
                      </w:r>
                      <w:r>
                        <w:rPr>
                          <w:sz w:val="44"/>
                          <w:szCs w:val="44"/>
                        </w:rPr>
                        <w:t>s</w:t>
                      </w:r>
                      <w:r w:rsidRPr="00866037">
                        <w:rPr>
                          <w:sz w:val="44"/>
                          <w:szCs w:val="44"/>
                        </w:rPr>
                        <w:t xml:space="preserve"> on </w:t>
                      </w:r>
                      <w:r>
                        <w:rPr>
                          <w:sz w:val="44"/>
                          <w:szCs w:val="44"/>
                        </w:rPr>
                        <w:t xml:space="preserve">the implementation </w:t>
                      </w:r>
                    </w:p>
                    <w:p w14:paraId="2B4FC81B" w14:textId="77777777" w:rsidR="00EE159E" w:rsidRDefault="00EE159E" w:rsidP="003D6E3D">
                      <w:pPr>
                        <w:pStyle w:val="Covertitle2"/>
                        <w:spacing w:after="240"/>
                        <w:ind w:left="0"/>
                        <w:jc w:val="center"/>
                        <w:rPr>
                          <w:sz w:val="44"/>
                          <w:szCs w:val="44"/>
                        </w:rPr>
                      </w:pPr>
                      <w:r>
                        <w:rPr>
                          <w:sz w:val="44"/>
                          <w:szCs w:val="44"/>
                        </w:rPr>
                        <w:t>of the budget</w:t>
                      </w:r>
                    </w:p>
                    <w:p w14:paraId="2EBC8987" w14:textId="77777777" w:rsidR="00EE159E" w:rsidRDefault="00EE159E" w:rsidP="003D6E3D">
                      <w:pPr>
                        <w:pStyle w:val="Covertitle2"/>
                        <w:spacing w:after="240"/>
                        <w:ind w:left="0"/>
                        <w:jc w:val="center"/>
                        <w:rPr>
                          <w:sz w:val="44"/>
                          <w:szCs w:val="44"/>
                        </w:rPr>
                      </w:pPr>
                    </w:p>
                    <w:p w14:paraId="11F4D218" w14:textId="77777777" w:rsidR="00EE159E" w:rsidRPr="00866037" w:rsidRDefault="00EE159E" w:rsidP="003D6E3D">
                      <w:pPr>
                        <w:pStyle w:val="Covertitle2"/>
                        <w:spacing w:after="240"/>
                        <w:ind w:left="0"/>
                        <w:jc w:val="center"/>
                        <w:rPr>
                          <w:sz w:val="44"/>
                          <w:szCs w:val="44"/>
                        </w:rPr>
                      </w:pPr>
                      <w:r>
                        <w:rPr>
                          <w:sz w:val="44"/>
                          <w:szCs w:val="44"/>
                        </w:rPr>
                        <w:t>Financial year 2019</w:t>
                      </w:r>
                    </w:p>
                    <w:p w14:paraId="782C9238" w14:textId="77777777" w:rsidR="00EE159E" w:rsidRDefault="00EE159E" w:rsidP="00A07AEC">
                      <w:pPr>
                        <w:autoSpaceDE w:val="0"/>
                        <w:autoSpaceDN w:val="0"/>
                        <w:adjustRightInd w:val="0"/>
                        <w:rPr>
                          <w:rFonts w:ascii="Arial" w:hAnsi="Arial" w:cs="Arial"/>
                          <w:bCs/>
                          <w:color w:val="000000"/>
                          <w:sz w:val="16"/>
                          <w:szCs w:val="16"/>
                        </w:rPr>
                      </w:pPr>
                    </w:p>
                    <w:p w14:paraId="60F274B0" w14:textId="77777777" w:rsidR="00EE159E" w:rsidRDefault="00EE159E" w:rsidP="00A07AEC">
                      <w:pPr>
                        <w:autoSpaceDE w:val="0"/>
                        <w:autoSpaceDN w:val="0"/>
                        <w:adjustRightInd w:val="0"/>
                        <w:rPr>
                          <w:rFonts w:ascii="Arial" w:hAnsi="Arial" w:cs="Arial"/>
                          <w:bCs/>
                          <w:color w:val="000000"/>
                          <w:sz w:val="16"/>
                          <w:szCs w:val="16"/>
                        </w:rPr>
                      </w:pPr>
                    </w:p>
                    <w:p w14:paraId="50737800" w14:textId="7C30F7FC" w:rsidR="00EE159E" w:rsidRDefault="00EE159E" w:rsidP="00A07AEC">
                      <w:pPr>
                        <w:autoSpaceDE w:val="0"/>
                        <w:autoSpaceDN w:val="0"/>
                        <w:adjustRightInd w:val="0"/>
                        <w:rPr>
                          <w:rFonts w:ascii="Verdana" w:hAnsi="Verdana" w:cs="Arial"/>
                          <w:bCs/>
                          <w:color w:val="000000"/>
                          <w:sz w:val="16"/>
                          <w:szCs w:val="16"/>
                        </w:rPr>
                      </w:pPr>
                      <w:r w:rsidRPr="00EA5869">
                        <w:rPr>
                          <w:rFonts w:ascii="Verdana" w:hAnsi="Verdana" w:cs="Arial"/>
                          <w:bCs/>
                          <w:color w:val="000000"/>
                          <w:sz w:val="16"/>
                          <w:szCs w:val="16"/>
                        </w:rPr>
                        <w:t xml:space="preserve">The opinion of the Steering </w:t>
                      </w:r>
                      <w:r w:rsidRPr="008436DA">
                        <w:rPr>
                          <w:rFonts w:ascii="Verdana" w:hAnsi="Verdana" w:cs="Arial"/>
                          <w:bCs/>
                          <w:color w:val="000000"/>
                          <w:sz w:val="16"/>
                          <w:szCs w:val="16"/>
                        </w:rPr>
                        <w:t xml:space="preserve">Committee was given </w:t>
                      </w:r>
                      <w:r w:rsidR="00F52504">
                        <w:rPr>
                          <w:rFonts w:ascii="Verdana" w:hAnsi="Verdana" w:cs="Arial"/>
                          <w:bCs/>
                          <w:color w:val="000000"/>
                          <w:sz w:val="16"/>
                          <w:szCs w:val="16"/>
                          <w:highlight w:val="yellow"/>
                        </w:rPr>
                        <w:t>on 16.06</w:t>
                      </w:r>
                      <w:r w:rsidRPr="00011C65">
                        <w:rPr>
                          <w:rFonts w:ascii="Verdana" w:hAnsi="Verdana" w:cs="Arial"/>
                          <w:bCs/>
                          <w:color w:val="000000"/>
                          <w:sz w:val="16"/>
                          <w:szCs w:val="16"/>
                          <w:highlight w:val="yellow"/>
                        </w:rPr>
                        <w:t>.20</w:t>
                      </w:r>
                      <w:r>
                        <w:rPr>
                          <w:rFonts w:ascii="Verdana" w:hAnsi="Verdana" w:cs="Arial"/>
                          <w:bCs/>
                          <w:color w:val="000000"/>
                          <w:sz w:val="16"/>
                          <w:szCs w:val="16"/>
                          <w:highlight w:val="yellow"/>
                        </w:rPr>
                        <w:t>20</w:t>
                      </w:r>
                    </w:p>
                    <w:p w14:paraId="78CF7FB3" w14:textId="0D990762" w:rsidR="00EE159E" w:rsidRPr="00EA5869" w:rsidRDefault="00EE159E" w:rsidP="00A07AEC">
                      <w:pPr>
                        <w:autoSpaceDE w:val="0"/>
                        <w:autoSpaceDN w:val="0"/>
                        <w:adjustRightInd w:val="0"/>
                        <w:rPr>
                          <w:rFonts w:ascii="Verdana" w:hAnsi="Verdana" w:cs="Arial"/>
                          <w:bCs/>
                          <w:color w:val="000000"/>
                          <w:sz w:val="16"/>
                          <w:szCs w:val="16"/>
                        </w:rPr>
                      </w:pPr>
                      <w:r w:rsidRPr="00EA5869">
                        <w:rPr>
                          <w:rFonts w:ascii="Verdana" w:hAnsi="Verdana" w:cs="Arial"/>
                          <w:bCs/>
                          <w:color w:val="000000"/>
                          <w:sz w:val="16"/>
                          <w:szCs w:val="16"/>
                        </w:rPr>
                        <w:t>The accounts</w:t>
                      </w:r>
                      <w:r>
                        <w:rPr>
                          <w:rFonts w:ascii="Verdana" w:hAnsi="Verdana" w:cs="Arial"/>
                          <w:bCs/>
                          <w:color w:val="000000"/>
                          <w:sz w:val="16"/>
                          <w:szCs w:val="16"/>
                        </w:rPr>
                        <w:t xml:space="preserve"> are</w:t>
                      </w:r>
                      <w:r w:rsidRPr="00EA5869">
                        <w:rPr>
                          <w:rFonts w:ascii="Verdana" w:hAnsi="Verdana" w:cs="Arial"/>
                          <w:bCs/>
                          <w:color w:val="000000"/>
                          <w:sz w:val="16"/>
                          <w:szCs w:val="16"/>
                        </w:rPr>
                        <w:t xml:space="preserve"> sent to the Commission's Accounting Officer, the </w:t>
                      </w:r>
                      <w:r>
                        <w:rPr>
                          <w:rFonts w:ascii="Verdana" w:hAnsi="Verdana" w:cs="Arial"/>
                          <w:bCs/>
                          <w:color w:val="000000"/>
                          <w:sz w:val="16"/>
                          <w:szCs w:val="16"/>
                        </w:rPr>
                        <w:t xml:space="preserve">European </w:t>
                      </w:r>
                      <w:r w:rsidRPr="00EA5869">
                        <w:rPr>
                          <w:rFonts w:ascii="Verdana" w:hAnsi="Verdana" w:cs="Arial"/>
                          <w:bCs/>
                          <w:color w:val="000000"/>
                          <w:sz w:val="16"/>
                          <w:szCs w:val="16"/>
                        </w:rPr>
                        <w:t>Court of Auditors, the European Parliament and the Council</w:t>
                      </w:r>
                      <w:r>
                        <w:rPr>
                          <w:rFonts w:ascii="Verdana" w:hAnsi="Verdana" w:cs="Arial"/>
                          <w:bCs/>
                          <w:color w:val="000000"/>
                          <w:sz w:val="16"/>
                          <w:szCs w:val="16"/>
                        </w:rPr>
                        <w:t>.</w:t>
                      </w:r>
                    </w:p>
                    <w:p w14:paraId="4B62DEDA" w14:textId="77777777" w:rsidR="00EE159E" w:rsidRPr="00EA5869" w:rsidRDefault="00EE159E" w:rsidP="00A07AEC">
                      <w:pPr>
                        <w:rPr>
                          <w:rFonts w:ascii="Verdana" w:hAnsi="Verdana"/>
                        </w:rPr>
                      </w:pPr>
                      <w:r w:rsidRPr="00EA5869">
                        <w:rPr>
                          <w:rFonts w:ascii="Verdana" w:hAnsi="Verdana" w:cs="Arial"/>
                          <w:bCs/>
                          <w:color w:val="000000"/>
                          <w:sz w:val="16"/>
                          <w:szCs w:val="16"/>
                        </w:rPr>
                        <w:t>The</w:t>
                      </w:r>
                      <w:r>
                        <w:rPr>
                          <w:rFonts w:ascii="Verdana" w:hAnsi="Verdana" w:cs="Arial"/>
                          <w:bCs/>
                          <w:color w:val="000000"/>
                          <w:sz w:val="16"/>
                          <w:szCs w:val="16"/>
                        </w:rPr>
                        <w:t xml:space="preserve">y will also be </w:t>
                      </w:r>
                      <w:r w:rsidRPr="00EA5869">
                        <w:rPr>
                          <w:rFonts w:ascii="Verdana" w:hAnsi="Verdana" w:cs="Arial"/>
                          <w:bCs/>
                          <w:color w:val="000000"/>
                          <w:sz w:val="16"/>
                          <w:szCs w:val="16"/>
                        </w:rPr>
                        <w:t>published on the REA website:</w:t>
                      </w:r>
                      <w:r>
                        <w:rPr>
                          <w:rFonts w:ascii="Verdana" w:hAnsi="Verdana" w:cs="Arial"/>
                          <w:bCs/>
                          <w:color w:val="000000"/>
                          <w:sz w:val="16"/>
                          <w:szCs w:val="16"/>
                        </w:rPr>
                        <w:t xml:space="preserve"> </w:t>
                      </w:r>
                      <w:hyperlink r:id="rId10" w:tooltip="http://ec.europa.eu/research/rea/" w:history="1">
                        <w:r w:rsidRPr="00ED5B0F">
                          <w:rPr>
                            <w:rFonts w:ascii="Verdana" w:hAnsi="Verdana" w:cs="Arial"/>
                            <w:color w:val="0000FF"/>
                            <w:sz w:val="16"/>
                            <w:u w:val="single"/>
                          </w:rPr>
                          <w:t>http://ec.europa.eu/research/rea/</w:t>
                        </w:r>
                      </w:hyperlink>
                    </w:p>
                    <w:p w14:paraId="2B0C2F88" w14:textId="77777777" w:rsidR="00EE159E" w:rsidRPr="00866037" w:rsidRDefault="00EE159E" w:rsidP="00A07AEC">
                      <w:pPr>
                        <w:pStyle w:val="Covertitle2"/>
                        <w:ind w:left="0"/>
                        <w:rPr>
                          <w:sz w:val="44"/>
                          <w:szCs w:val="44"/>
                        </w:rPr>
                      </w:pPr>
                    </w:p>
                    <w:p w14:paraId="0D88422F" w14:textId="77777777" w:rsidR="00EE159E" w:rsidRPr="00866037" w:rsidRDefault="00EE159E" w:rsidP="00A07AEC">
                      <w:pPr>
                        <w:pStyle w:val="Covertitle2"/>
                      </w:pPr>
                    </w:p>
                    <w:p w14:paraId="3F5FCD61" w14:textId="77777777" w:rsidR="00EE159E" w:rsidRPr="00AA0976" w:rsidRDefault="00EE159E" w:rsidP="00A07AEC"/>
                    <w:p w14:paraId="5956E6F1" w14:textId="77777777" w:rsidR="00EE159E" w:rsidRPr="00AA0976" w:rsidRDefault="00EE159E" w:rsidP="00A07AEC"/>
                    <w:p w14:paraId="75E68A2F" w14:textId="77777777" w:rsidR="00EE159E" w:rsidRPr="00AA0976" w:rsidRDefault="00EE159E" w:rsidP="00A07AEC"/>
                  </w:txbxContent>
                </v:textbox>
              </v:shape>
            </w:pict>
          </mc:Fallback>
        </mc:AlternateContent>
      </w:r>
    </w:p>
    <w:p w14:paraId="10DA3EB8" w14:textId="77777777" w:rsidR="00A07AEC" w:rsidRDefault="00A07AEC" w:rsidP="00A64D26">
      <w:pPr>
        <w:autoSpaceDE w:val="0"/>
        <w:autoSpaceDN w:val="0"/>
        <w:adjustRightInd w:val="0"/>
        <w:rPr>
          <w:rFonts w:ascii="Arial" w:hAnsi="Arial" w:cs="Arial"/>
          <w:b/>
          <w:bCs/>
          <w:color w:val="000000"/>
          <w:sz w:val="32"/>
          <w:szCs w:val="32"/>
          <w:u w:val="single"/>
        </w:rPr>
      </w:pPr>
    </w:p>
    <w:p w14:paraId="1FA4E37A" w14:textId="77777777" w:rsidR="00A07AEC" w:rsidRDefault="00A07AEC" w:rsidP="00A64D26">
      <w:pPr>
        <w:autoSpaceDE w:val="0"/>
        <w:autoSpaceDN w:val="0"/>
        <w:adjustRightInd w:val="0"/>
        <w:rPr>
          <w:rFonts w:ascii="Arial" w:hAnsi="Arial" w:cs="Arial"/>
          <w:b/>
          <w:bCs/>
          <w:color w:val="000000"/>
          <w:sz w:val="32"/>
          <w:szCs w:val="32"/>
          <w:u w:val="single"/>
        </w:rPr>
      </w:pPr>
    </w:p>
    <w:p w14:paraId="13B76F81" w14:textId="77777777" w:rsidR="00A07AEC" w:rsidRDefault="00A07AEC" w:rsidP="00A64D26">
      <w:pPr>
        <w:autoSpaceDE w:val="0"/>
        <w:autoSpaceDN w:val="0"/>
        <w:adjustRightInd w:val="0"/>
        <w:rPr>
          <w:rFonts w:ascii="Arial" w:hAnsi="Arial" w:cs="Arial"/>
          <w:b/>
          <w:bCs/>
          <w:color w:val="000000"/>
          <w:sz w:val="32"/>
          <w:szCs w:val="32"/>
          <w:u w:val="single"/>
        </w:rPr>
      </w:pPr>
    </w:p>
    <w:p w14:paraId="7F3D5378" w14:textId="77777777" w:rsidR="00A07AEC" w:rsidRDefault="00A07AEC" w:rsidP="00A64D26">
      <w:pPr>
        <w:autoSpaceDE w:val="0"/>
        <w:autoSpaceDN w:val="0"/>
        <w:adjustRightInd w:val="0"/>
        <w:rPr>
          <w:rFonts w:ascii="Arial" w:hAnsi="Arial" w:cs="Arial"/>
          <w:b/>
          <w:bCs/>
          <w:color w:val="000000"/>
          <w:sz w:val="32"/>
          <w:szCs w:val="32"/>
          <w:u w:val="single"/>
        </w:rPr>
      </w:pPr>
    </w:p>
    <w:p w14:paraId="6EB817DB" w14:textId="77777777" w:rsidR="00C65C37" w:rsidRPr="009C4D27" w:rsidRDefault="00A07AEC" w:rsidP="00A64D26">
      <w:pPr>
        <w:autoSpaceDE w:val="0"/>
        <w:autoSpaceDN w:val="0"/>
        <w:adjustRightInd w:val="0"/>
        <w:rPr>
          <w:b/>
          <w:bCs/>
          <w:color w:val="000000"/>
          <w:u w:val="single"/>
        </w:rPr>
      </w:pPr>
      <w:r>
        <w:rPr>
          <w:rFonts w:ascii="Arial" w:hAnsi="Arial" w:cs="Arial"/>
          <w:b/>
          <w:bCs/>
          <w:color w:val="000000"/>
          <w:sz w:val="32"/>
          <w:szCs w:val="32"/>
          <w:u w:val="single"/>
        </w:rPr>
        <w:br w:type="page"/>
      </w:r>
      <w:r w:rsidR="00936535" w:rsidRPr="009C4D27">
        <w:rPr>
          <w:b/>
          <w:bCs/>
          <w:color w:val="000000"/>
          <w:u w:val="single"/>
        </w:rPr>
        <w:lastRenderedPageBreak/>
        <w:t>Table of contents</w:t>
      </w:r>
    </w:p>
    <w:p w14:paraId="277810BD" w14:textId="77777777" w:rsidR="00936535" w:rsidRPr="009C4D27" w:rsidRDefault="00936535" w:rsidP="00A64D26">
      <w:pPr>
        <w:autoSpaceDE w:val="0"/>
        <w:autoSpaceDN w:val="0"/>
        <w:adjustRightInd w:val="0"/>
        <w:rPr>
          <w:b/>
          <w:bCs/>
          <w:color w:val="000000"/>
          <w:u w:val="single"/>
        </w:rPr>
      </w:pPr>
    </w:p>
    <w:p w14:paraId="2585F0D7" w14:textId="0F02D106" w:rsidR="00663454" w:rsidRDefault="00936535">
      <w:pPr>
        <w:pStyle w:val="TOC1"/>
        <w:rPr>
          <w:rFonts w:asciiTheme="minorHAnsi" w:eastAsiaTheme="minorEastAsia" w:hAnsiTheme="minorHAnsi" w:cstheme="minorBidi"/>
          <w:b w:val="0"/>
          <w:sz w:val="22"/>
          <w:lang w:val="fr-BE" w:eastAsia="fr-BE"/>
        </w:rPr>
      </w:pPr>
      <w:r w:rsidRPr="009C4D27">
        <w:rPr>
          <w:bCs/>
          <w:color w:val="000000"/>
          <w:sz w:val="20"/>
          <w:szCs w:val="20"/>
        </w:rPr>
        <w:fldChar w:fldCharType="begin"/>
      </w:r>
      <w:r w:rsidRPr="00667610">
        <w:rPr>
          <w:bCs/>
          <w:color w:val="000000"/>
          <w:sz w:val="20"/>
          <w:szCs w:val="20"/>
        </w:rPr>
        <w:instrText xml:space="preserve"> TOC \o "1-3" \h \z \u </w:instrText>
      </w:r>
      <w:r w:rsidRPr="009C4D27">
        <w:rPr>
          <w:bCs/>
          <w:color w:val="000000"/>
          <w:sz w:val="20"/>
          <w:szCs w:val="20"/>
        </w:rPr>
        <w:fldChar w:fldCharType="separate"/>
      </w:r>
      <w:hyperlink w:anchor="_Toc31821684" w:history="1">
        <w:r w:rsidR="00663454" w:rsidRPr="00952C1C">
          <w:rPr>
            <w:rStyle w:val="Hyperlink"/>
            <w:rFonts w:cs="Arial"/>
          </w:rPr>
          <w:t>CERTIFICATE AND STATEMENT OF THE DIRECTOR</w:t>
        </w:r>
        <w:r w:rsidR="00663454">
          <w:rPr>
            <w:webHidden/>
          </w:rPr>
          <w:tab/>
        </w:r>
        <w:r w:rsidR="00663454">
          <w:rPr>
            <w:webHidden/>
          </w:rPr>
          <w:fldChar w:fldCharType="begin"/>
        </w:r>
        <w:r w:rsidR="00663454">
          <w:rPr>
            <w:webHidden/>
          </w:rPr>
          <w:instrText xml:space="preserve"> PAGEREF _Toc31821684 \h </w:instrText>
        </w:r>
        <w:r w:rsidR="00663454">
          <w:rPr>
            <w:webHidden/>
          </w:rPr>
        </w:r>
        <w:r w:rsidR="00663454">
          <w:rPr>
            <w:webHidden/>
          </w:rPr>
          <w:fldChar w:fldCharType="separate"/>
        </w:r>
        <w:r w:rsidR="00663454">
          <w:rPr>
            <w:webHidden/>
          </w:rPr>
          <w:t>3</w:t>
        </w:r>
        <w:r w:rsidR="00663454">
          <w:rPr>
            <w:webHidden/>
          </w:rPr>
          <w:fldChar w:fldCharType="end"/>
        </w:r>
      </w:hyperlink>
    </w:p>
    <w:p w14:paraId="1E7537E8" w14:textId="03DEAEDD" w:rsidR="00663454" w:rsidRDefault="00C97FBA">
      <w:pPr>
        <w:pStyle w:val="TOC1"/>
        <w:rPr>
          <w:rFonts w:asciiTheme="minorHAnsi" w:eastAsiaTheme="minorEastAsia" w:hAnsiTheme="minorHAnsi" w:cstheme="minorBidi"/>
          <w:b w:val="0"/>
          <w:sz w:val="22"/>
          <w:lang w:val="fr-BE" w:eastAsia="fr-BE"/>
        </w:rPr>
      </w:pPr>
      <w:hyperlink w:anchor="_Toc31821685" w:history="1">
        <w:r w:rsidR="00663454" w:rsidRPr="00952C1C">
          <w:rPr>
            <w:rStyle w:val="Hyperlink"/>
          </w:rPr>
          <w:t>1.</w:t>
        </w:r>
        <w:r w:rsidR="00663454">
          <w:rPr>
            <w:rFonts w:asciiTheme="minorHAnsi" w:eastAsiaTheme="minorEastAsia" w:hAnsiTheme="minorHAnsi" w:cstheme="minorBidi"/>
            <w:b w:val="0"/>
            <w:sz w:val="22"/>
            <w:lang w:val="fr-BE" w:eastAsia="fr-BE"/>
          </w:rPr>
          <w:tab/>
        </w:r>
        <w:r w:rsidR="00663454" w:rsidRPr="00952C1C">
          <w:rPr>
            <w:rStyle w:val="Hyperlink"/>
          </w:rPr>
          <w:t>INTRODUCTION</w:t>
        </w:r>
        <w:r w:rsidR="00663454">
          <w:rPr>
            <w:webHidden/>
          </w:rPr>
          <w:tab/>
        </w:r>
        <w:r w:rsidR="00663454">
          <w:rPr>
            <w:webHidden/>
          </w:rPr>
          <w:fldChar w:fldCharType="begin"/>
        </w:r>
        <w:r w:rsidR="00663454">
          <w:rPr>
            <w:webHidden/>
          </w:rPr>
          <w:instrText xml:space="preserve"> PAGEREF _Toc31821685 \h </w:instrText>
        </w:r>
        <w:r w:rsidR="00663454">
          <w:rPr>
            <w:webHidden/>
          </w:rPr>
        </w:r>
        <w:r w:rsidR="00663454">
          <w:rPr>
            <w:webHidden/>
          </w:rPr>
          <w:fldChar w:fldCharType="separate"/>
        </w:r>
        <w:r w:rsidR="00663454">
          <w:rPr>
            <w:webHidden/>
          </w:rPr>
          <w:t>4</w:t>
        </w:r>
        <w:r w:rsidR="00663454">
          <w:rPr>
            <w:webHidden/>
          </w:rPr>
          <w:fldChar w:fldCharType="end"/>
        </w:r>
      </w:hyperlink>
    </w:p>
    <w:p w14:paraId="11EE83EB" w14:textId="30049B47" w:rsidR="00663454" w:rsidRDefault="00C97FBA">
      <w:pPr>
        <w:pStyle w:val="TOC2"/>
        <w:rPr>
          <w:rFonts w:asciiTheme="minorHAnsi" w:eastAsiaTheme="minorEastAsia" w:hAnsiTheme="minorHAnsi" w:cstheme="minorBidi"/>
          <w:sz w:val="22"/>
          <w:szCs w:val="22"/>
          <w:lang w:val="fr-BE" w:eastAsia="fr-BE"/>
        </w:rPr>
      </w:pPr>
      <w:hyperlink w:anchor="_Toc31821686" w:history="1">
        <w:r w:rsidR="00663454" w:rsidRPr="00952C1C">
          <w:rPr>
            <w:rStyle w:val="Hyperlink"/>
          </w:rPr>
          <w:t>1.1.</w:t>
        </w:r>
        <w:r w:rsidR="00663454">
          <w:rPr>
            <w:rFonts w:asciiTheme="minorHAnsi" w:eastAsiaTheme="minorEastAsia" w:hAnsiTheme="minorHAnsi" w:cstheme="minorBidi"/>
            <w:sz w:val="22"/>
            <w:szCs w:val="22"/>
            <w:lang w:val="fr-BE" w:eastAsia="fr-BE"/>
          </w:rPr>
          <w:tab/>
        </w:r>
        <w:r w:rsidR="00663454" w:rsidRPr="00952C1C">
          <w:rPr>
            <w:rStyle w:val="Hyperlink"/>
          </w:rPr>
          <w:t>Legal Basis</w:t>
        </w:r>
        <w:r w:rsidR="00663454">
          <w:rPr>
            <w:webHidden/>
          </w:rPr>
          <w:tab/>
        </w:r>
        <w:r w:rsidR="00663454">
          <w:rPr>
            <w:webHidden/>
          </w:rPr>
          <w:fldChar w:fldCharType="begin"/>
        </w:r>
        <w:r w:rsidR="00663454">
          <w:rPr>
            <w:webHidden/>
          </w:rPr>
          <w:instrText xml:space="preserve"> PAGEREF _Toc31821686 \h </w:instrText>
        </w:r>
        <w:r w:rsidR="00663454">
          <w:rPr>
            <w:webHidden/>
          </w:rPr>
        </w:r>
        <w:r w:rsidR="00663454">
          <w:rPr>
            <w:webHidden/>
          </w:rPr>
          <w:fldChar w:fldCharType="separate"/>
        </w:r>
        <w:r w:rsidR="00663454">
          <w:rPr>
            <w:webHidden/>
          </w:rPr>
          <w:t>4</w:t>
        </w:r>
        <w:r w:rsidR="00663454">
          <w:rPr>
            <w:webHidden/>
          </w:rPr>
          <w:fldChar w:fldCharType="end"/>
        </w:r>
      </w:hyperlink>
    </w:p>
    <w:p w14:paraId="06479089" w14:textId="49C7837F" w:rsidR="00663454" w:rsidRDefault="00C97FBA">
      <w:pPr>
        <w:pStyle w:val="TOC2"/>
        <w:rPr>
          <w:rFonts w:asciiTheme="minorHAnsi" w:eastAsiaTheme="minorEastAsia" w:hAnsiTheme="minorHAnsi" w:cstheme="minorBidi"/>
          <w:sz w:val="22"/>
          <w:szCs w:val="22"/>
          <w:lang w:val="fr-BE" w:eastAsia="fr-BE"/>
        </w:rPr>
      </w:pPr>
      <w:hyperlink w:anchor="_Toc31821687" w:history="1">
        <w:r w:rsidR="00663454" w:rsidRPr="00952C1C">
          <w:rPr>
            <w:rStyle w:val="Hyperlink"/>
          </w:rPr>
          <w:t>1.2.</w:t>
        </w:r>
        <w:r w:rsidR="00663454">
          <w:rPr>
            <w:rFonts w:asciiTheme="minorHAnsi" w:eastAsiaTheme="minorEastAsia" w:hAnsiTheme="minorHAnsi" w:cstheme="minorBidi"/>
            <w:sz w:val="22"/>
            <w:szCs w:val="22"/>
            <w:lang w:val="fr-BE" w:eastAsia="fr-BE"/>
          </w:rPr>
          <w:tab/>
        </w:r>
        <w:r w:rsidR="00663454" w:rsidRPr="00952C1C">
          <w:rPr>
            <w:rStyle w:val="Hyperlink"/>
          </w:rPr>
          <w:t>Background Information</w:t>
        </w:r>
        <w:r w:rsidR="00663454">
          <w:rPr>
            <w:webHidden/>
          </w:rPr>
          <w:tab/>
        </w:r>
        <w:r w:rsidR="00663454">
          <w:rPr>
            <w:webHidden/>
          </w:rPr>
          <w:fldChar w:fldCharType="begin"/>
        </w:r>
        <w:r w:rsidR="00663454">
          <w:rPr>
            <w:webHidden/>
          </w:rPr>
          <w:instrText xml:space="preserve"> PAGEREF _Toc31821687 \h </w:instrText>
        </w:r>
        <w:r w:rsidR="00663454">
          <w:rPr>
            <w:webHidden/>
          </w:rPr>
        </w:r>
        <w:r w:rsidR="00663454">
          <w:rPr>
            <w:webHidden/>
          </w:rPr>
          <w:fldChar w:fldCharType="separate"/>
        </w:r>
        <w:r w:rsidR="00663454">
          <w:rPr>
            <w:webHidden/>
          </w:rPr>
          <w:t>4</w:t>
        </w:r>
        <w:r w:rsidR="00663454">
          <w:rPr>
            <w:webHidden/>
          </w:rPr>
          <w:fldChar w:fldCharType="end"/>
        </w:r>
      </w:hyperlink>
    </w:p>
    <w:p w14:paraId="02809A29" w14:textId="05BDDE24" w:rsidR="00663454" w:rsidRDefault="00C97FBA">
      <w:pPr>
        <w:pStyle w:val="TOC1"/>
        <w:rPr>
          <w:rFonts w:asciiTheme="minorHAnsi" w:eastAsiaTheme="minorEastAsia" w:hAnsiTheme="minorHAnsi" w:cstheme="minorBidi"/>
          <w:b w:val="0"/>
          <w:sz w:val="22"/>
          <w:lang w:val="fr-BE" w:eastAsia="fr-BE"/>
        </w:rPr>
      </w:pPr>
      <w:hyperlink w:anchor="_Toc31821688" w:history="1">
        <w:r w:rsidR="00663454" w:rsidRPr="00952C1C">
          <w:rPr>
            <w:rStyle w:val="Hyperlink"/>
          </w:rPr>
          <w:t>2.</w:t>
        </w:r>
        <w:r w:rsidR="00663454">
          <w:rPr>
            <w:rFonts w:asciiTheme="minorHAnsi" w:eastAsiaTheme="minorEastAsia" w:hAnsiTheme="minorHAnsi" w:cstheme="minorBidi"/>
            <w:b w:val="0"/>
            <w:sz w:val="22"/>
            <w:lang w:val="fr-BE" w:eastAsia="fr-BE"/>
          </w:rPr>
          <w:tab/>
        </w:r>
        <w:r w:rsidR="00663454" w:rsidRPr="00952C1C">
          <w:rPr>
            <w:rStyle w:val="Hyperlink"/>
          </w:rPr>
          <w:t>FINANCIAL STATEMENTS 2019</w:t>
        </w:r>
        <w:r w:rsidR="00663454">
          <w:rPr>
            <w:webHidden/>
          </w:rPr>
          <w:tab/>
        </w:r>
        <w:r w:rsidR="00663454">
          <w:rPr>
            <w:webHidden/>
          </w:rPr>
          <w:fldChar w:fldCharType="begin"/>
        </w:r>
        <w:r w:rsidR="00663454">
          <w:rPr>
            <w:webHidden/>
          </w:rPr>
          <w:instrText xml:space="preserve"> PAGEREF _Toc31821688 \h </w:instrText>
        </w:r>
        <w:r w:rsidR="00663454">
          <w:rPr>
            <w:webHidden/>
          </w:rPr>
        </w:r>
        <w:r w:rsidR="00663454">
          <w:rPr>
            <w:webHidden/>
          </w:rPr>
          <w:fldChar w:fldCharType="separate"/>
        </w:r>
        <w:r w:rsidR="00663454">
          <w:rPr>
            <w:webHidden/>
          </w:rPr>
          <w:t>6</w:t>
        </w:r>
        <w:r w:rsidR="00663454">
          <w:rPr>
            <w:webHidden/>
          </w:rPr>
          <w:fldChar w:fldCharType="end"/>
        </w:r>
      </w:hyperlink>
    </w:p>
    <w:p w14:paraId="1AA6C7D3" w14:textId="7BC458E4" w:rsidR="00663454" w:rsidRDefault="00C97FBA">
      <w:pPr>
        <w:pStyle w:val="TOC2"/>
        <w:rPr>
          <w:rFonts w:asciiTheme="minorHAnsi" w:eastAsiaTheme="minorEastAsia" w:hAnsiTheme="minorHAnsi" w:cstheme="minorBidi"/>
          <w:sz w:val="22"/>
          <w:szCs w:val="22"/>
          <w:lang w:val="fr-BE" w:eastAsia="fr-BE"/>
        </w:rPr>
      </w:pPr>
      <w:hyperlink w:anchor="_Toc31821689" w:history="1">
        <w:r w:rsidR="00663454" w:rsidRPr="00952C1C">
          <w:rPr>
            <w:rStyle w:val="Hyperlink"/>
          </w:rPr>
          <w:t>2.1.</w:t>
        </w:r>
        <w:r w:rsidR="00663454">
          <w:rPr>
            <w:rFonts w:asciiTheme="minorHAnsi" w:eastAsiaTheme="minorEastAsia" w:hAnsiTheme="minorHAnsi" w:cstheme="minorBidi"/>
            <w:sz w:val="22"/>
            <w:szCs w:val="22"/>
            <w:lang w:val="fr-BE" w:eastAsia="fr-BE"/>
          </w:rPr>
          <w:tab/>
        </w:r>
        <w:r w:rsidR="00663454" w:rsidRPr="00952C1C">
          <w:rPr>
            <w:rStyle w:val="Hyperlink"/>
          </w:rPr>
          <w:t>REA balance sheet as of 31.12.2019 (in euros)</w:t>
        </w:r>
        <w:r w:rsidR="00663454">
          <w:rPr>
            <w:webHidden/>
          </w:rPr>
          <w:tab/>
        </w:r>
        <w:r w:rsidR="00663454">
          <w:rPr>
            <w:webHidden/>
          </w:rPr>
          <w:fldChar w:fldCharType="begin"/>
        </w:r>
        <w:r w:rsidR="00663454">
          <w:rPr>
            <w:webHidden/>
          </w:rPr>
          <w:instrText xml:space="preserve"> PAGEREF _Toc31821689 \h </w:instrText>
        </w:r>
        <w:r w:rsidR="00663454">
          <w:rPr>
            <w:webHidden/>
          </w:rPr>
        </w:r>
        <w:r w:rsidR="00663454">
          <w:rPr>
            <w:webHidden/>
          </w:rPr>
          <w:fldChar w:fldCharType="separate"/>
        </w:r>
        <w:r w:rsidR="00663454">
          <w:rPr>
            <w:webHidden/>
          </w:rPr>
          <w:t>6</w:t>
        </w:r>
        <w:r w:rsidR="00663454">
          <w:rPr>
            <w:webHidden/>
          </w:rPr>
          <w:fldChar w:fldCharType="end"/>
        </w:r>
      </w:hyperlink>
    </w:p>
    <w:p w14:paraId="0B4CB496" w14:textId="02092BE2" w:rsidR="00663454" w:rsidRDefault="00C97FBA">
      <w:pPr>
        <w:pStyle w:val="TOC2"/>
        <w:rPr>
          <w:rFonts w:asciiTheme="minorHAnsi" w:eastAsiaTheme="minorEastAsia" w:hAnsiTheme="minorHAnsi" w:cstheme="minorBidi"/>
          <w:sz w:val="22"/>
          <w:szCs w:val="22"/>
          <w:lang w:val="fr-BE" w:eastAsia="fr-BE"/>
        </w:rPr>
      </w:pPr>
      <w:hyperlink w:anchor="_Toc31821690" w:history="1">
        <w:r w:rsidR="00663454" w:rsidRPr="00952C1C">
          <w:rPr>
            <w:rStyle w:val="Hyperlink"/>
          </w:rPr>
          <w:t>2.2.</w:t>
        </w:r>
        <w:r w:rsidR="00663454">
          <w:rPr>
            <w:rFonts w:asciiTheme="minorHAnsi" w:eastAsiaTheme="minorEastAsia" w:hAnsiTheme="minorHAnsi" w:cstheme="minorBidi"/>
            <w:sz w:val="22"/>
            <w:szCs w:val="22"/>
            <w:lang w:val="fr-BE" w:eastAsia="fr-BE"/>
          </w:rPr>
          <w:tab/>
        </w:r>
        <w:r w:rsidR="00663454" w:rsidRPr="00952C1C">
          <w:rPr>
            <w:rStyle w:val="Hyperlink"/>
          </w:rPr>
          <w:t>REA Statement of financial performance (in euros)</w:t>
        </w:r>
        <w:r w:rsidR="00663454">
          <w:rPr>
            <w:webHidden/>
          </w:rPr>
          <w:tab/>
        </w:r>
        <w:r w:rsidR="00663454">
          <w:rPr>
            <w:webHidden/>
          </w:rPr>
          <w:fldChar w:fldCharType="begin"/>
        </w:r>
        <w:r w:rsidR="00663454">
          <w:rPr>
            <w:webHidden/>
          </w:rPr>
          <w:instrText xml:space="preserve"> PAGEREF _Toc31821690 \h </w:instrText>
        </w:r>
        <w:r w:rsidR="00663454">
          <w:rPr>
            <w:webHidden/>
          </w:rPr>
        </w:r>
        <w:r w:rsidR="00663454">
          <w:rPr>
            <w:webHidden/>
          </w:rPr>
          <w:fldChar w:fldCharType="separate"/>
        </w:r>
        <w:r w:rsidR="00663454">
          <w:rPr>
            <w:webHidden/>
          </w:rPr>
          <w:t>7</w:t>
        </w:r>
        <w:r w:rsidR="00663454">
          <w:rPr>
            <w:webHidden/>
          </w:rPr>
          <w:fldChar w:fldCharType="end"/>
        </w:r>
      </w:hyperlink>
    </w:p>
    <w:p w14:paraId="18B89B30" w14:textId="5BF61984" w:rsidR="00663454" w:rsidRDefault="00C97FBA">
      <w:pPr>
        <w:pStyle w:val="TOC2"/>
        <w:rPr>
          <w:rFonts w:asciiTheme="minorHAnsi" w:eastAsiaTheme="minorEastAsia" w:hAnsiTheme="minorHAnsi" w:cstheme="minorBidi"/>
          <w:sz w:val="22"/>
          <w:szCs w:val="22"/>
          <w:lang w:val="fr-BE" w:eastAsia="fr-BE"/>
        </w:rPr>
      </w:pPr>
      <w:hyperlink w:anchor="_Toc31821691" w:history="1">
        <w:r w:rsidR="00663454" w:rsidRPr="00952C1C">
          <w:rPr>
            <w:rStyle w:val="Hyperlink"/>
          </w:rPr>
          <w:t>2.3.</w:t>
        </w:r>
        <w:r w:rsidR="00663454">
          <w:rPr>
            <w:rFonts w:asciiTheme="minorHAnsi" w:eastAsiaTheme="minorEastAsia" w:hAnsiTheme="minorHAnsi" w:cstheme="minorBidi"/>
            <w:sz w:val="22"/>
            <w:szCs w:val="22"/>
            <w:lang w:val="fr-BE" w:eastAsia="fr-BE"/>
          </w:rPr>
          <w:tab/>
        </w:r>
        <w:r w:rsidR="00663454" w:rsidRPr="00952C1C">
          <w:rPr>
            <w:rStyle w:val="Hyperlink"/>
          </w:rPr>
          <w:t>REA Cash flow statement (in euros)</w:t>
        </w:r>
        <w:r w:rsidR="00663454">
          <w:rPr>
            <w:webHidden/>
          </w:rPr>
          <w:tab/>
        </w:r>
        <w:r w:rsidR="00663454">
          <w:rPr>
            <w:webHidden/>
          </w:rPr>
          <w:fldChar w:fldCharType="begin"/>
        </w:r>
        <w:r w:rsidR="00663454">
          <w:rPr>
            <w:webHidden/>
          </w:rPr>
          <w:instrText xml:space="preserve"> PAGEREF _Toc31821691 \h </w:instrText>
        </w:r>
        <w:r w:rsidR="00663454">
          <w:rPr>
            <w:webHidden/>
          </w:rPr>
        </w:r>
        <w:r w:rsidR="00663454">
          <w:rPr>
            <w:webHidden/>
          </w:rPr>
          <w:fldChar w:fldCharType="separate"/>
        </w:r>
        <w:r w:rsidR="00663454">
          <w:rPr>
            <w:webHidden/>
          </w:rPr>
          <w:t>8</w:t>
        </w:r>
        <w:r w:rsidR="00663454">
          <w:rPr>
            <w:webHidden/>
          </w:rPr>
          <w:fldChar w:fldCharType="end"/>
        </w:r>
      </w:hyperlink>
    </w:p>
    <w:p w14:paraId="7D2638DB" w14:textId="0ADB2CB3" w:rsidR="00663454" w:rsidRDefault="00C97FBA">
      <w:pPr>
        <w:pStyle w:val="TOC2"/>
        <w:rPr>
          <w:rFonts w:asciiTheme="minorHAnsi" w:eastAsiaTheme="minorEastAsia" w:hAnsiTheme="minorHAnsi" w:cstheme="minorBidi"/>
          <w:sz w:val="22"/>
          <w:szCs w:val="22"/>
          <w:lang w:val="fr-BE" w:eastAsia="fr-BE"/>
        </w:rPr>
      </w:pPr>
      <w:hyperlink w:anchor="_Toc31821692" w:history="1">
        <w:r w:rsidR="00663454" w:rsidRPr="00952C1C">
          <w:rPr>
            <w:rStyle w:val="Hyperlink"/>
          </w:rPr>
          <w:t>2.4.</w:t>
        </w:r>
        <w:r w:rsidR="00663454">
          <w:rPr>
            <w:rFonts w:asciiTheme="minorHAnsi" w:eastAsiaTheme="minorEastAsia" w:hAnsiTheme="minorHAnsi" w:cstheme="minorBidi"/>
            <w:sz w:val="22"/>
            <w:szCs w:val="22"/>
            <w:lang w:val="fr-BE" w:eastAsia="fr-BE"/>
          </w:rPr>
          <w:tab/>
        </w:r>
        <w:r w:rsidR="00663454" w:rsidRPr="00952C1C">
          <w:rPr>
            <w:rStyle w:val="Hyperlink"/>
          </w:rPr>
          <w:t>REA statement of changes in net assets (in euros)</w:t>
        </w:r>
        <w:r w:rsidR="00663454">
          <w:rPr>
            <w:webHidden/>
          </w:rPr>
          <w:tab/>
        </w:r>
        <w:r w:rsidR="00663454">
          <w:rPr>
            <w:webHidden/>
          </w:rPr>
          <w:fldChar w:fldCharType="begin"/>
        </w:r>
        <w:r w:rsidR="00663454">
          <w:rPr>
            <w:webHidden/>
          </w:rPr>
          <w:instrText xml:space="preserve"> PAGEREF _Toc31821692 \h </w:instrText>
        </w:r>
        <w:r w:rsidR="00663454">
          <w:rPr>
            <w:webHidden/>
          </w:rPr>
        </w:r>
        <w:r w:rsidR="00663454">
          <w:rPr>
            <w:webHidden/>
          </w:rPr>
          <w:fldChar w:fldCharType="separate"/>
        </w:r>
        <w:r w:rsidR="00663454">
          <w:rPr>
            <w:webHidden/>
          </w:rPr>
          <w:t>9</w:t>
        </w:r>
        <w:r w:rsidR="00663454">
          <w:rPr>
            <w:webHidden/>
          </w:rPr>
          <w:fldChar w:fldCharType="end"/>
        </w:r>
      </w:hyperlink>
    </w:p>
    <w:p w14:paraId="3E602125" w14:textId="11273EA7" w:rsidR="00663454" w:rsidRDefault="00C97FBA">
      <w:pPr>
        <w:pStyle w:val="TOC2"/>
        <w:rPr>
          <w:rFonts w:asciiTheme="minorHAnsi" w:eastAsiaTheme="minorEastAsia" w:hAnsiTheme="minorHAnsi" w:cstheme="minorBidi"/>
          <w:sz w:val="22"/>
          <w:szCs w:val="22"/>
          <w:lang w:val="fr-BE" w:eastAsia="fr-BE"/>
        </w:rPr>
      </w:pPr>
      <w:hyperlink w:anchor="_Toc31821693" w:history="1">
        <w:r w:rsidR="00663454" w:rsidRPr="00952C1C">
          <w:rPr>
            <w:rStyle w:val="Hyperlink"/>
          </w:rPr>
          <w:t>2.5.</w:t>
        </w:r>
        <w:r w:rsidR="00663454">
          <w:rPr>
            <w:rFonts w:asciiTheme="minorHAnsi" w:eastAsiaTheme="minorEastAsia" w:hAnsiTheme="minorHAnsi" w:cstheme="minorBidi"/>
            <w:sz w:val="22"/>
            <w:szCs w:val="22"/>
            <w:lang w:val="fr-BE" w:eastAsia="fr-BE"/>
          </w:rPr>
          <w:tab/>
        </w:r>
        <w:r w:rsidR="00663454" w:rsidRPr="00952C1C">
          <w:rPr>
            <w:rStyle w:val="Hyperlink"/>
          </w:rPr>
          <w:t>Notes to the financial statements</w:t>
        </w:r>
        <w:r w:rsidR="00663454">
          <w:rPr>
            <w:webHidden/>
          </w:rPr>
          <w:tab/>
        </w:r>
        <w:r w:rsidR="00663454">
          <w:rPr>
            <w:webHidden/>
          </w:rPr>
          <w:fldChar w:fldCharType="begin"/>
        </w:r>
        <w:r w:rsidR="00663454">
          <w:rPr>
            <w:webHidden/>
          </w:rPr>
          <w:instrText xml:space="preserve"> PAGEREF _Toc31821693 \h </w:instrText>
        </w:r>
        <w:r w:rsidR="00663454">
          <w:rPr>
            <w:webHidden/>
          </w:rPr>
        </w:r>
        <w:r w:rsidR="00663454">
          <w:rPr>
            <w:webHidden/>
          </w:rPr>
          <w:fldChar w:fldCharType="separate"/>
        </w:r>
        <w:r w:rsidR="00663454">
          <w:rPr>
            <w:webHidden/>
          </w:rPr>
          <w:t>10</w:t>
        </w:r>
        <w:r w:rsidR="00663454">
          <w:rPr>
            <w:webHidden/>
          </w:rPr>
          <w:fldChar w:fldCharType="end"/>
        </w:r>
      </w:hyperlink>
    </w:p>
    <w:p w14:paraId="08E45E63" w14:textId="0040C142"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694" w:history="1">
        <w:r w:rsidR="00663454" w:rsidRPr="00952C1C">
          <w:rPr>
            <w:rStyle w:val="Hyperlink"/>
            <w:b/>
            <w:noProof/>
          </w:rPr>
          <w:t>2.5.1.</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Significant accounting policies</w:t>
        </w:r>
        <w:r w:rsidR="00663454">
          <w:rPr>
            <w:noProof/>
            <w:webHidden/>
          </w:rPr>
          <w:tab/>
        </w:r>
        <w:r w:rsidR="00663454">
          <w:rPr>
            <w:noProof/>
            <w:webHidden/>
          </w:rPr>
          <w:fldChar w:fldCharType="begin"/>
        </w:r>
        <w:r w:rsidR="00663454">
          <w:rPr>
            <w:noProof/>
            <w:webHidden/>
          </w:rPr>
          <w:instrText xml:space="preserve"> PAGEREF _Toc31821694 \h </w:instrText>
        </w:r>
        <w:r w:rsidR="00663454">
          <w:rPr>
            <w:noProof/>
            <w:webHidden/>
          </w:rPr>
        </w:r>
        <w:r w:rsidR="00663454">
          <w:rPr>
            <w:noProof/>
            <w:webHidden/>
          </w:rPr>
          <w:fldChar w:fldCharType="separate"/>
        </w:r>
        <w:r w:rsidR="00663454">
          <w:rPr>
            <w:noProof/>
            <w:webHidden/>
          </w:rPr>
          <w:t>10</w:t>
        </w:r>
        <w:r w:rsidR="00663454">
          <w:rPr>
            <w:noProof/>
            <w:webHidden/>
          </w:rPr>
          <w:fldChar w:fldCharType="end"/>
        </w:r>
      </w:hyperlink>
    </w:p>
    <w:p w14:paraId="3C05BC8E" w14:textId="0593B06F"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695" w:history="1">
        <w:r w:rsidR="00663454" w:rsidRPr="00952C1C">
          <w:rPr>
            <w:rStyle w:val="Hyperlink"/>
            <w:b/>
            <w:noProof/>
          </w:rPr>
          <w:t>2.5.2.</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Notes to the Balance sheet</w:t>
        </w:r>
        <w:r w:rsidR="00663454">
          <w:rPr>
            <w:noProof/>
            <w:webHidden/>
          </w:rPr>
          <w:tab/>
        </w:r>
        <w:r w:rsidR="00663454">
          <w:rPr>
            <w:noProof/>
            <w:webHidden/>
          </w:rPr>
          <w:fldChar w:fldCharType="begin"/>
        </w:r>
        <w:r w:rsidR="00663454">
          <w:rPr>
            <w:noProof/>
            <w:webHidden/>
          </w:rPr>
          <w:instrText xml:space="preserve"> PAGEREF _Toc31821695 \h </w:instrText>
        </w:r>
        <w:r w:rsidR="00663454">
          <w:rPr>
            <w:noProof/>
            <w:webHidden/>
          </w:rPr>
        </w:r>
        <w:r w:rsidR="00663454">
          <w:rPr>
            <w:noProof/>
            <w:webHidden/>
          </w:rPr>
          <w:fldChar w:fldCharType="separate"/>
        </w:r>
        <w:r w:rsidR="00663454">
          <w:rPr>
            <w:noProof/>
            <w:webHidden/>
          </w:rPr>
          <w:t>15</w:t>
        </w:r>
        <w:r w:rsidR="00663454">
          <w:rPr>
            <w:noProof/>
            <w:webHidden/>
          </w:rPr>
          <w:fldChar w:fldCharType="end"/>
        </w:r>
      </w:hyperlink>
    </w:p>
    <w:p w14:paraId="431F5D17" w14:textId="07335C9F"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696" w:history="1">
        <w:r w:rsidR="00663454" w:rsidRPr="00952C1C">
          <w:rPr>
            <w:rStyle w:val="Hyperlink"/>
            <w:b/>
            <w:noProof/>
          </w:rPr>
          <w:t>2.5.3.</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Notes to the Statement of financial performance</w:t>
        </w:r>
        <w:r w:rsidR="00663454">
          <w:rPr>
            <w:noProof/>
            <w:webHidden/>
          </w:rPr>
          <w:tab/>
        </w:r>
        <w:r w:rsidR="00663454">
          <w:rPr>
            <w:noProof/>
            <w:webHidden/>
          </w:rPr>
          <w:fldChar w:fldCharType="begin"/>
        </w:r>
        <w:r w:rsidR="00663454">
          <w:rPr>
            <w:noProof/>
            <w:webHidden/>
          </w:rPr>
          <w:instrText xml:space="preserve"> PAGEREF _Toc31821696 \h </w:instrText>
        </w:r>
        <w:r w:rsidR="00663454">
          <w:rPr>
            <w:noProof/>
            <w:webHidden/>
          </w:rPr>
        </w:r>
        <w:r w:rsidR="00663454">
          <w:rPr>
            <w:noProof/>
            <w:webHidden/>
          </w:rPr>
          <w:fldChar w:fldCharType="separate"/>
        </w:r>
        <w:r w:rsidR="00663454">
          <w:rPr>
            <w:noProof/>
            <w:webHidden/>
          </w:rPr>
          <w:t>19</w:t>
        </w:r>
        <w:r w:rsidR="00663454">
          <w:rPr>
            <w:noProof/>
            <w:webHidden/>
          </w:rPr>
          <w:fldChar w:fldCharType="end"/>
        </w:r>
      </w:hyperlink>
    </w:p>
    <w:p w14:paraId="25431C77" w14:textId="6B1676F8"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697" w:history="1">
        <w:r w:rsidR="00663454" w:rsidRPr="00952C1C">
          <w:rPr>
            <w:rStyle w:val="Hyperlink"/>
            <w:b/>
            <w:noProof/>
          </w:rPr>
          <w:t>2.5.4.</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Notes to the Cash-flow statement</w:t>
        </w:r>
        <w:r w:rsidR="00663454">
          <w:rPr>
            <w:noProof/>
            <w:webHidden/>
          </w:rPr>
          <w:tab/>
        </w:r>
        <w:r w:rsidR="00663454">
          <w:rPr>
            <w:noProof/>
            <w:webHidden/>
          </w:rPr>
          <w:fldChar w:fldCharType="begin"/>
        </w:r>
        <w:r w:rsidR="00663454">
          <w:rPr>
            <w:noProof/>
            <w:webHidden/>
          </w:rPr>
          <w:instrText xml:space="preserve"> PAGEREF _Toc31821697 \h </w:instrText>
        </w:r>
        <w:r w:rsidR="00663454">
          <w:rPr>
            <w:noProof/>
            <w:webHidden/>
          </w:rPr>
        </w:r>
        <w:r w:rsidR="00663454">
          <w:rPr>
            <w:noProof/>
            <w:webHidden/>
          </w:rPr>
          <w:fldChar w:fldCharType="separate"/>
        </w:r>
        <w:r w:rsidR="00663454">
          <w:rPr>
            <w:noProof/>
            <w:webHidden/>
          </w:rPr>
          <w:t>21</w:t>
        </w:r>
        <w:r w:rsidR="00663454">
          <w:rPr>
            <w:noProof/>
            <w:webHidden/>
          </w:rPr>
          <w:fldChar w:fldCharType="end"/>
        </w:r>
      </w:hyperlink>
    </w:p>
    <w:p w14:paraId="1AA7C44B" w14:textId="202B3BB4"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698" w:history="1">
        <w:r w:rsidR="00663454" w:rsidRPr="00952C1C">
          <w:rPr>
            <w:rStyle w:val="Hyperlink"/>
            <w:b/>
            <w:noProof/>
          </w:rPr>
          <w:t>2.5.5.</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Contingent assets and liabilities</w:t>
        </w:r>
        <w:r w:rsidR="00663454">
          <w:rPr>
            <w:noProof/>
            <w:webHidden/>
          </w:rPr>
          <w:tab/>
        </w:r>
        <w:r w:rsidR="00663454">
          <w:rPr>
            <w:noProof/>
            <w:webHidden/>
          </w:rPr>
          <w:fldChar w:fldCharType="begin"/>
        </w:r>
        <w:r w:rsidR="00663454">
          <w:rPr>
            <w:noProof/>
            <w:webHidden/>
          </w:rPr>
          <w:instrText xml:space="preserve"> PAGEREF _Toc31821698 \h </w:instrText>
        </w:r>
        <w:r w:rsidR="00663454">
          <w:rPr>
            <w:noProof/>
            <w:webHidden/>
          </w:rPr>
        </w:r>
        <w:r w:rsidR="00663454">
          <w:rPr>
            <w:noProof/>
            <w:webHidden/>
          </w:rPr>
          <w:fldChar w:fldCharType="separate"/>
        </w:r>
        <w:r w:rsidR="00663454">
          <w:rPr>
            <w:noProof/>
            <w:webHidden/>
          </w:rPr>
          <w:t>22</w:t>
        </w:r>
        <w:r w:rsidR="00663454">
          <w:rPr>
            <w:noProof/>
            <w:webHidden/>
          </w:rPr>
          <w:fldChar w:fldCharType="end"/>
        </w:r>
      </w:hyperlink>
    </w:p>
    <w:p w14:paraId="31223A87" w14:textId="3D54E8C6"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699" w:history="1">
        <w:r w:rsidR="00663454" w:rsidRPr="00952C1C">
          <w:rPr>
            <w:rStyle w:val="Hyperlink"/>
            <w:b/>
            <w:noProof/>
          </w:rPr>
          <w:t>2.5.6.</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Other significant disclosures</w:t>
        </w:r>
        <w:r w:rsidR="00663454">
          <w:rPr>
            <w:noProof/>
            <w:webHidden/>
          </w:rPr>
          <w:tab/>
        </w:r>
        <w:r w:rsidR="00663454">
          <w:rPr>
            <w:noProof/>
            <w:webHidden/>
          </w:rPr>
          <w:fldChar w:fldCharType="begin"/>
        </w:r>
        <w:r w:rsidR="00663454">
          <w:rPr>
            <w:noProof/>
            <w:webHidden/>
          </w:rPr>
          <w:instrText xml:space="preserve"> PAGEREF _Toc31821699 \h </w:instrText>
        </w:r>
        <w:r w:rsidR="00663454">
          <w:rPr>
            <w:noProof/>
            <w:webHidden/>
          </w:rPr>
        </w:r>
        <w:r w:rsidR="00663454">
          <w:rPr>
            <w:noProof/>
            <w:webHidden/>
          </w:rPr>
          <w:fldChar w:fldCharType="separate"/>
        </w:r>
        <w:r w:rsidR="00663454">
          <w:rPr>
            <w:noProof/>
            <w:webHidden/>
          </w:rPr>
          <w:t>22</w:t>
        </w:r>
        <w:r w:rsidR="00663454">
          <w:rPr>
            <w:noProof/>
            <w:webHidden/>
          </w:rPr>
          <w:fldChar w:fldCharType="end"/>
        </w:r>
      </w:hyperlink>
    </w:p>
    <w:p w14:paraId="092C1940" w14:textId="5CA0F3FA"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00" w:history="1">
        <w:r w:rsidR="00663454" w:rsidRPr="00952C1C">
          <w:rPr>
            <w:rStyle w:val="Hyperlink"/>
            <w:b/>
            <w:noProof/>
          </w:rPr>
          <w:t>2.5.7.</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Financial Instruments</w:t>
        </w:r>
        <w:r w:rsidR="00663454">
          <w:rPr>
            <w:noProof/>
            <w:webHidden/>
          </w:rPr>
          <w:tab/>
        </w:r>
        <w:r w:rsidR="00663454">
          <w:rPr>
            <w:noProof/>
            <w:webHidden/>
          </w:rPr>
          <w:fldChar w:fldCharType="begin"/>
        </w:r>
        <w:r w:rsidR="00663454">
          <w:rPr>
            <w:noProof/>
            <w:webHidden/>
          </w:rPr>
          <w:instrText xml:space="preserve"> PAGEREF _Toc31821700 \h </w:instrText>
        </w:r>
        <w:r w:rsidR="00663454">
          <w:rPr>
            <w:noProof/>
            <w:webHidden/>
          </w:rPr>
        </w:r>
        <w:r w:rsidR="00663454">
          <w:rPr>
            <w:noProof/>
            <w:webHidden/>
          </w:rPr>
          <w:fldChar w:fldCharType="separate"/>
        </w:r>
        <w:r w:rsidR="00663454">
          <w:rPr>
            <w:noProof/>
            <w:webHidden/>
          </w:rPr>
          <w:t>22</w:t>
        </w:r>
        <w:r w:rsidR="00663454">
          <w:rPr>
            <w:noProof/>
            <w:webHidden/>
          </w:rPr>
          <w:fldChar w:fldCharType="end"/>
        </w:r>
      </w:hyperlink>
    </w:p>
    <w:p w14:paraId="7BD1554F" w14:textId="52901782"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01" w:history="1">
        <w:r w:rsidR="00663454" w:rsidRPr="00952C1C">
          <w:rPr>
            <w:rStyle w:val="Hyperlink"/>
            <w:b/>
            <w:noProof/>
          </w:rPr>
          <w:t>2.5.8.</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Changes in accounting policies</w:t>
        </w:r>
        <w:r w:rsidR="00663454">
          <w:rPr>
            <w:noProof/>
            <w:webHidden/>
          </w:rPr>
          <w:tab/>
        </w:r>
        <w:r w:rsidR="00663454">
          <w:rPr>
            <w:noProof/>
            <w:webHidden/>
          </w:rPr>
          <w:fldChar w:fldCharType="begin"/>
        </w:r>
        <w:r w:rsidR="00663454">
          <w:rPr>
            <w:noProof/>
            <w:webHidden/>
          </w:rPr>
          <w:instrText xml:space="preserve"> PAGEREF _Toc31821701 \h </w:instrText>
        </w:r>
        <w:r w:rsidR="00663454">
          <w:rPr>
            <w:noProof/>
            <w:webHidden/>
          </w:rPr>
        </w:r>
        <w:r w:rsidR="00663454">
          <w:rPr>
            <w:noProof/>
            <w:webHidden/>
          </w:rPr>
          <w:fldChar w:fldCharType="separate"/>
        </w:r>
        <w:r w:rsidR="00663454">
          <w:rPr>
            <w:noProof/>
            <w:webHidden/>
          </w:rPr>
          <w:t>24</w:t>
        </w:r>
        <w:r w:rsidR="00663454">
          <w:rPr>
            <w:noProof/>
            <w:webHidden/>
          </w:rPr>
          <w:fldChar w:fldCharType="end"/>
        </w:r>
      </w:hyperlink>
    </w:p>
    <w:p w14:paraId="28C2A638" w14:textId="7BD6B6E8"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02" w:history="1">
        <w:r w:rsidR="00663454" w:rsidRPr="00952C1C">
          <w:rPr>
            <w:rStyle w:val="Hyperlink"/>
            <w:b/>
            <w:noProof/>
          </w:rPr>
          <w:t>2.5.9.</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Related party disclosures</w:t>
        </w:r>
        <w:r w:rsidR="00663454">
          <w:rPr>
            <w:noProof/>
            <w:webHidden/>
          </w:rPr>
          <w:tab/>
        </w:r>
        <w:r w:rsidR="00663454">
          <w:rPr>
            <w:noProof/>
            <w:webHidden/>
          </w:rPr>
          <w:fldChar w:fldCharType="begin"/>
        </w:r>
        <w:r w:rsidR="00663454">
          <w:rPr>
            <w:noProof/>
            <w:webHidden/>
          </w:rPr>
          <w:instrText xml:space="preserve"> PAGEREF _Toc31821702 \h </w:instrText>
        </w:r>
        <w:r w:rsidR="00663454">
          <w:rPr>
            <w:noProof/>
            <w:webHidden/>
          </w:rPr>
        </w:r>
        <w:r w:rsidR="00663454">
          <w:rPr>
            <w:noProof/>
            <w:webHidden/>
          </w:rPr>
          <w:fldChar w:fldCharType="separate"/>
        </w:r>
        <w:r w:rsidR="00663454">
          <w:rPr>
            <w:noProof/>
            <w:webHidden/>
          </w:rPr>
          <w:t>24</w:t>
        </w:r>
        <w:r w:rsidR="00663454">
          <w:rPr>
            <w:noProof/>
            <w:webHidden/>
          </w:rPr>
          <w:fldChar w:fldCharType="end"/>
        </w:r>
      </w:hyperlink>
    </w:p>
    <w:p w14:paraId="4E6F892F" w14:textId="7B40C6FF"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03" w:history="1">
        <w:r w:rsidR="00663454" w:rsidRPr="00952C1C">
          <w:rPr>
            <w:rStyle w:val="Hyperlink"/>
            <w:b/>
            <w:noProof/>
          </w:rPr>
          <w:t>2.5.10.</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Post balance sheet events</w:t>
        </w:r>
        <w:r w:rsidR="00663454">
          <w:rPr>
            <w:noProof/>
            <w:webHidden/>
          </w:rPr>
          <w:tab/>
        </w:r>
        <w:r w:rsidR="00663454">
          <w:rPr>
            <w:noProof/>
            <w:webHidden/>
          </w:rPr>
          <w:fldChar w:fldCharType="begin"/>
        </w:r>
        <w:r w:rsidR="00663454">
          <w:rPr>
            <w:noProof/>
            <w:webHidden/>
          </w:rPr>
          <w:instrText xml:space="preserve"> PAGEREF _Toc31821703 \h </w:instrText>
        </w:r>
        <w:r w:rsidR="00663454">
          <w:rPr>
            <w:noProof/>
            <w:webHidden/>
          </w:rPr>
        </w:r>
        <w:r w:rsidR="00663454">
          <w:rPr>
            <w:noProof/>
            <w:webHidden/>
          </w:rPr>
          <w:fldChar w:fldCharType="separate"/>
        </w:r>
        <w:r w:rsidR="00663454">
          <w:rPr>
            <w:noProof/>
            <w:webHidden/>
          </w:rPr>
          <w:t>24</w:t>
        </w:r>
        <w:r w:rsidR="00663454">
          <w:rPr>
            <w:noProof/>
            <w:webHidden/>
          </w:rPr>
          <w:fldChar w:fldCharType="end"/>
        </w:r>
      </w:hyperlink>
    </w:p>
    <w:p w14:paraId="27EEBDEC" w14:textId="12F98DAF" w:rsidR="00663454" w:rsidRDefault="00C97FBA">
      <w:pPr>
        <w:pStyle w:val="TOC1"/>
        <w:rPr>
          <w:rFonts w:asciiTheme="minorHAnsi" w:eastAsiaTheme="minorEastAsia" w:hAnsiTheme="minorHAnsi" w:cstheme="minorBidi"/>
          <w:b w:val="0"/>
          <w:sz w:val="22"/>
          <w:lang w:val="fr-BE" w:eastAsia="fr-BE"/>
        </w:rPr>
      </w:pPr>
      <w:hyperlink w:anchor="_Toc31821704" w:history="1">
        <w:r w:rsidR="00663454" w:rsidRPr="00952C1C">
          <w:rPr>
            <w:rStyle w:val="Hyperlink"/>
          </w:rPr>
          <w:t>3.</w:t>
        </w:r>
        <w:r w:rsidR="00663454">
          <w:rPr>
            <w:rFonts w:asciiTheme="minorHAnsi" w:eastAsiaTheme="minorEastAsia" w:hAnsiTheme="minorHAnsi" w:cstheme="minorBidi"/>
            <w:b w:val="0"/>
            <w:sz w:val="22"/>
            <w:lang w:val="fr-BE" w:eastAsia="fr-BE"/>
          </w:rPr>
          <w:tab/>
        </w:r>
        <w:r w:rsidR="00663454" w:rsidRPr="00952C1C">
          <w:rPr>
            <w:rStyle w:val="Hyperlink"/>
          </w:rPr>
          <w:t>REPORTS ON THE IMPLEMENTATION OF THE BUDGET</w:t>
        </w:r>
        <w:r w:rsidR="00663454">
          <w:rPr>
            <w:webHidden/>
          </w:rPr>
          <w:tab/>
        </w:r>
        <w:r w:rsidR="00663454">
          <w:rPr>
            <w:webHidden/>
          </w:rPr>
          <w:fldChar w:fldCharType="begin"/>
        </w:r>
        <w:r w:rsidR="00663454">
          <w:rPr>
            <w:webHidden/>
          </w:rPr>
          <w:instrText xml:space="preserve"> PAGEREF _Toc31821704 \h </w:instrText>
        </w:r>
        <w:r w:rsidR="00663454">
          <w:rPr>
            <w:webHidden/>
          </w:rPr>
        </w:r>
        <w:r w:rsidR="00663454">
          <w:rPr>
            <w:webHidden/>
          </w:rPr>
          <w:fldChar w:fldCharType="separate"/>
        </w:r>
        <w:r w:rsidR="00663454">
          <w:rPr>
            <w:webHidden/>
          </w:rPr>
          <w:t>25</w:t>
        </w:r>
        <w:r w:rsidR="00663454">
          <w:rPr>
            <w:webHidden/>
          </w:rPr>
          <w:fldChar w:fldCharType="end"/>
        </w:r>
      </w:hyperlink>
    </w:p>
    <w:p w14:paraId="0CF8C527" w14:textId="0302CBE9" w:rsidR="00663454" w:rsidRDefault="00C97FBA">
      <w:pPr>
        <w:pStyle w:val="TOC2"/>
        <w:rPr>
          <w:rFonts w:asciiTheme="minorHAnsi" w:eastAsiaTheme="minorEastAsia" w:hAnsiTheme="minorHAnsi" w:cstheme="minorBidi"/>
          <w:sz w:val="22"/>
          <w:szCs w:val="22"/>
          <w:lang w:val="fr-BE" w:eastAsia="fr-BE"/>
        </w:rPr>
      </w:pPr>
      <w:hyperlink w:anchor="_Toc31821705" w:history="1">
        <w:r w:rsidR="00663454" w:rsidRPr="00952C1C">
          <w:rPr>
            <w:rStyle w:val="Hyperlink"/>
          </w:rPr>
          <w:t>3.1.</w:t>
        </w:r>
        <w:r w:rsidR="00663454">
          <w:rPr>
            <w:rFonts w:asciiTheme="minorHAnsi" w:eastAsiaTheme="minorEastAsia" w:hAnsiTheme="minorHAnsi" w:cstheme="minorBidi"/>
            <w:sz w:val="22"/>
            <w:szCs w:val="22"/>
            <w:lang w:val="fr-BE" w:eastAsia="fr-BE"/>
          </w:rPr>
          <w:tab/>
        </w:r>
        <w:r w:rsidR="00663454" w:rsidRPr="00952C1C">
          <w:rPr>
            <w:rStyle w:val="Hyperlink"/>
          </w:rPr>
          <w:t>Introduction</w:t>
        </w:r>
        <w:r w:rsidR="00663454">
          <w:rPr>
            <w:webHidden/>
          </w:rPr>
          <w:tab/>
        </w:r>
        <w:r w:rsidR="00663454">
          <w:rPr>
            <w:webHidden/>
          </w:rPr>
          <w:fldChar w:fldCharType="begin"/>
        </w:r>
        <w:r w:rsidR="00663454">
          <w:rPr>
            <w:webHidden/>
          </w:rPr>
          <w:instrText xml:space="preserve"> PAGEREF _Toc31821705 \h </w:instrText>
        </w:r>
        <w:r w:rsidR="00663454">
          <w:rPr>
            <w:webHidden/>
          </w:rPr>
        </w:r>
        <w:r w:rsidR="00663454">
          <w:rPr>
            <w:webHidden/>
          </w:rPr>
          <w:fldChar w:fldCharType="separate"/>
        </w:r>
        <w:r w:rsidR="00663454">
          <w:rPr>
            <w:webHidden/>
          </w:rPr>
          <w:t>25</w:t>
        </w:r>
        <w:r w:rsidR="00663454">
          <w:rPr>
            <w:webHidden/>
          </w:rPr>
          <w:fldChar w:fldCharType="end"/>
        </w:r>
      </w:hyperlink>
    </w:p>
    <w:p w14:paraId="3EB02868" w14:textId="60B2BEB8"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06" w:history="1">
        <w:r w:rsidR="00663454" w:rsidRPr="00952C1C">
          <w:rPr>
            <w:rStyle w:val="Hyperlink"/>
            <w:b/>
            <w:noProof/>
          </w:rPr>
          <w:t>3.1.1.</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Budgetary structure</w:t>
        </w:r>
        <w:r w:rsidR="00663454">
          <w:rPr>
            <w:noProof/>
            <w:webHidden/>
          </w:rPr>
          <w:tab/>
        </w:r>
        <w:r w:rsidR="00663454">
          <w:rPr>
            <w:noProof/>
            <w:webHidden/>
          </w:rPr>
          <w:fldChar w:fldCharType="begin"/>
        </w:r>
        <w:r w:rsidR="00663454">
          <w:rPr>
            <w:noProof/>
            <w:webHidden/>
          </w:rPr>
          <w:instrText xml:space="preserve"> PAGEREF _Toc31821706 \h </w:instrText>
        </w:r>
        <w:r w:rsidR="00663454">
          <w:rPr>
            <w:noProof/>
            <w:webHidden/>
          </w:rPr>
        </w:r>
        <w:r w:rsidR="00663454">
          <w:rPr>
            <w:noProof/>
            <w:webHidden/>
          </w:rPr>
          <w:fldChar w:fldCharType="separate"/>
        </w:r>
        <w:r w:rsidR="00663454">
          <w:rPr>
            <w:noProof/>
            <w:webHidden/>
          </w:rPr>
          <w:t>25</w:t>
        </w:r>
        <w:r w:rsidR="00663454">
          <w:rPr>
            <w:noProof/>
            <w:webHidden/>
          </w:rPr>
          <w:fldChar w:fldCharType="end"/>
        </w:r>
      </w:hyperlink>
    </w:p>
    <w:p w14:paraId="070B0350" w14:textId="41806D41"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07" w:history="1">
        <w:r w:rsidR="00663454" w:rsidRPr="00952C1C">
          <w:rPr>
            <w:rStyle w:val="Hyperlink"/>
            <w:b/>
            <w:noProof/>
          </w:rPr>
          <w:t>3.1.2.</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Budgetary principles</w:t>
        </w:r>
        <w:r w:rsidR="00663454">
          <w:rPr>
            <w:noProof/>
            <w:webHidden/>
          </w:rPr>
          <w:tab/>
        </w:r>
        <w:r w:rsidR="00663454">
          <w:rPr>
            <w:noProof/>
            <w:webHidden/>
          </w:rPr>
          <w:fldChar w:fldCharType="begin"/>
        </w:r>
        <w:r w:rsidR="00663454">
          <w:rPr>
            <w:noProof/>
            <w:webHidden/>
          </w:rPr>
          <w:instrText xml:space="preserve"> PAGEREF _Toc31821707 \h </w:instrText>
        </w:r>
        <w:r w:rsidR="00663454">
          <w:rPr>
            <w:noProof/>
            <w:webHidden/>
          </w:rPr>
        </w:r>
        <w:r w:rsidR="00663454">
          <w:rPr>
            <w:noProof/>
            <w:webHidden/>
          </w:rPr>
          <w:fldChar w:fldCharType="separate"/>
        </w:r>
        <w:r w:rsidR="00663454">
          <w:rPr>
            <w:noProof/>
            <w:webHidden/>
          </w:rPr>
          <w:t>26</w:t>
        </w:r>
        <w:r w:rsidR="00663454">
          <w:rPr>
            <w:noProof/>
            <w:webHidden/>
          </w:rPr>
          <w:fldChar w:fldCharType="end"/>
        </w:r>
      </w:hyperlink>
    </w:p>
    <w:p w14:paraId="4C8ACC42" w14:textId="53CDBAB4"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08" w:history="1">
        <w:r w:rsidR="00663454" w:rsidRPr="00952C1C">
          <w:rPr>
            <w:rStyle w:val="Hyperlink"/>
            <w:b/>
            <w:noProof/>
          </w:rPr>
          <w:t>3.1.3.</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Key data</w:t>
        </w:r>
        <w:r w:rsidR="00663454">
          <w:rPr>
            <w:noProof/>
            <w:webHidden/>
          </w:rPr>
          <w:tab/>
        </w:r>
        <w:r w:rsidR="00663454">
          <w:rPr>
            <w:noProof/>
            <w:webHidden/>
          </w:rPr>
          <w:fldChar w:fldCharType="begin"/>
        </w:r>
        <w:r w:rsidR="00663454">
          <w:rPr>
            <w:noProof/>
            <w:webHidden/>
          </w:rPr>
          <w:instrText xml:space="preserve"> PAGEREF _Toc31821708 \h </w:instrText>
        </w:r>
        <w:r w:rsidR="00663454">
          <w:rPr>
            <w:noProof/>
            <w:webHidden/>
          </w:rPr>
        </w:r>
        <w:r w:rsidR="00663454">
          <w:rPr>
            <w:noProof/>
            <w:webHidden/>
          </w:rPr>
          <w:fldChar w:fldCharType="separate"/>
        </w:r>
        <w:r w:rsidR="00663454">
          <w:rPr>
            <w:noProof/>
            <w:webHidden/>
          </w:rPr>
          <w:t>27</w:t>
        </w:r>
        <w:r w:rsidR="00663454">
          <w:rPr>
            <w:noProof/>
            <w:webHidden/>
          </w:rPr>
          <w:fldChar w:fldCharType="end"/>
        </w:r>
      </w:hyperlink>
    </w:p>
    <w:p w14:paraId="03CAE2A9" w14:textId="505F0AD8" w:rsidR="00663454" w:rsidRDefault="00C97FBA">
      <w:pPr>
        <w:pStyle w:val="TOC2"/>
        <w:rPr>
          <w:rFonts w:asciiTheme="minorHAnsi" w:eastAsiaTheme="minorEastAsia" w:hAnsiTheme="minorHAnsi" w:cstheme="minorBidi"/>
          <w:sz w:val="22"/>
          <w:szCs w:val="22"/>
          <w:lang w:val="fr-BE" w:eastAsia="fr-BE"/>
        </w:rPr>
      </w:pPr>
      <w:hyperlink w:anchor="_Toc31821709" w:history="1">
        <w:r w:rsidR="00663454" w:rsidRPr="00952C1C">
          <w:rPr>
            <w:rStyle w:val="Hyperlink"/>
          </w:rPr>
          <w:t>3.2.</w:t>
        </w:r>
        <w:r w:rsidR="00663454">
          <w:rPr>
            <w:rFonts w:asciiTheme="minorHAnsi" w:eastAsiaTheme="minorEastAsia" w:hAnsiTheme="minorHAnsi" w:cstheme="minorBidi"/>
            <w:sz w:val="22"/>
            <w:szCs w:val="22"/>
            <w:lang w:val="fr-BE" w:eastAsia="fr-BE"/>
          </w:rPr>
          <w:tab/>
        </w:r>
        <w:r w:rsidR="00663454" w:rsidRPr="00952C1C">
          <w:rPr>
            <w:rStyle w:val="Hyperlink"/>
          </w:rPr>
          <w:t>Budget Result</w:t>
        </w:r>
        <w:r w:rsidR="00663454">
          <w:rPr>
            <w:webHidden/>
          </w:rPr>
          <w:tab/>
        </w:r>
        <w:r w:rsidR="00663454">
          <w:rPr>
            <w:webHidden/>
          </w:rPr>
          <w:fldChar w:fldCharType="begin"/>
        </w:r>
        <w:r w:rsidR="00663454">
          <w:rPr>
            <w:webHidden/>
          </w:rPr>
          <w:instrText xml:space="preserve"> PAGEREF _Toc31821709 \h </w:instrText>
        </w:r>
        <w:r w:rsidR="00663454">
          <w:rPr>
            <w:webHidden/>
          </w:rPr>
        </w:r>
        <w:r w:rsidR="00663454">
          <w:rPr>
            <w:webHidden/>
          </w:rPr>
          <w:fldChar w:fldCharType="separate"/>
        </w:r>
        <w:r w:rsidR="00663454">
          <w:rPr>
            <w:webHidden/>
          </w:rPr>
          <w:t>27</w:t>
        </w:r>
        <w:r w:rsidR="00663454">
          <w:rPr>
            <w:webHidden/>
          </w:rPr>
          <w:fldChar w:fldCharType="end"/>
        </w:r>
      </w:hyperlink>
    </w:p>
    <w:p w14:paraId="19662957" w14:textId="2EA4AD31" w:rsidR="00663454" w:rsidRDefault="00C97FBA">
      <w:pPr>
        <w:pStyle w:val="TOC2"/>
        <w:rPr>
          <w:rFonts w:asciiTheme="minorHAnsi" w:eastAsiaTheme="minorEastAsia" w:hAnsiTheme="minorHAnsi" w:cstheme="minorBidi"/>
          <w:sz w:val="22"/>
          <w:szCs w:val="22"/>
          <w:lang w:val="fr-BE" w:eastAsia="fr-BE"/>
        </w:rPr>
      </w:pPr>
      <w:hyperlink w:anchor="_Toc31821710" w:history="1">
        <w:r w:rsidR="00663454" w:rsidRPr="00952C1C">
          <w:rPr>
            <w:rStyle w:val="Hyperlink"/>
          </w:rPr>
          <w:t>3.3.</w:t>
        </w:r>
        <w:r w:rsidR="00663454">
          <w:rPr>
            <w:rFonts w:asciiTheme="minorHAnsi" w:eastAsiaTheme="minorEastAsia" w:hAnsiTheme="minorHAnsi" w:cstheme="minorBidi"/>
            <w:sz w:val="22"/>
            <w:szCs w:val="22"/>
            <w:lang w:val="fr-BE" w:eastAsia="fr-BE"/>
          </w:rPr>
          <w:tab/>
        </w:r>
        <w:r w:rsidR="00663454" w:rsidRPr="00952C1C">
          <w:rPr>
            <w:rStyle w:val="Hyperlink"/>
          </w:rPr>
          <w:t>Budget Revenue</w:t>
        </w:r>
        <w:r w:rsidR="00663454">
          <w:rPr>
            <w:webHidden/>
          </w:rPr>
          <w:tab/>
        </w:r>
        <w:r w:rsidR="00663454">
          <w:rPr>
            <w:webHidden/>
          </w:rPr>
          <w:fldChar w:fldCharType="begin"/>
        </w:r>
        <w:r w:rsidR="00663454">
          <w:rPr>
            <w:webHidden/>
          </w:rPr>
          <w:instrText xml:space="preserve"> PAGEREF _Toc31821710 \h </w:instrText>
        </w:r>
        <w:r w:rsidR="00663454">
          <w:rPr>
            <w:webHidden/>
          </w:rPr>
        </w:r>
        <w:r w:rsidR="00663454">
          <w:rPr>
            <w:webHidden/>
          </w:rPr>
          <w:fldChar w:fldCharType="separate"/>
        </w:r>
        <w:r w:rsidR="00663454">
          <w:rPr>
            <w:webHidden/>
          </w:rPr>
          <w:t>30</w:t>
        </w:r>
        <w:r w:rsidR="00663454">
          <w:rPr>
            <w:webHidden/>
          </w:rPr>
          <w:fldChar w:fldCharType="end"/>
        </w:r>
      </w:hyperlink>
    </w:p>
    <w:p w14:paraId="7F4CAE11" w14:textId="33429D84" w:rsidR="00663454" w:rsidRDefault="00C97FBA">
      <w:pPr>
        <w:pStyle w:val="TOC2"/>
        <w:rPr>
          <w:rFonts w:asciiTheme="minorHAnsi" w:eastAsiaTheme="minorEastAsia" w:hAnsiTheme="minorHAnsi" w:cstheme="minorBidi"/>
          <w:sz w:val="22"/>
          <w:szCs w:val="22"/>
          <w:lang w:val="fr-BE" w:eastAsia="fr-BE"/>
        </w:rPr>
      </w:pPr>
      <w:hyperlink w:anchor="_Toc31821711" w:history="1">
        <w:r w:rsidR="00663454" w:rsidRPr="00952C1C">
          <w:rPr>
            <w:rStyle w:val="Hyperlink"/>
          </w:rPr>
          <w:t>3.4.</w:t>
        </w:r>
        <w:r w:rsidR="00663454">
          <w:rPr>
            <w:rFonts w:asciiTheme="minorHAnsi" w:eastAsiaTheme="minorEastAsia" w:hAnsiTheme="minorHAnsi" w:cstheme="minorBidi"/>
            <w:sz w:val="22"/>
            <w:szCs w:val="22"/>
            <w:lang w:val="fr-BE" w:eastAsia="fr-BE"/>
          </w:rPr>
          <w:tab/>
        </w:r>
        <w:r w:rsidR="00663454" w:rsidRPr="00952C1C">
          <w:rPr>
            <w:rStyle w:val="Hyperlink"/>
          </w:rPr>
          <w:t>Budget Expenditure</w:t>
        </w:r>
        <w:r w:rsidR="00663454">
          <w:rPr>
            <w:webHidden/>
          </w:rPr>
          <w:tab/>
        </w:r>
        <w:r w:rsidR="00663454">
          <w:rPr>
            <w:webHidden/>
          </w:rPr>
          <w:fldChar w:fldCharType="begin"/>
        </w:r>
        <w:r w:rsidR="00663454">
          <w:rPr>
            <w:webHidden/>
          </w:rPr>
          <w:instrText xml:space="preserve"> PAGEREF _Toc31821711 \h </w:instrText>
        </w:r>
        <w:r w:rsidR="00663454">
          <w:rPr>
            <w:webHidden/>
          </w:rPr>
        </w:r>
        <w:r w:rsidR="00663454">
          <w:rPr>
            <w:webHidden/>
          </w:rPr>
          <w:fldChar w:fldCharType="separate"/>
        </w:r>
        <w:r w:rsidR="00663454">
          <w:rPr>
            <w:webHidden/>
          </w:rPr>
          <w:t>30</w:t>
        </w:r>
        <w:r w:rsidR="00663454">
          <w:rPr>
            <w:webHidden/>
          </w:rPr>
          <w:fldChar w:fldCharType="end"/>
        </w:r>
      </w:hyperlink>
    </w:p>
    <w:p w14:paraId="3BBEBC9C" w14:textId="28C61531"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12" w:history="1">
        <w:r w:rsidR="00663454" w:rsidRPr="00952C1C">
          <w:rPr>
            <w:rStyle w:val="Hyperlink"/>
            <w:b/>
            <w:noProof/>
          </w:rPr>
          <w:t>3.4.1.</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Overview 2019 budget and transfers</w:t>
        </w:r>
        <w:r w:rsidR="00663454">
          <w:rPr>
            <w:noProof/>
            <w:webHidden/>
          </w:rPr>
          <w:tab/>
        </w:r>
        <w:r w:rsidR="00663454">
          <w:rPr>
            <w:noProof/>
            <w:webHidden/>
          </w:rPr>
          <w:fldChar w:fldCharType="begin"/>
        </w:r>
        <w:r w:rsidR="00663454">
          <w:rPr>
            <w:noProof/>
            <w:webHidden/>
          </w:rPr>
          <w:instrText xml:space="preserve"> PAGEREF _Toc31821712 \h </w:instrText>
        </w:r>
        <w:r w:rsidR="00663454">
          <w:rPr>
            <w:noProof/>
            <w:webHidden/>
          </w:rPr>
        </w:r>
        <w:r w:rsidR="00663454">
          <w:rPr>
            <w:noProof/>
            <w:webHidden/>
          </w:rPr>
          <w:fldChar w:fldCharType="separate"/>
        </w:r>
        <w:r w:rsidR="00663454">
          <w:rPr>
            <w:noProof/>
            <w:webHidden/>
          </w:rPr>
          <w:t>30</w:t>
        </w:r>
        <w:r w:rsidR="00663454">
          <w:rPr>
            <w:noProof/>
            <w:webHidden/>
          </w:rPr>
          <w:fldChar w:fldCharType="end"/>
        </w:r>
      </w:hyperlink>
    </w:p>
    <w:p w14:paraId="1F567F05" w14:textId="6A1ABFFA"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13" w:history="1">
        <w:r w:rsidR="00663454" w:rsidRPr="00952C1C">
          <w:rPr>
            <w:rStyle w:val="Hyperlink"/>
            <w:b/>
            <w:noProof/>
          </w:rPr>
          <w:t>3.4.2.</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Implementation of 2019 commitment and payment appropriations – fund source C1</w:t>
        </w:r>
        <w:r w:rsidR="00663454">
          <w:rPr>
            <w:noProof/>
            <w:webHidden/>
          </w:rPr>
          <w:tab/>
        </w:r>
        <w:r w:rsidR="00663454">
          <w:rPr>
            <w:noProof/>
            <w:webHidden/>
          </w:rPr>
          <w:fldChar w:fldCharType="begin"/>
        </w:r>
        <w:r w:rsidR="00663454">
          <w:rPr>
            <w:noProof/>
            <w:webHidden/>
          </w:rPr>
          <w:instrText xml:space="preserve"> PAGEREF _Toc31821713 \h </w:instrText>
        </w:r>
        <w:r w:rsidR="00663454">
          <w:rPr>
            <w:noProof/>
            <w:webHidden/>
          </w:rPr>
        </w:r>
        <w:r w:rsidR="00663454">
          <w:rPr>
            <w:noProof/>
            <w:webHidden/>
          </w:rPr>
          <w:fldChar w:fldCharType="separate"/>
        </w:r>
        <w:r w:rsidR="00663454">
          <w:rPr>
            <w:noProof/>
            <w:webHidden/>
          </w:rPr>
          <w:t>38</w:t>
        </w:r>
        <w:r w:rsidR="00663454">
          <w:rPr>
            <w:noProof/>
            <w:webHidden/>
          </w:rPr>
          <w:fldChar w:fldCharType="end"/>
        </w:r>
      </w:hyperlink>
    </w:p>
    <w:p w14:paraId="5453AE31" w14:textId="483C2FC3" w:rsidR="00663454" w:rsidRDefault="00C97FBA">
      <w:pPr>
        <w:pStyle w:val="TOC3"/>
        <w:tabs>
          <w:tab w:val="left" w:pos="1418"/>
        </w:tabs>
        <w:rPr>
          <w:rFonts w:asciiTheme="minorHAnsi" w:eastAsiaTheme="minorEastAsia" w:hAnsiTheme="minorHAnsi" w:cstheme="minorBidi"/>
          <w:noProof/>
          <w:sz w:val="22"/>
          <w:szCs w:val="22"/>
          <w:lang w:val="fr-BE" w:eastAsia="fr-BE"/>
        </w:rPr>
      </w:pPr>
      <w:hyperlink w:anchor="_Toc31821714" w:history="1">
        <w:r w:rsidR="00663454" w:rsidRPr="00952C1C">
          <w:rPr>
            <w:rStyle w:val="Hyperlink"/>
            <w:b/>
            <w:noProof/>
          </w:rPr>
          <w:t>3.4.3.</w:t>
        </w:r>
        <w:r w:rsidR="00663454">
          <w:rPr>
            <w:rFonts w:asciiTheme="minorHAnsi" w:eastAsiaTheme="minorEastAsia" w:hAnsiTheme="minorHAnsi" w:cstheme="minorBidi"/>
            <w:noProof/>
            <w:sz w:val="22"/>
            <w:szCs w:val="22"/>
            <w:lang w:val="fr-BE" w:eastAsia="fr-BE"/>
          </w:rPr>
          <w:tab/>
        </w:r>
        <w:r w:rsidR="00663454" w:rsidRPr="00952C1C">
          <w:rPr>
            <w:rStyle w:val="Hyperlink"/>
            <w:b/>
            <w:noProof/>
          </w:rPr>
          <w:t>Implementation of 2018 carried over commitment and payment appropriations – Fund source C8</w:t>
        </w:r>
        <w:r w:rsidR="00663454">
          <w:rPr>
            <w:noProof/>
            <w:webHidden/>
          </w:rPr>
          <w:tab/>
        </w:r>
        <w:r w:rsidR="00663454">
          <w:rPr>
            <w:noProof/>
            <w:webHidden/>
          </w:rPr>
          <w:fldChar w:fldCharType="begin"/>
        </w:r>
        <w:r w:rsidR="00663454">
          <w:rPr>
            <w:noProof/>
            <w:webHidden/>
          </w:rPr>
          <w:instrText xml:space="preserve"> PAGEREF _Toc31821714 \h </w:instrText>
        </w:r>
        <w:r w:rsidR="00663454">
          <w:rPr>
            <w:noProof/>
            <w:webHidden/>
          </w:rPr>
        </w:r>
        <w:r w:rsidR="00663454">
          <w:rPr>
            <w:noProof/>
            <w:webHidden/>
          </w:rPr>
          <w:fldChar w:fldCharType="separate"/>
        </w:r>
        <w:r w:rsidR="00663454">
          <w:rPr>
            <w:noProof/>
            <w:webHidden/>
          </w:rPr>
          <w:t>42</w:t>
        </w:r>
        <w:r w:rsidR="00663454">
          <w:rPr>
            <w:noProof/>
            <w:webHidden/>
          </w:rPr>
          <w:fldChar w:fldCharType="end"/>
        </w:r>
      </w:hyperlink>
    </w:p>
    <w:p w14:paraId="294E83AA" w14:textId="39624DDA" w:rsidR="00663454" w:rsidRDefault="00C97FBA">
      <w:pPr>
        <w:pStyle w:val="TOC2"/>
        <w:rPr>
          <w:rFonts w:asciiTheme="minorHAnsi" w:eastAsiaTheme="minorEastAsia" w:hAnsiTheme="minorHAnsi" w:cstheme="minorBidi"/>
          <w:sz w:val="22"/>
          <w:szCs w:val="22"/>
          <w:lang w:val="fr-BE" w:eastAsia="fr-BE"/>
        </w:rPr>
      </w:pPr>
      <w:hyperlink w:anchor="_Toc31821715" w:history="1">
        <w:r w:rsidR="00663454" w:rsidRPr="00952C1C">
          <w:rPr>
            <w:rStyle w:val="Hyperlink"/>
          </w:rPr>
          <w:t>3.5.</w:t>
        </w:r>
        <w:r w:rsidR="00663454">
          <w:rPr>
            <w:rFonts w:asciiTheme="minorHAnsi" w:eastAsiaTheme="minorEastAsia" w:hAnsiTheme="minorHAnsi" w:cstheme="minorBidi"/>
            <w:sz w:val="22"/>
            <w:szCs w:val="22"/>
            <w:lang w:val="fr-BE" w:eastAsia="fr-BE"/>
          </w:rPr>
          <w:tab/>
        </w:r>
        <w:r w:rsidR="00663454" w:rsidRPr="00952C1C">
          <w:rPr>
            <w:rStyle w:val="Hyperlink"/>
          </w:rPr>
          <w:t>REA staffing</w:t>
        </w:r>
        <w:r w:rsidR="00663454">
          <w:rPr>
            <w:webHidden/>
          </w:rPr>
          <w:tab/>
        </w:r>
        <w:r w:rsidR="00663454">
          <w:rPr>
            <w:webHidden/>
          </w:rPr>
          <w:fldChar w:fldCharType="begin"/>
        </w:r>
        <w:r w:rsidR="00663454">
          <w:rPr>
            <w:webHidden/>
          </w:rPr>
          <w:instrText xml:space="preserve"> PAGEREF _Toc31821715 \h </w:instrText>
        </w:r>
        <w:r w:rsidR="00663454">
          <w:rPr>
            <w:webHidden/>
          </w:rPr>
        </w:r>
        <w:r w:rsidR="00663454">
          <w:rPr>
            <w:webHidden/>
          </w:rPr>
          <w:fldChar w:fldCharType="separate"/>
        </w:r>
        <w:r w:rsidR="00663454">
          <w:rPr>
            <w:webHidden/>
          </w:rPr>
          <w:t>44</w:t>
        </w:r>
        <w:r w:rsidR="00663454">
          <w:rPr>
            <w:webHidden/>
          </w:rPr>
          <w:fldChar w:fldCharType="end"/>
        </w:r>
      </w:hyperlink>
    </w:p>
    <w:p w14:paraId="441DDFE2" w14:textId="51211F94" w:rsidR="00663454" w:rsidRDefault="00C97FBA">
      <w:pPr>
        <w:pStyle w:val="TOC2"/>
        <w:rPr>
          <w:rFonts w:asciiTheme="minorHAnsi" w:eastAsiaTheme="minorEastAsia" w:hAnsiTheme="minorHAnsi" w:cstheme="minorBidi"/>
          <w:sz w:val="22"/>
          <w:szCs w:val="22"/>
          <w:lang w:val="fr-BE" w:eastAsia="fr-BE"/>
        </w:rPr>
      </w:pPr>
      <w:hyperlink w:anchor="_Toc31821716" w:history="1">
        <w:r w:rsidR="00663454" w:rsidRPr="00952C1C">
          <w:rPr>
            <w:rStyle w:val="Hyperlink"/>
          </w:rPr>
          <w:t>3.6.</w:t>
        </w:r>
        <w:r w:rsidR="00663454">
          <w:rPr>
            <w:rFonts w:asciiTheme="minorHAnsi" w:eastAsiaTheme="minorEastAsia" w:hAnsiTheme="minorHAnsi" w:cstheme="minorBidi"/>
            <w:sz w:val="22"/>
            <w:szCs w:val="22"/>
            <w:lang w:val="fr-BE" w:eastAsia="fr-BE"/>
          </w:rPr>
          <w:tab/>
        </w:r>
        <w:r w:rsidR="00663454" w:rsidRPr="00952C1C">
          <w:rPr>
            <w:rStyle w:val="Hyperlink"/>
          </w:rPr>
          <w:t>Glossary and Abbreviations</w:t>
        </w:r>
        <w:r w:rsidR="00663454">
          <w:rPr>
            <w:webHidden/>
          </w:rPr>
          <w:tab/>
        </w:r>
        <w:r w:rsidR="00663454">
          <w:rPr>
            <w:webHidden/>
          </w:rPr>
          <w:fldChar w:fldCharType="begin"/>
        </w:r>
        <w:r w:rsidR="00663454">
          <w:rPr>
            <w:webHidden/>
          </w:rPr>
          <w:instrText xml:space="preserve"> PAGEREF _Toc31821716 \h </w:instrText>
        </w:r>
        <w:r w:rsidR="00663454">
          <w:rPr>
            <w:webHidden/>
          </w:rPr>
        </w:r>
        <w:r w:rsidR="00663454">
          <w:rPr>
            <w:webHidden/>
          </w:rPr>
          <w:fldChar w:fldCharType="separate"/>
        </w:r>
        <w:r w:rsidR="00663454">
          <w:rPr>
            <w:webHidden/>
          </w:rPr>
          <w:t>45</w:t>
        </w:r>
        <w:r w:rsidR="00663454">
          <w:rPr>
            <w:webHidden/>
          </w:rPr>
          <w:fldChar w:fldCharType="end"/>
        </w:r>
      </w:hyperlink>
    </w:p>
    <w:p w14:paraId="4E169479" w14:textId="56A57BA9" w:rsidR="00936535" w:rsidRPr="009C4D27" w:rsidRDefault="00936535" w:rsidP="00A64D26">
      <w:pPr>
        <w:autoSpaceDE w:val="0"/>
        <w:autoSpaceDN w:val="0"/>
        <w:adjustRightInd w:val="0"/>
        <w:rPr>
          <w:rFonts w:ascii="Arial" w:hAnsi="Arial" w:cs="Arial"/>
          <w:bCs/>
          <w:color w:val="000000"/>
          <w:u w:val="single"/>
        </w:rPr>
      </w:pPr>
      <w:r w:rsidRPr="009C4D27">
        <w:rPr>
          <w:bCs/>
          <w:color w:val="000000"/>
          <w:u w:val="single"/>
        </w:rPr>
        <w:fldChar w:fldCharType="end"/>
      </w:r>
    </w:p>
    <w:p w14:paraId="534ABADA" w14:textId="77777777" w:rsidR="00C65C37" w:rsidRPr="00336511" w:rsidRDefault="00C65C37" w:rsidP="00A64D26">
      <w:pPr>
        <w:autoSpaceDE w:val="0"/>
        <w:autoSpaceDN w:val="0"/>
        <w:adjustRightInd w:val="0"/>
        <w:jc w:val="center"/>
        <w:rPr>
          <w:rFonts w:ascii="Arial" w:hAnsi="Arial" w:cs="Arial"/>
          <w:b/>
          <w:bCs/>
          <w:color w:val="000000"/>
          <w:sz w:val="32"/>
          <w:szCs w:val="32"/>
          <w:u w:val="single"/>
        </w:rPr>
      </w:pPr>
    </w:p>
    <w:p w14:paraId="74EF0F50" w14:textId="77777777" w:rsidR="002148CC" w:rsidRDefault="002148CC" w:rsidP="00A64D26">
      <w:pPr>
        <w:pStyle w:val="Heading1"/>
        <w:numPr>
          <w:ilvl w:val="0"/>
          <w:numId w:val="0"/>
        </w:numPr>
        <w:rPr>
          <w:rFonts w:ascii="Arial" w:hAnsi="Arial" w:cs="Arial"/>
          <w:b w:val="0"/>
          <w:bCs/>
          <w:color w:val="000000"/>
          <w:sz w:val="32"/>
          <w:szCs w:val="32"/>
          <w:u w:val="single"/>
        </w:rPr>
      </w:pPr>
    </w:p>
    <w:p w14:paraId="122B7344" w14:textId="77777777" w:rsidR="00972C11" w:rsidRPr="00533C67" w:rsidRDefault="00C65C37" w:rsidP="009C4D27">
      <w:pPr>
        <w:pStyle w:val="Heading1"/>
        <w:numPr>
          <w:ilvl w:val="0"/>
          <w:numId w:val="0"/>
        </w:numPr>
        <w:jc w:val="center"/>
        <w:rPr>
          <w:rFonts w:cs="Arial"/>
        </w:rPr>
      </w:pPr>
      <w:r w:rsidRPr="00336511">
        <w:rPr>
          <w:rFonts w:ascii="Arial" w:hAnsi="Arial" w:cs="Arial"/>
          <w:b w:val="0"/>
          <w:bCs/>
          <w:color w:val="000000"/>
          <w:sz w:val="32"/>
          <w:szCs w:val="32"/>
          <w:u w:val="single"/>
        </w:rPr>
        <w:br w:type="page"/>
      </w:r>
      <w:bookmarkStart w:id="0" w:name="_Toc31821684"/>
      <w:r w:rsidR="00A724B9" w:rsidRPr="00533C67">
        <w:rPr>
          <w:rFonts w:cs="Arial"/>
        </w:rPr>
        <w:lastRenderedPageBreak/>
        <w:t>CERTIFICATE AND STATEMENT OF THE DIRECTOR</w:t>
      </w:r>
      <w:bookmarkEnd w:id="0"/>
    </w:p>
    <w:tbl>
      <w:tblPr>
        <w:tblW w:w="5000" w:type="pct"/>
        <w:tblLook w:val="01E0" w:firstRow="1" w:lastRow="1" w:firstColumn="1" w:lastColumn="1" w:noHBand="0" w:noVBand="0"/>
      </w:tblPr>
      <w:tblGrid>
        <w:gridCol w:w="4211"/>
        <w:gridCol w:w="396"/>
        <w:gridCol w:w="4651"/>
      </w:tblGrid>
      <w:tr w:rsidR="00972C11" w:rsidRPr="009C4D27" w14:paraId="06E44941" w14:textId="77777777" w:rsidTr="00011C65">
        <w:trPr>
          <w:trHeight w:val="899"/>
        </w:trPr>
        <w:tc>
          <w:tcPr>
            <w:tcW w:w="2274" w:type="pct"/>
            <w:vAlign w:val="center"/>
          </w:tcPr>
          <w:p w14:paraId="27F1AD47" w14:textId="77777777" w:rsidR="00972C11" w:rsidRPr="009C4D27" w:rsidRDefault="00972C11" w:rsidP="00A64D26">
            <w:pPr>
              <w:spacing w:before="240"/>
              <w:jc w:val="center"/>
              <w:rPr>
                <w:rFonts w:cs="Verdana"/>
                <w:b/>
                <w:noProof/>
                <w:u w:val="single"/>
              </w:rPr>
            </w:pPr>
            <w:r w:rsidRPr="009C4D27">
              <w:rPr>
                <w:rFonts w:cs="Arial"/>
                <w:b/>
                <w:u w:val="single"/>
              </w:rPr>
              <w:t>C</w:t>
            </w:r>
            <w:r w:rsidR="007C1F81" w:rsidRPr="009C4D27">
              <w:rPr>
                <w:rFonts w:cs="Arial"/>
                <w:b/>
                <w:u w:val="single"/>
              </w:rPr>
              <w:t>ERTIFICATE</w:t>
            </w:r>
          </w:p>
        </w:tc>
        <w:tc>
          <w:tcPr>
            <w:tcW w:w="214" w:type="pct"/>
            <w:vAlign w:val="center"/>
          </w:tcPr>
          <w:p w14:paraId="7D9151C2" w14:textId="77777777" w:rsidR="00972C11" w:rsidRPr="009C4D27" w:rsidRDefault="00972C11" w:rsidP="00A64D26">
            <w:pPr>
              <w:pStyle w:val="BodyText"/>
              <w:jc w:val="center"/>
              <w:outlineLvl w:val="0"/>
              <w:rPr>
                <w:rFonts w:cs="Verdana"/>
                <w:b/>
                <w:bCs/>
                <w:i/>
                <w:iCs/>
                <w:noProof/>
                <w:szCs w:val="24"/>
                <w:u w:val="single"/>
              </w:rPr>
            </w:pPr>
          </w:p>
        </w:tc>
        <w:tc>
          <w:tcPr>
            <w:tcW w:w="2512" w:type="pct"/>
            <w:vAlign w:val="center"/>
          </w:tcPr>
          <w:p w14:paraId="4AFA7EEE" w14:textId="77777777" w:rsidR="00972C11" w:rsidRPr="009C4D27" w:rsidRDefault="007C1F81" w:rsidP="00A64D26">
            <w:pPr>
              <w:spacing w:before="240"/>
              <w:jc w:val="center"/>
              <w:rPr>
                <w:rFonts w:cs="Arial"/>
                <w:b/>
                <w:u w:val="single"/>
              </w:rPr>
            </w:pPr>
            <w:r w:rsidRPr="009C4D27">
              <w:rPr>
                <w:rFonts w:cs="Arial"/>
                <w:b/>
                <w:u w:val="single"/>
              </w:rPr>
              <w:t>STATEMENT OF THE DIRECTOR</w:t>
            </w:r>
          </w:p>
        </w:tc>
      </w:tr>
      <w:tr w:rsidR="00972C11" w:rsidRPr="009C4D27" w14:paraId="16A1684B" w14:textId="77777777" w:rsidTr="00011C65">
        <w:tc>
          <w:tcPr>
            <w:tcW w:w="2274" w:type="pct"/>
          </w:tcPr>
          <w:p w14:paraId="7EDAFF74" w14:textId="01DCA42D" w:rsidR="00775ABD" w:rsidRPr="00775ABD" w:rsidRDefault="00775ABD" w:rsidP="00775ABD">
            <w:pPr>
              <w:pStyle w:val="Textstand-alone"/>
              <w:rPr>
                <w:rFonts w:ascii="Times New Roman" w:hAnsi="Times New Roman"/>
                <w:noProof w:val="0"/>
                <w:sz w:val="24"/>
                <w:szCs w:val="24"/>
                <w:bdr w:val="none" w:sz="0" w:space="0" w:color="auto"/>
                <w:lang w:eastAsia="pl-PL"/>
              </w:rPr>
            </w:pPr>
            <w:r w:rsidRPr="00775ABD">
              <w:rPr>
                <w:rFonts w:ascii="Times New Roman" w:hAnsi="Times New Roman"/>
                <w:noProof w:val="0"/>
                <w:sz w:val="24"/>
                <w:szCs w:val="24"/>
                <w:bdr w:val="none" w:sz="0" w:space="0" w:color="auto"/>
                <w:lang w:eastAsia="pl-PL"/>
              </w:rPr>
              <w:t>I acknowledge my responsibility for the preparation and present</w:t>
            </w:r>
            <w:r>
              <w:rPr>
                <w:rFonts w:ascii="Times New Roman" w:hAnsi="Times New Roman"/>
                <w:noProof w:val="0"/>
                <w:sz w:val="24"/>
                <w:szCs w:val="24"/>
                <w:bdr w:val="none" w:sz="0" w:space="0" w:color="auto"/>
                <w:lang w:eastAsia="pl-PL"/>
              </w:rPr>
              <w:t>ation of the annual accounts of the Research Executive Agency</w:t>
            </w:r>
            <w:r w:rsidRPr="00775ABD">
              <w:rPr>
                <w:rFonts w:ascii="Times New Roman" w:hAnsi="Times New Roman"/>
                <w:noProof w:val="0"/>
                <w:sz w:val="24"/>
                <w:szCs w:val="24"/>
                <w:bdr w:val="none" w:sz="0" w:space="0" w:color="auto"/>
                <w:lang w:eastAsia="pl-PL"/>
              </w:rPr>
              <w:t xml:space="preserve"> in accordance with Article 246 of the Financial Regulation ('FR')</w:t>
            </w:r>
            <w:r w:rsidR="009D5FDF" w:rsidRPr="009D5FDF">
              <w:rPr>
                <w:rFonts w:ascii="Times New Roman" w:hAnsi="Times New Roman"/>
                <w:noProof w:val="0"/>
                <w:sz w:val="24"/>
                <w:szCs w:val="24"/>
                <w:bdr w:val="none" w:sz="0" w:space="0" w:color="auto"/>
                <w:vertAlign w:val="superscript"/>
                <w:lang w:eastAsia="en-GB"/>
              </w:rPr>
              <w:footnoteReference w:id="2"/>
            </w:r>
            <w:r w:rsidRPr="00775ABD">
              <w:rPr>
                <w:rFonts w:ascii="Times New Roman" w:hAnsi="Times New Roman"/>
                <w:noProof w:val="0"/>
                <w:sz w:val="24"/>
                <w:szCs w:val="24"/>
                <w:bdr w:val="none" w:sz="0" w:space="0" w:color="auto"/>
                <w:lang w:eastAsia="pl-PL"/>
              </w:rPr>
              <w:t xml:space="preserve"> and I hereby certify that the annual accounts of the </w:t>
            </w:r>
            <w:r>
              <w:rPr>
                <w:rFonts w:ascii="Times New Roman" w:hAnsi="Times New Roman"/>
                <w:noProof w:val="0"/>
                <w:sz w:val="24"/>
                <w:szCs w:val="24"/>
                <w:bdr w:val="none" w:sz="0" w:space="0" w:color="auto"/>
                <w:lang w:eastAsia="pl-PL"/>
              </w:rPr>
              <w:t xml:space="preserve">Research Executive Agency </w:t>
            </w:r>
            <w:r w:rsidRPr="00775ABD">
              <w:rPr>
                <w:rFonts w:ascii="Times New Roman" w:hAnsi="Times New Roman"/>
                <w:noProof w:val="0"/>
                <w:sz w:val="24"/>
                <w:szCs w:val="24"/>
                <w:bdr w:val="none" w:sz="0" w:space="0" w:color="auto"/>
                <w:lang w:eastAsia="pl-PL"/>
              </w:rPr>
              <w:t>for the year 2019 have been prepared in accordance with Title XIII of the FR and the accounting rules adopted by the Commission's Accounting Officer, as are to be applied by all the institutions and union bodies.</w:t>
            </w:r>
          </w:p>
          <w:p w14:paraId="3286F1DD" w14:textId="77777777" w:rsidR="00972C11" w:rsidRPr="00775ABD" w:rsidRDefault="00775ABD" w:rsidP="00775ABD">
            <w:pPr>
              <w:pStyle w:val="Textstand-alone"/>
              <w:rPr>
                <w:rFonts w:ascii="Times New Roman" w:hAnsi="Times New Roman"/>
                <w:noProof w:val="0"/>
                <w:sz w:val="24"/>
                <w:szCs w:val="24"/>
                <w:bdr w:val="none" w:sz="0" w:space="0" w:color="auto"/>
                <w:lang w:eastAsia="pl-PL"/>
              </w:rPr>
            </w:pPr>
            <w:r w:rsidRPr="00775ABD">
              <w:rPr>
                <w:rFonts w:ascii="Times New Roman" w:hAnsi="Times New Roman"/>
                <w:noProof w:val="0"/>
                <w:sz w:val="24"/>
                <w:szCs w:val="24"/>
                <w:bdr w:val="none" w:sz="0" w:space="0" w:color="auto"/>
                <w:lang w:eastAsia="pl-PL"/>
              </w:rPr>
              <w:t xml:space="preserve">I have obtained from the Authorising Officer, who certified its reliability, all the information necessary for the production of the accounts that show the </w:t>
            </w:r>
            <w:r>
              <w:rPr>
                <w:rFonts w:ascii="Times New Roman" w:hAnsi="Times New Roman"/>
                <w:noProof w:val="0"/>
                <w:sz w:val="24"/>
                <w:szCs w:val="24"/>
                <w:bdr w:val="none" w:sz="0" w:space="0" w:color="auto"/>
                <w:lang w:eastAsia="pl-PL"/>
              </w:rPr>
              <w:t>Reasearch Executive Agency</w:t>
            </w:r>
            <w:r w:rsidRPr="00775ABD">
              <w:rPr>
                <w:rFonts w:ascii="Times New Roman" w:hAnsi="Times New Roman"/>
                <w:noProof w:val="0"/>
                <w:sz w:val="24"/>
                <w:szCs w:val="24"/>
                <w:bdr w:val="none" w:sz="0" w:space="0" w:color="auto"/>
                <w:lang w:eastAsia="pl-PL"/>
              </w:rPr>
              <w:t xml:space="preserve">'s assets and liabilities and the budgetary implementation. Based on this information, and on such checks as I deemed necessary to sign off the accounts, I have a reasonable assurance that the accounts present fairly, in all material aspects, the financial position, the results of the operations and the cash-flow of the </w:t>
            </w:r>
            <w:r>
              <w:rPr>
                <w:rFonts w:ascii="Times New Roman" w:hAnsi="Times New Roman"/>
                <w:noProof w:val="0"/>
                <w:sz w:val="24"/>
                <w:szCs w:val="24"/>
                <w:bdr w:val="none" w:sz="0" w:space="0" w:color="auto"/>
                <w:lang w:eastAsia="pl-PL"/>
              </w:rPr>
              <w:t>Reasearch Executive Agency</w:t>
            </w:r>
            <w:r w:rsidRPr="00775ABD">
              <w:rPr>
                <w:rFonts w:ascii="Times New Roman" w:hAnsi="Times New Roman"/>
                <w:noProof w:val="0"/>
                <w:sz w:val="24"/>
                <w:szCs w:val="24"/>
                <w:bdr w:val="none" w:sz="0" w:space="0" w:color="auto"/>
                <w:lang w:eastAsia="pl-PL"/>
              </w:rPr>
              <w:t>.</w:t>
            </w:r>
          </w:p>
        </w:tc>
        <w:tc>
          <w:tcPr>
            <w:tcW w:w="214" w:type="pct"/>
          </w:tcPr>
          <w:p w14:paraId="7DF97456" w14:textId="77777777" w:rsidR="00972C11" w:rsidRPr="009C4D27" w:rsidRDefault="00972C11" w:rsidP="00A64D26">
            <w:pPr>
              <w:pStyle w:val="PlainText"/>
              <w:rPr>
                <w:rFonts w:ascii="Times New Roman" w:hAnsi="Times New Roman" w:cs="Arial"/>
                <w:sz w:val="24"/>
                <w:szCs w:val="24"/>
              </w:rPr>
            </w:pPr>
          </w:p>
        </w:tc>
        <w:tc>
          <w:tcPr>
            <w:tcW w:w="2512" w:type="pct"/>
          </w:tcPr>
          <w:p w14:paraId="65F10B44" w14:textId="77777777" w:rsidR="00972C11" w:rsidRPr="009C4D27" w:rsidRDefault="00972C11" w:rsidP="00A64D26">
            <w:pPr>
              <w:pStyle w:val="Char"/>
              <w:spacing w:before="120"/>
              <w:jc w:val="both"/>
              <w:rPr>
                <w:lang w:val="en-GB"/>
              </w:rPr>
            </w:pPr>
            <w:r w:rsidRPr="009C4D27">
              <w:rPr>
                <w:lang w:val="en-GB"/>
              </w:rPr>
              <w:t>I, the undersigned, Director of the Research Executive Agency, in my capacity as authorising officer,</w:t>
            </w:r>
          </w:p>
          <w:p w14:paraId="6B4A0BA3" w14:textId="77777777" w:rsidR="00972C11" w:rsidRPr="009C4D27" w:rsidRDefault="00972C11" w:rsidP="00DE7CF7">
            <w:pPr>
              <w:pStyle w:val="Char"/>
              <w:numPr>
                <w:ilvl w:val="0"/>
                <w:numId w:val="18"/>
              </w:numPr>
              <w:spacing w:before="120"/>
              <w:jc w:val="both"/>
              <w:rPr>
                <w:lang w:val="en-GB"/>
              </w:rPr>
            </w:pPr>
            <w:r w:rsidRPr="009C4D27">
              <w:rPr>
                <w:lang w:val="en-GB"/>
              </w:rPr>
              <w:t>Declare that the information contained in this report gives a true and fair view.</w:t>
            </w:r>
          </w:p>
          <w:p w14:paraId="12AD678D" w14:textId="77777777" w:rsidR="00972C11" w:rsidRPr="009C4D27" w:rsidRDefault="00972C11" w:rsidP="00DE7CF7">
            <w:pPr>
              <w:pStyle w:val="Char"/>
              <w:numPr>
                <w:ilvl w:val="0"/>
                <w:numId w:val="18"/>
              </w:numPr>
              <w:spacing w:before="120"/>
              <w:jc w:val="both"/>
              <w:rPr>
                <w:lang w:val="en-GB"/>
              </w:rPr>
            </w:pPr>
            <w:r w:rsidRPr="009C4D27">
              <w:rPr>
                <w:lang w:val="en-GB"/>
              </w:rPr>
              <w:t>State that I have reasonable assurance that the resources assigned to the activities described in this report have been used for their intended purpose and in accordance with the principles of sound financial management, and that the control procedures put in place give the necessary guarantees concerning the legality and regularity of the underlying transactions.</w:t>
            </w:r>
          </w:p>
          <w:p w14:paraId="216A3F1A" w14:textId="77777777" w:rsidR="00972C11" w:rsidRPr="009C4D27" w:rsidRDefault="00972C11" w:rsidP="00A64D26">
            <w:pPr>
              <w:pStyle w:val="Char"/>
              <w:spacing w:before="120"/>
              <w:ind w:left="360"/>
              <w:jc w:val="both"/>
              <w:rPr>
                <w:lang w:val="en-GB"/>
              </w:rPr>
            </w:pPr>
            <w:r w:rsidRPr="009C4D27">
              <w:rPr>
                <w:lang w:val="en-GB"/>
              </w:rPr>
              <w:t xml:space="preserve">This reasonable assurance is based on my own judgement and on the </w:t>
            </w:r>
            <w:r w:rsidR="003E381D" w:rsidRPr="009C4D27">
              <w:rPr>
                <w:lang w:val="en-GB"/>
              </w:rPr>
              <w:t>information</w:t>
            </w:r>
            <w:r w:rsidRPr="009C4D27">
              <w:rPr>
                <w:lang w:val="en-GB"/>
              </w:rPr>
              <w:t xml:space="preserve"> at my disposal, such as the results of the work of ex-ante controls as well as the observations of the Internal Audit Service.</w:t>
            </w:r>
          </w:p>
          <w:p w14:paraId="040388BD" w14:textId="77777777" w:rsidR="00972C11" w:rsidRPr="009C4D27" w:rsidRDefault="00972C11" w:rsidP="00DE7CF7">
            <w:pPr>
              <w:pStyle w:val="Char"/>
              <w:numPr>
                <w:ilvl w:val="0"/>
                <w:numId w:val="18"/>
              </w:numPr>
              <w:spacing w:before="120"/>
              <w:jc w:val="both"/>
              <w:rPr>
                <w:lang w:val="en-GB"/>
              </w:rPr>
            </w:pPr>
            <w:r w:rsidRPr="009C4D27">
              <w:rPr>
                <w:lang w:val="en-GB"/>
              </w:rPr>
              <w:t>Confirm that I am not aware of anything not reported here which could harm the interests of the Agency or the Commission.</w:t>
            </w:r>
          </w:p>
        </w:tc>
      </w:tr>
      <w:tr w:rsidR="00972C11" w:rsidRPr="009C4D27" w14:paraId="0A8C99E3" w14:textId="77777777" w:rsidTr="00EB6F53">
        <w:tc>
          <w:tcPr>
            <w:tcW w:w="5000" w:type="pct"/>
            <w:gridSpan w:val="3"/>
          </w:tcPr>
          <w:p w14:paraId="492AD079" w14:textId="3A4DA316" w:rsidR="00972C11" w:rsidRPr="009C4D27" w:rsidRDefault="00972C11" w:rsidP="00A64D26">
            <w:pPr>
              <w:spacing w:before="240"/>
              <w:jc w:val="center"/>
            </w:pPr>
            <w:r w:rsidRPr="009C4D27">
              <w:t>Brussels,</w:t>
            </w:r>
            <w:r w:rsidR="00B41F4E">
              <w:t xml:space="preserve"> 16 June</w:t>
            </w:r>
            <w:r w:rsidR="002C5848">
              <w:t xml:space="preserve"> 2020</w:t>
            </w:r>
          </w:p>
        </w:tc>
      </w:tr>
      <w:tr w:rsidR="00972C11" w:rsidRPr="009C4D27" w14:paraId="26EFAD9E" w14:textId="77777777" w:rsidTr="00011C65">
        <w:trPr>
          <w:trHeight w:val="1016"/>
        </w:trPr>
        <w:tc>
          <w:tcPr>
            <w:tcW w:w="2274" w:type="pct"/>
          </w:tcPr>
          <w:p w14:paraId="4EF84A78" w14:textId="77777777" w:rsidR="00972C11" w:rsidRPr="009C4D27" w:rsidRDefault="00972C11" w:rsidP="00A64D26">
            <w:pPr>
              <w:spacing w:before="240"/>
              <w:rPr>
                <w:rFonts w:ascii="Verdana" w:hAnsi="Verdana" w:cs="Arial"/>
              </w:rPr>
            </w:pPr>
          </w:p>
        </w:tc>
        <w:tc>
          <w:tcPr>
            <w:tcW w:w="214" w:type="pct"/>
          </w:tcPr>
          <w:p w14:paraId="264DAF7E" w14:textId="77777777" w:rsidR="00972C11" w:rsidRPr="009C4D27" w:rsidRDefault="00972C11" w:rsidP="00A64D26">
            <w:pPr>
              <w:spacing w:before="240"/>
            </w:pPr>
          </w:p>
        </w:tc>
        <w:tc>
          <w:tcPr>
            <w:tcW w:w="2512" w:type="pct"/>
          </w:tcPr>
          <w:p w14:paraId="0D523CB5" w14:textId="77777777" w:rsidR="00972C11" w:rsidRPr="009C4D27" w:rsidRDefault="00972C11" w:rsidP="00A64D26">
            <w:pPr>
              <w:spacing w:before="240"/>
            </w:pPr>
          </w:p>
        </w:tc>
      </w:tr>
      <w:tr w:rsidR="00972C11" w:rsidRPr="009C4D27" w14:paraId="5F4709B6" w14:textId="77777777" w:rsidTr="00011C65">
        <w:tc>
          <w:tcPr>
            <w:tcW w:w="2274" w:type="pct"/>
          </w:tcPr>
          <w:p w14:paraId="53E45346" w14:textId="66BB6421" w:rsidR="006F3A1B" w:rsidRPr="00C97FBA" w:rsidRDefault="00C97FBA" w:rsidP="00C97FBA">
            <w:pPr>
              <w:spacing w:before="240"/>
              <w:ind w:firstLine="1276"/>
              <w:rPr>
                <w:i/>
              </w:rPr>
            </w:pPr>
            <w:r>
              <w:rPr>
                <w:i/>
              </w:rPr>
              <w:t>[e-signed]</w:t>
            </w:r>
          </w:p>
          <w:p w14:paraId="795B8C34" w14:textId="77777777" w:rsidR="00972C11" w:rsidRPr="009C4D27" w:rsidRDefault="00011C65" w:rsidP="00A64D26">
            <w:pPr>
              <w:spacing w:before="240"/>
              <w:jc w:val="center"/>
            </w:pPr>
            <w:r w:rsidRPr="009C4D27">
              <w:t xml:space="preserve">Valérie </w:t>
            </w:r>
            <w:r w:rsidR="00A724B9" w:rsidRPr="009C4D27">
              <w:t xml:space="preserve">Ponta-Breitenstein </w:t>
            </w:r>
          </w:p>
          <w:p w14:paraId="481E96AF" w14:textId="77777777" w:rsidR="00011C65" w:rsidRPr="009C4D27" w:rsidRDefault="00011C65" w:rsidP="00A64D26">
            <w:pPr>
              <w:jc w:val="center"/>
            </w:pPr>
            <w:r w:rsidRPr="009C4D27">
              <w:t>Accounting Officer</w:t>
            </w:r>
          </w:p>
        </w:tc>
        <w:tc>
          <w:tcPr>
            <w:tcW w:w="214" w:type="pct"/>
          </w:tcPr>
          <w:p w14:paraId="588791B6" w14:textId="77777777" w:rsidR="00972C11" w:rsidRPr="009C4D27" w:rsidRDefault="00972C11" w:rsidP="00A64D26">
            <w:pPr>
              <w:spacing w:before="240"/>
            </w:pPr>
          </w:p>
        </w:tc>
        <w:tc>
          <w:tcPr>
            <w:tcW w:w="2512" w:type="pct"/>
          </w:tcPr>
          <w:p w14:paraId="63EDE0A9" w14:textId="4C4BF406" w:rsidR="006F3A1B" w:rsidRPr="00C97FBA" w:rsidRDefault="00C97FBA" w:rsidP="00C97FBA">
            <w:pPr>
              <w:spacing w:before="240"/>
              <w:ind w:firstLine="1276"/>
              <w:rPr>
                <w:i/>
              </w:rPr>
            </w:pPr>
            <w:r>
              <w:rPr>
                <w:i/>
              </w:rPr>
              <w:t xml:space="preserve">       </w:t>
            </w:r>
            <w:r>
              <w:rPr>
                <w:i/>
              </w:rPr>
              <w:t>[e-signed]</w:t>
            </w:r>
          </w:p>
          <w:p w14:paraId="37D0A2AA" w14:textId="77777777" w:rsidR="00972C11" w:rsidRPr="009C4D27" w:rsidRDefault="00A724B9" w:rsidP="00A64D26">
            <w:pPr>
              <w:spacing w:before="240"/>
              <w:jc w:val="center"/>
            </w:pPr>
            <w:r w:rsidRPr="009C4D27">
              <w:t>Marc Tachelet</w:t>
            </w:r>
          </w:p>
          <w:p w14:paraId="59FD237B" w14:textId="77777777" w:rsidR="00011C65" w:rsidRPr="009C4D27" w:rsidRDefault="00011C65" w:rsidP="00A64D26">
            <w:pPr>
              <w:jc w:val="center"/>
            </w:pPr>
            <w:r w:rsidRPr="009C4D27">
              <w:t>Director</w:t>
            </w:r>
          </w:p>
        </w:tc>
      </w:tr>
      <w:tr w:rsidR="00C97FBA" w:rsidRPr="009C4D27" w14:paraId="226F83C1" w14:textId="77777777" w:rsidTr="00011C65">
        <w:tc>
          <w:tcPr>
            <w:tcW w:w="2274" w:type="pct"/>
          </w:tcPr>
          <w:p w14:paraId="2638A33B" w14:textId="77777777" w:rsidR="00C97FBA" w:rsidRDefault="00C97FBA" w:rsidP="00C97FBA">
            <w:pPr>
              <w:spacing w:before="240"/>
              <w:ind w:firstLine="1276"/>
              <w:rPr>
                <w:i/>
              </w:rPr>
            </w:pPr>
            <w:bookmarkStart w:id="1" w:name="_GoBack"/>
            <w:bookmarkEnd w:id="1"/>
          </w:p>
        </w:tc>
        <w:tc>
          <w:tcPr>
            <w:tcW w:w="214" w:type="pct"/>
          </w:tcPr>
          <w:p w14:paraId="65DAE01A" w14:textId="77777777" w:rsidR="00C97FBA" w:rsidRPr="009C4D27" w:rsidRDefault="00C97FBA" w:rsidP="00A64D26">
            <w:pPr>
              <w:spacing w:before="240"/>
            </w:pPr>
          </w:p>
        </w:tc>
        <w:tc>
          <w:tcPr>
            <w:tcW w:w="2512" w:type="pct"/>
          </w:tcPr>
          <w:p w14:paraId="18D44533" w14:textId="77777777" w:rsidR="00C97FBA" w:rsidRDefault="00C97FBA" w:rsidP="00C97FBA">
            <w:pPr>
              <w:spacing w:before="240"/>
              <w:ind w:firstLine="1276"/>
              <w:rPr>
                <w:i/>
              </w:rPr>
            </w:pPr>
          </w:p>
        </w:tc>
      </w:tr>
    </w:tbl>
    <w:p w14:paraId="434C77C3" w14:textId="77777777" w:rsidR="00972C11" w:rsidRPr="00B4719E" w:rsidRDefault="00972C11" w:rsidP="00A64D26">
      <w:pPr>
        <w:tabs>
          <w:tab w:val="left" w:pos="1440"/>
        </w:tabs>
        <w:suppressAutoHyphens/>
        <w:spacing w:after="240"/>
        <w:jc w:val="both"/>
        <w:rPr>
          <w:rFonts w:ascii="Arial" w:hAnsi="Arial" w:cs="Arial"/>
          <w:bCs/>
          <w:color w:val="000000"/>
          <w:sz w:val="22"/>
          <w:szCs w:val="22"/>
        </w:rPr>
        <w:sectPr w:rsidR="00972C11" w:rsidRPr="00B4719E" w:rsidSect="000D5762">
          <w:headerReference w:type="even" r:id="rId11"/>
          <w:headerReference w:type="default" r:id="rId12"/>
          <w:footerReference w:type="even" r:id="rId13"/>
          <w:footerReference w:type="default" r:id="rId14"/>
          <w:headerReference w:type="first" r:id="rId15"/>
          <w:footerReference w:type="first" r:id="rId16"/>
          <w:pgSz w:w="11906" w:h="16838" w:code="9"/>
          <w:pgMar w:top="1134" w:right="1276" w:bottom="1021" w:left="1588" w:header="601" w:footer="454" w:gutter="0"/>
          <w:pgNumType w:start="1"/>
          <w:cols w:space="720"/>
          <w:titlePg/>
        </w:sectPr>
      </w:pPr>
    </w:p>
    <w:p w14:paraId="679B5C36" w14:textId="77777777" w:rsidR="001A4D99" w:rsidRPr="00383DBF" w:rsidRDefault="00972C11" w:rsidP="009C4D27">
      <w:pPr>
        <w:pStyle w:val="Heading1"/>
        <w:tabs>
          <w:tab w:val="clear" w:pos="764"/>
        </w:tabs>
        <w:spacing w:before="0"/>
        <w:ind w:left="284" w:hanging="284"/>
        <w:rPr>
          <w:szCs w:val="24"/>
        </w:rPr>
      </w:pPr>
      <w:bookmarkStart w:id="2" w:name="_Toc31821685"/>
      <w:r w:rsidRPr="00383DBF">
        <w:rPr>
          <w:szCs w:val="24"/>
        </w:rPr>
        <w:lastRenderedPageBreak/>
        <w:t>I</w:t>
      </w:r>
      <w:r w:rsidR="001A4D99" w:rsidRPr="00383DBF">
        <w:rPr>
          <w:szCs w:val="24"/>
        </w:rPr>
        <w:t>NTRODUCTION</w:t>
      </w:r>
      <w:bookmarkEnd w:id="2"/>
    </w:p>
    <w:p w14:paraId="4E2D84CB" w14:textId="77777777" w:rsidR="00571412" w:rsidRPr="00383DBF" w:rsidRDefault="00571412" w:rsidP="009C4D27">
      <w:pPr>
        <w:pStyle w:val="Heading2"/>
        <w:tabs>
          <w:tab w:val="num" w:pos="540"/>
        </w:tabs>
        <w:spacing w:after="120"/>
        <w:ind w:left="540" w:hanging="540"/>
        <w:rPr>
          <w:szCs w:val="24"/>
        </w:rPr>
      </w:pPr>
      <w:bookmarkStart w:id="3" w:name="_Toc31821686"/>
      <w:r w:rsidRPr="00383DBF">
        <w:rPr>
          <w:szCs w:val="24"/>
        </w:rPr>
        <w:t>Legal Basis</w:t>
      </w:r>
      <w:bookmarkEnd w:id="3"/>
    </w:p>
    <w:p w14:paraId="434C3F48" w14:textId="77777777" w:rsidR="00662D3A" w:rsidRPr="00383DBF" w:rsidRDefault="00662D3A" w:rsidP="002D40D9">
      <w:pPr>
        <w:spacing w:after="120"/>
        <w:jc w:val="both"/>
      </w:pPr>
      <w:r w:rsidRPr="00383DBF">
        <w:t>The</w:t>
      </w:r>
      <w:r w:rsidRPr="00383DBF">
        <w:rPr>
          <w:color w:val="000000"/>
        </w:rPr>
        <w:t xml:space="preserve"> </w:t>
      </w:r>
      <w:r w:rsidRPr="00383DBF">
        <w:t xml:space="preserve">financial statements of </w:t>
      </w:r>
      <w:r w:rsidR="00B54068" w:rsidRPr="00383DBF">
        <w:t>REA</w:t>
      </w:r>
      <w:r w:rsidRPr="00383DBF">
        <w:t xml:space="preserve"> and its report on budget implementation for </w:t>
      </w:r>
      <w:r w:rsidR="00523972" w:rsidRPr="00383DBF">
        <w:t>2019</w:t>
      </w:r>
      <w:r w:rsidR="0053238A" w:rsidRPr="00383DBF">
        <w:t xml:space="preserve"> </w:t>
      </w:r>
      <w:r w:rsidRPr="00383DBF">
        <w:t>were prepared in accordance with:</w:t>
      </w:r>
    </w:p>
    <w:p w14:paraId="5F247755" w14:textId="5C31B56C" w:rsidR="00662D3A" w:rsidRPr="00383DBF" w:rsidRDefault="00662D3A" w:rsidP="00DE7CF7">
      <w:pPr>
        <w:pStyle w:val="ListParagraph"/>
        <w:numPr>
          <w:ilvl w:val="0"/>
          <w:numId w:val="19"/>
        </w:numPr>
        <w:ind w:left="284" w:hanging="284"/>
        <w:contextualSpacing w:val="0"/>
        <w:jc w:val="both"/>
        <w:rPr>
          <w:color w:val="000000"/>
        </w:rPr>
      </w:pPr>
      <w:r w:rsidRPr="00383DBF">
        <w:rPr>
          <w:color w:val="000000"/>
        </w:rPr>
        <w:t>Commission Regulation (EC) No 1653/2004 of the Council of 21 September</w:t>
      </w:r>
      <w:r w:rsidR="009D5FDF">
        <w:rPr>
          <w:color w:val="000000"/>
        </w:rPr>
        <w:t xml:space="preserve"> 2004</w:t>
      </w:r>
      <w:r w:rsidRPr="00383DBF">
        <w:rPr>
          <w:color w:val="000000"/>
        </w:rPr>
        <w:t>, on a Standard Financial Regulation for the executive agencies pursuant to Council Regulation (EC) No 58/2003 laying down the Statute for executive agencies to be entrusted with certain tasks in the management of Community programmes, as last amended by Commission Regulation (EC) No 651/2008 of 09 July 2008;</w:t>
      </w:r>
    </w:p>
    <w:p w14:paraId="1502F157" w14:textId="77777777" w:rsidR="00A74DB4" w:rsidRPr="00383DBF" w:rsidRDefault="00A74DB4" w:rsidP="00DE7CF7">
      <w:pPr>
        <w:pStyle w:val="ListParagraph"/>
        <w:numPr>
          <w:ilvl w:val="0"/>
          <w:numId w:val="19"/>
        </w:numPr>
        <w:ind w:left="284" w:hanging="284"/>
        <w:contextualSpacing w:val="0"/>
        <w:jc w:val="both"/>
        <w:rPr>
          <w:color w:val="000000"/>
        </w:rPr>
      </w:pPr>
      <w:r w:rsidRPr="00383DBF">
        <w:rPr>
          <w:color w:val="000000"/>
        </w:rPr>
        <w:t>Regulation (EU, Euratom) 2018/1046 on the financial rules applicable to the general budget of the Union, repealing Regulation (EU, Euratom) No 966/2012 (2012 Financial Regulation)</w:t>
      </w:r>
      <w:r w:rsidR="00011C65" w:rsidRPr="00383DBF">
        <w:rPr>
          <w:color w:val="000000"/>
        </w:rPr>
        <w:t>;</w:t>
      </w:r>
    </w:p>
    <w:p w14:paraId="2CF15AF1" w14:textId="77777777" w:rsidR="00662D3A" w:rsidRPr="00383DBF" w:rsidRDefault="00662D3A" w:rsidP="00DE7CF7">
      <w:pPr>
        <w:pStyle w:val="ListParagraph"/>
        <w:numPr>
          <w:ilvl w:val="0"/>
          <w:numId w:val="19"/>
        </w:numPr>
        <w:ind w:left="284" w:hanging="284"/>
        <w:contextualSpacing w:val="0"/>
        <w:jc w:val="both"/>
        <w:rPr>
          <w:b/>
          <w:bCs/>
          <w:color w:val="000000"/>
        </w:rPr>
      </w:pPr>
      <w:r w:rsidRPr="00383DBF">
        <w:rPr>
          <w:color w:val="000000"/>
        </w:rPr>
        <w:t xml:space="preserve">The Accounting Rules on accrual accounting adopted by the Accounting Officer of the Commission in December 2004 and last updated in </w:t>
      </w:r>
      <w:r w:rsidR="00207E9F" w:rsidRPr="00383DBF">
        <w:rPr>
          <w:color w:val="000000"/>
        </w:rPr>
        <w:t>January 2019</w:t>
      </w:r>
      <w:r w:rsidRPr="00383DBF">
        <w:rPr>
          <w:color w:val="000000"/>
        </w:rPr>
        <w:t>.</w:t>
      </w:r>
    </w:p>
    <w:p w14:paraId="423A9C34" w14:textId="77777777" w:rsidR="00724A8A" w:rsidRPr="00383DBF" w:rsidRDefault="00571412" w:rsidP="00A64D26">
      <w:pPr>
        <w:pStyle w:val="Heading2"/>
        <w:tabs>
          <w:tab w:val="num" w:pos="540"/>
        </w:tabs>
        <w:spacing w:before="240" w:after="120"/>
        <w:ind w:left="540" w:hanging="540"/>
        <w:rPr>
          <w:szCs w:val="24"/>
        </w:rPr>
      </w:pPr>
      <w:bookmarkStart w:id="4" w:name="_Toc31821687"/>
      <w:r w:rsidRPr="00383DBF">
        <w:rPr>
          <w:szCs w:val="24"/>
        </w:rPr>
        <w:t>Background Information</w:t>
      </w:r>
      <w:bookmarkEnd w:id="4"/>
    </w:p>
    <w:p w14:paraId="5D8749C3" w14:textId="77777777" w:rsidR="00724A8A" w:rsidRPr="00383DBF" w:rsidRDefault="00724A8A" w:rsidP="00A64D26">
      <w:pPr>
        <w:spacing w:after="120"/>
        <w:jc w:val="both"/>
      </w:pPr>
      <w:r w:rsidRPr="00383DBF">
        <w:t>The Research Executive Agency (hereinafter referred to as “REA” or as “the Agency”) was established in December 2007 by the Commission Decision 2008/46/EC</w:t>
      </w:r>
      <w:r w:rsidRPr="00383DBF">
        <w:rPr>
          <w:rStyle w:val="FootnoteReference"/>
        </w:rPr>
        <w:footnoteReference w:id="3"/>
      </w:r>
      <w:r w:rsidRPr="00383DBF">
        <w:t xml:space="preserve">. This </w:t>
      </w:r>
      <w:r w:rsidR="00011C65" w:rsidRPr="00383DBF">
        <w:t>D</w:t>
      </w:r>
      <w:r w:rsidRPr="00383DBF">
        <w:t>ecision was repealed and replaced by Commission Decision 2013/778/EU</w:t>
      </w:r>
      <w:r w:rsidRPr="00383DBF">
        <w:rPr>
          <w:rStyle w:val="FootnoteReference"/>
        </w:rPr>
        <w:footnoteReference w:id="4"/>
      </w:r>
      <w:r w:rsidRPr="00383DBF">
        <w:t xml:space="preserve"> of 13 December 2013 establishing REA for the period 01.01.2014 to 31.12.2024.</w:t>
      </w:r>
    </w:p>
    <w:p w14:paraId="2A2593A2" w14:textId="4B558A13" w:rsidR="00724A8A" w:rsidRPr="00383DBF" w:rsidRDefault="00724A8A" w:rsidP="00A64D26">
      <w:pPr>
        <w:spacing w:after="120"/>
        <w:jc w:val="both"/>
      </w:pPr>
      <w:r w:rsidRPr="00383DBF">
        <w:t xml:space="preserve">REA operates in accordance with Council Regulation (EC) No 58/2003 of 19 December 2002 laying </w:t>
      </w:r>
      <w:r w:rsidR="009D5FDF">
        <w:t xml:space="preserve">down </w:t>
      </w:r>
      <w:r w:rsidRPr="00383DBF">
        <w:t>the statute for executive agencies to be entrusted with certain tasks in the management of Community programmes, including budget implementation.</w:t>
      </w:r>
    </w:p>
    <w:p w14:paraId="7E9D86DD" w14:textId="77777777" w:rsidR="00046C14" w:rsidRPr="00383DBF" w:rsidRDefault="00724A8A" w:rsidP="00A64D26">
      <w:pPr>
        <w:pStyle w:val="CM1"/>
        <w:spacing w:after="120"/>
        <w:jc w:val="both"/>
        <w:rPr>
          <w:rFonts w:ascii="Times New Roman" w:hAnsi="Times New Roman"/>
        </w:rPr>
      </w:pPr>
      <w:r w:rsidRPr="00383DBF">
        <w:rPr>
          <w:rFonts w:ascii="Times New Roman" w:hAnsi="Times New Roman"/>
        </w:rPr>
        <w:t xml:space="preserve">The Agency is entrusted with the management of </w:t>
      </w:r>
      <w:r w:rsidR="00852A03" w:rsidRPr="00383DBF">
        <w:rPr>
          <w:rFonts w:ascii="Times New Roman" w:hAnsi="Times New Roman"/>
        </w:rPr>
        <w:t>selected actions of various parts</w:t>
      </w:r>
      <w:r w:rsidRPr="00383DBF">
        <w:rPr>
          <w:rFonts w:ascii="Times New Roman" w:hAnsi="Times New Roman"/>
        </w:rPr>
        <w:t xml:space="preserve"> of the Specific Programme Implementing Horizon 2020 – The Framework Programme for Research and Innovation (2014-2020)</w:t>
      </w:r>
      <w:r w:rsidRPr="00383DBF">
        <w:rPr>
          <w:rStyle w:val="FootnoteReference"/>
          <w:rFonts w:ascii="Times New Roman" w:hAnsi="Times New Roman"/>
        </w:rPr>
        <w:footnoteReference w:id="5"/>
      </w:r>
      <w:r w:rsidR="00852A03" w:rsidRPr="00383DBF">
        <w:rPr>
          <w:rFonts w:ascii="Times New Roman" w:hAnsi="Times New Roman"/>
        </w:rPr>
        <w:t xml:space="preserve">, </w:t>
      </w:r>
      <w:r w:rsidRPr="00383DBF">
        <w:rPr>
          <w:rFonts w:ascii="Times New Roman" w:hAnsi="Times New Roman"/>
        </w:rPr>
        <w:t xml:space="preserve">as well as </w:t>
      </w:r>
      <w:r w:rsidR="00852A03" w:rsidRPr="00383DBF">
        <w:rPr>
          <w:rFonts w:ascii="Times New Roman" w:hAnsi="Times New Roman"/>
        </w:rPr>
        <w:t xml:space="preserve">with the implementation of the legacy of parts of specific programmes within </w:t>
      </w:r>
      <w:r w:rsidRPr="00383DBF">
        <w:rPr>
          <w:rFonts w:ascii="Times New Roman" w:hAnsi="Times New Roman"/>
        </w:rPr>
        <w:t>the Seventh Framework Pr</w:t>
      </w:r>
      <w:r w:rsidR="00046C14" w:rsidRPr="00383DBF">
        <w:rPr>
          <w:rFonts w:ascii="Times New Roman" w:hAnsi="Times New Roman"/>
        </w:rPr>
        <w:t>ogramme (Decision 1982/2006/EC).</w:t>
      </w:r>
    </w:p>
    <w:p w14:paraId="7C4BC464" w14:textId="6E69D286" w:rsidR="00544E47" w:rsidRPr="00383DBF" w:rsidRDefault="00724A8A" w:rsidP="00A64D26">
      <w:pPr>
        <w:pStyle w:val="CM1"/>
        <w:spacing w:after="120"/>
        <w:jc w:val="both"/>
        <w:rPr>
          <w:rFonts w:ascii="Times New Roman" w:hAnsi="Times New Roman"/>
        </w:rPr>
      </w:pPr>
      <w:r w:rsidRPr="00383DBF">
        <w:rPr>
          <w:rFonts w:ascii="Times New Roman" w:hAnsi="Times New Roman"/>
        </w:rPr>
        <w:t xml:space="preserve">The REA Delegation Act and its Annexes, adopted on 20 December 2013 by Commission Decision C(2013) 9418, state which parts of Horizon 2020 are delegated to REA, which tasks are managed for each project and how REA interacts with the European Commission (i.e. with REA’s parent DGs). It also details the mandate regarding the </w:t>
      </w:r>
      <w:r w:rsidR="002D40D9" w:rsidRPr="00383DBF">
        <w:rPr>
          <w:rFonts w:ascii="Times New Roman" w:hAnsi="Times New Roman"/>
        </w:rPr>
        <w:t>s</w:t>
      </w:r>
      <w:r w:rsidRPr="00383DBF">
        <w:rPr>
          <w:rFonts w:ascii="Times New Roman" w:hAnsi="Times New Roman"/>
        </w:rPr>
        <w:t xml:space="preserve">upport </w:t>
      </w:r>
      <w:r w:rsidR="002D40D9" w:rsidRPr="00383DBF">
        <w:rPr>
          <w:rFonts w:ascii="Times New Roman" w:hAnsi="Times New Roman"/>
        </w:rPr>
        <w:t>s</w:t>
      </w:r>
      <w:r w:rsidRPr="00383DBF">
        <w:rPr>
          <w:rFonts w:ascii="Times New Roman" w:hAnsi="Times New Roman"/>
        </w:rPr>
        <w:t xml:space="preserve">ervices. </w:t>
      </w:r>
      <w:r w:rsidR="00852A03" w:rsidRPr="00383DBF">
        <w:rPr>
          <w:rFonts w:ascii="Times New Roman" w:hAnsi="Times New Roman"/>
        </w:rPr>
        <w:t xml:space="preserve">The mandate </w:t>
      </w:r>
      <w:r w:rsidR="00046C14" w:rsidRPr="00383DBF">
        <w:rPr>
          <w:rFonts w:ascii="Times New Roman" w:hAnsi="Times New Roman"/>
        </w:rPr>
        <w:t xml:space="preserve">was </w:t>
      </w:r>
      <w:r w:rsidR="00852A03" w:rsidRPr="00383DBF">
        <w:rPr>
          <w:rFonts w:ascii="Times New Roman" w:hAnsi="Times New Roman"/>
        </w:rPr>
        <w:t>subsequently updated (see below).</w:t>
      </w:r>
    </w:p>
    <w:p w14:paraId="01BA3721" w14:textId="77777777" w:rsidR="00724A8A" w:rsidRPr="00383DBF" w:rsidRDefault="00724A8A" w:rsidP="00967702">
      <w:pPr>
        <w:spacing w:after="120"/>
        <w:jc w:val="both"/>
      </w:pPr>
      <w:r w:rsidRPr="00383DBF">
        <w:t xml:space="preserve">Under the </w:t>
      </w:r>
      <w:r w:rsidRPr="00383DBF">
        <w:rPr>
          <w:b/>
        </w:rPr>
        <w:t>current</w:t>
      </w:r>
      <w:r w:rsidRPr="00383DBF">
        <w:t xml:space="preserve"> </w:t>
      </w:r>
      <w:r w:rsidRPr="00383DBF">
        <w:rPr>
          <w:rStyle w:val="Strong"/>
        </w:rPr>
        <w:t>mandate</w:t>
      </w:r>
      <w:r w:rsidRPr="00383DBF">
        <w:t>, REA:</w:t>
      </w:r>
    </w:p>
    <w:p w14:paraId="5FE197C5" w14:textId="77777777" w:rsidR="00D6400F" w:rsidRPr="00383DBF" w:rsidRDefault="00724A8A" w:rsidP="00DE7CF7">
      <w:pPr>
        <w:pStyle w:val="ListParagraph"/>
        <w:numPr>
          <w:ilvl w:val="0"/>
          <w:numId w:val="19"/>
        </w:numPr>
        <w:spacing w:after="120"/>
        <w:ind w:left="284" w:hanging="284"/>
        <w:contextualSpacing w:val="0"/>
        <w:jc w:val="both"/>
      </w:pPr>
      <w:r w:rsidRPr="00383DBF">
        <w:rPr>
          <w:color w:val="000000"/>
        </w:rPr>
        <w:t>manages</w:t>
      </w:r>
      <w:r w:rsidRPr="00383DBF">
        <w:t xml:space="preserve"> the following Horizon 2020 activities:</w:t>
      </w:r>
    </w:p>
    <w:p w14:paraId="6C8855E7" w14:textId="77777777" w:rsidR="00542A8D" w:rsidRPr="00383DBF" w:rsidRDefault="00542A8D" w:rsidP="00DE7CF7">
      <w:pPr>
        <w:pStyle w:val="ListParagraph"/>
        <w:numPr>
          <w:ilvl w:val="0"/>
          <w:numId w:val="23"/>
        </w:numPr>
        <w:ind w:left="851" w:hanging="284"/>
        <w:contextualSpacing w:val="0"/>
        <w:jc w:val="both"/>
      </w:pPr>
      <w:r w:rsidRPr="00383DBF">
        <w:t>under “Excellent Science”</w:t>
      </w:r>
      <w:r w:rsidR="00614813" w:rsidRPr="00383DBF">
        <w:t>:</w:t>
      </w:r>
    </w:p>
    <w:p w14:paraId="455480FE" w14:textId="77777777" w:rsidR="00724A8A" w:rsidRPr="00383DBF" w:rsidRDefault="00724A8A" w:rsidP="00DE7CF7">
      <w:pPr>
        <w:pStyle w:val="ListParagraph"/>
        <w:numPr>
          <w:ilvl w:val="2"/>
          <w:numId w:val="20"/>
        </w:numPr>
        <w:jc w:val="both"/>
        <w:rPr>
          <w:lang w:val="fr-BE"/>
        </w:rPr>
      </w:pPr>
      <w:r w:rsidRPr="00383DBF">
        <w:rPr>
          <w:lang w:val="fr-BE"/>
        </w:rPr>
        <w:t>Marie Skłodowska-Curie Actions</w:t>
      </w:r>
      <w:r w:rsidR="00011C65" w:rsidRPr="00383DBF">
        <w:rPr>
          <w:lang w:val="fr-BE"/>
        </w:rPr>
        <w:t>;</w:t>
      </w:r>
      <w:r w:rsidRPr="00383DBF">
        <w:rPr>
          <w:lang w:val="fr-BE"/>
        </w:rPr>
        <w:t xml:space="preserve"> </w:t>
      </w:r>
    </w:p>
    <w:p w14:paraId="55E576B3" w14:textId="77777777" w:rsidR="00724A8A" w:rsidRPr="00383DBF" w:rsidRDefault="00724A8A" w:rsidP="00DE7CF7">
      <w:pPr>
        <w:pStyle w:val="ListParagraph"/>
        <w:numPr>
          <w:ilvl w:val="2"/>
          <w:numId w:val="20"/>
        </w:numPr>
        <w:spacing w:after="120"/>
        <w:ind w:left="1536" w:hanging="357"/>
        <w:contextualSpacing w:val="0"/>
        <w:jc w:val="both"/>
      </w:pPr>
      <w:r w:rsidRPr="00383DBF">
        <w:t>Future Emerging Technologies – FET-Open;</w:t>
      </w:r>
    </w:p>
    <w:p w14:paraId="5F07967B" w14:textId="77777777" w:rsidR="00542A8D" w:rsidRPr="00383DBF" w:rsidRDefault="00542A8D" w:rsidP="00DE7CF7">
      <w:pPr>
        <w:pStyle w:val="ListParagraph"/>
        <w:numPr>
          <w:ilvl w:val="0"/>
          <w:numId w:val="23"/>
        </w:numPr>
        <w:ind w:left="851" w:hanging="284"/>
        <w:contextualSpacing w:val="0"/>
        <w:jc w:val="both"/>
      </w:pPr>
      <w:r w:rsidRPr="00383DBF">
        <w:t>under “Industrial Leadership”</w:t>
      </w:r>
      <w:r w:rsidR="00614813" w:rsidRPr="00383DBF">
        <w:t>:</w:t>
      </w:r>
    </w:p>
    <w:p w14:paraId="4124C446" w14:textId="77777777" w:rsidR="00542A8D" w:rsidRPr="00383DBF" w:rsidRDefault="00542A8D" w:rsidP="00DE7CF7">
      <w:pPr>
        <w:pStyle w:val="ListParagraph"/>
        <w:numPr>
          <w:ilvl w:val="1"/>
          <w:numId w:val="23"/>
        </w:numPr>
        <w:spacing w:after="120"/>
        <w:ind w:left="1559" w:hanging="425"/>
        <w:contextualSpacing w:val="0"/>
        <w:jc w:val="both"/>
      </w:pPr>
      <w:r w:rsidRPr="00383DBF">
        <w:t xml:space="preserve">Space Research; </w:t>
      </w:r>
    </w:p>
    <w:p w14:paraId="3A8A983B" w14:textId="77777777" w:rsidR="00542A8D" w:rsidRPr="00383DBF" w:rsidRDefault="00542A8D" w:rsidP="00DE7CF7">
      <w:pPr>
        <w:pStyle w:val="ListParagraph"/>
        <w:numPr>
          <w:ilvl w:val="0"/>
          <w:numId w:val="23"/>
        </w:numPr>
        <w:ind w:left="851" w:hanging="284"/>
        <w:contextualSpacing w:val="0"/>
        <w:jc w:val="both"/>
      </w:pPr>
      <w:r w:rsidRPr="00383DBF">
        <w:t xml:space="preserve">under “Societal </w:t>
      </w:r>
      <w:r w:rsidR="00011C65" w:rsidRPr="00383DBF">
        <w:t>C</w:t>
      </w:r>
      <w:r w:rsidRPr="00383DBF">
        <w:t>hallenge</w:t>
      </w:r>
      <w:r w:rsidR="00011C65" w:rsidRPr="00383DBF">
        <w:t>s</w:t>
      </w:r>
      <w:r w:rsidRPr="00383DBF">
        <w:t>”</w:t>
      </w:r>
      <w:r w:rsidR="00614813" w:rsidRPr="00383DBF">
        <w:t>:</w:t>
      </w:r>
    </w:p>
    <w:p w14:paraId="71FEF15D" w14:textId="77777777" w:rsidR="00724A8A" w:rsidRPr="00383DBF" w:rsidRDefault="00724A8A" w:rsidP="00DE7CF7">
      <w:pPr>
        <w:pStyle w:val="ListParagraph"/>
        <w:numPr>
          <w:ilvl w:val="2"/>
          <w:numId w:val="20"/>
        </w:numPr>
        <w:jc w:val="both"/>
      </w:pPr>
      <w:r w:rsidRPr="00383DBF">
        <w:lastRenderedPageBreak/>
        <w:t>Food security, sustainable agriculture</w:t>
      </w:r>
      <w:r w:rsidR="0053238A" w:rsidRPr="00383DBF">
        <w:t xml:space="preserve"> and forestry</w:t>
      </w:r>
      <w:r w:rsidRPr="00383DBF">
        <w:t xml:space="preserve">, marine &amp; maritime </w:t>
      </w:r>
      <w:r w:rsidR="0053238A" w:rsidRPr="00383DBF">
        <w:t xml:space="preserve">and inland water </w:t>
      </w:r>
      <w:r w:rsidRPr="00383DBF">
        <w:t xml:space="preserve">research and </w:t>
      </w:r>
      <w:r w:rsidR="0053238A" w:rsidRPr="00383DBF">
        <w:t xml:space="preserve">the </w:t>
      </w:r>
      <w:r w:rsidRPr="00383DBF">
        <w:t>bio-economy;</w:t>
      </w:r>
    </w:p>
    <w:p w14:paraId="5C7E6622" w14:textId="77777777" w:rsidR="00724A8A" w:rsidRPr="00383DBF" w:rsidRDefault="0053238A" w:rsidP="00DE7CF7">
      <w:pPr>
        <w:pStyle w:val="ListParagraph"/>
        <w:numPr>
          <w:ilvl w:val="2"/>
          <w:numId w:val="20"/>
        </w:numPr>
        <w:jc w:val="both"/>
      </w:pPr>
      <w:r w:rsidRPr="00383DBF">
        <w:t>Europe in a changing world: Inclusive, i</w:t>
      </w:r>
      <w:r w:rsidR="00724A8A" w:rsidRPr="00383DBF">
        <w:t>nnovative and reflective societies;</w:t>
      </w:r>
    </w:p>
    <w:p w14:paraId="78210F2C" w14:textId="77777777" w:rsidR="00724A8A" w:rsidRPr="00383DBF" w:rsidRDefault="00724A8A" w:rsidP="00DE7CF7">
      <w:pPr>
        <w:pStyle w:val="ListParagraph"/>
        <w:numPr>
          <w:ilvl w:val="2"/>
          <w:numId w:val="20"/>
        </w:numPr>
        <w:spacing w:after="120"/>
        <w:ind w:left="1536" w:hanging="357"/>
        <w:contextualSpacing w:val="0"/>
        <w:jc w:val="both"/>
      </w:pPr>
      <w:r w:rsidRPr="00383DBF">
        <w:t>Secure Societies</w:t>
      </w:r>
      <w:r w:rsidR="0053238A" w:rsidRPr="00383DBF">
        <w:t xml:space="preserve"> – Protecting freedom and security of Europe and its citizens</w:t>
      </w:r>
      <w:r w:rsidRPr="00383DBF">
        <w:t>;</w:t>
      </w:r>
    </w:p>
    <w:p w14:paraId="27500F9C" w14:textId="77777777" w:rsidR="00D6400F" w:rsidRPr="00383DBF" w:rsidRDefault="00967702" w:rsidP="00DE7CF7">
      <w:pPr>
        <w:pStyle w:val="ListParagraph"/>
        <w:numPr>
          <w:ilvl w:val="0"/>
          <w:numId w:val="23"/>
        </w:numPr>
        <w:ind w:left="851" w:hanging="284"/>
        <w:contextualSpacing w:val="0"/>
        <w:jc w:val="both"/>
      </w:pPr>
      <w:r w:rsidRPr="00383DBF">
        <w:t>u</w:t>
      </w:r>
      <w:r w:rsidR="00011C65" w:rsidRPr="00383DBF">
        <w:t xml:space="preserve">nder “Horizon 2020 </w:t>
      </w:r>
      <w:r w:rsidR="00D6400F" w:rsidRPr="00383DBF">
        <w:t>Specific Objectives</w:t>
      </w:r>
      <w:r w:rsidR="00011C65" w:rsidRPr="00383DBF">
        <w:t>”</w:t>
      </w:r>
      <w:r w:rsidR="00D6400F" w:rsidRPr="00383DBF">
        <w:t>:</w:t>
      </w:r>
    </w:p>
    <w:p w14:paraId="45739AA1" w14:textId="77777777" w:rsidR="00D6400F" w:rsidRPr="00383DBF" w:rsidRDefault="00724A8A" w:rsidP="00DE7CF7">
      <w:pPr>
        <w:pStyle w:val="ListParagraph"/>
        <w:numPr>
          <w:ilvl w:val="2"/>
          <w:numId w:val="20"/>
        </w:numPr>
        <w:jc w:val="both"/>
      </w:pPr>
      <w:r w:rsidRPr="00383DBF">
        <w:t>Spreading Excellence and Wi</w:t>
      </w:r>
      <w:r w:rsidR="00D6400F" w:rsidRPr="00383DBF">
        <w:t>dening Participation</w:t>
      </w:r>
      <w:r w:rsidR="00614813" w:rsidRPr="00383DBF">
        <w:t>;</w:t>
      </w:r>
    </w:p>
    <w:p w14:paraId="7EFFECD9" w14:textId="77777777" w:rsidR="00724A8A" w:rsidRPr="00383DBF" w:rsidRDefault="00724A8A" w:rsidP="00DE7CF7">
      <w:pPr>
        <w:pStyle w:val="ListParagraph"/>
        <w:numPr>
          <w:ilvl w:val="2"/>
          <w:numId w:val="20"/>
        </w:numPr>
        <w:spacing w:after="120"/>
        <w:ind w:left="1536" w:hanging="357"/>
        <w:contextualSpacing w:val="0"/>
        <w:jc w:val="both"/>
      </w:pPr>
      <w:r w:rsidRPr="00383DBF">
        <w:t>Science with and for Society.</w:t>
      </w:r>
    </w:p>
    <w:p w14:paraId="3B2E4348" w14:textId="77777777" w:rsidR="00724A8A" w:rsidRPr="00383DBF" w:rsidRDefault="00724A8A" w:rsidP="00DE7CF7">
      <w:pPr>
        <w:pStyle w:val="ListParagraph"/>
        <w:numPr>
          <w:ilvl w:val="0"/>
          <w:numId w:val="19"/>
        </w:numPr>
        <w:spacing w:after="120"/>
        <w:ind w:left="284" w:hanging="284"/>
        <w:contextualSpacing w:val="0"/>
        <w:jc w:val="both"/>
      </w:pPr>
      <w:r w:rsidRPr="00383DBF">
        <w:rPr>
          <w:color w:val="000000"/>
        </w:rPr>
        <w:t>continues</w:t>
      </w:r>
      <w:r w:rsidRPr="00383DBF">
        <w:t xml:space="preserve"> to manage the legacy of all the FP7 actions from the previous mandate: Marie Curie Actions – People Specific Programme; Space Research and Security Research, both under the Cooperation Specific Programme; FP7 SME actions under the Capacities Specific Programme;</w:t>
      </w:r>
    </w:p>
    <w:p w14:paraId="78D80422" w14:textId="77777777" w:rsidR="00724A8A" w:rsidRPr="00383DBF" w:rsidRDefault="00724A8A" w:rsidP="00DE7CF7">
      <w:pPr>
        <w:pStyle w:val="ListParagraph"/>
        <w:numPr>
          <w:ilvl w:val="0"/>
          <w:numId w:val="19"/>
        </w:numPr>
        <w:spacing w:after="120"/>
        <w:ind w:left="284" w:hanging="284"/>
        <w:contextualSpacing w:val="0"/>
        <w:jc w:val="both"/>
      </w:pPr>
      <w:r w:rsidRPr="00383DBF">
        <w:rPr>
          <w:color w:val="000000"/>
        </w:rPr>
        <w:t>Regarding</w:t>
      </w:r>
      <w:r w:rsidRPr="00383DBF">
        <w:t xml:space="preserve"> support services, REA’s mandate since 2014 serves more clients and provides more services:</w:t>
      </w:r>
    </w:p>
    <w:p w14:paraId="12238A89" w14:textId="77777777" w:rsidR="00724A8A" w:rsidRPr="00383DBF" w:rsidRDefault="00724A8A" w:rsidP="00DE7CF7">
      <w:pPr>
        <w:pStyle w:val="ListParagraph"/>
        <w:numPr>
          <w:ilvl w:val="0"/>
          <w:numId w:val="23"/>
        </w:numPr>
        <w:ind w:left="851" w:hanging="284"/>
        <w:contextualSpacing w:val="0"/>
        <w:jc w:val="both"/>
      </w:pPr>
      <w:r w:rsidRPr="00383DBF">
        <w:t xml:space="preserve">For expert management: REA contracts and pays all expert evaluators for all </w:t>
      </w:r>
      <w:r w:rsidR="0053238A" w:rsidRPr="00383DBF">
        <w:t xml:space="preserve">services managing </w:t>
      </w:r>
      <w:r w:rsidRPr="00383DBF">
        <w:t xml:space="preserve">“Horizon 2020” except the European Research Council Executive Agency, some Joint Undertakings and “Horizon 2020 – Euratom”. Expert monitors </w:t>
      </w:r>
      <w:r w:rsidR="0053238A" w:rsidRPr="00383DBF">
        <w:t>(also referred to as</w:t>
      </w:r>
      <w:r w:rsidRPr="00383DBF">
        <w:t xml:space="preserve"> "reviewers"</w:t>
      </w:r>
      <w:r w:rsidR="0053238A" w:rsidRPr="00383DBF">
        <w:t>)</w:t>
      </w:r>
      <w:r w:rsidRPr="00383DBF">
        <w:t xml:space="preserve"> remain to be managed by each service;</w:t>
      </w:r>
    </w:p>
    <w:p w14:paraId="788658BF" w14:textId="77777777" w:rsidR="00724A8A" w:rsidRPr="00383DBF" w:rsidRDefault="00724A8A" w:rsidP="00DE7CF7">
      <w:pPr>
        <w:pStyle w:val="ListParagraph"/>
        <w:numPr>
          <w:ilvl w:val="0"/>
          <w:numId w:val="23"/>
        </w:numPr>
        <w:spacing w:after="120"/>
        <w:ind w:left="851" w:hanging="284"/>
        <w:contextualSpacing w:val="0"/>
        <w:jc w:val="both"/>
      </w:pPr>
      <w:r w:rsidRPr="00383DBF">
        <w:t xml:space="preserve">For </w:t>
      </w:r>
      <w:r w:rsidR="0053238A" w:rsidRPr="00383DBF">
        <w:t xml:space="preserve">participant </w:t>
      </w:r>
      <w:r w:rsidRPr="00383DBF">
        <w:t>validation services: REA provides validation services to all Horizon 2020 services and to a number of other programmes (e.g. Erasmus+, Creative Europe, Europe for Citizenship, COSME, programmes in the fields of health and consumers, justice and home affairs as well as agricultural promotion);</w:t>
      </w:r>
    </w:p>
    <w:p w14:paraId="55079351" w14:textId="77777777" w:rsidR="00C43F52" w:rsidRPr="00383DBF" w:rsidRDefault="00544E47" w:rsidP="00A64D26">
      <w:pPr>
        <w:spacing w:after="120"/>
        <w:jc w:val="both"/>
      </w:pPr>
      <w:r w:rsidRPr="00383DBF">
        <w:t>The Delegation Act was last amended by the Commission Decision C(2017) 4900 of 14 July 2017.</w:t>
      </w:r>
      <w:r w:rsidR="00FA786C" w:rsidRPr="00383DBF">
        <w:t xml:space="preserve"> </w:t>
      </w:r>
      <w:r w:rsidRPr="00383DBF">
        <w:t>This extension of the mandate entered into force on 1 January 2</w:t>
      </w:r>
      <w:r w:rsidR="00D6400F" w:rsidRPr="00383DBF">
        <w:t>018 and delegated the following additional tasks to REA:</w:t>
      </w:r>
    </w:p>
    <w:p w14:paraId="1EAB750D" w14:textId="71C859A1" w:rsidR="00C43F52" w:rsidRPr="00383DBF" w:rsidRDefault="00C43F52" w:rsidP="00DE7CF7">
      <w:pPr>
        <w:pStyle w:val="ListParagraph"/>
        <w:numPr>
          <w:ilvl w:val="0"/>
          <w:numId w:val="19"/>
        </w:numPr>
        <w:ind w:left="284" w:hanging="284"/>
        <w:contextualSpacing w:val="0"/>
        <w:jc w:val="both"/>
      </w:pPr>
      <w:r w:rsidRPr="00383DBF">
        <w:t xml:space="preserve">to </w:t>
      </w:r>
      <w:r w:rsidRPr="00383DBF">
        <w:rPr>
          <w:color w:val="000000"/>
        </w:rPr>
        <w:t>provide</w:t>
      </w:r>
      <w:r w:rsidRPr="00383DBF">
        <w:t xml:space="preserve"> </w:t>
      </w:r>
      <w:r w:rsidR="00724A8A" w:rsidRPr="00383DBF">
        <w:t xml:space="preserve">extended services related to the legal validation </w:t>
      </w:r>
      <w:r w:rsidR="008E60EE" w:rsidRPr="00383DBF">
        <w:t xml:space="preserve">of participants </w:t>
      </w:r>
      <w:r w:rsidR="00724A8A" w:rsidRPr="00383DBF">
        <w:t xml:space="preserve">and the preparation of </w:t>
      </w:r>
      <w:r w:rsidR="0053238A" w:rsidRPr="00383DBF">
        <w:t xml:space="preserve">financial </w:t>
      </w:r>
      <w:r w:rsidR="00D6400F" w:rsidRPr="00383DBF">
        <w:t>capacity checks</w:t>
      </w:r>
      <w:r w:rsidR="00724A8A" w:rsidRPr="00383DBF">
        <w:t>, in response to the obligation of the Single Electronic Data Interchange Area – SEDIA (based on Article 95(2) of the Financial Regulation)</w:t>
      </w:r>
      <w:r w:rsidR="00A52503">
        <w:t>,</w:t>
      </w:r>
      <w:r w:rsidR="00724A8A" w:rsidRPr="00383DBF">
        <w:t xml:space="preserve"> for all Direct Management managed by the Commission, the Executive A</w:t>
      </w:r>
      <w:r w:rsidRPr="00383DBF">
        <w:t>gencies and Join</w:t>
      </w:r>
      <w:r w:rsidR="002D40D9" w:rsidRPr="00383DBF">
        <w:t>t Undertakings;</w:t>
      </w:r>
    </w:p>
    <w:p w14:paraId="32B63968" w14:textId="77777777" w:rsidR="00D6400F" w:rsidRPr="00383DBF" w:rsidRDefault="00C43F52" w:rsidP="00DE7CF7">
      <w:pPr>
        <w:pStyle w:val="ListParagraph"/>
        <w:numPr>
          <w:ilvl w:val="0"/>
          <w:numId w:val="19"/>
        </w:numPr>
        <w:spacing w:after="120"/>
        <w:ind w:left="284" w:hanging="284"/>
        <w:contextualSpacing w:val="0"/>
        <w:jc w:val="both"/>
      </w:pPr>
      <w:r w:rsidRPr="00383DBF">
        <w:rPr>
          <w:color w:val="000000"/>
        </w:rPr>
        <w:t>to</w:t>
      </w:r>
      <w:r w:rsidRPr="00383DBF">
        <w:t xml:space="preserve"> implement projects generating EU classified information</w:t>
      </w:r>
      <w:r w:rsidR="00556D39" w:rsidRPr="00383DBF">
        <w:t>.</w:t>
      </w:r>
    </w:p>
    <w:p w14:paraId="13C521C7" w14:textId="77777777" w:rsidR="00C76E3A" w:rsidRPr="00383DBF" w:rsidRDefault="00C76E3A" w:rsidP="00967702">
      <w:pPr>
        <w:spacing w:before="240" w:after="120"/>
        <w:jc w:val="both"/>
        <w:rPr>
          <w:b/>
          <w:color w:val="000000"/>
        </w:rPr>
      </w:pPr>
      <w:r w:rsidRPr="00383DBF">
        <w:rPr>
          <w:b/>
          <w:color w:val="000000"/>
        </w:rPr>
        <w:t>External Audit</w:t>
      </w:r>
    </w:p>
    <w:p w14:paraId="0CAD7E5A" w14:textId="6CBE3F43" w:rsidR="000A4FDA" w:rsidRPr="00383DBF" w:rsidRDefault="00C76E3A" w:rsidP="00967702">
      <w:pPr>
        <w:spacing w:after="240"/>
        <w:jc w:val="both"/>
        <w:rPr>
          <w:color w:val="000000"/>
        </w:rPr>
      </w:pPr>
      <w:r w:rsidRPr="00383DBF">
        <w:rPr>
          <w:color w:val="000000"/>
        </w:rPr>
        <w:t xml:space="preserve">The European Court of </w:t>
      </w:r>
      <w:r w:rsidR="008E60EE" w:rsidRPr="00383DBF">
        <w:rPr>
          <w:color w:val="000000"/>
        </w:rPr>
        <w:t>A</w:t>
      </w:r>
      <w:r w:rsidRPr="00383DBF">
        <w:rPr>
          <w:color w:val="000000"/>
        </w:rPr>
        <w:t xml:space="preserve">uditors is required to scrutinise the REA's accounts in line with the requirements of </w:t>
      </w:r>
      <w:r w:rsidR="002D40D9" w:rsidRPr="00383DBF">
        <w:rPr>
          <w:color w:val="000000"/>
        </w:rPr>
        <w:t>A</w:t>
      </w:r>
      <w:r w:rsidRPr="00383DBF">
        <w:rPr>
          <w:color w:val="000000"/>
        </w:rPr>
        <w:t>rticle 248 of the Treaty</w:t>
      </w:r>
      <w:r w:rsidR="00383DBF" w:rsidRPr="00383DBF">
        <w:rPr>
          <w:color w:val="000000"/>
        </w:rPr>
        <w:t xml:space="preserve"> on the Functioning of the EU</w:t>
      </w:r>
      <w:r w:rsidRPr="00383DBF">
        <w:rPr>
          <w:color w:val="000000"/>
        </w:rPr>
        <w:t>.</w:t>
      </w:r>
    </w:p>
    <w:p w14:paraId="76D4F8DE" w14:textId="77777777" w:rsidR="00C76E3A" w:rsidRPr="00383DBF" w:rsidRDefault="00C76E3A" w:rsidP="00967702">
      <w:pPr>
        <w:spacing w:before="240" w:after="120"/>
        <w:jc w:val="both"/>
        <w:rPr>
          <w:b/>
          <w:color w:val="000000"/>
        </w:rPr>
      </w:pPr>
      <w:r w:rsidRPr="00383DBF">
        <w:rPr>
          <w:b/>
          <w:color w:val="000000"/>
        </w:rPr>
        <w:t>Discharge</w:t>
      </w:r>
    </w:p>
    <w:p w14:paraId="635C4300" w14:textId="77777777" w:rsidR="00C76E3A" w:rsidRPr="00383DBF" w:rsidRDefault="00C76E3A" w:rsidP="00A64D26">
      <w:pPr>
        <w:spacing w:after="120"/>
        <w:jc w:val="both"/>
        <w:rPr>
          <w:color w:val="000000"/>
        </w:rPr>
      </w:pPr>
      <w:r w:rsidRPr="00383DBF">
        <w:rPr>
          <w:color w:val="000000"/>
        </w:rPr>
        <w:t xml:space="preserve">The European Parliament is the discharge Authority within the EU. This means that, following the audit and finalisation of the annual accounts, it falls to the Council to recommend and then to the European Parliament to give a discharge to </w:t>
      </w:r>
      <w:r w:rsidR="0053238A" w:rsidRPr="00383DBF">
        <w:rPr>
          <w:color w:val="000000"/>
        </w:rPr>
        <w:t xml:space="preserve">the Director of </w:t>
      </w:r>
      <w:r w:rsidR="00B54068" w:rsidRPr="00383DBF">
        <w:rPr>
          <w:color w:val="000000"/>
        </w:rPr>
        <w:t>REA</w:t>
      </w:r>
      <w:r w:rsidRPr="00383DBF">
        <w:rPr>
          <w:color w:val="000000"/>
        </w:rPr>
        <w:t xml:space="preserve"> for a given financial year.</w:t>
      </w:r>
    </w:p>
    <w:p w14:paraId="658335A2" w14:textId="77777777" w:rsidR="001A4D99" w:rsidRPr="00383DBF" w:rsidRDefault="001A4D99" w:rsidP="00A64D26">
      <w:pPr>
        <w:tabs>
          <w:tab w:val="left" w:pos="1440"/>
        </w:tabs>
        <w:suppressAutoHyphens/>
        <w:rPr>
          <w:b/>
          <w:bCs/>
          <w:color w:val="000000"/>
        </w:rPr>
        <w:sectPr w:rsidR="001A4D99" w:rsidRPr="00383DBF" w:rsidSect="009003A9">
          <w:footerReference w:type="even" r:id="rId17"/>
          <w:footerReference w:type="default" r:id="rId18"/>
          <w:headerReference w:type="first" r:id="rId19"/>
          <w:footerReference w:type="first" r:id="rId20"/>
          <w:pgSz w:w="11906" w:h="16838" w:code="9"/>
          <w:pgMar w:top="1134" w:right="1276" w:bottom="1021" w:left="1588" w:header="601" w:footer="454" w:gutter="0"/>
          <w:cols w:space="720"/>
        </w:sectPr>
      </w:pPr>
    </w:p>
    <w:p w14:paraId="75AD717F" w14:textId="77777777" w:rsidR="006C6E36" w:rsidRPr="006C6E36" w:rsidRDefault="001A4D99" w:rsidP="00A64D26">
      <w:pPr>
        <w:pStyle w:val="Heading1"/>
        <w:tabs>
          <w:tab w:val="clear" w:pos="764"/>
        </w:tabs>
        <w:spacing w:before="0"/>
        <w:ind w:left="284" w:hanging="284"/>
      </w:pPr>
      <w:bookmarkStart w:id="5" w:name="_Toc31821688"/>
      <w:r w:rsidRPr="00246320">
        <w:lastRenderedPageBreak/>
        <w:t xml:space="preserve">FINANCIAL STATEMENTS </w:t>
      </w:r>
      <w:r w:rsidR="0045261A" w:rsidRPr="00246320">
        <w:t>201</w:t>
      </w:r>
      <w:r w:rsidR="009F2D46">
        <w:t>9</w:t>
      </w:r>
      <w:bookmarkEnd w:id="5"/>
    </w:p>
    <w:p w14:paraId="19E819B0" w14:textId="77777777" w:rsidR="00027DA1" w:rsidRDefault="008B711B" w:rsidP="009C4D27">
      <w:pPr>
        <w:pStyle w:val="Heading2"/>
        <w:tabs>
          <w:tab w:val="num" w:pos="540"/>
        </w:tabs>
        <w:spacing w:before="240" w:after="120"/>
        <w:ind w:left="540" w:hanging="540"/>
        <w:rPr>
          <w:szCs w:val="24"/>
        </w:rPr>
      </w:pPr>
      <w:bookmarkStart w:id="6" w:name="_Toc31821689"/>
      <w:bookmarkStart w:id="7" w:name="_Toc317238118"/>
      <w:r w:rsidRPr="006F7612">
        <w:rPr>
          <w:szCs w:val="24"/>
        </w:rPr>
        <w:t>RE</w:t>
      </w:r>
      <w:r w:rsidR="00DD3A31" w:rsidRPr="006F7612">
        <w:rPr>
          <w:szCs w:val="24"/>
        </w:rPr>
        <w:t>A balance sheet as of 31.12.</w:t>
      </w:r>
      <w:r w:rsidR="0045261A" w:rsidRPr="006F7612">
        <w:rPr>
          <w:szCs w:val="24"/>
        </w:rPr>
        <w:t>201</w:t>
      </w:r>
      <w:r w:rsidR="009F2D46">
        <w:rPr>
          <w:szCs w:val="24"/>
        </w:rPr>
        <w:t>9</w:t>
      </w:r>
      <w:r w:rsidR="00DD3A31" w:rsidRPr="006F7612">
        <w:rPr>
          <w:szCs w:val="24"/>
        </w:rPr>
        <w:t xml:space="preserve"> (in euros)</w:t>
      </w:r>
      <w:bookmarkEnd w:id="6"/>
    </w:p>
    <w:p w14:paraId="782E34D9" w14:textId="20BD7BA5" w:rsidR="003B5DDB" w:rsidRPr="003B5DDB" w:rsidRDefault="00D31EB7" w:rsidP="00A64D26">
      <w:pPr>
        <w:pStyle w:val="Text2"/>
        <w:ind w:left="0"/>
      </w:pPr>
      <w:r w:rsidRPr="00D31EB7">
        <w:rPr>
          <w:noProof/>
          <w:lang w:eastAsia="en-GB"/>
        </w:rPr>
        <w:drawing>
          <wp:inline distT="0" distB="0" distL="0" distR="0" wp14:anchorId="25F04302" wp14:editId="0A8B93B4">
            <wp:extent cx="5972400" cy="7848000"/>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400" cy="7848000"/>
                    </a:xfrm>
                    <a:prstGeom prst="rect">
                      <a:avLst/>
                    </a:prstGeom>
                    <a:noFill/>
                    <a:ln>
                      <a:noFill/>
                    </a:ln>
                  </pic:spPr>
                </pic:pic>
              </a:graphicData>
            </a:graphic>
          </wp:inline>
        </w:drawing>
      </w:r>
    </w:p>
    <w:p w14:paraId="1FAE66B7" w14:textId="77777777" w:rsidR="00926096" w:rsidRPr="00926096" w:rsidRDefault="00926096" w:rsidP="00A64D26">
      <w:pPr>
        <w:pStyle w:val="Text2"/>
        <w:ind w:left="0"/>
        <w:sectPr w:rsidR="00926096" w:rsidRPr="00926096" w:rsidSect="008458AE">
          <w:pgSz w:w="11906" w:h="16838" w:code="9"/>
          <w:pgMar w:top="1418" w:right="1418" w:bottom="1418" w:left="1418" w:header="601" w:footer="550" w:gutter="0"/>
          <w:cols w:space="720"/>
          <w:docGrid w:linePitch="326"/>
        </w:sectPr>
      </w:pPr>
      <w:bookmarkStart w:id="8" w:name="_MON_1328346803"/>
      <w:bookmarkStart w:id="9" w:name="_MON_1328346837"/>
      <w:bookmarkStart w:id="10" w:name="_MON_1328346843"/>
      <w:bookmarkStart w:id="11" w:name="_MON_1328346852"/>
      <w:bookmarkStart w:id="12" w:name="_MON_1328346862"/>
      <w:bookmarkStart w:id="13" w:name="_MON_1328346877"/>
      <w:bookmarkStart w:id="14" w:name="_MON_1328346917"/>
      <w:bookmarkStart w:id="15" w:name="_MON_1328346930"/>
      <w:bookmarkStart w:id="16" w:name="_MON_1328346940"/>
      <w:bookmarkStart w:id="17" w:name="_MON_1328346953"/>
      <w:bookmarkStart w:id="18" w:name="_MON_1328346972"/>
      <w:bookmarkStart w:id="19" w:name="_MON_1328346991"/>
      <w:bookmarkStart w:id="20" w:name="_MON_1328347003"/>
      <w:bookmarkStart w:id="21" w:name="_MON_1328347013"/>
      <w:bookmarkStart w:id="22" w:name="_MON_1328347034"/>
      <w:bookmarkStart w:id="23" w:name="_MON_1328347058"/>
      <w:bookmarkStart w:id="24" w:name="_MON_1328347063"/>
      <w:bookmarkStart w:id="25" w:name="_MON_1328347129"/>
      <w:bookmarkStart w:id="26" w:name="_MON_1328347947"/>
      <w:bookmarkStart w:id="27" w:name="_MON_1328348288"/>
      <w:bookmarkStart w:id="28" w:name="_MON_1328348298"/>
      <w:bookmarkStart w:id="29" w:name="_MON_1328348311"/>
      <w:bookmarkStart w:id="30" w:name="_MON_1328348387"/>
      <w:bookmarkStart w:id="31" w:name="_MON_1328348395"/>
      <w:bookmarkStart w:id="32" w:name="_MON_1328348713"/>
      <w:bookmarkStart w:id="33" w:name="_MON_1328348722"/>
      <w:bookmarkStart w:id="34" w:name="_MON_1328353930"/>
      <w:bookmarkStart w:id="35" w:name="_MON_1328354294"/>
      <w:bookmarkStart w:id="36" w:name="_MON_1328354318"/>
      <w:bookmarkStart w:id="37" w:name="_MON_1328356469"/>
      <w:bookmarkStart w:id="38" w:name="_MON_1328364181"/>
      <w:bookmarkStart w:id="39" w:name="_MON_1328379918"/>
      <w:bookmarkStart w:id="40" w:name="_MON_1328607562"/>
      <w:bookmarkStart w:id="41" w:name="_MON_1328612956"/>
      <w:bookmarkStart w:id="42" w:name="_MON_1328618635"/>
      <w:bookmarkStart w:id="43" w:name="_MON_1328684351"/>
      <w:bookmarkStart w:id="44" w:name="_MON_1328684364"/>
      <w:bookmarkStart w:id="45" w:name="_MON_1336475141"/>
      <w:bookmarkStart w:id="46" w:name="_MON_1336476073"/>
      <w:bookmarkStart w:id="47" w:name="_MON_1336477139"/>
      <w:bookmarkStart w:id="48" w:name="_MON_1336553499"/>
      <w:bookmarkStart w:id="49" w:name="_MON_1336554300"/>
      <w:bookmarkStart w:id="50" w:name="_MON_1336554464"/>
      <w:bookmarkStart w:id="51" w:name="_MON_1336569577"/>
      <w:bookmarkStart w:id="52" w:name="_MON_1336569777"/>
      <w:bookmarkStart w:id="53" w:name="_MON_1336809801"/>
      <w:bookmarkStart w:id="54" w:name="_MON_1356269402"/>
      <w:bookmarkStart w:id="55" w:name="_MON_1358170028"/>
      <w:bookmarkStart w:id="56" w:name="_MON_1358170095"/>
      <w:bookmarkStart w:id="57" w:name="_MON_1358170167"/>
      <w:bookmarkStart w:id="58" w:name="_MON_1358176491"/>
      <w:bookmarkStart w:id="59" w:name="_MON_1358239420"/>
      <w:bookmarkStart w:id="60" w:name="_MON_1358357510"/>
      <w:bookmarkStart w:id="61" w:name="_MON_1360130684"/>
      <w:bookmarkStart w:id="62" w:name="_MON_1367070166"/>
      <w:bookmarkStart w:id="63" w:name="_MON_1367222035"/>
      <w:bookmarkStart w:id="64" w:name="_MON_1367224643"/>
      <w:bookmarkStart w:id="65" w:name="_MON_1367648548"/>
      <w:bookmarkStart w:id="66" w:name="_MON_1390802658"/>
      <w:bookmarkStart w:id="67" w:name="_MON_1390826461"/>
      <w:bookmarkStart w:id="68" w:name="_MON_1390973788"/>
      <w:bookmarkStart w:id="69" w:name="_MON_1390973800"/>
      <w:bookmarkStart w:id="70" w:name="_MON_1328346622"/>
      <w:bookmarkStart w:id="71" w:name="_MON_1328346630"/>
      <w:bookmarkStart w:id="72" w:name="_MON_1328346649"/>
      <w:bookmarkStart w:id="73" w:name="_MON_1328346656"/>
      <w:bookmarkStart w:id="74" w:name="_MON_1328346689"/>
      <w:bookmarkStart w:id="75" w:name="_MON_1328346699"/>
      <w:bookmarkStart w:id="76" w:name="_MON_132834671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0A733F4" w14:textId="77777777" w:rsidR="00CE6DED" w:rsidRDefault="00926096" w:rsidP="009C4D27">
      <w:pPr>
        <w:pStyle w:val="Heading2"/>
        <w:tabs>
          <w:tab w:val="num" w:pos="540"/>
        </w:tabs>
        <w:spacing w:before="240" w:after="120"/>
        <w:ind w:left="540" w:hanging="540"/>
        <w:rPr>
          <w:szCs w:val="24"/>
        </w:rPr>
      </w:pPr>
      <w:bookmarkStart w:id="77" w:name="_Toc31821690"/>
      <w:r w:rsidRPr="006F7612">
        <w:rPr>
          <w:szCs w:val="24"/>
        </w:rPr>
        <w:lastRenderedPageBreak/>
        <w:t>REA Statement of financial performance (in euros)</w:t>
      </w:r>
      <w:bookmarkEnd w:id="77"/>
      <w:r w:rsidRPr="006F7612">
        <w:rPr>
          <w:szCs w:val="24"/>
        </w:rPr>
        <w:t xml:space="preserve"> </w:t>
      </w:r>
    </w:p>
    <w:p w14:paraId="2980D755" w14:textId="77777777" w:rsidR="005B5C92" w:rsidRPr="005B5C92" w:rsidRDefault="00485FB4" w:rsidP="00A64D26">
      <w:pPr>
        <w:pStyle w:val="Text2"/>
        <w:ind w:left="0"/>
      </w:pPr>
      <w:r w:rsidRPr="00485FB4">
        <w:rPr>
          <w:noProof/>
          <w:lang w:eastAsia="en-GB"/>
        </w:rPr>
        <w:drawing>
          <wp:inline distT="0" distB="0" distL="0" distR="0" wp14:anchorId="718689D1" wp14:editId="51621AA6">
            <wp:extent cx="5828400" cy="3535200"/>
            <wp:effectExtent l="0" t="0" r="127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8400" cy="3535200"/>
                    </a:xfrm>
                    <a:prstGeom prst="rect">
                      <a:avLst/>
                    </a:prstGeom>
                    <a:noFill/>
                    <a:ln>
                      <a:noFill/>
                    </a:ln>
                  </pic:spPr>
                </pic:pic>
              </a:graphicData>
            </a:graphic>
          </wp:inline>
        </w:drawing>
      </w:r>
    </w:p>
    <w:p w14:paraId="4ED19A7E" w14:textId="77777777" w:rsidR="006C6E36" w:rsidRPr="006C6E36" w:rsidRDefault="006C6E36" w:rsidP="00A64D26">
      <w:pPr>
        <w:pStyle w:val="Text2"/>
        <w:ind w:left="0"/>
      </w:pPr>
    </w:p>
    <w:p w14:paraId="5A20A51B" w14:textId="77777777" w:rsidR="00F03634" w:rsidRPr="00246320" w:rsidRDefault="00F03634" w:rsidP="00A64D26">
      <w:pPr>
        <w:rPr>
          <w:color w:val="000000"/>
          <w:sz w:val="23"/>
          <w:szCs w:val="23"/>
        </w:rPr>
      </w:pPr>
    </w:p>
    <w:p w14:paraId="316AF059" w14:textId="77777777" w:rsidR="00F03634" w:rsidRPr="00246320" w:rsidRDefault="00F03634" w:rsidP="00A64D26">
      <w:pPr>
        <w:rPr>
          <w:color w:val="000000"/>
          <w:sz w:val="23"/>
          <w:szCs w:val="23"/>
        </w:rPr>
      </w:pPr>
    </w:p>
    <w:p w14:paraId="6E93639E" w14:textId="77777777" w:rsidR="00F03634" w:rsidRPr="00246320" w:rsidRDefault="00F03634" w:rsidP="00A64D26">
      <w:pPr>
        <w:rPr>
          <w:color w:val="000000"/>
          <w:sz w:val="23"/>
          <w:szCs w:val="23"/>
        </w:rPr>
      </w:pPr>
    </w:p>
    <w:p w14:paraId="276183B6" w14:textId="77777777" w:rsidR="00F03634" w:rsidRPr="00246320" w:rsidRDefault="00F03634" w:rsidP="00A64D26">
      <w:pPr>
        <w:rPr>
          <w:color w:val="000000"/>
          <w:sz w:val="23"/>
          <w:szCs w:val="23"/>
        </w:rPr>
      </w:pPr>
    </w:p>
    <w:p w14:paraId="63069264" w14:textId="77777777" w:rsidR="00F03634" w:rsidRDefault="00F03634" w:rsidP="00A64D26">
      <w:pPr>
        <w:rPr>
          <w:color w:val="000000"/>
          <w:sz w:val="23"/>
          <w:szCs w:val="23"/>
        </w:rPr>
      </w:pPr>
    </w:p>
    <w:p w14:paraId="0E2AE5CA" w14:textId="77777777" w:rsidR="00272F7C" w:rsidRDefault="00272F7C" w:rsidP="00A64D26">
      <w:pPr>
        <w:rPr>
          <w:color w:val="000000"/>
          <w:sz w:val="23"/>
          <w:szCs w:val="23"/>
        </w:rPr>
      </w:pPr>
    </w:p>
    <w:p w14:paraId="1EBE3999" w14:textId="77777777" w:rsidR="00272F7C" w:rsidRDefault="00272F7C" w:rsidP="00A64D26">
      <w:pPr>
        <w:rPr>
          <w:color w:val="000000"/>
          <w:sz w:val="23"/>
          <w:szCs w:val="23"/>
        </w:rPr>
      </w:pPr>
    </w:p>
    <w:p w14:paraId="02B45370" w14:textId="77777777" w:rsidR="00272F7C" w:rsidRDefault="00272F7C" w:rsidP="00A64D26">
      <w:pPr>
        <w:rPr>
          <w:color w:val="000000"/>
          <w:sz w:val="23"/>
          <w:szCs w:val="23"/>
        </w:rPr>
      </w:pPr>
    </w:p>
    <w:p w14:paraId="5AF1B3A5" w14:textId="77777777" w:rsidR="00272F7C" w:rsidRDefault="00272F7C" w:rsidP="00A64D26">
      <w:pPr>
        <w:rPr>
          <w:color w:val="000000"/>
          <w:sz w:val="23"/>
          <w:szCs w:val="23"/>
        </w:rPr>
      </w:pPr>
    </w:p>
    <w:p w14:paraId="0585B77C" w14:textId="77777777" w:rsidR="00272F7C" w:rsidRDefault="00272F7C" w:rsidP="00A64D26">
      <w:pPr>
        <w:rPr>
          <w:color w:val="000000"/>
          <w:sz w:val="23"/>
          <w:szCs w:val="23"/>
        </w:rPr>
      </w:pPr>
    </w:p>
    <w:p w14:paraId="75DCC1CC" w14:textId="77777777" w:rsidR="00272F7C" w:rsidRDefault="00272F7C" w:rsidP="00A64D26">
      <w:pPr>
        <w:rPr>
          <w:color w:val="000000"/>
          <w:sz w:val="23"/>
          <w:szCs w:val="23"/>
        </w:rPr>
      </w:pPr>
    </w:p>
    <w:p w14:paraId="3103A054" w14:textId="77777777" w:rsidR="00272F7C" w:rsidRDefault="00272F7C" w:rsidP="00A64D26">
      <w:pPr>
        <w:rPr>
          <w:color w:val="000000"/>
          <w:sz w:val="23"/>
          <w:szCs w:val="23"/>
        </w:rPr>
      </w:pPr>
    </w:p>
    <w:p w14:paraId="732A7BAC" w14:textId="77777777" w:rsidR="00272F7C" w:rsidRDefault="00272F7C" w:rsidP="00A64D26">
      <w:pPr>
        <w:rPr>
          <w:color w:val="000000"/>
          <w:sz w:val="23"/>
          <w:szCs w:val="23"/>
        </w:rPr>
      </w:pPr>
    </w:p>
    <w:p w14:paraId="3FD7686D" w14:textId="77777777" w:rsidR="00272F7C" w:rsidRDefault="00272F7C" w:rsidP="00A64D26">
      <w:pPr>
        <w:rPr>
          <w:color w:val="000000"/>
          <w:sz w:val="23"/>
          <w:szCs w:val="23"/>
        </w:rPr>
      </w:pPr>
    </w:p>
    <w:p w14:paraId="45CDE9A6" w14:textId="77777777" w:rsidR="00272F7C" w:rsidRDefault="00272F7C" w:rsidP="00A64D26">
      <w:pPr>
        <w:rPr>
          <w:color w:val="000000"/>
          <w:sz w:val="23"/>
          <w:szCs w:val="23"/>
        </w:rPr>
      </w:pPr>
    </w:p>
    <w:p w14:paraId="07896D29" w14:textId="77777777" w:rsidR="00272F7C" w:rsidRDefault="00272F7C" w:rsidP="00A64D26">
      <w:pPr>
        <w:rPr>
          <w:color w:val="000000"/>
          <w:sz w:val="23"/>
          <w:szCs w:val="23"/>
        </w:rPr>
      </w:pPr>
    </w:p>
    <w:p w14:paraId="3E2D67EE" w14:textId="77777777" w:rsidR="00272F7C" w:rsidRDefault="00272F7C" w:rsidP="00A64D26">
      <w:pPr>
        <w:rPr>
          <w:color w:val="000000"/>
          <w:sz w:val="23"/>
          <w:szCs w:val="23"/>
        </w:rPr>
      </w:pPr>
    </w:p>
    <w:p w14:paraId="6EF8EB7A" w14:textId="77777777" w:rsidR="00272F7C" w:rsidRDefault="00272F7C" w:rsidP="00A64D26">
      <w:pPr>
        <w:rPr>
          <w:color w:val="000000"/>
          <w:sz w:val="23"/>
          <w:szCs w:val="23"/>
        </w:rPr>
      </w:pPr>
    </w:p>
    <w:p w14:paraId="5E6E953D" w14:textId="77777777" w:rsidR="00272F7C" w:rsidRPr="00246320" w:rsidRDefault="00272F7C" w:rsidP="00A64D26">
      <w:pPr>
        <w:rPr>
          <w:color w:val="000000"/>
          <w:sz w:val="23"/>
          <w:szCs w:val="23"/>
        </w:rPr>
      </w:pPr>
    </w:p>
    <w:p w14:paraId="536030FB" w14:textId="77777777" w:rsidR="00F03634" w:rsidRPr="00246320" w:rsidRDefault="00F03634" w:rsidP="00A64D26">
      <w:pPr>
        <w:rPr>
          <w:color w:val="000000"/>
          <w:sz w:val="23"/>
          <w:szCs w:val="23"/>
        </w:rPr>
      </w:pPr>
    </w:p>
    <w:p w14:paraId="2C43F5A3" w14:textId="77777777" w:rsidR="00F03634" w:rsidRPr="00246320" w:rsidRDefault="00F03634" w:rsidP="00A64D26">
      <w:pPr>
        <w:rPr>
          <w:color w:val="000000"/>
          <w:sz w:val="23"/>
          <w:szCs w:val="23"/>
        </w:rPr>
      </w:pPr>
    </w:p>
    <w:p w14:paraId="463329A2" w14:textId="77777777" w:rsidR="00F03634" w:rsidRPr="00246320" w:rsidRDefault="00F03634" w:rsidP="00A64D26">
      <w:pPr>
        <w:rPr>
          <w:color w:val="000000"/>
          <w:sz w:val="23"/>
          <w:szCs w:val="23"/>
        </w:rPr>
      </w:pPr>
    </w:p>
    <w:p w14:paraId="33D10744" w14:textId="77777777" w:rsidR="00F03634" w:rsidRPr="00246320" w:rsidRDefault="00F03634" w:rsidP="00A64D26">
      <w:pPr>
        <w:rPr>
          <w:color w:val="000000"/>
          <w:sz w:val="23"/>
          <w:szCs w:val="23"/>
        </w:rPr>
      </w:pPr>
    </w:p>
    <w:p w14:paraId="75108641" w14:textId="77777777" w:rsidR="00F03634" w:rsidRPr="00246320" w:rsidRDefault="00F03634" w:rsidP="00A64D26">
      <w:pPr>
        <w:rPr>
          <w:color w:val="000000"/>
          <w:sz w:val="23"/>
          <w:szCs w:val="23"/>
        </w:rPr>
      </w:pPr>
    </w:p>
    <w:p w14:paraId="15FB618E" w14:textId="77777777" w:rsidR="00F03634" w:rsidRPr="00246320" w:rsidRDefault="00F03634" w:rsidP="00A64D26">
      <w:pPr>
        <w:tabs>
          <w:tab w:val="left" w:pos="2250"/>
        </w:tabs>
        <w:rPr>
          <w:color w:val="000000"/>
          <w:sz w:val="23"/>
          <w:szCs w:val="23"/>
        </w:rPr>
      </w:pPr>
      <w:r w:rsidRPr="00246320">
        <w:rPr>
          <w:color w:val="000000"/>
          <w:sz w:val="23"/>
          <w:szCs w:val="23"/>
        </w:rPr>
        <w:tab/>
      </w:r>
    </w:p>
    <w:p w14:paraId="67DA3477" w14:textId="77777777" w:rsidR="00F03634" w:rsidRPr="00246320" w:rsidRDefault="00F03634" w:rsidP="00A64D26">
      <w:pPr>
        <w:rPr>
          <w:color w:val="000000"/>
          <w:sz w:val="23"/>
          <w:szCs w:val="23"/>
        </w:rPr>
      </w:pPr>
    </w:p>
    <w:p w14:paraId="391B95B1" w14:textId="77777777" w:rsidR="00F03634" w:rsidRPr="00246320" w:rsidRDefault="00F03634" w:rsidP="00A64D26">
      <w:pPr>
        <w:rPr>
          <w:color w:val="000000"/>
          <w:sz w:val="23"/>
          <w:szCs w:val="23"/>
        </w:rPr>
      </w:pPr>
    </w:p>
    <w:p w14:paraId="724A86AF" w14:textId="77777777" w:rsidR="00F03634" w:rsidRPr="00246320" w:rsidRDefault="00F03634" w:rsidP="00A64D26">
      <w:pPr>
        <w:rPr>
          <w:color w:val="000000"/>
          <w:sz w:val="23"/>
          <w:szCs w:val="23"/>
        </w:rPr>
      </w:pPr>
    </w:p>
    <w:p w14:paraId="01E2220D" w14:textId="77777777" w:rsidR="006C6E36" w:rsidRPr="009C4D27" w:rsidRDefault="007C4141" w:rsidP="009C4D27">
      <w:pPr>
        <w:pStyle w:val="Heading2"/>
        <w:tabs>
          <w:tab w:val="num" w:pos="540"/>
        </w:tabs>
        <w:spacing w:before="240" w:after="120"/>
        <w:ind w:left="540" w:hanging="540"/>
        <w:rPr>
          <w:szCs w:val="24"/>
        </w:rPr>
      </w:pPr>
      <w:bookmarkStart w:id="78" w:name="_Toc31821691"/>
      <w:r w:rsidRPr="009C4D27">
        <w:rPr>
          <w:szCs w:val="24"/>
        </w:rPr>
        <w:lastRenderedPageBreak/>
        <w:t xml:space="preserve">REA </w:t>
      </w:r>
      <w:r w:rsidR="0075761E" w:rsidRPr="009C4D27">
        <w:rPr>
          <w:szCs w:val="24"/>
        </w:rPr>
        <w:t>Cash flow</w:t>
      </w:r>
      <w:r w:rsidRPr="009C4D27">
        <w:rPr>
          <w:szCs w:val="24"/>
        </w:rPr>
        <w:t xml:space="preserve"> statement (in euros)</w:t>
      </w:r>
      <w:bookmarkEnd w:id="78"/>
      <w:r w:rsidR="00C13AF5" w:rsidRPr="009C4D27">
        <w:rPr>
          <w:szCs w:val="24"/>
        </w:rPr>
        <w:t xml:space="preserve"> </w:t>
      </w:r>
    </w:p>
    <w:p w14:paraId="5B41104E" w14:textId="77777777" w:rsidR="00E176CF" w:rsidRPr="00E176CF" w:rsidRDefault="00F866A0" w:rsidP="00A64D26">
      <w:pPr>
        <w:pStyle w:val="Text2"/>
        <w:ind w:left="0"/>
        <w:rPr>
          <w:lang w:val="en-US"/>
        </w:rPr>
      </w:pPr>
      <w:r w:rsidRPr="00F866A0">
        <w:rPr>
          <w:noProof/>
          <w:lang w:eastAsia="en-GB"/>
        </w:rPr>
        <w:drawing>
          <wp:inline distT="0" distB="0" distL="0" distR="0" wp14:anchorId="3BA538BB" wp14:editId="4C7E4363">
            <wp:extent cx="5821200" cy="404280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1200" cy="4042800"/>
                    </a:xfrm>
                    <a:prstGeom prst="rect">
                      <a:avLst/>
                    </a:prstGeom>
                    <a:noFill/>
                    <a:ln>
                      <a:noFill/>
                    </a:ln>
                  </pic:spPr>
                </pic:pic>
              </a:graphicData>
            </a:graphic>
          </wp:inline>
        </w:drawing>
      </w:r>
    </w:p>
    <w:p w14:paraId="6A1B7A65" w14:textId="77777777" w:rsidR="00CE6DED" w:rsidRPr="00CE6DED" w:rsidRDefault="00CE6DED" w:rsidP="00A64D26">
      <w:pPr>
        <w:pStyle w:val="Text2"/>
        <w:ind w:left="0"/>
        <w:rPr>
          <w:lang w:val="en-US"/>
        </w:rPr>
      </w:pPr>
    </w:p>
    <w:p w14:paraId="3B33616A" w14:textId="77777777" w:rsidR="002D40D9" w:rsidRDefault="002D40D9">
      <w:pPr>
        <w:rPr>
          <w:b/>
          <w:lang w:eastAsia="en-US"/>
        </w:rPr>
      </w:pPr>
      <w:r>
        <w:br w:type="page"/>
      </w:r>
    </w:p>
    <w:p w14:paraId="3D2CE87D" w14:textId="77777777" w:rsidR="00A60759" w:rsidRPr="009C4D27" w:rsidRDefault="00A60759" w:rsidP="009C4D27">
      <w:pPr>
        <w:pStyle w:val="Heading2"/>
        <w:tabs>
          <w:tab w:val="num" w:pos="540"/>
        </w:tabs>
        <w:spacing w:before="240" w:after="120"/>
        <w:ind w:left="540" w:hanging="540"/>
        <w:rPr>
          <w:szCs w:val="24"/>
        </w:rPr>
      </w:pPr>
      <w:bookmarkStart w:id="79" w:name="_Toc31821692"/>
      <w:r w:rsidRPr="009C4D27">
        <w:rPr>
          <w:szCs w:val="24"/>
        </w:rPr>
        <w:lastRenderedPageBreak/>
        <w:t xml:space="preserve">REA </w:t>
      </w:r>
      <w:r w:rsidR="00426969" w:rsidRPr="009C4D27">
        <w:rPr>
          <w:szCs w:val="24"/>
        </w:rPr>
        <w:t xml:space="preserve">statement of changes in </w:t>
      </w:r>
      <w:r w:rsidR="00F85331" w:rsidRPr="009C4D27">
        <w:rPr>
          <w:szCs w:val="24"/>
        </w:rPr>
        <w:t>net assets</w:t>
      </w:r>
      <w:r w:rsidR="00F57795" w:rsidRPr="009C4D27">
        <w:rPr>
          <w:szCs w:val="24"/>
        </w:rPr>
        <w:t xml:space="preserve"> (in euros)</w:t>
      </w:r>
      <w:bookmarkEnd w:id="79"/>
      <w:r w:rsidR="00C13AF5" w:rsidRPr="009C4D27">
        <w:rPr>
          <w:szCs w:val="24"/>
        </w:rPr>
        <w:t xml:space="preserve"> </w:t>
      </w:r>
    </w:p>
    <w:p w14:paraId="7EDFDA19" w14:textId="77777777" w:rsidR="006C6E36" w:rsidRPr="00CE6DED" w:rsidRDefault="001A4BBF" w:rsidP="00A64D26">
      <w:pPr>
        <w:pStyle w:val="Text2"/>
        <w:ind w:left="0"/>
        <w:rPr>
          <w:lang w:val="en-US"/>
        </w:rPr>
      </w:pPr>
      <w:r w:rsidRPr="001A4BBF">
        <w:rPr>
          <w:noProof/>
          <w:lang w:eastAsia="en-GB"/>
        </w:rPr>
        <w:drawing>
          <wp:inline distT="0" distB="0" distL="0" distR="0" wp14:anchorId="22EC048F" wp14:editId="5377A263">
            <wp:extent cx="5410835" cy="1611899"/>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0835" cy="1611899"/>
                    </a:xfrm>
                    <a:prstGeom prst="rect">
                      <a:avLst/>
                    </a:prstGeom>
                    <a:noFill/>
                    <a:ln>
                      <a:noFill/>
                    </a:ln>
                  </pic:spPr>
                </pic:pic>
              </a:graphicData>
            </a:graphic>
          </wp:inline>
        </w:drawing>
      </w:r>
    </w:p>
    <w:p w14:paraId="6CBEF75A" w14:textId="77777777" w:rsidR="007266C8" w:rsidRPr="00246320" w:rsidRDefault="007266C8" w:rsidP="00A64D26">
      <w:pPr>
        <w:pStyle w:val="Text2"/>
        <w:ind w:left="0"/>
      </w:pPr>
    </w:p>
    <w:p w14:paraId="752424B7" w14:textId="77777777" w:rsidR="00AF3870" w:rsidRPr="00246320" w:rsidRDefault="00AF3870" w:rsidP="00A64D26">
      <w:pPr>
        <w:pStyle w:val="Text2"/>
        <w:ind w:left="0"/>
      </w:pPr>
    </w:p>
    <w:p w14:paraId="06A1656A" w14:textId="77777777" w:rsidR="00A60759" w:rsidRPr="00246320" w:rsidRDefault="00A60759" w:rsidP="00A64D26">
      <w:pPr>
        <w:rPr>
          <w:color w:val="000000"/>
          <w:sz w:val="23"/>
          <w:szCs w:val="23"/>
        </w:rPr>
      </w:pPr>
    </w:p>
    <w:p w14:paraId="78BC3A64" w14:textId="77777777" w:rsidR="00A60759" w:rsidRPr="00246320" w:rsidRDefault="00A60759" w:rsidP="00A64D26">
      <w:pPr>
        <w:jc w:val="center"/>
        <w:rPr>
          <w:color w:val="000000"/>
          <w:sz w:val="23"/>
          <w:szCs w:val="23"/>
        </w:rPr>
      </w:pPr>
    </w:p>
    <w:p w14:paraId="681918F1" w14:textId="77777777" w:rsidR="00A60759" w:rsidRPr="00246320" w:rsidRDefault="00A60759" w:rsidP="00A64D26">
      <w:pPr>
        <w:rPr>
          <w:color w:val="000000"/>
          <w:sz w:val="23"/>
          <w:szCs w:val="23"/>
        </w:rPr>
      </w:pPr>
    </w:p>
    <w:p w14:paraId="25DED741" w14:textId="77777777" w:rsidR="001A4D99" w:rsidRPr="00246320" w:rsidRDefault="001A4D99" w:rsidP="00A64D26">
      <w:pPr>
        <w:jc w:val="center"/>
        <w:rPr>
          <w:color w:val="000000"/>
          <w:sz w:val="23"/>
          <w:szCs w:val="23"/>
        </w:rPr>
        <w:sectPr w:rsidR="001A4D99" w:rsidRPr="00246320" w:rsidSect="004F1FD4">
          <w:pgSz w:w="11906" w:h="16838" w:code="9"/>
          <w:pgMar w:top="1021" w:right="1588" w:bottom="1247" w:left="1797" w:header="601" w:footer="550" w:gutter="0"/>
          <w:cols w:space="720"/>
          <w:docGrid w:linePitch="326"/>
        </w:sectPr>
      </w:pPr>
    </w:p>
    <w:p w14:paraId="70F49C32" w14:textId="77777777" w:rsidR="001A4D99" w:rsidRPr="00383DBF" w:rsidRDefault="00426969" w:rsidP="00614813">
      <w:pPr>
        <w:pStyle w:val="Heading2"/>
        <w:tabs>
          <w:tab w:val="num" w:pos="540"/>
        </w:tabs>
        <w:spacing w:after="120"/>
        <w:ind w:left="540" w:hanging="540"/>
        <w:rPr>
          <w:szCs w:val="24"/>
        </w:rPr>
      </w:pPr>
      <w:bookmarkStart w:id="80" w:name="_Toc31821693"/>
      <w:r w:rsidRPr="00383DBF">
        <w:rPr>
          <w:szCs w:val="24"/>
        </w:rPr>
        <w:lastRenderedPageBreak/>
        <w:t>Notes to the financial statements</w:t>
      </w:r>
      <w:bookmarkEnd w:id="80"/>
    </w:p>
    <w:p w14:paraId="73192438" w14:textId="77777777" w:rsidR="006F7612" w:rsidRPr="00383DBF" w:rsidRDefault="001A4D99" w:rsidP="00A64D26">
      <w:pPr>
        <w:tabs>
          <w:tab w:val="left" w:pos="1440"/>
        </w:tabs>
        <w:suppressAutoHyphens/>
        <w:spacing w:after="240"/>
        <w:jc w:val="both"/>
      </w:pPr>
      <w:r w:rsidRPr="00383DBF">
        <w:t xml:space="preserve">These financial statements cover the period from </w:t>
      </w:r>
      <w:r w:rsidR="00311FFA" w:rsidRPr="00383DBF">
        <w:t xml:space="preserve">1 January </w:t>
      </w:r>
      <w:r w:rsidR="0045261A" w:rsidRPr="00383DBF">
        <w:t>201</w:t>
      </w:r>
      <w:r w:rsidR="00035AA2" w:rsidRPr="00383DBF">
        <w:t>9</w:t>
      </w:r>
      <w:r w:rsidR="00311FFA" w:rsidRPr="00383DBF">
        <w:t xml:space="preserve"> u</w:t>
      </w:r>
      <w:r w:rsidR="00F93725" w:rsidRPr="00383DBF">
        <w:t>ntil</w:t>
      </w:r>
      <w:r w:rsidRPr="00383DBF">
        <w:t xml:space="preserve"> 31</w:t>
      </w:r>
      <w:r w:rsidR="00F93725" w:rsidRPr="00383DBF">
        <w:t> December </w:t>
      </w:r>
      <w:r w:rsidR="0045261A" w:rsidRPr="00383DBF">
        <w:t>201</w:t>
      </w:r>
      <w:r w:rsidR="00035AA2" w:rsidRPr="00383DBF">
        <w:t>9</w:t>
      </w:r>
      <w:r w:rsidR="00F93725" w:rsidRPr="00383DBF">
        <w:t>.</w:t>
      </w:r>
      <w:r w:rsidRPr="00383DBF">
        <w:t xml:space="preserve"> </w:t>
      </w:r>
    </w:p>
    <w:p w14:paraId="268F7480" w14:textId="77777777" w:rsidR="001A4D99" w:rsidRPr="00383DBF" w:rsidRDefault="0055421B" w:rsidP="00383DBF">
      <w:pPr>
        <w:pStyle w:val="Heading3"/>
        <w:tabs>
          <w:tab w:val="clear" w:pos="840"/>
        </w:tabs>
        <w:spacing w:before="240"/>
        <w:ind w:left="720" w:hanging="720"/>
        <w:rPr>
          <w:b/>
          <w:szCs w:val="24"/>
        </w:rPr>
      </w:pPr>
      <w:bookmarkStart w:id="81" w:name="_Toc31821694"/>
      <w:r w:rsidRPr="00383DBF">
        <w:rPr>
          <w:b/>
          <w:szCs w:val="24"/>
        </w:rPr>
        <w:t>Significant a</w:t>
      </w:r>
      <w:r w:rsidR="001A4D99" w:rsidRPr="00383DBF">
        <w:rPr>
          <w:b/>
          <w:szCs w:val="24"/>
        </w:rPr>
        <w:t>ccounting policies</w:t>
      </w:r>
      <w:bookmarkEnd w:id="81"/>
      <w:r w:rsidR="001A4D99" w:rsidRPr="00383DBF">
        <w:rPr>
          <w:b/>
          <w:szCs w:val="24"/>
        </w:rPr>
        <w:t xml:space="preserve"> </w:t>
      </w:r>
    </w:p>
    <w:p w14:paraId="68752B96" w14:textId="77777777" w:rsidR="004F3B0B" w:rsidRPr="00383DBF" w:rsidRDefault="004F3B0B" w:rsidP="00967702">
      <w:pPr>
        <w:spacing w:before="240" w:after="120"/>
        <w:jc w:val="both"/>
        <w:rPr>
          <w:b/>
          <w:i/>
          <w:color w:val="000000"/>
        </w:rPr>
      </w:pPr>
      <w:r w:rsidRPr="00383DBF">
        <w:rPr>
          <w:b/>
          <w:i/>
          <w:color w:val="000000"/>
        </w:rPr>
        <w:t xml:space="preserve">Legal </w:t>
      </w:r>
      <w:r w:rsidR="003F3CC7" w:rsidRPr="00383DBF">
        <w:rPr>
          <w:b/>
          <w:i/>
          <w:color w:val="000000"/>
        </w:rPr>
        <w:t>basis</w:t>
      </w:r>
      <w:r w:rsidRPr="00383DBF">
        <w:rPr>
          <w:b/>
          <w:i/>
          <w:color w:val="000000"/>
        </w:rPr>
        <w:t xml:space="preserve"> and </w:t>
      </w:r>
      <w:r w:rsidR="0055421B" w:rsidRPr="00383DBF">
        <w:rPr>
          <w:b/>
          <w:i/>
          <w:color w:val="000000"/>
        </w:rPr>
        <w:t>accounting rules</w:t>
      </w:r>
    </w:p>
    <w:p w14:paraId="72161891" w14:textId="77777777" w:rsidR="004F3B0B" w:rsidRPr="00383DBF" w:rsidRDefault="004F3B0B" w:rsidP="00614813">
      <w:pPr>
        <w:tabs>
          <w:tab w:val="left" w:pos="1440"/>
        </w:tabs>
        <w:suppressAutoHyphens/>
        <w:spacing w:after="120"/>
        <w:jc w:val="both"/>
      </w:pPr>
      <w:r w:rsidRPr="00383DBF">
        <w:t>The accounts are kept in accordance with Commission Regulation (EC) No 1653/2004 of 21 September 2004 on a standard financial regulation for the executive agencies.</w:t>
      </w:r>
    </w:p>
    <w:p w14:paraId="54B97546" w14:textId="77777777" w:rsidR="004F3B0B" w:rsidRPr="00383DBF" w:rsidRDefault="004F3B0B" w:rsidP="00614813">
      <w:pPr>
        <w:tabs>
          <w:tab w:val="left" w:pos="1440"/>
        </w:tabs>
        <w:suppressAutoHyphens/>
        <w:spacing w:after="120"/>
        <w:jc w:val="both"/>
      </w:pPr>
      <w:r w:rsidRPr="00383DBF">
        <w:t xml:space="preserve">REA being fully consolidated in the Commission accounts, the </w:t>
      </w:r>
      <w:r w:rsidR="00035AA2" w:rsidRPr="00383DBF">
        <w:t>2019</w:t>
      </w:r>
      <w:r w:rsidRPr="00383DBF">
        <w:t xml:space="preserve"> REA financial statements </w:t>
      </w:r>
      <w:r w:rsidR="00642A26" w:rsidRPr="00383DBF">
        <w:t xml:space="preserve">and report on implementation of the budget </w:t>
      </w:r>
      <w:r w:rsidRPr="00383DBF">
        <w:t xml:space="preserve">have been established in accordance with the </w:t>
      </w:r>
      <w:r w:rsidR="00642A26" w:rsidRPr="00383DBF">
        <w:t>legal basis described</w:t>
      </w:r>
      <w:r w:rsidRPr="00383DBF">
        <w:t xml:space="preserve"> in the introduction</w:t>
      </w:r>
      <w:r w:rsidR="00642A26" w:rsidRPr="00383DBF">
        <w:t>.</w:t>
      </w:r>
    </w:p>
    <w:p w14:paraId="69D4EF58" w14:textId="77777777" w:rsidR="00AA27AB" w:rsidRPr="00383DBF" w:rsidRDefault="00AA27AB" w:rsidP="00614813">
      <w:pPr>
        <w:spacing w:after="120"/>
        <w:jc w:val="both"/>
      </w:pPr>
      <w:r w:rsidRPr="00383DBF">
        <w:t xml:space="preserve">These financial statements are prepared on the basis of the EU Accounting Rules as adopted by the Commission’s Accounting Officer which adapt the International Public Sector Accounting Standards </w:t>
      </w:r>
      <w:r w:rsidR="004B75B1" w:rsidRPr="00383DBF">
        <w:t xml:space="preserve">(IPSAS) </w:t>
      </w:r>
      <w:r w:rsidRPr="00383DBF">
        <w:t xml:space="preserve">(and in some cases the International Financial Reporting Standards) to the specific environment of the EU, while the reports on implementation of the budget continue to be primarily based on movements of cash. </w:t>
      </w:r>
    </w:p>
    <w:p w14:paraId="28EEF8E8" w14:textId="77777777" w:rsidR="00AA27AB" w:rsidRPr="00383DBF" w:rsidRDefault="00AA27AB" w:rsidP="00614813">
      <w:pPr>
        <w:tabs>
          <w:tab w:val="left" w:pos="709"/>
        </w:tabs>
        <w:spacing w:after="120"/>
        <w:jc w:val="both"/>
      </w:pPr>
      <w:r w:rsidRPr="00383DBF">
        <w:t xml:space="preserve">The accounting system of </w:t>
      </w:r>
      <w:r w:rsidR="00B54068" w:rsidRPr="00383DBF">
        <w:t>REA</w:t>
      </w:r>
      <w:r w:rsidRPr="00383DBF">
        <w:t xml:space="preserve"> comprises general accounts and budget accounts. These accounts are kept in </w:t>
      </w:r>
      <w:r w:rsidR="00F14602" w:rsidRPr="00383DBF">
        <w:t xml:space="preserve">euros </w:t>
      </w:r>
      <w:r w:rsidRPr="00383DBF">
        <w:t>on the basis of the calendar year. The budget accounts give a detailed picture of the implementation of the budget. They are based on the modified cash accounting principle</w:t>
      </w:r>
      <w:r w:rsidRPr="00383DBF">
        <w:rPr>
          <w:vertAlign w:val="superscript"/>
        </w:rPr>
        <w:footnoteReference w:id="6"/>
      </w:r>
      <w:r w:rsidR="00577197" w:rsidRPr="00383DBF">
        <w:t>.</w:t>
      </w:r>
      <w:r w:rsidRPr="00383DBF">
        <w:t xml:space="preserve"> The general accounts allow for the preparation of the financial statements as they show all charges and income for the financial year and are designed to establish the financial position in the form of a balance sheet as at 31 December. </w:t>
      </w:r>
    </w:p>
    <w:p w14:paraId="72CFB25F" w14:textId="77777777" w:rsidR="00AA27AB" w:rsidRPr="005251B3" w:rsidRDefault="00AA27AB" w:rsidP="00614813">
      <w:pPr>
        <w:tabs>
          <w:tab w:val="left" w:pos="709"/>
        </w:tabs>
        <w:spacing w:after="120"/>
        <w:jc w:val="both"/>
      </w:pPr>
      <w:r w:rsidRPr="00383DBF">
        <w:t xml:space="preserve">The REA's financial statements have been drawn up using the methods of preparation as set </w:t>
      </w:r>
      <w:r w:rsidRPr="005251B3">
        <w:t>out in the accounting rules laid down by the Commission’s Accounting Officer.</w:t>
      </w:r>
    </w:p>
    <w:p w14:paraId="24FADB67" w14:textId="77777777" w:rsidR="004F3B0B" w:rsidRPr="005251B3" w:rsidRDefault="004F3B0B" w:rsidP="00967702">
      <w:pPr>
        <w:spacing w:before="240" w:after="120"/>
        <w:jc w:val="both"/>
        <w:rPr>
          <w:b/>
          <w:i/>
          <w:color w:val="000000"/>
        </w:rPr>
      </w:pPr>
      <w:r w:rsidRPr="005251B3">
        <w:rPr>
          <w:b/>
          <w:i/>
          <w:color w:val="000000"/>
        </w:rPr>
        <w:t>Accounting principles</w:t>
      </w:r>
    </w:p>
    <w:p w14:paraId="46BFBFAE" w14:textId="77777777" w:rsidR="004F3B0B" w:rsidRPr="005251B3" w:rsidRDefault="004F3B0B" w:rsidP="00A64D26">
      <w:pPr>
        <w:tabs>
          <w:tab w:val="left" w:pos="1440"/>
        </w:tabs>
        <w:suppressAutoHyphens/>
        <w:spacing w:after="120"/>
        <w:jc w:val="both"/>
      </w:pPr>
      <w:r w:rsidRPr="005251B3">
        <w:t xml:space="preserve">The objective of the financial statements is to provide information about the financial position, performance and cash flows of an entity that is useful to a wide range of users. For a public sector entity such as </w:t>
      </w:r>
      <w:r w:rsidR="00B54068" w:rsidRPr="005251B3">
        <w:t>REA</w:t>
      </w:r>
      <w:r w:rsidRPr="005251B3">
        <w:t>, the objectives are more specifically to provide informat</w:t>
      </w:r>
      <w:r w:rsidR="004E7ED2" w:rsidRPr="005251B3">
        <w:t xml:space="preserve">ion useful for decision making </w:t>
      </w:r>
      <w:r w:rsidRPr="005251B3">
        <w:t>and to demonstrate the accountability of the entity for the resources entrusted to it.</w:t>
      </w:r>
    </w:p>
    <w:p w14:paraId="45295811" w14:textId="77777777" w:rsidR="005F5251" w:rsidRPr="005251B3" w:rsidRDefault="004F3B0B" w:rsidP="00A64D26">
      <w:pPr>
        <w:tabs>
          <w:tab w:val="left" w:pos="1440"/>
        </w:tabs>
        <w:suppressAutoHyphens/>
        <w:spacing w:after="120"/>
        <w:jc w:val="both"/>
      </w:pPr>
      <w:r w:rsidRPr="005251B3">
        <w:t>Article 53 of the standard financial regulation for executive agencies</w:t>
      </w:r>
      <w:r w:rsidR="00577197" w:rsidRPr="005251B3">
        <w:rPr>
          <w:vertAlign w:val="superscript"/>
        </w:rPr>
        <w:footnoteReference w:id="7"/>
      </w:r>
      <w:r w:rsidRPr="005251B3">
        <w:t xml:space="preserve"> sets out the accounting principles to be applied in drawing up the financial statements:</w:t>
      </w:r>
    </w:p>
    <w:p w14:paraId="5E24668E" w14:textId="77777777" w:rsidR="004F3B0B" w:rsidRPr="005251B3" w:rsidRDefault="005F5251" w:rsidP="00967702">
      <w:pPr>
        <w:keepNext/>
        <w:autoSpaceDE w:val="0"/>
        <w:autoSpaceDN w:val="0"/>
        <w:adjustRightInd w:val="0"/>
        <w:spacing w:before="240" w:after="120"/>
        <w:jc w:val="both"/>
        <w:rPr>
          <w:i/>
        </w:rPr>
      </w:pPr>
      <w:r w:rsidRPr="005251B3">
        <w:rPr>
          <w:i/>
        </w:rPr>
        <w:t>G</w:t>
      </w:r>
      <w:r w:rsidR="008E60EE" w:rsidRPr="005251B3">
        <w:rPr>
          <w:i/>
        </w:rPr>
        <w:t>oing concern basis</w:t>
      </w:r>
    </w:p>
    <w:p w14:paraId="357F4262" w14:textId="77777777" w:rsidR="0028605E" w:rsidRPr="005251B3" w:rsidRDefault="00BF7D61" w:rsidP="00A64D26">
      <w:pPr>
        <w:autoSpaceDE w:val="0"/>
        <w:autoSpaceDN w:val="0"/>
        <w:adjustRightInd w:val="0"/>
        <w:jc w:val="both"/>
        <w:rPr>
          <w:rFonts w:cs="Arial"/>
        </w:rPr>
      </w:pPr>
      <w:r w:rsidRPr="005251B3">
        <w:rPr>
          <w:rFonts w:cs="Arial"/>
        </w:rPr>
        <w:t>When preparing financial statements an assessment of an entity’s ability to continue as a going</w:t>
      </w:r>
      <w:r w:rsidR="002D40D9" w:rsidRPr="005251B3">
        <w:rPr>
          <w:rFonts w:cs="Arial"/>
        </w:rPr>
        <w:t xml:space="preserve"> </w:t>
      </w:r>
      <w:r w:rsidRPr="005251B3">
        <w:rPr>
          <w:rFonts w:cs="Arial"/>
        </w:rPr>
        <w:t>concern shall be made. Financial statements shall be prepared on a going-concern basis unless there is an intention to liquidate the entity or to cease operati</w:t>
      </w:r>
      <w:r w:rsidR="006F7612" w:rsidRPr="005251B3">
        <w:rPr>
          <w:rFonts w:cs="Arial"/>
        </w:rPr>
        <w:t xml:space="preserve">ng, or if there is no realistic </w:t>
      </w:r>
      <w:r w:rsidRPr="005251B3">
        <w:rPr>
          <w:rFonts w:cs="Arial"/>
        </w:rPr>
        <w:t>alternative but to do</w:t>
      </w:r>
      <w:r w:rsidR="002D40D9" w:rsidRPr="005251B3">
        <w:rPr>
          <w:rFonts w:cs="Arial"/>
        </w:rPr>
        <w:t xml:space="preserve"> </w:t>
      </w:r>
      <w:r w:rsidRPr="005251B3">
        <w:rPr>
          <w:rFonts w:cs="Arial"/>
        </w:rPr>
        <w:t xml:space="preserve">so. These financial statements have been prepared in accordance with the going-concern </w:t>
      </w:r>
      <w:r w:rsidR="0075761E" w:rsidRPr="005251B3">
        <w:rPr>
          <w:rFonts w:cs="Arial"/>
        </w:rPr>
        <w:t>principle, which</w:t>
      </w:r>
      <w:r w:rsidRPr="005251B3">
        <w:rPr>
          <w:rFonts w:cs="Arial"/>
        </w:rPr>
        <w:t xml:space="preserve"> means that the Agency is deemed to have been established for an indefinite duration.</w:t>
      </w:r>
    </w:p>
    <w:p w14:paraId="3B9DE8CB" w14:textId="77777777" w:rsidR="004F3B0B" w:rsidRPr="005251B3" w:rsidRDefault="008E60EE" w:rsidP="00967702">
      <w:pPr>
        <w:keepNext/>
        <w:autoSpaceDE w:val="0"/>
        <w:autoSpaceDN w:val="0"/>
        <w:adjustRightInd w:val="0"/>
        <w:spacing w:before="240" w:after="120"/>
        <w:jc w:val="both"/>
        <w:rPr>
          <w:i/>
        </w:rPr>
      </w:pPr>
      <w:r w:rsidRPr="005251B3">
        <w:rPr>
          <w:i/>
        </w:rPr>
        <w:lastRenderedPageBreak/>
        <w:t>Prudence</w:t>
      </w:r>
    </w:p>
    <w:p w14:paraId="33F8942E" w14:textId="77777777" w:rsidR="00BF7D61" w:rsidRPr="005251B3" w:rsidRDefault="00BF7D61" w:rsidP="00967702">
      <w:pPr>
        <w:autoSpaceDE w:val="0"/>
        <w:autoSpaceDN w:val="0"/>
        <w:adjustRightInd w:val="0"/>
        <w:spacing w:after="120"/>
        <w:jc w:val="both"/>
      </w:pPr>
      <w:r w:rsidRPr="005251B3">
        <w:t>The principle of prudence means that assets and income shall not be overstated and liabilities and charges shall not be understated. However, the principle of prudence does not allow the creation of hidden reserves or undue provisions.</w:t>
      </w:r>
    </w:p>
    <w:p w14:paraId="625979C8" w14:textId="77777777" w:rsidR="004F3B0B" w:rsidRPr="005251B3" w:rsidRDefault="008E60EE" w:rsidP="00967702">
      <w:pPr>
        <w:keepNext/>
        <w:autoSpaceDE w:val="0"/>
        <w:autoSpaceDN w:val="0"/>
        <w:adjustRightInd w:val="0"/>
        <w:spacing w:before="240" w:after="120"/>
        <w:jc w:val="both"/>
        <w:rPr>
          <w:i/>
        </w:rPr>
      </w:pPr>
      <w:r w:rsidRPr="005251B3">
        <w:rPr>
          <w:i/>
        </w:rPr>
        <w:t>Consistent accounting methods</w:t>
      </w:r>
    </w:p>
    <w:p w14:paraId="1DA1DC07" w14:textId="77777777" w:rsidR="00BF7D61" w:rsidRPr="005251B3" w:rsidRDefault="00BF7D61" w:rsidP="00967702">
      <w:pPr>
        <w:autoSpaceDE w:val="0"/>
        <w:autoSpaceDN w:val="0"/>
        <w:adjustRightInd w:val="0"/>
        <w:spacing w:after="120"/>
        <w:jc w:val="both"/>
      </w:pPr>
      <w:r w:rsidRPr="005251B3">
        <w:t>The principle of consistent accounting methods means that the structure of the components of the financial statements and the accounting methods and valuation rules may not be changed from one year to the next.</w:t>
      </w:r>
    </w:p>
    <w:p w14:paraId="6582C15F" w14:textId="77777777" w:rsidR="00BF7D61" w:rsidRPr="005251B3" w:rsidRDefault="00BF7D61" w:rsidP="00967702">
      <w:pPr>
        <w:autoSpaceDE w:val="0"/>
        <w:autoSpaceDN w:val="0"/>
        <w:adjustRightInd w:val="0"/>
        <w:spacing w:after="120"/>
        <w:jc w:val="both"/>
      </w:pPr>
      <w:r w:rsidRPr="005251B3">
        <w:t xml:space="preserve">The Agency's Accounting </w:t>
      </w:r>
      <w:r w:rsidR="0075761E" w:rsidRPr="005251B3">
        <w:t>Officer may not depart from the</w:t>
      </w:r>
      <w:r w:rsidRPr="005251B3">
        <w:t xml:space="preserve"> principle of consistent accounting methods other than in exceptional circumstances, in particular:</w:t>
      </w:r>
    </w:p>
    <w:p w14:paraId="644148A1" w14:textId="77777777" w:rsidR="00BF7D61" w:rsidRPr="005251B3" w:rsidRDefault="00BF7D61" w:rsidP="00967702">
      <w:pPr>
        <w:pStyle w:val="ListParagraph"/>
        <w:autoSpaceDE w:val="0"/>
        <w:autoSpaceDN w:val="0"/>
        <w:adjustRightInd w:val="0"/>
        <w:ind w:left="851" w:hanging="425"/>
        <w:jc w:val="both"/>
      </w:pPr>
      <w:r w:rsidRPr="005251B3">
        <w:t xml:space="preserve">a) </w:t>
      </w:r>
      <w:r w:rsidR="00967702" w:rsidRPr="005251B3">
        <w:tab/>
      </w:r>
      <w:r w:rsidRPr="005251B3">
        <w:t>in the event of a significa</w:t>
      </w:r>
      <w:r w:rsidR="0075761E" w:rsidRPr="005251B3">
        <w:t xml:space="preserve">nt change in the nature of the </w:t>
      </w:r>
      <w:r w:rsidRPr="005251B3">
        <w:t>entity's operations;</w:t>
      </w:r>
    </w:p>
    <w:p w14:paraId="378C30A4" w14:textId="77777777" w:rsidR="00BF7D61" w:rsidRPr="005251B3" w:rsidRDefault="00BF7D61" w:rsidP="00967702">
      <w:pPr>
        <w:pStyle w:val="ListParagraph"/>
        <w:autoSpaceDE w:val="0"/>
        <w:autoSpaceDN w:val="0"/>
        <w:adjustRightInd w:val="0"/>
        <w:ind w:left="851" w:hanging="425"/>
        <w:jc w:val="both"/>
      </w:pPr>
      <w:r w:rsidRPr="005251B3">
        <w:t xml:space="preserve">b) </w:t>
      </w:r>
      <w:r w:rsidR="00967702" w:rsidRPr="005251B3">
        <w:tab/>
      </w:r>
      <w:r w:rsidRPr="005251B3">
        <w:t>where the change made is for the sake of a more appropriate presentation of the accounting operations.</w:t>
      </w:r>
    </w:p>
    <w:p w14:paraId="1832C97D" w14:textId="77777777" w:rsidR="004F3B0B" w:rsidRPr="005251B3" w:rsidRDefault="005F5251" w:rsidP="00967702">
      <w:pPr>
        <w:keepNext/>
        <w:autoSpaceDE w:val="0"/>
        <w:autoSpaceDN w:val="0"/>
        <w:adjustRightInd w:val="0"/>
        <w:spacing w:before="240" w:after="120"/>
        <w:jc w:val="both"/>
        <w:rPr>
          <w:i/>
        </w:rPr>
      </w:pPr>
      <w:r w:rsidRPr="005251B3">
        <w:rPr>
          <w:i/>
        </w:rPr>
        <w:t>C</w:t>
      </w:r>
      <w:r w:rsidR="004F3B0B" w:rsidRPr="005251B3">
        <w:rPr>
          <w:i/>
        </w:rPr>
        <w:t>omparability of informa</w:t>
      </w:r>
      <w:r w:rsidR="008E60EE" w:rsidRPr="005251B3">
        <w:rPr>
          <w:i/>
        </w:rPr>
        <w:t>tion</w:t>
      </w:r>
    </w:p>
    <w:p w14:paraId="6F6885F1" w14:textId="77777777" w:rsidR="00BF7D61" w:rsidRPr="005251B3" w:rsidRDefault="00BF7D61" w:rsidP="00967702">
      <w:pPr>
        <w:autoSpaceDE w:val="0"/>
        <w:autoSpaceDN w:val="0"/>
        <w:adjustRightInd w:val="0"/>
        <w:spacing w:after="120"/>
        <w:jc w:val="both"/>
      </w:pPr>
      <w:r w:rsidRPr="005251B3">
        <w:t xml:space="preserve">The principle of comparability of information means that for each item the financial statements shall also show the amount of the corresponding item </w:t>
      </w:r>
      <w:r w:rsidR="00F14602" w:rsidRPr="005251B3">
        <w:t xml:space="preserve">in </w:t>
      </w:r>
      <w:r w:rsidRPr="005251B3">
        <w:t>the previous year.</w:t>
      </w:r>
    </w:p>
    <w:p w14:paraId="17E75DF9" w14:textId="77777777" w:rsidR="00BF7D61" w:rsidRPr="005251B3" w:rsidRDefault="004E7ED2" w:rsidP="00967702">
      <w:pPr>
        <w:autoSpaceDE w:val="0"/>
        <w:autoSpaceDN w:val="0"/>
        <w:adjustRightInd w:val="0"/>
        <w:spacing w:after="120"/>
        <w:jc w:val="both"/>
      </w:pPr>
      <w:r w:rsidRPr="005251B3">
        <w:t xml:space="preserve">Where </w:t>
      </w:r>
      <w:r w:rsidR="00C11D38" w:rsidRPr="005251B3">
        <w:t>the presentation or the</w:t>
      </w:r>
      <w:r w:rsidR="00BF7D61" w:rsidRPr="005251B3">
        <w:t xml:space="preserve"> classification </w:t>
      </w:r>
      <w:r w:rsidR="00C11D38" w:rsidRPr="005251B3">
        <w:t>of one of the components of the</w:t>
      </w:r>
      <w:r w:rsidR="00BF7D61" w:rsidRPr="005251B3">
        <w:t xml:space="preserve"> financial statements is</w:t>
      </w:r>
      <w:r w:rsidR="00C11D38" w:rsidRPr="005251B3">
        <w:t xml:space="preserve"> changed, the</w:t>
      </w:r>
      <w:r w:rsidR="00BF7D61" w:rsidRPr="005251B3">
        <w:t xml:space="preserve"> corresponding am</w:t>
      </w:r>
      <w:r w:rsidR="00C11D38" w:rsidRPr="005251B3">
        <w:t>ounts for the</w:t>
      </w:r>
      <w:r w:rsidR="00BF7D61" w:rsidRPr="005251B3">
        <w:t xml:space="preserve"> previous year shall be made comparable and reclassified.</w:t>
      </w:r>
      <w:r w:rsidR="00011C65" w:rsidRPr="005251B3">
        <w:t xml:space="preserve"> </w:t>
      </w:r>
      <w:r w:rsidR="00BF7D61" w:rsidRPr="005251B3">
        <w:t xml:space="preserve">Where it is impossible to reclassify items, </w:t>
      </w:r>
      <w:r w:rsidR="00C11D38" w:rsidRPr="005251B3">
        <w:t>this</w:t>
      </w:r>
      <w:r w:rsidR="00BF7D61" w:rsidRPr="005251B3">
        <w:t xml:space="preserve"> shall be</w:t>
      </w:r>
      <w:r w:rsidR="00C11D38" w:rsidRPr="005251B3">
        <w:t xml:space="preserve"> explained in the annex to the </w:t>
      </w:r>
      <w:r w:rsidR="00BF7D61" w:rsidRPr="005251B3">
        <w:t>financial</w:t>
      </w:r>
      <w:r w:rsidR="00C11D38" w:rsidRPr="005251B3">
        <w:t xml:space="preserve"> </w:t>
      </w:r>
      <w:r w:rsidR="00BF7D61" w:rsidRPr="005251B3">
        <w:t>statements.</w:t>
      </w:r>
    </w:p>
    <w:p w14:paraId="220CD0D5" w14:textId="77777777" w:rsidR="004F3B0B" w:rsidRPr="005251B3" w:rsidRDefault="008E60EE" w:rsidP="00967702">
      <w:pPr>
        <w:keepNext/>
        <w:autoSpaceDE w:val="0"/>
        <w:autoSpaceDN w:val="0"/>
        <w:adjustRightInd w:val="0"/>
        <w:spacing w:before="240" w:after="120"/>
        <w:jc w:val="both"/>
        <w:rPr>
          <w:i/>
        </w:rPr>
      </w:pPr>
      <w:r w:rsidRPr="005251B3">
        <w:rPr>
          <w:i/>
        </w:rPr>
        <w:t>Materiality</w:t>
      </w:r>
    </w:p>
    <w:p w14:paraId="60B437C5" w14:textId="77777777" w:rsidR="00C11D38" w:rsidRPr="005251B3" w:rsidRDefault="00C11D38" w:rsidP="00967702">
      <w:pPr>
        <w:autoSpaceDE w:val="0"/>
        <w:autoSpaceDN w:val="0"/>
        <w:adjustRightInd w:val="0"/>
        <w:spacing w:after="120"/>
        <w:jc w:val="both"/>
      </w:pPr>
      <w:r w:rsidRPr="005251B3">
        <w:t>The materiality principle means that all operations which are of significance for the information</w:t>
      </w:r>
      <w:r w:rsidR="00967702" w:rsidRPr="005251B3">
        <w:t xml:space="preserve"> </w:t>
      </w:r>
      <w:r w:rsidRPr="005251B3">
        <w:t>sought shall be taken into account in the financial statements. Materiality shall be assessed in particular by reference to the nature of the transaction or the amount.</w:t>
      </w:r>
    </w:p>
    <w:p w14:paraId="7CCC69D6" w14:textId="77777777" w:rsidR="00C11D38" w:rsidRPr="005251B3" w:rsidRDefault="00C11D38" w:rsidP="00967702">
      <w:pPr>
        <w:autoSpaceDE w:val="0"/>
        <w:autoSpaceDN w:val="0"/>
        <w:adjustRightInd w:val="0"/>
        <w:spacing w:after="120"/>
        <w:jc w:val="both"/>
      </w:pPr>
      <w:r w:rsidRPr="005251B3">
        <w:t>Transactions may be aggregated where:</w:t>
      </w:r>
    </w:p>
    <w:p w14:paraId="49053ED0" w14:textId="77777777" w:rsidR="00C11D38" w:rsidRPr="005251B3" w:rsidRDefault="00C11D38" w:rsidP="00967702">
      <w:pPr>
        <w:pStyle w:val="ListParagraph"/>
        <w:autoSpaceDE w:val="0"/>
        <w:autoSpaceDN w:val="0"/>
        <w:adjustRightInd w:val="0"/>
        <w:ind w:left="851" w:hanging="425"/>
        <w:jc w:val="both"/>
      </w:pPr>
      <w:r w:rsidRPr="005251B3">
        <w:t xml:space="preserve">a) </w:t>
      </w:r>
      <w:r w:rsidR="00967702" w:rsidRPr="005251B3">
        <w:tab/>
      </w:r>
      <w:r w:rsidRPr="005251B3">
        <w:t>the transactions are i</w:t>
      </w:r>
      <w:r w:rsidR="0075761E" w:rsidRPr="005251B3">
        <w:t>dentical in nature, even if the</w:t>
      </w:r>
      <w:r w:rsidRPr="005251B3">
        <w:t xml:space="preserve"> amounts are large;</w:t>
      </w:r>
    </w:p>
    <w:p w14:paraId="69478601" w14:textId="77777777" w:rsidR="00C11D38" w:rsidRPr="005251B3" w:rsidRDefault="00C11D38" w:rsidP="00967702">
      <w:pPr>
        <w:pStyle w:val="ListParagraph"/>
        <w:autoSpaceDE w:val="0"/>
        <w:autoSpaceDN w:val="0"/>
        <w:adjustRightInd w:val="0"/>
        <w:ind w:left="851" w:hanging="425"/>
        <w:jc w:val="both"/>
      </w:pPr>
      <w:r w:rsidRPr="005251B3">
        <w:t xml:space="preserve">b) </w:t>
      </w:r>
      <w:r w:rsidR="00967702" w:rsidRPr="005251B3">
        <w:tab/>
      </w:r>
      <w:r w:rsidRPr="005251B3">
        <w:t>the amounts are negligible;</w:t>
      </w:r>
    </w:p>
    <w:p w14:paraId="77ECC966" w14:textId="77777777" w:rsidR="009A41FF" w:rsidRPr="005251B3" w:rsidRDefault="00C11D38" w:rsidP="00967702">
      <w:pPr>
        <w:pStyle w:val="ListParagraph"/>
        <w:autoSpaceDE w:val="0"/>
        <w:autoSpaceDN w:val="0"/>
        <w:adjustRightInd w:val="0"/>
        <w:ind w:left="851" w:hanging="425"/>
        <w:jc w:val="both"/>
      </w:pPr>
      <w:r w:rsidRPr="005251B3">
        <w:t xml:space="preserve">c) </w:t>
      </w:r>
      <w:r w:rsidR="00967702" w:rsidRPr="005251B3">
        <w:tab/>
      </w:r>
      <w:r w:rsidRPr="005251B3">
        <w:t xml:space="preserve">aggregation </w:t>
      </w:r>
      <w:r w:rsidR="00F14602" w:rsidRPr="005251B3">
        <w:t>offers more</w:t>
      </w:r>
      <w:r w:rsidRPr="005251B3">
        <w:t xml:space="preserve"> clarity in </w:t>
      </w:r>
      <w:r w:rsidR="00F14602" w:rsidRPr="005251B3">
        <w:t xml:space="preserve">the </w:t>
      </w:r>
      <w:r w:rsidRPr="005251B3">
        <w:t>financial statements.</w:t>
      </w:r>
    </w:p>
    <w:p w14:paraId="51F7439E" w14:textId="77777777" w:rsidR="004F3B0B" w:rsidRPr="005251B3" w:rsidRDefault="005F5251" w:rsidP="00967702">
      <w:pPr>
        <w:keepNext/>
        <w:autoSpaceDE w:val="0"/>
        <w:autoSpaceDN w:val="0"/>
        <w:adjustRightInd w:val="0"/>
        <w:spacing w:before="240" w:after="120"/>
        <w:jc w:val="both"/>
        <w:rPr>
          <w:i/>
        </w:rPr>
      </w:pPr>
      <w:r w:rsidRPr="005251B3">
        <w:rPr>
          <w:i/>
        </w:rPr>
        <w:t>No netti</w:t>
      </w:r>
      <w:r w:rsidR="008E60EE" w:rsidRPr="005251B3">
        <w:rPr>
          <w:i/>
        </w:rPr>
        <w:t>ng</w:t>
      </w:r>
    </w:p>
    <w:p w14:paraId="15E9DE17" w14:textId="77777777" w:rsidR="00C11D38" w:rsidRPr="005251B3" w:rsidRDefault="00C11D38" w:rsidP="00A64D26">
      <w:pPr>
        <w:autoSpaceDE w:val="0"/>
        <w:autoSpaceDN w:val="0"/>
        <w:adjustRightInd w:val="0"/>
        <w:jc w:val="both"/>
      </w:pPr>
      <w:r w:rsidRPr="005251B3">
        <w:t xml:space="preserve">The no-netting principle means that receivables and debts may not be offset against each other, nor may charges and income, </w:t>
      </w:r>
      <w:r w:rsidR="00F14602" w:rsidRPr="005251B3">
        <w:t xml:space="preserve">except </w:t>
      </w:r>
      <w:r w:rsidRPr="005251B3">
        <w:t xml:space="preserve">where charges and incomes derive from </w:t>
      </w:r>
      <w:r w:rsidR="00F14602" w:rsidRPr="005251B3">
        <w:t xml:space="preserve">the </w:t>
      </w:r>
      <w:r w:rsidRPr="005251B3">
        <w:t>same transaction, from similar transactions or from hedging operations and provided that they are not individually material.</w:t>
      </w:r>
    </w:p>
    <w:p w14:paraId="47F9DC17" w14:textId="77777777" w:rsidR="004F3B0B" w:rsidRPr="005251B3" w:rsidRDefault="005F5251" w:rsidP="00967702">
      <w:pPr>
        <w:keepNext/>
        <w:autoSpaceDE w:val="0"/>
        <w:autoSpaceDN w:val="0"/>
        <w:adjustRightInd w:val="0"/>
        <w:spacing w:before="240" w:after="120"/>
        <w:jc w:val="both"/>
        <w:rPr>
          <w:i/>
        </w:rPr>
      </w:pPr>
      <w:r w:rsidRPr="005251B3">
        <w:rPr>
          <w:i/>
        </w:rPr>
        <w:t>R</w:t>
      </w:r>
      <w:r w:rsidR="008E60EE" w:rsidRPr="005251B3">
        <w:rPr>
          <w:i/>
        </w:rPr>
        <w:t>eality over appearance</w:t>
      </w:r>
    </w:p>
    <w:p w14:paraId="577D3FFC" w14:textId="77777777" w:rsidR="00C11D38" w:rsidRPr="005251B3" w:rsidRDefault="00C11D38" w:rsidP="00A64D26">
      <w:pPr>
        <w:autoSpaceDE w:val="0"/>
        <w:autoSpaceDN w:val="0"/>
        <w:adjustRightInd w:val="0"/>
        <w:jc w:val="both"/>
      </w:pPr>
      <w:r w:rsidRPr="005251B3">
        <w:t>The principle of reality over appearance means that accounting events recorded in the financial statements shall be presented by reference to their economic nature.</w:t>
      </w:r>
    </w:p>
    <w:p w14:paraId="7B0C9A62" w14:textId="77777777" w:rsidR="00115E2C" w:rsidRPr="005251B3" w:rsidRDefault="005F5251" w:rsidP="00967702">
      <w:pPr>
        <w:keepNext/>
        <w:autoSpaceDE w:val="0"/>
        <w:autoSpaceDN w:val="0"/>
        <w:adjustRightInd w:val="0"/>
        <w:spacing w:before="240" w:after="120"/>
        <w:jc w:val="both"/>
        <w:rPr>
          <w:i/>
        </w:rPr>
      </w:pPr>
      <w:r w:rsidRPr="005251B3">
        <w:rPr>
          <w:i/>
        </w:rPr>
        <w:t>A</w:t>
      </w:r>
      <w:r w:rsidR="009A41FF" w:rsidRPr="005251B3">
        <w:rPr>
          <w:i/>
        </w:rPr>
        <w:t>ccrual-based accountin</w:t>
      </w:r>
      <w:r w:rsidR="00DB3871" w:rsidRPr="005251B3">
        <w:rPr>
          <w:i/>
        </w:rPr>
        <w:t>g</w:t>
      </w:r>
    </w:p>
    <w:p w14:paraId="2D8B9AC3" w14:textId="77777777" w:rsidR="004B75B1" w:rsidRPr="005251B3" w:rsidRDefault="00C11D38" w:rsidP="00A64D26">
      <w:pPr>
        <w:autoSpaceDE w:val="0"/>
        <w:autoSpaceDN w:val="0"/>
        <w:adjustRightInd w:val="0"/>
        <w:jc w:val="both"/>
      </w:pPr>
      <w:r w:rsidRPr="005251B3">
        <w:t>The accrual-based accounting principle means that transactions and events shall be entered in the accounts when they occur and not when amounts are actually paid or recovered. They shall be booked to the financial years to which they relate.</w:t>
      </w:r>
    </w:p>
    <w:p w14:paraId="5FBCF9BD" w14:textId="77777777" w:rsidR="00C11D38" w:rsidRPr="005251B3" w:rsidRDefault="00C11D38" w:rsidP="00967702">
      <w:pPr>
        <w:keepNext/>
        <w:autoSpaceDE w:val="0"/>
        <w:autoSpaceDN w:val="0"/>
        <w:adjustRightInd w:val="0"/>
        <w:spacing w:before="240" w:after="120"/>
        <w:jc w:val="both"/>
        <w:rPr>
          <w:i/>
        </w:rPr>
      </w:pPr>
      <w:r w:rsidRPr="005251B3">
        <w:rPr>
          <w:i/>
        </w:rPr>
        <w:lastRenderedPageBreak/>
        <w:t>Exception to the accounting principles</w:t>
      </w:r>
    </w:p>
    <w:p w14:paraId="6FC5ABC3" w14:textId="77777777" w:rsidR="00C11D38" w:rsidRPr="005251B3" w:rsidRDefault="005B2CA3" w:rsidP="00A43050">
      <w:pPr>
        <w:autoSpaceDE w:val="0"/>
        <w:autoSpaceDN w:val="0"/>
        <w:adjustRightInd w:val="0"/>
        <w:spacing w:after="120"/>
        <w:jc w:val="both"/>
      </w:pPr>
      <w:r w:rsidRPr="005251B3">
        <w:t>Where, in a specific case, the</w:t>
      </w:r>
      <w:r w:rsidR="00C11D38" w:rsidRPr="005251B3">
        <w:t xml:space="preserve"> Accounting Officer considers that an exception should be made to </w:t>
      </w:r>
      <w:r w:rsidRPr="005251B3">
        <w:t xml:space="preserve">the </w:t>
      </w:r>
      <w:r w:rsidR="00F14602" w:rsidRPr="005251B3">
        <w:t xml:space="preserve">application </w:t>
      </w:r>
      <w:r w:rsidR="0075761E" w:rsidRPr="005251B3">
        <w:t>of one of the</w:t>
      </w:r>
      <w:r w:rsidR="00C11D38" w:rsidRPr="005251B3">
        <w:t xml:space="preserve"> accounting principles defined above this exception must be duly substantiated</w:t>
      </w:r>
      <w:r w:rsidRPr="005251B3">
        <w:t xml:space="preserve"> </w:t>
      </w:r>
      <w:r w:rsidR="00C11D38" w:rsidRPr="005251B3">
        <w:t>and</w:t>
      </w:r>
      <w:r w:rsidRPr="005251B3">
        <w:t xml:space="preserve"> reported in </w:t>
      </w:r>
      <w:r w:rsidR="00F14602" w:rsidRPr="005251B3">
        <w:t xml:space="preserve">the </w:t>
      </w:r>
      <w:r w:rsidRPr="005251B3">
        <w:t xml:space="preserve">annex to the </w:t>
      </w:r>
      <w:r w:rsidR="00C11D38" w:rsidRPr="005251B3">
        <w:t>financial statements.</w:t>
      </w:r>
    </w:p>
    <w:p w14:paraId="0D5B4B75" w14:textId="77777777" w:rsidR="00A209A9" w:rsidRPr="005251B3" w:rsidRDefault="00C11D38" w:rsidP="00A43050">
      <w:pPr>
        <w:autoSpaceDE w:val="0"/>
        <w:autoSpaceDN w:val="0"/>
        <w:adjustRightInd w:val="0"/>
        <w:spacing w:after="120"/>
        <w:jc w:val="both"/>
      </w:pPr>
      <w:r w:rsidRPr="005251B3">
        <w:t>I</w:t>
      </w:r>
      <w:r w:rsidR="005F5251" w:rsidRPr="005251B3">
        <w:t>n parallel, the</w:t>
      </w:r>
      <w:r w:rsidRPr="005251B3">
        <w:t xml:space="preserve"> overall considerations (or accounting principles) to</w:t>
      </w:r>
      <w:r w:rsidR="005F5251" w:rsidRPr="005251B3">
        <w:t xml:space="preserve"> be followed when preparing the</w:t>
      </w:r>
      <w:r w:rsidR="008E60EE" w:rsidRPr="005251B3">
        <w:t xml:space="preserve"> </w:t>
      </w:r>
      <w:r w:rsidRPr="005251B3">
        <w:t>financial statements are also l</w:t>
      </w:r>
      <w:r w:rsidR="005B2CA3" w:rsidRPr="005251B3">
        <w:t>aid down in EU Accounting Rule 1</w:t>
      </w:r>
      <w:r w:rsidRPr="005251B3">
        <w:t xml:space="preserve"> and are </w:t>
      </w:r>
      <w:r w:rsidR="005B2CA3" w:rsidRPr="005251B3">
        <w:t>the same as those described in IPSAS 1, tha</w:t>
      </w:r>
      <w:r w:rsidRPr="005251B3">
        <w:t>t is: fair presentation, accrual basis, going concern basis, consistency of presentation,</w:t>
      </w:r>
      <w:r w:rsidR="008E60EE" w:rsidRPr="005251B3">
        <w:t xml:space="preserve"> </w:t>
      </w:r>
      <w:r w:rsidRPr="005251B3">
        <w:t xml:space="preserve">aggregation, </w:t>
      </w:r>
      <w:r w:rsidR="004E7ED2" w:rsidRPr="005251B3">
        <w:t xml:space="preserve">no </w:t>
      </w:r>
      <w:r w:rsidRPr="005251B3">
        <w:t>offsetting and comparative information.</w:t>
      </w:r>
    </w:p>
    <w:p w14:paraId="026A8579" w14:textId="77777777" w:rsidR="00DB3871" w:rsidRPr="005251B3" w:rsidRDefault="00A209A9" w:rsidP="00614813">
      <w:pPr>
        <w:spacing w:before="240" w:after="120"/>
        <w:jc w:val="both"/>
      </w:pPr>
      <w:r w:rsidRPr="005251B3">
        <w:rPr>
          <w:b/>
          <w:i/>
          <w:color w:val="000000"/>
        </w:rPr>
        <w:t>Basis of preparation</w:t>
      </w:r>
    </w:p>
    <w:p w14:paraId="4B8F2EC0" w14:textId="77777777" w:rsidR="00DB3871" w:rsidRPr="005251B3" w:rsidRDefault="00A209A9" w:rsidP="00614813">
      <w:pPr>
        <w:autoSpaceDE w:val="0"/>
        <w:autoSpaceDN w:val="0"/>
        <w:adjustRightInd w:val="0"/>
        <w:spacing w:after="120"/>
        <w:jc w:val="both"/>
      </w:pPr>
      <w:r w:rsidRPr="005251B3">
        <w:rPr>
          <w:i/>
        </w:rPr>
        <w:t>Functional and reporting currency</w:t>
      </w:r>
    </w:p>
    <w:p w14:paraId="4F0153A5" w14:textId="77777777" w:rsidR="00DB3871" w:rsidRPr="005251B3" w:rsidRDefault="00A209A9" w:rsidP="00A64D26">
      <w:pPr>
        <w:pStyle w:val="Style1"/>
        <w:adjustRightInd/>
        <w:contextualSpacing/>
        <w:jc w:val="both"/>
        <w:rPr>
          <w:sz w:val="24"/>
        </w:rPr>
      </w:pPr>
      <w:r w:rsidRPr="005251B3">
        <w:rPr>
          <w:sz w:val="24"/>
          <w:lang w:val="en-GB" w:eastAsia="en-GB"/>
        </w:rPr>
        <w:t>The financial statements are presented in euros, which is the functional and reporting currency of the EU</w:t>
      </w:r>
      <w:r w:rsidRPr="005251B3">
        <w:rPr>
          <w:sz w:val="24"/>
        </w:rPr>
        <w:t>.</w:t>
      </w:r>
    </w:p>
    <w:p w14:paraId="00F2ADE6" w14:textId="77777777" w:rsidR="00DB3871" w:rsidRPr="005251B3" w:rsidRDefault="00A209A9" w:rsidP="00614813">
      <w:pPr>
        <w:autoSpaceDE w:val="0"/>
        <w:autoSpaceDN w:val="0"/>
        <w:adjustRightInd w:val="0"/>
        <w:spacing w:before="240" w:after="120"/>
        <w:jc w:val="both"/>
      </w:pPr>
      <w:r w:rsidRPr="005251B3">
        <w:rPr>
          <w:i/>
        </w:rPr>
        <w:t>Transactions and balances</w:t>
      </w:r>
    </w:p>
    <w:p w14:paraId="7905F292" w14:textId="77777777" w:rsidR="00DB3871" w:rsidRPr="005251B3" w:rsidRDefault="00A209A9" w:rsidP="00614813">
      <w:pPr>
        <w:pStyle w:val="Style1"/>
        <w:adjustRightInd/>
        <w:spacing w:after="120"/>
        <w:jc w:val="both"/>
        <w:rPr>
          <w:sz w:val="24"/>
          <w:lang w:val="en-GB" w:eastAsia="en-GB"/>
        </w:rPr>
      </w:pPr>
      <w:r w:rsidRPr="005251B3">
        <w:rPr>
          <w:sz w:val="24"/>
          <w:lang w:val="en-GB" w:eastAsia="en-GB"/>
        </w:rPr>
        <w:t>Foreign currency transactions are recorded using the exchange rates prevailing at the date of the transactions.</w:t>
      </w:r>
    </w:p>
    <w:p w14:paraId="7437B6B6" w14:textId="77777777" w:rsidR="00DB3871" w:rsidRPr="005251B3" w:rsidRDefault="00A209A9" w:rsidP="00614813">
      <w:pPr>
        <w:pStyle w:val="Style1"/>
        <w:adjustRightInd/>
        <w:spacing w:after="120"/>
        <w:jc w:val="both"/>
        <w:rPr>
          <w:sz w:val="24"/>
          <w:lang w:val="en-GB" w:eastAsia="en-GB"/>
        </w:rPr>
      </w:pPr>
      <w:r w:rsidRPr="005251B3">
        <w:rPr>
          <w:sz w:val="24"/>
          <w:lang w:val="en-GB" w:eastAsia="en-GB"/>
        </w:rPr>
        <w:t>Foreign exchange gains and losses resulting from the settlement of foreign currency transactions and from the translation of monetary items in foreign currency into euros at year-end are recognised in the statement of financial performance.</w:t>
      </w:r>
    </w:p>
    <w:p w14:paraId="18694A3F" w14:textId="77777777" w:rsidR="00DB3871" w:rsidRPr="005251B3" w:rsidRDefault="00A209A9" w:rsidP="00614813">
      <w:pPr>
        <w:autoSpaceDE w:val="0"/>
        <w:autoSpaceDN w:val="0"/>
        <w:adjustRightInd w:val="0"/>
        <w:spacing w:before="240" w:after="120"/>
        <w:jc w:val="both"/>
        <w:rPr>
          <w:i/>
        </w:rPr>
      </w:pPr>
      <w:r w:rsidRPr="005251B3">
        <w:rPr>
          <w:i/>
        </w:rPr>
        <w:t>Chart of Accounts</w:t>
      </w:r>
    </w:p>
    <w:p w14:paraId="1A521C8B" w14:textId="77777777" w:rsidR="00DB3871" w:rsidRPr="005251B3" w:rsidRDefault="00A209A9" w:rsidP="00614813">
      <w:pPr>
        <w:pStyle w:val="NumPar2"/>
        <w:numPr>
          <w:ilvl w:val="0"/>
          <w:numId w:val="0"/>
        </w:numPr>
        <w:spacing w:after="0"/>
        <w:contextualSpacing/>
        <w:rPr>
          <w:szCs w:val="24"/>
          <w:lang w:eastAsia="en-GB"/>
        </w:rPr>
      </w:pPr>
      <w:r w:rsidRPr="005251B3">
        <w:rPr>
          <w:szCs w:val="24"/>
          <w:lang w:eastAsia="en-GB"/>
        </w:rPr>
        <w:t xml:space="preserve">The chart of accounts used by </w:t>
      </w:r>
      <w:r w:rsidR="00B54068" w:rsidRPr="005251B3">
        <w:rPr>
          <w:szCs w:val="24"/>
          <w:lang w:eastAsia="en-GB"/>
        </w:rPr>
        <w:t>REA</w:t>
      </w:r>
      <w:r w:rsidRPr="005251B3">
        <w:rPr>
          <w:szCs w:val="24"/>
          <w:lang w:eastAsia="en-GB"/>
        </w:rPr>
        <w:t xml:space="preserve"> follows the structure of the chart of accounts of the European Commission (PCUE).</w:t>
      </w:r>
    </w:p>
    <w:p w14:paraId="5B1DC92D" w14:textId="77777777" w:rsidR="00A209A9" w:rsidRPr="005251B3" w:rsidRDefault="00A209A9" w:rsidP="00967702">
      <w:pPr>
        <w:autoSpaceDE w:val="0"/>
        <w:autoSpaceDN w:val="0"/>
        <w:adjustRightInd w:val="0"/>
        <w:spacing w:before="240" w:after="120"/>
        <w:jc w:val="both"/>
        <w:rPr>
          <w:i/>
        </w:rPr>
      </w:pPr>
      <w:r w:rsidRPr="005251B3">
        <w:rPr>
          <w:i/>
        </w:rPr>
        <w:t>Use of estimates</w:t>
      </w:r>
    </w:p>
    <w:p w14:paraId="20BBA488" w14:textId="77777777" w:rsidR="00DB3871" w:rsidRPr="005251B3" w:rsidRDefault="00A209A9" w:rsidP="00614813">
      <w:pPr>
        <w:pStyle w:val="NumPar2"/>
        <w:numPr>
          <w:ilvl w:val="0"/>
          <w:numId w:val="0"/>
        </w:numPr>
        <w:spacing w:after="120"/>
        <w:contextualSpacing/>
        <w:rPr>
          <w:szCs w:val="24"/>
          <w:lang w:eastAsia="en-GB"/>
        </w:rPr>
      </w:pPr>
      <w:r w:rsidRPr="005251B3">
        <w:rPr>
          <w:szCs w:val="24"/>
          <w:lang w:eastAsia="en-GB"/>
        </w:rPr>
        <w:t xml:space="preserve">Preparation of financial statements in conformity with generally accepted accounting principles requires management to make estimates and assumptions that affect reported amounts presented and disclosed in the </w:t>
      </w:r>
      <w:r w:rsidRPr="005251B3">
        <w:rPr>
          <w:i/>
          <w:szCs w:val="24"/>
        </w:rPr>
        <w:t>Financial</w:t>
      </w:r>
      <w:r w:rsidRPr="005251B3">
        <w:rPr>
          <w:szCs w:val="24"/>
          <w:lang w:eastAsia="en-GB"/>
        </w:rPr>
        <w:t xml:space="preserve"> Statements of </w:t>
      </w:r>
      <w:r w:rsidR="00B54068" w:rsidRPr="005251B3">
        <w:rPr>
          <w:szCs w:val="24"/>
          <w:lang w:eastAsia="en-GB"/>
        </w:rPr>
        <w:t>REA</w:t>
      </w:r>
      <w:r w:rsidRPr="005251B3">
        <w:rPr>
          <w:szCs w:val="24"/>
          <w:lang w:eastAsia="en-GB"/>
        </w:rPr>
        <w:t>. Significant estimates and assumptions in these financial statements require judgment and are used for, but not limited to, accrued income and charges, provisions, contingent assets and liabilities. Actual results reported in future periods may be different from these estimates. Changes in estimates are reflected in the period in which they become known.</w:t>
      </w:r>
    </w:p>
    <w:p w14:paraId="59A3BF6F" w14:textId="77777777" w:rsidR="00C341E7" w:rsidRPr="005251B3" w:rsidRDefault="00DB3871" w:rsidP="00967702">
      <w:pPr>
        <w:spacing w:before="240" w:after="120"/>
        <w:jc w:val="both"/>
        <w:rPr>
          <w:b/>
          <w:i/>
          <w:color w:val="000000"/>
        </w:rPr>
      </w:pPr>
      <w:r w:rsidRPr="005251B3">
        <w:rPr>
          <w:b/>
          <w:i/>
          <w:color w:val="000000"/>
        </w:rPr>
        <w:t>Balance sheet</w:t>
      </w:r>
    </w:p>
    <w:p w14:paraId="79F3F0D8" w14:textId="598DCC6C" w:rsidR="00B233BC" w:rsidRPr="005251B3" w:rsidRDefault="00B233BC" w:rsidP="00614813">
      <w:pPr>
        <w:autoSpaceDE w:val="0"/>
        <w:autoSpaceDN w:val="0"/>
        <w:adjustRightInd w:val="0"/>
        <w:spacing w:after="120"/>
        <w:contextualSpacing/>
        <w:jc w:val="both"/>
      </w:pPr>
      <w:r w:rsidRPr="005251B3">
        <w:t>The balance sheet of REA is consisting of assets and liabilities.</w:t>
      </w:r>
    </w:p>
    <w:p w14:paraId="1E6B8169" w14:textId="77777777" w:rsidR="00B233BC" w:rsidRPr="005251B3" w:rsidRDefault="00B233BC" w:rsidP="00967702">
      <w:pPr>
        <w:autoSpaceDE w:val="0"/>
        <w:autoSpaceDN w:val="0"/>
        <w:adjustRightInd w:val="0"/>
        <w:spacing w:before="240" w:after="120"/>
        <w:jc w:val="both"/>
        <w:rPr>
          <w:i/>
          <w:u w:val="single"/>
        </w:rPr>
      </w:pPr>
      <w:r w:rsidRPr="005251B3">
        <w:rPr>
          <w:i/>
          <w:u w:val="single"/>
        </w:rPr>
        <w:t>Assets</w:t>
      </w:r>
    </w:p>
    <w:p w14:paraId="1D506533" w14:textId="77777777" w:rsidR="00B233BC" w:rsidRPr="005251B3" w:rsidRDefault="00B233BC" w:rsidP="00614813">
      <w:pPr>
        <w:autoSpaceDE w:val="0"/>
        <w:autoSpaceDN w:val="0"/>
        <w:adjustRightInd w:val="0"/>
        <w:spacing w:after="120"/>
        <w:contextualSpacing/>
        <w:jc w:val="both"/>
      </w:pPr>
      <w:r w:rsidRPr="005251B3">
        <w:t>Assets are non-physical/physical economically valued items owned and controlled by REA with the expectation that they will provide future benefit to the Agency.</w:t>
      </w:r>
    </w:p>
    <w:p w14:paraId="30471704" w14:textId="77777777" w:rsidR="00DB3871" w:rsidRPr="005251B3" w:rsidRDefault="00DB3871" w:rsidP="00A64D26">
      <w:pPr>
        <w:autoSpaceDE w:val="0"/>
        <w:autoSpaceDN w:val="0"/>
        <w:adjustRightInd w:val="0"/>
        <w:contextualSpacing/>
        <w:jc w:val="both"/>
      </w:pPr>
    </w:p>
    <w:p w14:paraId="324AC4DA" w14:textId="77777777" w:rsidR="00DB3871" w:rsidRPr="005251B3" w:rsidRDefault="00DB3871" w:rsidP="00967702">
      <w:pPr>
        <w:pStyle w:val="Text4"/>
        <w:keepNext/>
        <w:spacing w:after="120"/>
        <w:ind w:left="0"/>
        <w:rPr>
          <w:i/>
          <w:szCs w:val="24"/>
        </w:rPr>
      </w:pPr>
      <w:r w:rsidRPr="005251B3">
        <w:rPr>
          <w:i/>
          <w:szCs w:val="24"/>
        </w:rPr>
        <w:t>Intangible assets</w:t>
      </w:r>
    </w:p>
    <w:p w14:paraId="796EB536" w14:textId="77777777" w:rsidR="00B233BC" w:rsidRPr="005251B3" w:rsidRDefault="00B233BC" w:rsidP="00614813">
      <w:pPr>
        <w:autoSpaceDE w:val="0"/>
        <w:autoSpaceDN w:val="0"/>
        <w:adjustRightInd w:val="0"/>
        <w:spacing w:after="120"/>
        <w:jc w:val="both"/>
      </w:pPr>
      <w:r w:rsidRPr="005251B3">
        <w:t xml:space="preserve">An intangible asset is an asset that is not physical in nature. </w:t>
      </w:r>
    </w:p>
    <w:p w14:paraId="272AC68A" w14:textId="2FE83868" w:rsidR="00B233BC" w:rsidRPr="005251B3" w:rsidRDefault="00B233BC" w:rsidP="00614813">
      <w:pPr>
        <w:autoSpaceDE w:val="0"/>
        <w:autoSpaceDN w:val="0"/>
        <w:adjustRightInd w:val="0"/>
        <w:spacing w:after="120"/>
        <w:jc w:val="both"/>
      </w:pPr>
      <w:r w:rsidRPr="005251B3">
        <w:t xml:space="preserve">In the balance sheet of REA, intangible assets are mostly consisting of software licences. The latter are stated at historical acquisition cost less accumulated depreciation and adjusted for </w:t>
      </w:r>
      <w:r w:rsidRPr="005251B3">
        <w:lastRenderedPageBreak/>
        <w:t xml:space="preserve">eventual impairment. Intangible assets are </w:t>
      </w:r>
      <w:r w:rsidR="00A52503" w:rsidRPr="005251B3">
        <w:t>amorti</w:t>
      </w:r>
      <w:r w:rsidR="00A52503">
        <w:t>s</w:t>
      </w:r>
      <w:r w:rsidR="00A52503" w:rsidRPr="005251B3">
        <w:t xml:space="preserve">ed </w:t>
      </w:r>
      <w:r w:rsidRPr="005251B3">
        <w:t>on a straight-line basis over the estimated</w:t>
      </w:r>
      <w:r w:rsidR="008E60EE" w:rsidRPr="005251B3">
        <w:t xml:space="preserve"> </w:t>
      </w:r>
      <w:r w:rsidRPr="005251B3">
        <w:t>/</w:t>
      </w:r>
      <w:r w:rsidR="008E60EE" w:rsidRPr="005251B3">
        <w:t xml:space="preserve"> </w:t>
      </w:r>
      <w:r w:rsidRPr="005251B3">
        <w:t>contractual useful life of the concerned asset.</w:t>
      </w:r>
    </w:p>
    <w:p w14:paraId="2F0F6198" w14:textId="77777777" w:rsidR="00B233BC" w:rsidRPr="007E0BFF" w:rsidRDefault="00B233BC" w:rsidP="00614813">
      <w:pPr>
        <w:autoSpaceDE w:val="0"/>
        <w:autoSpaceDN w:val="0"/>
        <w:adjustRightInd w:val="0"/>
        <w:spacing w:after="120"/>
        <w:jc w:val="both"/>
      </w:pPr>
      <w:r w:rsidRPr="007E0BFF">
        <w:t>According to EU Accounting Rule 6, internally developed intangible assets can be capitalised when the relevant capitali</w:t>
      </w:r>
      <w:r w:rsidR="008E60EE" w:rsidRPr="007E0BFF">
        <w:t>s</w:t>
      </w:r>
      <w:r w:rsidRPr="007E0BFF">
        <w:t>ation criteria are met. All costs directly attributable to the creation, production and preparation of the asset, to make it operational as intended by the management of the Agency, should be capitali</w:t>
      </w:r>
      <w:r w:rsidR="00A43050" w:rsidRPr="007E0BFF">
        <w:t>s</w:t>
      </w:r>
      <w:r w:rsidRPr="007E0BFF">
        <w:t xml:space="preserve">ed. </w:t>
      </w:r>
    </w:p>
    <w:p w14:paraId="7C1FC64D" w14:textId="7AC8BA34" w:rsidR="00B233BC" w:rsidRPr="007E0BFF" w:rsidRDefault="00B233BC" w:rsidP="00614813">
      <w:pPr>
        <w:autoSpaceDE w:val="0"/>
        <w:autoSpaceDN w:val="0"/>
        <w:adjustRightInd w:val="0"/>
        <w:spacing w:after="120"/>
        <w:jc w:val="both"/>
      </w:pPr>
      <w:r w:rsidRPr="007E0BFF">
        <w:t xml:space="preserve">Costs associated with research activities, non-capitalisable development and maintenance are recognised (in the </w:t>
      </w:r>
      <w:r w:rsidR="00A52503">
        <w:t>S</w:t>
      </w:r>
      <w:r w:rsidRPr="007E0BFF">
        <w:t>tatement of financial performance) as expenses when incurred.</w:t>
      </w:r>
    </w:p>
    <w:p w14:paraId="6A07801D" w14:textId="77777777" w:rsidR="00B233BC" w:rsidRPr="007E0BFF" w:rsidRDefault="00B233BC" w:rsidP="00614813">
      <w:pPr>
        <w:autoSpaceDE w:val="0"/>
        <w:autoSpaceDN w:val="0"/>
        <w:adjustRightInd w:val="0"/>
        <w:spacing w:after="120"/>
        <w:jc w:val="both"/>
      </w:pPr>
      <w:r w:rsidRPr="007E0BFF">
        <w:t>REA considers a useful life of 4 years (25% amorti</w:t>
      </w:r>
      <w:r w:rsidR="00A43050" w:rsidRPr="007E0BFF">
        <w:t>s</w:t>
      </w:r>
      <w:r w:rsidRPr="007E0BFF">
        <w:t>ation rate) for its intangible assets.</w:t>
      </w:r>
    </w:p>
    <w:p w14:paraId="3CCADA63" w14:textId="77777777" w:rsidR="006A69B9" w:rsidRPr="007E0BFF" w:rsidRDefault="006A69B9" w:rsidP="00614813">
      <w:pPr>
        <w:pStyle w:val="Text4"/>
        <w:keepNext/>
        <w:spacing w:before="240" w:after="120"/>
        <w:ind w:left="0"/>
        <w:rPr>
          <w:i/>
          <w:szCs w:val="24"/>
        </w:rPr>
      </w:pPr>
      <w:r w:rsidRPr="007E0BFF">
        <w:rPr>
          <w:i/>
          <w:szCs w:val="24"/>
        </w:rPr>
        <w:t>Property, plant and equipment</w:t>
      </w:r>
    </w:p>
    <w:p w14:paraId="4D28D97D" w14:textId="77777777" w:rsidR="006E0136" w:rsidRPr="007E0BFF" w:rsidRDefault="006E0136" w:rsidP="00614813">
      <w:pPr>
        <w:autoSpaceDE w:val="0"/>
        <w:autoSpaceDN w:val="0"/>
        <w:adjustRightInd w:val="0"/>
        <w:spacing w:after="120"/>
        <w:jc w:val="both"/>
      </w:pPr>
      <w:r w:rsidRPr="007E0BFF">
        <w:t xml:space="preserve">Property, plant and equipment are tangible assets. A tangible asset is an asset that has a physical form. </w:t>
      </w:r>
    </w:p>
    <w:p w14:paraId="332C5BDD" w14:textId="77777777" w:rsidR="006E0136" w:rsidRPr="007E0BFF" w:rsidRDefault="006E0136" w:rsidP="00614813">
      <w:pPr>
        <w:autoSpaceDE w:val="0"/>
        <w:autoSpaceDN w:val="0"/>
        <w:adjustRightInd w:val="0"/>
        <w:spacing w:after="120"/>
        <w:jc w:val="both"/>
      </w:pPr>
      <w:r w:rsidRPr="007E0BFF">
        <w:t>Tangible fixed assets are stated at historical acquisition cost less accumulated depreciation and adjusted for eventual impairment</w:t>
      </w:r>
      <w:r w:rsidR="00011C65" w:rsidRPr="007E0BFF">
        <w:t>.</w:t>
      </w:r>
    </w:p>
    <w:p w14:paraId="47CD03C1" w14:textId="77777777" w:rsidR="006E0136" w:rsidRPr="007E0BFF" w:rsidRDefault="006E0136" w:rsidP="00614813">
      <w:pPr>
        <w:autoSpaceDE w:val="0"/>
        <w:autoSpaceDN w:val="0"/>
        <w:adjustRightInd w:val="0"/>
        <w:spacing w:after="120"/>
        <w:jc w:val="both"/>
      </w:pPr>
      <w:r w:rsidRPr="007E0BFF">
        <w:t>Historical acquisition cost includes expenditures that are directly attributable to the acquisition or</w:t>
      </w:r>
      <w:r w:rsidR="00011C65" w:rsidRPr="007E0BFF">
        <w:t xml:space="preserve"> </w:t>
      </w:r>
      <w:r w:rsidRPr="007E0BFF">
        <w:t>construction of the asset. Subsequent costs can be included in the asset's gross book value (or recogni</w:t>
      </w:r>
      <w:r w:rsidR="00305BB1" w:rsidRPr="007E0BFF">
        <w:t>s</w:t>
      </w:r>
      <w:r w:rsidRPr="007E0BFF">
        <w:t>ed</w:t>
      </w:r>
      <w:r w:rsidR="00305BB1" w:rsidRPr="007E0BFF">
        <w:t xml:space="preserve"> </w:t>
      </w:r>
      <w:r w:rsidRPr="007E0BFF">
        <w:t>as a separate asset), when these subsequent costs can be reliably measured and provide future economic benefit to the Agency.</w:t>
      </w:r>
    </w:p>
    <w:p w14:paraId="1F15CE1E" w14:textId="77777777" w:rsidR="006E0136" w:rsidRPr="007E0BFF" w:rsidRDefault="006E0136" w:rsidP="00614813">
      <w:pPr>
        <w:autoSpaceDE w:val="0"/>
        <w:autoSpaceDN w:val="0"/>
        <w:adjustRightInd w:val="0"/>
        <w:spacing w:after="120"/>
        <w:jc w:val="both"/>
      </w:pPr>
      <w:r w:rsidRPr="007E0BFF">
        <w:t>Fixed asset repairs and maintenance costs are recogni</w:t>
      </w:r>
      <w:r w:rsidR="008E60EE" w:rsidRPr="007E0BFF">
        <w:t>s</w:t>
      </w:r>
      <w:r w:rsidRPr="007E0BFF">
        <w:t>ed as expenses (in the statement of financial performance) when incurred.</w:t>
      </w:r>
    </w:p>
    <w:p w14:paraId="229127EC" w14:textId="77777777" w:rsidR="006E0136" w:rsidRPr="007E0BFF" w:rsidRDefault="006E0136" w:rsidP="00614813">
      <w:pPr>
        <w:autoSpaceDE w:val="0"/>
        <w:autoSpaceDN w:val="0"/>
        <w:adjustRightInd w:val="0"/>
        <w:spacing w:after="120"/>
        <w:jc w:val="both"/>
      </w:pPr>
      <w:r w:rsidRPr="007E0BFF">
        <w:t>According to EU Accounting Rule 7, fixed assets are depreciated over their useful life and according to the stra</w:t>
      </w:r>
      <w:r w:rsidR="00011C65" w:rsidRPr="007E0BFF">
        <w:t>ight-line depreciation method.</w:t>
      </w:r>
    </w:p>
    <w:p w14:paraId="35B5461A" w14:textId="77777777" w:rsidR="006E0136" w:rsidRPr="007E0BFF" w:rsidRDefault="006E0136" w:rsidP="00614813">
      <w:pPr>
        <w:autoSpaceDE w:val="0"/>
        <w:autoSpaceDN w:val="0"/>
        <w:adjustRightInd w:val="0"/>
        <w:spacing w:after="120"/>
        <w:jc w:val="both"/>
      </w:pPr>
      <w:r w:rsidRPr="007E0BFF">
        <w:t>The following rates are applicable for the depreciation of fixed assets:</w:t>
      </w:r>
    </w:p>
    <w:p w14:paraId="064F2439" w14:textId="77777777" w:rsidR="00A04897" w:rsidRDefault="00050B3A" w:rsidP="00A64D26">
      <w:pPr>
        <w:autoSpaceDE w:val="0"/>
        <w:autoSpaceDN w:val="0"/>
        <w:adjustRightInd w:val="0"/>
        <w:jc w:val="both"/>
        <w:rPr>
          <w:sz w:val="22"/>
          <w:szCs w:val="22"/>
        </w:rPr>
      </w:pPr>
      <w:r w:rsidRPr="00050B3A">
        <w:rPr>
          <w:noProof/>
        </w:rPr>
        <w:drawing>
          <wp:inline distT="0" distB="0" distL="0" distR="0" wp14:anchorId="2F9D91E6" wp14:editId="4AF2E78A">
            <wp:extent cx="2595600" cy="8892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5600" cy="889200"/>
                    </a:xfrm>
                    <a:prstGeom prst="rect">
                      <a:avLst/>
                    </a:prstGeom>
                    <a:noFill/>
                    <a:ln>
                      <a:noFill/>
                    </a:ln>
                  </pic:spPr>
                </pic:pic>
              </a:graphicData>
            </a:graphic>
          </wp:inline>
        </w:drawing>
      </w:r>
    </w:p>
    <w:p w14:paraId="252D4AD7" w14:textId="77777777" w:rsidR="001828AA" w:rsidRDefault="001828AA" w:rsidP="00A64D26">
      <w:pPr>
        <w:autoSpaceDE w:val="0"/>
        <w:autoSpaceDN w:val="0"/>
        <w:adjustRightInd w:val="0"/>
        <w:rPr>
          <w:sz w:val="22"/>
          <w:szCs w:val="22"/>
        </w:rPr>
      </w:pPr>
    </w:p>
    <w:p w14:paraId="559CF36B" w14:textId="77777777" w:rsidR="00305BB1" w:rsidRPr="007E0BFF" w:rsidRDefault="00305BB1" w:rsidP="00614813">
      <w:pPr>
        <w:autoSpaceDE w:val="0"/>
        <w:autoSpaceDN w:val="0"/>
        <w:adjustRightInd w:val="0"/>
        <w:spacing w:after="120"/>
      </w:pPr>
      <w:r w:rsidRPr="007E0BFF">
        <w:t>Pro-rata temporis depreciation is considered for assets acquired through the accounting year.</w:t>
      </w:r>
    </w:p>
    <w:p w14:paraId="01333D7F" w14:textId="77777777" w:rsidR="00305BB1" w:rsidRPr="007E0BFF" w:rsidRDefault="00305BB1" w:rsidP="00614813">
      <w:pPr>
        <w:autoSpaceDE w:val="0"/>
        <w:autoSpaceDN w:val="0"/>
        <w:adjustRightInd w:val="0"/>
        <w:spacing w:after="120"/>
        <w:jc w:val="both"/>
      </w:pPr>
      <w:r w:rsidRPr="007E0BFF">
        <w:t>Assets under construction are not depreciated as long as not ready for use.</w:t>
      </w:r>
    </w:p>
    <w:p w14:paraId="25CADAA6" w14:textId="34EB2061" w:rsidR="00305BB1" w:rsidRPr="007E0BFF" w:rsidRDefault="00305BB1" w:rsidP="00614813">
      <w:pPr>
        <w:autoSpaceDE w:val="0"/>
        <w:autoSpaceDN w:val="0"/>
        <w:adjustRightInd w:val="0"/>
        <w:spacing w:after="120"/>
        <w:jc w:val="both"/>
      </w:pPr>
      <w:r w:rsidRPr="007E0BFF">
        <w:t xml:space="preserve">The gain/loss on the disposal of fixed assets is calculated by </w:t>
      </w:r>
      <w:r w:rsidR="00A52503">
        <w:t xml:space="preserve">the </w:t>
      </w:r>
      <w:r w:rsidRPr="007E0BFF">
        <w:t>difference between the proceeds of the sale of the asset and the net book value of the disposed asset. The gain/loss from the disposal of the asset is recogni</w:t>
      </w:r>
      <w:r w:rsidR="008E60EE" w:rsidRPr="007E0BFF">
        <w:t>s</w:t>
      </w:r>
      <w:r w:rsidRPr="007E0BFF">
        <w:t>ed in the Statement of financial performance.</w:t>
      </w:r>
    </w:p>
    <w:p w14:paraId="7232DDE8" w14:textId="77777777" w:rsidR="000B0197" w:rsidRPr="007E0BFF" w:rsidRDefault="008E60EE" w:rsidP="00614813">
      <w:pPr>
        <w:pStyle w:val="Text4"/>
        <w:keepNext/>
        <w:spacing w:before="240" w:after="120"/>
        <w:ind w:left="0"/>
        <w:rPr>
          <w:i/>
          <w:szCs w:val="24"/>
        </w:rPr>
      </w:pPr>
      <w:r w:rsidRPr="007E0BFF">
        <w:rPr>
          <w:i/>
          <w:szCs w:val="24"/>
        </w:rPr>
        <w:t>Receivables</w:t>
      </w:r>
    </w:p>
    <w:p w14:paraId="2477FD30" w14:textId="77777777" w:rsidR="00305BB1" w:rsidRPr="007E0BFF" w:rsidRDefault="00305BB1" w:rsidP="00614813">
      <w:pPr>
        <w:autoSpaceDE w:val="0"/>
        <w:autoSpaceDN w:val="0"/>
        <w:adjustRightInd w:val="0"/>
        <w:spacing w:after="120"/>
        <w:jc w:val="both"/>
      </w:pPr>
      <w:r w:rsidRPr="007E0BFF">
        <w:t>Current receivables (whose maturity is of less than 12 month</w:t>
      </w:r>
      <w:r w:rsidR="0099315C" w:rsidRPr="007E0BFF">
        <w:t>s</w:t>
      </w:r>
      <w:r w:rsidRPr="007E0BFF">
        <w:t xml:space="preserve"> at the balance sheet date) are included </w:t>
      </w:r>
      <w:r w:rsidR="00222784" w:rsidRPr="007E0BFF">
        <w:t xml:space="preserve">under </w:t>
      </w:r>
      <w:r w:rsidRPr="007E0BFF">
        <w:t>current assets</w:t>
      </w:r>
      <w:r w:rsidR="00222784" w:rsidRPr="007E0BFF">
        <w:t xml:space="preserve"> in </w:t>
      </w:r>
      <w:r w:rsidRPr="007E0BFF">
        <w:t>the balance sheet.</w:t>
      </w:r>
    </w:p>
    <w:p w14:paraId="2A38EBE3" w14:textId="019C6796" w:rsidR="00305BB1" w:rsidRPr="007E0BFF" w:rsidRDefault="00305BB1" w:rsidP="00614813">
      <w:pPr>
        <w:autoSpaceDE w:val="0"/>
        <w:autoSpaceDN w:val="0"/>
        <w:adjustRightInd w:val="0"/>
        <w:spacing w:after="120"/>
        <w:jc w:val="both"/>
      </w:pPr>
      <w:r w:rsidRPr="007E0BFF">
        <w:t xml:space="preserve">Receivables are carried at their original value less </w:t>
      </w:r>
      <w:r w:rsidR="00A52503">
        <w:t xml:space="preserve">an </w:t>
      </w:r>
      <w:r w:rsidRPr="007E0BFF">
        <w:t xml:space="preserve">eventual write-down for impairment. A receivable write-down is accounted for when there is an objective risk </w:t>
      </w:r>
      <w:r w:rsidR="00A52503">
        <w:t xml:space="preserve">that </w:t>
      </w:r>
      <w:r w:rsidRPr="007E0BFF">
        <w:t xml:space="preserve">the receivable will be only partially or will not </w:t>
      </w:r>
      <w:r w:rsidR="00A52503" w:rsidRPr="007E0BFF">
        <w:t xml:space="preserve">(at all) </w:t>
      </w:r>
      <w:r w:rsidRPr="007E0BFF">
        <w:t xml:space="preserve">be collected at </w:t>
      </w:r>
      <w:r w:rsidR="00222784" w:rsidRPr="007E0BFF">
        <w:t xml:space="preserve">the date it becomes due </w:t>
      </w:r>
      <w:r w:rsidRPr="007E0BFF">
        <w:t xml:space="preserve">or later. The amount of the write-down is calculated as the difference between the asset’s book value and </w:t>
      </w:r>
      <w:r w:rsidRPr="007E0BFF">
        <w:lastRenderedPageBreak/>
        <w:t>the expected recoverable amount. The write</w:t>
      </w:r>
      <w:r w:rsidR="00222784" w:rsidRPr="007E0BFF">
        <w:t>-</w:t>
      </w:r>
      <w:r w:rsidRPr="007E0BFF">
        <w:t>down is recognised in the Statement of financial performance.</w:t>
      </w:r>
    </w:p>
    <w:p w14:paraId="64BE27F3" w14:textId="77777777" w:rsidR="000B0197" w:rsidRPr="007E0BFF" w:rsidRDefault="008E60EE" w:rsidP="00614813">
      <w:pPr>
        <w:pStyle w:val="Text4"/>
        <w:keepNext/>
        <w:spacing w:before="240" w:after="120"/>
        <w:ind w:left="0"/>
        <w:rPr>
          <w:i/>
          <w:szCs w:val="24"/>
        </w:rPr>
      </w:pPr>
      <w:r w:rsidRPr="007E0BFF">
        <w:rPr>
          <w:i/>
          <w:szCs w:val="24"/>
        </w:rPr>
        <w:t>Cash and cash equivalents</w:t>
      </w:r>
    </w:p>
    <w:p w14:paraId="6E0F6FDD" w14:textId="77777777" w:rsidR="00305BB1" w:rsidRPr="007E0BFF" w:rsidRDefault="00305BB1" w:rsidP="00614813">
      <w:pPr>
        <w:autoSpaceDE w:val="0"/>
        <w:autoSpaceDN w:val="0"/>
        <w:adjustRightInd w:val="0"/>
        <w:spacing w:after="120"/>
        <w:jc w:val="both"/>
      </w:pPr>
      <w:r w:rsidRPr="007E0BFF">
        <w:t>Cash and cash equivalents refer to the line item on the balance sheet that reports the value of the Agency’s assets that are cash or can be converted into cash immediately. They include cash-</w:t>
      </w:r>
      <w:r w:rsidR="00222784" w:rsidRPr="007E0BFF">
        <w:t>at</w:t>
      </w:r>
      <w:r w:rsidRPr="007E0BFF">
        <w:t>-hand and deposits at banks.</w:t>
      </w:r>
    </w:p>
    <w:p w14:paraId="61436246" w14:textId="77777777" w:rsidR="00305BB1" w:rsidRPr="007E0BFF" w:rsidRDefault="00305BB1" w:rsidP="00614813">
      <w:pPr>
        <w:keepNext/>
        <w:autoSpaceDE w:val="0"/>
        <w:autoSpaceDN w:val="0"/>
        <w:adjustRightInd w:val="0"/>
        <w:spacing w:before="240" w:after="120"/>
        <w:jc w:val="both"/>
        <w:rPr>
          <w:i/>
          <w:u w:val="single"/>
        </w:rPr>
      </w:pPr>
      <w:r w:rsidRPr="007E0BFF">
        <w:rPr>
          <w:i/>
          <w:u w:val="single"/>
        </w:rPr>
        <w:t>Liabilities</w:t>
      </w:r>
    </w:p>
    <w:p w14:paraId="711E1455" w14:textId="77777777" w:rsidR="00305BB1" w:rsidRPr="007E0BFF" w:rsidRDefault="00305BB1" w:rsidP="00614813">
      <w:pPr>
        <w:autoSpaceDE w:val="0"/>
        <w:autoSpaceDN w:val="0"/>
        <w:adjustRightInd w:val="0"/>
        <w:spacing w:after="120"/>
        <w:jc w:val="both"/>
      </w:pPr>
      <w:r w:rsidRPr="007E0BFF">
        <w:t>Liabilities in the balance sheet of the Agency represent financial debt</w:t>
      </w:r>
      <w:r w:rsidR="00222784" w:rsidRPr="007E0BFF">
        <w:t>s</w:t>
      </w:r>
      <w:r w:rsidRPr="007E0BFF">
        <w:t xml:space="preserve"> or obligations that arise during the course of the Agency’s operations.</w:t>
      </w:r>
    </w:p>
    <w:p w14:paraId="29FEF937" w14:textId="77777777" w:rsidR="008E60EE" w:rsidRPr="007E0BFF" w:rsidRDefault="008E60EE" w:rsidP="00614813">
      <w:pPr>
        <w:pStyle w:val="Text4"/>
        <w:keepNext/>
        <w:spacing w:before="240" w:after="120"/>
        <w:ind w:left="0"/>
        <w:rPr>
          <w:i/>
          <w:szCs w:val="24"/>
        </w:rPr>
      </w:pPr>
      <w:r w:rsidRPr="007E0BFF">
        <w:rPr>
          <w:i/>
          <w:szCs w:val="24"/>
        </w:rPr>
        <w:t>Provisions</w:t>
      </w:r>
    </w:p>
    <w:p w14:paraId="35AB8208" w14:textId="77777777" w:rsidR="00305BB1" w:rsidRPr="007E0BFF" w:rsidRDefault="00305BB1" w:rsidP="00614813">
      <w:pPr>
        <w:autoSpaceDE w:val="0"/>
        <w:autoSpaceDN w:val="0"/>
        <w:adjustRightInd w:val="0"/>
        <w:spacing w:after="120"/>
        <w:jc w:val="both"/>
      </w:pPr>
      <w:r w:rsidRPr="007E0BFF">
        <w:t>REA make</w:t>
      </w:r>
      <w:r w:rsidR="00222784" w:rsidRPr="007E0BFF">
        <w:t>s</w:t>
      </w:r>
      <w:r w:rsidRPr="007E0BFF">
        <w:t xml:space="preserve"> accounting provisions for future probable obligations as a result of past events.</w:t>
      </w:r>
      <w:r w:rsidR="00011C65" w:rsidRPr="007E0BFF">
        <w:t xml:space="preserve"> </w:t>
      </w:r>
      <w:r w:rsidRPr="007E0BFF">
        <w:t xml:space="preserve">Provisions </w:t>
      </w:r>
      <w:r w:rsidR="00222784" w:rsidRPr="007E0BFF">
        <w:t xml:space="preserve">cover </w:t>
      </w:r>
      <w:r w:rsidRPr="007E0BFF">
        <w:t>probable losses that would i</w:t>
      </w:r>
      <w:r w:rsidR="00011C65" w:rsidRPr="007E0BFF">
        <w:t>mpact the Agency’s operations.</w:t>
      </w:r>
    </w:p>
    <w:p w14:paraId="0FA83896" w14:textId="77777777" w:rsidR="00011C65" w:rsidRPr="007E0BFF" w:rsidRDefault="00305BB1" w:rsidP="00614813">
      <w:pPr>
        <w:autoSpaceDE w:val="0"/>
        <w:autoSpaceDN w:val="0"/>
        <w:adjustRightInd w:val="0"/>
        <w:spacing w:after="120"/>
        <w:jc w:val="both"/>
      </w:pPr>
      <w:r w:rsidRPr="007E0BFF">
        <w:t xml:space="preserve">Even though the exact amount of the possible liability resulting from the obligation is not known, a reliable estimate of the obligation </w:t>
      </w:r>
      <w:r w:rsidR="00222784" w:rsidRPr="007E0BFF">
        <w:t xml:space="preserve">can be made </w:t>
      </w:r>
      <w:r w:rsidRPr="007E0BFF">
        <w:t>and accounted for as the amount of the provision at the balance sheet reporting date.</w:t>
      </w:r>
    </w:p>
    <w:p w14:paraId="438F9780" w14:textId="77777777" w:rsidR="00EF78EF" w:rsidRPr="007E0BFF" w:rsidRDefault="008E60EE" w:rsidP="00614813">
      <w:pPr>
        <w:pStyle w:val="Text4"/>
        <w:keepNext/>
        <w:spacing w:before="240" w:after="120"/>
        <w:ind w:left="0"/>
        <w:rPr>
          <w:i/>
          <w:szCs w:val="24"/>
        </w:rPr>
      </w:pPr>
      <w:r w:rsidRPr="007E0BFF">
        <w:rPr>
          <w:i/>
          <w:szCs w:val="24"/>
        </w:rPr>
        <w:t>Payables</w:t>
      </w:r>
    </w:p>
    <w:p w14:paraId="76B3EE80" w14:textId="683EA15C" w:rsidR="00EF78EF" w:rsidRPr="007E0BFF" w:rsidRDefault="00305BB1" w:rsidP="00A64D26">
      <w:pPr>
        <w:autoSpaceDE w:val="0"/>
        <w:autoSpaceDN w:val="0"/>
        <w:adjustRightInd w:val="0"/>
        <w:jc w:val="both"/>
      </w:pPr>
      <w:r w:rsidRPr="007E0BFF">
        <w:t xml:space="preserve">Payables are </w:t>
      </w:r>
      <w:r w:rsidR="00BF76D5" w:rsidRPr="007E0BFF">
        <w:t>recorded</w:t>
      </w:r>
      <w:r w:rsidRPr="007E0BFF">
        <w:t xml:space="preserve"> at their original amount when vendor invoices are received</w:t>
      </w:r>
      <w:r w:rsidR="00BF76D5" w:rsidRPr="007E0BFF">
        <w:t xml:space="preserve">; </w:t>
      </w:r>
      <w:r w:rsidRPr="007E0BFF">
        <w:t>related expenses are recogni</w:t>
      </w:r>
      <w:r w:rsidR="008E60EE" w:rsidRPr="007E0BFF">
        <w:t>s</w:t>
      </w:r>
      <w:r w:rsidRPr="007E0BFF">
        <w:t xml:space="preserve">ed in the </w:t>
      </w:r>
      <w:r w:rsidR="00A52503">
        <w:t>S</w:t>
      </w:r>
      <w:r w:rsidRPr="007E0BFF">
        <w:t>tatement of financial performance when the goods and/or services are received and accepted by REA.</w:t>
      </w:r>
    </w:p>
    <w:p w14:paraId="6FD19F01" w14:textId="77777777" w:rsidR="00AC0153" w:rsidRPr="007E0BFF" w:rsidRDefault="00967702" w:rsidP="00614813">
      <w:pPr>
        <w:pStyle w:val="Text4"/>
        <w:keepNext/>
        <w:spacing w:before="240" w:after="120"/>
        <w:ind w:left="0"/>
        <w:rPr>
          <w:i/>
          <w:szCs w:val="24"/>
        </w:rPr>
      </w:pPr>
      <w:r w:rsidRPr="007E0BFF">
        <w:rPr>
          <w:i/>
          <w:szCs w:val="24"/>
        </w:rPr>
        <w:t>Accruals and deferrals</w:t>
      </w:r>
    </w:p>
    <w:p w14:paraId="57CDE8F7" w14:textId="77777777" w:rsidR="00305BB1" w:rsidRPr="007E0BFF" w:rsidRDefault="00305BB1" w:rsidP="00614813">
      <w:pPr>
        <w:autoSpaceDE w:val="0"/>
        <w:autoSpaceDN w:val="0"/>
        <w:adjustRightInd w:val="0"/>
        <w:spacing w:after="120"/>
        <w:jc w:val="both"/>
      </w:pPr>
      <w:r w:rsidRPr="007E0BFF">
        <w:t xml:space="preserve">In accordance with the EU Accounting Rules, which aim at ensuring that the financial statements reflect a true and fair view of the Agency’s operations, transactions and events are recognised in the financial statements in the period they relate to. </w:t>
      </w:r>
    </w:p>
    <w:p w14:paraId="116F3276" w14:textId="77777777" w:rsidR="00305BB1" w:rsidRPr="007E0BFF" w:rsidRDefault="00305BB1" w:rsidP="00614813">
      <w:pPr>
        <w:autoSpaceDE w:val="0"/>
        <w:autoSpaceDN w:val="0"/>
        <w:adjustRightInd w:val="0"/>
        <w:spacing w:after="120"/>
        <w:jc w:val="both"/>
      </w:pPr>
      <w:r w:rsidRPr="007E0BFF">
        <w:t xml:space="preserve">Therefore, an expense accrual is </w:t>
      </w:r>
      <w:r w:rsidR="00BF76D5" w:rsidRPr="007E0BFF">
        <w:t>recorded in</w:t>
      </w:r>
      <w:r w:rsidRPr="007E0BFF">
        <w:t xml:space="preserve"> a specific accounting period when the related expense is incurred over the concerned period (goods</w:t>
      </w:r>
      <w:r w:rsidR="00A43050" w:rsidRPr="007E0BFF">
        <w:t xml:space="preserve"> </w:t>
      </w:r>
      <w:r w:rsidRPr="007E0BFF">
        <w:t>/</w:t>
      </w:r>
      <w:r w:rsidR="00A43050" w:rsidRPr="007E0BFF">
        <w:t xml:space="preserve"> </w:t>
      </w:r>
      <w:r w:rsidRPr="007E0BFF">
        <w:t xml:space="preserve">services have been delivered) but </w:t>
      </w:r>
      <w:r w:rsidR="00BF76D5" w:rsidRPr="007E0BFF">
        <w:t>the</w:t>
      </w:r>
      <w:r w:rsidRPr="007E0BFF">
        <w:t xml:space="preserve"> invoice is not yet received and accounted for.</w:t>
      </w:r>
    </w:p>
    <w:p w14:paraId="71EF8D77" w14:textId="77777777" w:rsidR="00305BB1" w:rsidRPr="007E0BFF" w:rsidRDefault="00BF76D5" w:rsidP="00614813">
      <w:pPr>
        <w:autoSpaceDE w:val="0"/>
        <w:autoSpaceDN w:val="0"/>
        <w:adjustRightInd w:val="0"/>
        <w:spacing w:after="120"/>
        <w:jc w:val="both"/>
      </w:pPr>
      <w:r w:rsidRPr="007E0BFF">
        <w:t>R</w:t>
      </w:r>
      <w:r w:rsidR="00305BB1" w:rsidRPr="007E0BFF">
        <w:t>evenue accruals are recorded in a specific accounting period when related services</w:t>
      </w:r>
      <w:r w:rsidR="00A43050" w:rsidRPr="007E0BFF">
        <w:t xml:space="preserve"> </w:t>
      </w:r>
      <w:r w:rsidR="00305BB1" w:rsidRPr="007E0BFF">
        <w:t>/</w:t>
      </w:r>
      <w:r w:rsidR="00A43050" w:rsidRPr="007E0BFF">
        <w:t xml:space="preserve"> </w:t>
      </w:r>
      <w:r w:rsidR="00305BB1" w:rsidRPr="007E0BFF">
        <w:t xml:space="preserve">goods have been delivered during the concerned period but </w:t>
      </w:r>
      <w:r w:rsidRPr="007E0BFF">
        <w:t>the</w:t>
      </w:r>
      <w:r w:rsidR="00305BB1" w:rsidRPr="007E0BFF">
        <w:t xml:space="preserve"> invoice has not </w:t>
      </w:r>
      <w:r w:rsidRPr="007E0BFF">
        <w:t xml:space="preserve">yet </w:t>
      </w:r>
      <w:r w:rsidR="00305BB1" w:rsidRPr="007E0BFF">
        <w:t>been issued and accounted for.</w:t>
      </w:r>
    </w:p>
    <w:p w14:paraId="0E12FBB4" w14:textId="45C12548" w:rsidR="00202664" w:rsidRPr="007E0BFF" w:rsidRDefault="00305BB1" w:rsidP="00614813">
      <w:pPr>
        <w:autoSpaceDE w:val="0"/>
        <w:autoSpaceDN w:val="0"/>
        <w:adjustRightInd w:val="0"/>
        <w:spacing w:after="120"/>
        <w:jc w:val="both"/>
      </w:pPr>
      <w:r w:rsidRPr="007E0BFF">
        <w:t>On the other hand, should there be an invoice received/issued for goods</w:t>
      </w:r>
      <w:r w:rsidR="00A43050" w:rsidRPr="007E0BFF">
        <w:t xml:space="preserve"> </w:t>
      </w:r>
      <w:r w:rsidRPr="007E0BFF">
        <w:t>/</w:t>
      </w:r>
      <w:r w:rsidR="00A43050" w:rsidRPr="007E0BFF">
        <w:t xml:space="preserve"> </w:t>
      </w:r>
      <w:r w:rsidRPr="007E0BFF">
        <w:t>services not yet received</w:t>
      </w:r>
      <w:r w:rsidR="00A43050" w:rsidRPr="007E0BFF">
        <w:t xml:space="preserve"> </w:t>
      </w:r>
      <w:r w:rsidR="00BF76D5" w:rsidRPr="007E0BFF">
        <w:t>/</w:t>
      </w:r>
      <w:r w:rsidR="00A43050" w:rsidRPr="007E0BFF">
        <w:t xml:space="preserve"> </w:t>
      </w:r>
      <w:r w:rsidR="00BF76D5" w:rsidRPr="007E0BFF">
        <w:t>delivered</w:t>
      </w:r>
      <w:r w:rsidRPr="007E0BFF">
        <w:t>, the related expense</w:t>
      </w:r>
      <w:r w:rsidR="00A43050" w:rsidRPr="007E0BFF">
        <w:t xml:space="preserve"> </w:t>
      </w:r>
      <w:r w:rsidRPr="007E0BFF">
        <w:t>/</w:t>
      </w:r>
      <w:r w:rsidR="00A43050" w:rsidRPr="007E0BFF">
        <w:t xml:space="preserve"> </w:t>
      </w:r>
      <w:r w:rsidRPr="007E0BFF">
        <w:t>revenue will be deferred and recogni</w:t>
      </w:r>
      <w:r w:rsidR="008E60EE" w:rsidRPr="007E0BFF">
        <w:t>s</w:t>
      </w:r>
      <w:r w:rsidRPr="007E0BFF">
        <w:t xml:space="preserve">ed </w:t>
      </w:r>
      <w:r w:rsidR="00A52503">
        <w:t>in</w:t>
      </w:r>
      <w:r w:rsidR="00A52503" w:rsidRPr="007E0BFF">
        <w:t xml:space="preserve"> </w:t>
      </w:r>
      <w:r w:rsidRPr="007E0BFF">
        <w:t>the subsequent accounting period (in which goods</w:t>
      </w:r>
      <w:r w:rsidR="00A43050" w:rsidRPr="007E0BFF">
        <w:t xml:space="preserve"> </w:t>
      </w:r>
      <w:r w:rsidRPr="007E0BFF">
        <w:t>/</w:t>
      </w:r>
      <w:r w:rsidR="00A43050" w:rsidRPr="007E0BFF">
        <w:t xml:space="preserve"> </w:t>
      </w:r>
      <w:r w:rsidRPr="007E0BFF">
        <w:t>services will be received</w:t>
      </w:r>
      <w:r w:rsidR="00A43050" w:rsidRPr="007E0BFF">
        <w:t xml:space="preserve"> </w:t>
      </w:r>
      <w:r w:rsidR="00BF76D5" w:rsidRPr="007E0BFF">
        <w:t>/</w:t>
      </w:r>
      <w:r w:rsidR="00A43050" w:rsidRPr="007E0BFF">
        <w:t xml:space="preserve"> </w:t>
      </w:r>
      <w:r w:rsidR="00BF76D5" w:rsidRPr="007E0BFF">
        <w:t>delivered</w:t>
      </w:r>
      <w:r w:rsidRPr="007E0BFF">
        <w:t>)</w:t>
      </w:r>
      <w:r w:rsidR="00BF76D5" w:rsidRPr="007E0BFF">
        <w:t>.</w:t>
      </w:r>
    </w:p>
    <w:p w14:paraId="094EEA68" w14:textId="77777777" w:rsidR="00344082" w:rsidRPr="007E0BFF" w:rsidRDefault="00344082" w:rsidP="00967702">
      <w:pPr>
        <w:keepNext/>
        <w:spacing w:before="240" w:after="120"/>
        <w:jc w:val="both"/>
        <w:rPr>
          <w:b/>
          <w:i/>
          <w:color w:val="000000"/>
        </w:rPr>
      </w:pPr>
      <w:r w:rsidRPr="007E0BFF">
        <w:rPr>
          <w:b/>
          <w:i/>
          <w:color w:val="000000"/>
        </w:rPr>
        <w:t>Statement of financial performance</w:t>
      </w:r>
    </w:p>
    <w:p w14:paraId="33834C3B" w14:textId="77777777" w:rsidR="00E0612E" w:rsidRPr="007E0BFF" w:rsidRDefault="00E0612E" w:rsidP="00614813">
      <w:pPr>
        <w:pStyle w:val="Text4"/>
        <w:keepNext/>
        <w:spacing w:after="120"/>
        <w:ind w:left="0"/>
        <w:rPr>
          <w:i/>
          <w:szCs w:val="24"/>
        </w:rPr>
      </w:pPr>
      <w:r w:rsidRPr="007E0BFF">
        <w:rPr>
          <w:i/>
          <w:szCs w:val="24"/>
        </w:rPr>
        <w:t>Revenue</w:t>
      </w:r>
    </w:p>
    <w:p w14:paraId="4F1052F7" w14:textId="77777777" w:rsidR="00F35ADF" w:rsidRPr="007E0BFF" w:rsidRDefault="00F35ADF" w:rsidP="00614813">
      <w:pPr>
        <w:autoSpaceDE w:val="0"/>
        <w:autoSpaceDN w:val="0"/>
        <w:adjustRightInd w:val="0"/>
        <w:spacing w:after="120"/>
        <w:jc w:val="both"/>
      </w:pPr>
      <w:r w:rsidRPr="007E0BFF">
        <w:t>Non-exchange revenue represents the vast majority of the REA's revenues and mainly consists of subsidies from the EU.</w:t>
      </w:r>
    </w:p>
    <w:p w14:paraId="404BBE46" w14:textId="77777777" w:rsidR="00F35ADF" w:rsidRPr="007E0BFF" w:rsidRDefault="00F35ADF" w:rsidP="00614813">
      <w:pPr>
        <w:autoSpaceDE w:val="0"/>
        <w:autoSpaceDN w:val="0"/>
        <w:adjustRightInd w:val="0"/>
        <w:spacing w:after="120"/>
        <w:jc w:val="both"/>
      </w:pPr>
      <w:r w:rsidRPr="007E0BFF">
        <w:t>Exchange revenue is the revenue from the sale of goods and services. It is recognised when the goods</w:t>
      </w:r>
      <w:r w:rsidR="00A43050" w:rsidRPr="007E0BFF">
        <w:t xml:space="preserve"> </w:t>
      </w:r>
      <w:r w:rsidRPr="007E0BFF">
        <w:t>/</w:t>
      </w:r>
      <w:r w:rsidR="00A43050" w:rsidRPr="007E0BFF">
        <w:t xml:space="preserve"> </w:t>
      </w:r>
      <w:r w:rsidRPr="007E0BFF">
        <w:t>services are delivered to the purchaser. If services are rendered over successive accounting periods, associated revenue is recogni</w:t>
      </w:r>
      <w:r w:rsidR="008E60EE" w:rsidRPr="007E0BFF">
        <w:t>s</w:t>
      </w:r>
      <w:r w:rsidRPr="007E0BFF">
        <w:t xml:space="preserve">ed based on </w:t>
      </w:r>
      <w:r w:rsidR="00BF76D5" w:rsidRPr="007E0BFF">
        <w:t xml:space="preserve">the </w:t>
      </w:r>
      <w:r w:rsidRPr="007E0BFF">
        <w:t xml:space="preserve">stage </w:t>
      </w:r>
      <w:r w:rsidR="00BF76D5" w:rsidRPr="007E0BFF">
        <w:t xml:space="preserve">of </w:t>
      </w:r>
      <w:r w:rsidRPr="007E0BFF">
        <w:t>completion at the reporting date.</w:t>
      </w:r>
    </w:p>
    <w:p w14:paraId="34CF5687" w14:textId="77777777" w:rsidR="00F35ADF" w:rsidRPr="007E0BFF" w:rsidRDefault="00F35ADF" w:rsidP="00614813">
      <w:pPr>
        <w:pStyle w:val="Text4"/>
        <w:spacing w:after="120"/>
        <w:ind w:left="0"/>
        <w:jc w:val="left"/>
        <w:rPr>
          <w:szCs w:val="24"/>
          <w:lang w:eastAsia="en-GB"/>
        </w:rPr>
      </w:pPr>
      <w:r w:rsidRPr="007E0BFF">
        <w:rPr>
          <w:szCs w:val="24"/>
          <w:lang w:eastAsia="en-GB"/>
        </w:rPr>
        <w:lastRenderedPageBreak/>
        <w:t>Interest income consists of received bank interests.</w:t>
      </w:r>
    </w:p>
    <w:p w14:paraId="11373D61" w14:textId="77777777" w:rsidR="00BF1501" w:rsidRPr="007E0BFF" w:rsidRDefault="00BF1501" w:rsidP="00614813">
      <w:pPr>
        <w:pStyle w:val="Text4"/>
        <w:spacing w:before="240" w:after="120"/>
        <w:ind w:left="0"/>
        <w:jc w:val="left"/>
        <w:rPr>
          <w:i/>
          <w:szCs w:val="24"/>
        </w:rPr>
      </w:pPr>
      <w:r w:rsidRPr="007E0BFF">
        <w:rPr>
          <w:i/>
          <w:szCs w:val="24"/>
        </w:rPr>
        <w:t>Expenses</w:t>
      </w:r>
    </w:p>
    <w:p w14:paraId="0F3A7EE5" w14:textId="77777777" w:rsidR="00551035" w:rsidRPr="007E0BFF" w:rsidRDefault="00551035" w:rsidP="00614813">
      <w:pPr>
        <w:autoSpaceDE w:val="0"/>
        <w:autoSpaceDN w:val="0"/>
        <w:adjustRightInd w:val="0"/>
        <w:spacing w:after="120"/>
        <w:jc w:val="both"/>
        <w:rPr>
          <w:i/>
        </w:rPr>
      </w:pPr>
      <w:r w:rsidRPr="007E0BFF">
        <w:t>Exchange expenses arise from the purchase of goods/</w:t>
      </w:r>
      <w:r w:rsidR="006C1A33" w:rsidRPr="007E0BFF">
        <w:t xml:space="preserve">services. They are </w:t>
      </w:r>
      <w:r w:rsidR="00BF76D5" w:rsidRPr="007E0BFF">
        <w:t>recorded</w:t>
      </w:r>
      <w:r w:rsidR="006C1A33" w:rsidRPr="007E0BFF">
        <w:t xml:space="preserve"> in the Statement of financial performance when incurred, i.e. when related goods/services are delivered</w:t>
      </w:r>
      <w:r w:rsidR="008E60EE" w:rsidRPr="007E0BFF">
        <w:t xml:space="preserve"> </w:t>
      </w:r>
      <w:r w:rsidR="006C1A33" w:rsidRPr="007E0BFF">
        <w:t>/</w:t>
      </w:r>
      <w:r w:rsidR="008E60EE" w:rsidRPr="007E0BFF">
        <w:t xml:space="preserve"> </w:t>
      </w:r>
      <w:r w:rsidR="006C1A33" w:rsidRPr="007E0BFF">
        <w:t>consumed (according to the principles of accrual-based accounting).</w:t>
      </w:r>
    </w:p>
    <w:p w14:paraId="5222C3B3" w14:textId="77777777" w:rsidR="00F35ADF" w:rsidRPr="007E0BFF" w:rsidRDefault="00F35ADF" w:rsidP="00614813">
      <w:pPr>
        <w:autoSpaceDE w:val="0"/>
        <w:autoSpaceDN w:val="0"/>
        <w:adjustRightInd w:val="0"/>
        <w:spacing w:after="120"/>
        <w:jc w:val="both"/>
      </w:pPr>
      <w:r w:rsidRPr="007E0BFF">
        <w:t>Non-exchange expenses relate to transfers to beneficiaries and can be of two types mainly: entitlements and transfers under agreement.</w:t>
      </w:r>
    </w:p>
    <w:p w14:paraId="1ABA7FD3" w14:textId="77777777" w:rsidR="00F35ADF" w:rsidRPr="007E0BFF" w:rsidRDefault="00F35ADF" w:rsidP="00614813">
      <w:pPr>
        <w:autoSpaceDE w:val="0"/>
        <w:autoSpaceDN w:val="0"/>
        <w:adjustRightInd w:val="0"/>
        <w:spacing w:after="120"/>
        <w:jc w:val="both"/>
      </w:pPr>
      <w:r w:rsidRPr="007E0BFF">
        <w:t>Transfers to beneficiaries are recognised as expenses when (i.e. in the accounting period during which) the event giving rise to the transfer</w:t>
      </w:r>
      <w:r w:rsidR="00551035" w:rsidRPr="007E0BFF">
        <w:t xml:space="preserve"> </w:t>
      </w:r>
      <w:r w:rsidRPr="007E0BFF">
        <w:t>occurred under the condition that:</w:t>
      </w:r>
    </w:p>
    <w:p w14:paraId="7FC6744D" w14:textId="77777777" w:rsidR="00F35ADF" w:rsidRPr="007E0BFF" w:rsidRDefault="00F35ADF" w:rsidP="00DE7CF7">
      <w:pPr>
        <w:pStyle w:val="ListParagraph"/>
        <w:numPr>
          <w:ilvl w:val="0"/>
          <w:numId w:val="19"/>
        </w:numPr>
        <w:ind w:left="284" w:hanging="284"/>
        <w:contextualSpacing w:val="0"/>
        <w:jc w:val="both"/>
      </w:pPr>
      <w:r w:rsidRPr="007E0BFF">
        <w:t xml:space="preserve">the nature of the transfer is allowed by a regulation (Financial, Staff, other Regulation) and/or the transfer has been made according to a contract signed with the beneficiary; </w:t>
      </w:r>
    </w:p>
    <w:p w14:paraId="7B68A614" w14:textId="77777777" w:rsidR="00F35ADF" w:rsidRPr="007E0BFF" w:rsidRDefault="00F35ADF" w:rsidP="00DE7CF7">
      <w:pPr>
        <w:pStyle w:val="ListParagraph"/>
        <w:numPr>
          <w:ilvl w:val="0"/>
          <w:numId w:val="19"/>
        </w:numPr>
        <w:spacing w:after="120"/>
        <w:ind w:left="284" w:hanging="284"/>
        <w:contextualSpacing w:val="0"/>
        <w:jc w:val="both"/>
      </w:pPr>
      <w:r w:rsidRPr="007E0BFF">
        <w:t>all eligibility</w:t>
      </w:r>
      <w:r w:rsidR="006C1A33" w:rsidRPr="007E0BFF">
        <w:t xml:space="preserve"> </w:t>
      </w:r>
      <w:r w:rsidRPr="007E0BFF">
        <w:t>criteria have been met by the beneficia</w:t>
      </w:r>
      <w:r w:rsidR="008E60EE" w:rsidRPr="007E0BFF">
        <w:t>ry for the transfer to be made.</w:t>
      </w:r>
    </w:p>
    <w:p w14:paraId="78B8540F" w14:textId="77777777" w:rsidR="00F35ADF" w:rsidRPr="007E0BFF" w:rsidRDefault="00F35ADF" w:rsidP="00614813">
      <w:pPr>
        <w:autoSpaceDE w:val="0"/>
        <w:autoSpaceDN w:val="0"/>
        <w:adjustRightInd w:val="0"/>
        <w:spacing w:after="120"/>
        <w:jc w:val="both"/>
      </w:pPr>
      <w:r w:rsidRPr="007E0BFF">
        <w:t>When a request for payment or cost claim is received and meets the above mentioned recognition criteria, it is expensed for the eligible amount. At the end of the accounting period, incurred eligible expenses (due to the</w:t>
      </w:r>
      <w:r w:rsidR="00551035" w:rsidRPr="007E0BFF">
        <w:t xml:space="preserve"> </w:t>
      </w:r>
      <w:r w:rsidRPr="007E0BFF">
        <w:t>Beneficiaries) but not yet requested/claimed are estimated and recorded as accrued expenses.</w:t>
      </w:r>
    </w:p>
    <w:p w14:paraId="527DBAF6" w14:textId="77777777" w:rsidR="00BA3010" w:rsidRPr="007E0BFF" w:rsidRDefault="00BA3010" w:rsidP="00614813">
      <w:pPr>
        <w:pStyle w:val="Heading4"/>
        <w:tabs>
          <w:tab w:val="num" w:pos="900"/>
        </w:tabs>
        <w:spacing w:before="240" w:after="120"/>
        <w:ind w:left="902" w:hanging="902"/>
        <w:contextualSpacing/>
        <w:jc w:val="left"/>
        <w:rPr>
          <w:b/>
          <w:i/>
          <w:szCs w:val="24"/>
        </w:rPr>
      </w:pPr>
      <w:r w:rsidRPr="007E0BFF">
        <w:rPr>
          <w:b/>
          <w:i/>
          <w:szCs w:val="24"/>
        </w:rPr>
        <w:t>Contingent assets and liabilities</w:t>
      </w:r>
    </w:p>
    <w:p w14:paraId="3C7A3E6B" w14:textId="77777777" w:rsidR="00BA3010" w:rsidRPr="007E0BFF" w:rsidRDefault="00BA3010" w:rsidP="00614813">
      <w:pPr>
        <w:pStyle w:val="Text4"/>
        <w:spacing w:after="120"/>
        <w:ind w:left="0"/>
        <w:jc w:val="left"/>
        <w:rPr>
          <w:i/>
          <w:szCs w:val="24"/>
        </w:rPr>
      </w:pPr>
      <w:r w:rsidRPr="007E0BFF">
        <w:rPr>
          <w:i/>
          <w:szCs w:val="24"/>
        </w:rPr>
        <w:t>Contingent assets</w:t>
      </w:r>
    </w:p>
    <w:p w14:paraId="38B95A8D" w14:textId="77777777" w:rsidR="007F3DA4" w:rsidRPr="007E0BFF" w:rsidRDefault="00BA3010" w:rsidP="00A64D26">
      <w:pPr>
        <w:autoSpaceDE w:val="0"/>
        <w:autoSpaceDN w:val="0"/>
        <w:adjustRightInd w:val="0"/>
        <w:jc w:val="both"/>
      </w:pPr>
      <w:r w:rsidRPr="007E0BFF">
        <w:t>A contingent asset is a possible asset that arises f</w:t>
      </w:r>
      <w:r w:rsidR="007F3DA4" w:rsidRPr="007E0BFF">
        <w:t>rom past events and of which the</w:t>
      </w:r>
      <w:r w:rsidRPr="007E0BFF">
        <w:t xml:space="preserve"> existence will be</w:t>
      </w:r>
      <w:r w:rsidR="00A43050" w:rsidRPr="007E0BFF">
        <w:t xml:space="preserve"> </w:t>
      </w:r>
      <w:r w:rsidRPr="007E0BFF">
        <w:t>confirmed only by the occurrence or non-occurrence of one or more uncertain future events not</w:t>
      </w:r>
      <w:r w:rsidR="007F3DA4" w:rsidRPr="007E0BFF">
        <w:t xml:space="preserve"> </w:t>
      </w:r>
      <w:r w:rsidR="00BF76D5" w:rsidRPr="007E0BFF">
        <w:t xml:space="preserve">fully </w:t>
      </w:r>
      <w:r w:rsidRPr="007E0BFF">
        <w:t xml:space="preserve">within the control of </w:t>
      </w:r>
      <w:r w:rsidR="00B54068" w:rsidRPr="007E0BFF">
        <w:t>REA</w:t>
      </w:r>
      <w:r w:rsidRPr="007E0BFF">
        <w:t>. It is not recognised be</w:t>
      </w:r>
      <w:r w:rsidR="0075761E" w:rsidRPr="007E0BFF">
        <w:t>cause the amount of the</w:t>
      </w:r>
      <w:r w:rsidRPr="007E0BFF">
        <w:t xml:space="preserve"> </w:t>
      </w:r>
      <w:r w:rsidR="004E7ED2" w:rsidRPr="007E0BFF">
        <w:t>asset</w:t>
      </w:r>
      <w:r w:rsidR="007F3DA4" w:rsidRPr="007E0BFF">
        <w:t xml:space="preserve"> </w:t>
      </w:r>
      <w:r w:rsidR="0075761E" w:rsidRPr="007E0BFF">
        <w:t>cannot be measured with</w:t>
      </w:r>
      <w:r w:rsidRPr="007E0BFF">
        <w:t xml:space="preserve"> sufficient reliability. A contingent asset is disclosed when an inflow of</w:t>
      </w:r>
      <w:r w:rsidR="007F3DA4" w:rsidRPr="007E0BFF">
        <w:t xml:space="preserve"> economic </w:t>
      </w:r>
      <w:r w:rsidRPr="007E0BFF">
        <w:t>benefits or service potential is probable.</w:t>
      </w:r>
    </w:p>
    <w:p w14:paraId="39D3983B" w14:textId="77777777" w:rsidR="007F3DA4" w:rsidRPr="007E0BFF" w:rsidRDefault="007F3DA4" w:rsidP="00614813">
      <w:pPr>
        <w:pStyle w:val="Text4"/>
        <w:spacing w:before="240" w:after="120"/>
        <w:ind w:left="0"/>
        <w:jc w:val="left"/>
        <w:rPr>
          <w:i/>
          <w:szCs w:val="24"/>
        </w:rPr>
      </w:pPr>
      <w:r w:rsidRPr="007E0BFF">
        <w:rPr>
          <w:i/>
          <w:szCs w:val="24"/>
        </w:rPr>
        <w:t>Contingent liabilities</w:t>
      </w:r>
    </w:p>
    <w:p w14:paraId="0583F471" w14:textId="77777777" w:rsidR="007F3DA4" w:rsidRPr="007E0BFF" w:rsidRDefault="007F3DA4" w:rsidP="00614813">
      <w:pPr>
        <w:autoSpaceDE w:val="0"/>
        <w:autoSpaceDN w:val="0"/>
        <w:adjustRightInd w:val="0"/>
        <w:spacing w:after="120"/>
        <w:jc w:val="both"/>
      </w:pPr>
      <w:r w:rsidRPr="007E0BFF">
        <w:t xml:space="preserve">A contingent liability is a possible obligation that arises from past events and of which the existence will be confirmed only by the occurrence or non-occurrence of one or more uncertain future events not </w:t>
      </w:r>
      <w:r w:rsidR="00BF76D5" w:rsidRPr="007E0BFF">
        <w:t xml:space="preserve">fully </w:t>
      </w:r>
      <w:r w:rsidRPr="007E0BFF">
        <w:t xml:space="preserve">within the control of </w:t>
      </w:r>
      <w:r w:rsidR="00B54068" w:rsidRPr="007E0BFF">
        <w:t>REA</w:t>
      </w:r>
      <w:r w:rsidRPr="007E0BFF">
        <w:t>; or a present obligation that arises from past events but is not recognised because it is not probable that an outflow of resources embodying economic benefits or service potential will be required to settle the obligation or, in the rare circumstances where the amount of the obligation cannot be measured with sufficient reliability.</w:t>
      </w:r>
    </w:p>
    <w:p w14:paraId="324540D5" w14:textId="77777777" w:rsidR="007F3DA4" w:rsidRPr="007E0BFF" w:rsidRDefault="007F3DA4" w:rsidP="00614813">
      <w:pPr>
        <w:pStyle w:val="Heading4"/>
        <w:tabs>
          <w:tab w:val="num" w:pos="900"/>
        </w:tabs>
        <w:spacing w:before="240" w:after="120"/>
        <w:ind w:left="902" w:hanging="902"/>
        <w:contextualSpacing/>
        <w:jc w:val="left"/>
        <w:rPr>
          <w:szCs w:val="24"/>
        </w:rPr>
      </w:pPr>
      <w:r w:rsidRPr="007E0BFF">
        <w:rPr>
          <w:b/>
          <w:i/>
          <w:szCs w:val="24"/>
        </w:rPr>
        <w:t>Consolidation</w:t>
      </w:r>
    </w:p>
    <w:p w14:paraId="25D5048C" w14:textId="77777777" w:rsidR="007F3DA4" w:rsidRPr="007E0BFF" w:rsidRDefault="007F3DA4" w:rsidP="00614813">
      <w:pPr>
        <w:autoSpaceDE w:val="0"/>
        <w:autoSpaceDN w:val="0"/>
        <w:adjustRightInd w:val="0"/>
        <w:spacing w:after="120"/>
        <w:jc w:val="both"/>
      </w:pPr>
      <w:r w:rsidRPr="007E0BFF">
        <w:t xml:space="preserve">According to </w:t>
      </w:r>
      <w:r w:rsidR="00614813" w:rsidRPr="007E0BFF">
        <w:t>A</w:t>
      </w:r>
      <w:r w:rsidRPr="007E0BFF">
        <w:t>rticle 57 of the Standard Financial Regulation for the executive agencies, the REA's</w:t>
      </w:r>
      <w:r w:rsidR="00614813" w:rsidRPr="007E0BFF">
        <w:t xml:space="preserve"> </w:t>
      </w:r>
      <w:r w:rsidRPr="007E0BFF">
        <w:t>accounts are consolidated with the Commission’s annual accounts.</w:t>
      </w:r>
    </w:p>
    <w:p w14:paraId="781C282D" w14:textId="77777777" w:rsidR="001A4D99" w:rsidRPr="007E0BFF" w:rsidRDefault="001A4D99" w:rsidP="00383DBF">
      <w:pPr>
        <w:pStyle w:val="Heading3"/>
        <w:tabs>
          <w:tab w:val="clear" w:pos="840"/>
        </w:tabs>
        <w:spacing w:before="240" w:after="120"/>
        <w:ind w:left="720" w:hanging="720"/>
        <w:rPr>
          <w:b/>
          <w:szCs w:val="24"/>
        </w:rPr>
      </w:pPr>
      <w:bookmarkStart w:id="82" w:name="_Toc31821695"/>
      <w:r w:rsidRPr="007E0BFF">
        <w:rPr>
          <w:b/>
          <w:szCs w:val="24"/>
        </w:rPr>
        <w:t>Notes to the Balance sheet</w:t>
      </w:r>
      <w:bookmarkEnd w:id="82"/>
    </w:p>
    <w:p w14:paraId="6B3E44D3" w14:textId="77777777" w:rsidR="00B91370" w:rsidRPr="007E0BFF" w:rsidRDefault="00B91370" w:rsidP="00614813">
      <w:pPr>
        <w:pStyle w:val="Text3"/>
        <w:spacing w:after="120"/>
        <w:ind w:left="0"/>
        <w:rPr>
          <w:b/>
          <w:i/>
          <w:szCs w:val="24"/>
        </w:rPr>
      </w:pPr>
      <w:r w:rsidRPr="007E0BFF">
        <w:rPr>
          <w:b/>
          <w:i/>
          <w:szCs w:val="24"/>
        </w:rPr>
        <w:t>Non current assets</w:t>
      </w:r>
    </w:p>
    <w:p w14:paraId="4EE343DE" w14:textId="77777777" w:rsidR="001A4D99" w:rsidRPr="007E0BFF" w:rsidRDefault="002B0C30" w:rsidP="00614813">
      <w:pPr>
        <w:pStyle w:val="Heading4"/>
        <w:numPr>
          <w:ilvl w:val="3"/>
          <w:numId w:val="11"/>
        </w:numPr>
        <w:spacing w:after="120"/>
        <w:ind w:left="357" w:hanging="357"/>
        <w:rPr>
          <w:i/>
          <w:szCs w:val="24"/>
        </w:rPr>
      </w:pPr>
      <w:r w:rsidRPr="007E0BFF">
        <w:rPr>
          <w:i/>
          <w:szCs w:val="24"/>
        </w:rPr>
        <w:t>Intangible fixed assets</w:t>
      </w:r>
    </w:p>
    <w:p w14:paraId="0BE16F91" w14:textId="1859DAAE" w:rsidR="004F3B0B" w:rsidRPr="007E0BFF" w:rsidRDefault="0046166E" w:rsidP="007E0BFF">
      <w:pPr>
        <w:pStyle w:val="Text4"/>
        <w:spacing w:after="120"/>
        <w:ind w:left="0"/>
        <w:rPr>
          <w:szCs w:val="24"/>
        </w:rPr>
      </w:pPr>
      <w:r w:rsidRPr="007E0BFF">
        <w:rPr>
          <w:szCs w:val="24"/>
        </w:rPr>
        <w:t xml:space="preserve">The intangible fixed assets at </w:t>
      </w:r>
      <w:r w:rsidR="00B54068" w:rsidRPr="007E0BFF">
        <w:rPr>
          <w:szCs w:val="24"/>
        </w:rPr>
        <w:t>REA</w:t>
      </w:r>
      <w:r w:rsidRPr="007E0BFF">
        <w:rPr>
          <w:szCs w:val="24"/>
        </w:rPr>
        <w:t xml:space="preserve"> consist of computer sotware and internally generated IT tools.</w:t>
      </w:r>
      <w:r w:rsidR="007E0BFF">
        <w:rPr>
          <w:szCs w:val="24"/>
        </w:rPr>
        <w:t xml:space="preserve"> </w:t>
      </w:r>
      <w:r w:rsidR="00EB6C89" w:rsidRPr="007E0BFF">
        <w:rPr>
          <w:szCs w:val="24"/>
        </w:rPr>
        <w:t xml:space="preserve">To </w:t>
      </w:r>
      <w:r w:rsidR="00BF76D5" w:rsidRPr="007E0BFF">
        <w:rPr>
          <w:szCs w:val="24"/>
        </w:rPr>
        <w:t xml:space="preserve">be </w:t>
      </w:r>
      <w:r w:rsidR="00EB6C89" w:rsidRPr="007E0BFF">
        <w:rPr>
          <w:szCs w:val="24"/>
        </w:rPr>
        <w:t>capitalised, computer software</w:t>
      </w:r>
      <w:r w:rsidR="004F3B0B" w:rsidRPr="007E0BFF">
        <w:rPr>
          <w:szCs w:val="24"/>
        </w:rPr>
        <w:t xml:space="preserve"> should have a purchase price above € </w:t>
      </w:r>
      <w:r w:rsidR="00C407F0" w:rsidRPr="007E0BFF">
        <w:rPr>
          <w:szCs w:val="24"/>
        </w:rPr>
        <w:t>700</w:t>
      </w:r>
      <w:r w:rsidR="004F3B0B" w:rsidRPr="007E0BFF">
        <w:rPr>
          <w:szCs w:val="24"/>
        </w:rPr>
        <w:t>.</w:t>
      </w:r>
    </w:p>
    <w:p w14:paraId="6281B35D" w14:textId="77777777" w:rsidR="0046166E" w:rsidRPr="007E0BFF" w:rsidRDefault="00AA27AB" w:rsidP="00614813">
      <w:pPr>
        <w:tabs>
          <w:tab w:val="left" w:pos="1440"/>
        </w:tabs>
        <w:suppressAutoHyphens/>
        <w:spacing w:after="120"/>
        <w:jc w:val="both"/>
      </w:pPr>
      <w:r w:rsidRPr="007E0BFF">
        <w:lastRenderedPageBreak/>
        <w:t>In complian</w:t>
      </w:r>
      <w:r w:rsidR="00EB6C89" w:rsidRPr="007E0BFF">
        <w:t xml:space="preserve">ce with Accounting Rule 6, </w:t>
      </w:r>
      <w:r w:rsidRPr="007E0BFF">
        <w:t>internally developed intangible assets are capitalised</w:t>
      </w:r>
      <w:r w:rsidR="00EB6C89" w:rsidRPr="007E0BFF">
        <w:t xml:space="preserve"> since January 2010</w:t>
      </w:r>
      <w:r w:rsidRPr="007E0BFF">
        <w:t xml:space="preserve">. </w:t>
      </w:r>
      <w:r w:rsidR="00BF76D5" w:rsidRPr="007E0BFF">
        <w:t>Considering the size of the REA's</w:t>
      </w:r>
      <w:r w:rsidRPr="007E0BFF">
        <w:t xml:space="preserve"> adminis</w:t>
      </w:r>
      <w:r w:rsidR="00C407F0" w:rsidRPr="007E0BFF">
        <w:t xml:space="preserve">trative budget, </w:t>
      </w:r>
      <w:r w:rsidRPr="007E0BFF">
        <w:t>the threshold amount for capitalisation has been set at € 100,000.</w:t>
      </w:r>
    </w:p>
    <w:p w14:paraId="24CADEA3" w14:textId="77777777" w:rsidR="006B5266" w:rsidRPr="007E0BFF" w:rsidRDefault="004F3B0B" w:rsidP="00614813">
      <w:pPr>
        <w:tabs>
          <w:tab w:val="left" w:pos="1440"/>
        </w:tabs>
        <w:suppressAutoHyphens/>
        <w:spacing w:after="120"/>
        <w:jc w:val="both"/>
      </w:pPr>
      <w:r w:rsidRPr="007E0BFF">
        <w:t xml:space="preserve">The variation of the intangible fixed assets in </w:t>
      </w:r>
      <w:r w:rsidR="00050B3A" w:rsidRPr="007E0BFF">
        <w:t>2019</w:t>
      </w:r>
      <w:r w:rsidR="00BF76D5" w:rsidRPr="007E0BFF">
        <w:t xml:space="preserve"> </w:t>
      </w:r>
      <w:r w:rsidRPr="007E0BFF">
        <w:t>is detailed as follows</w:t>
      </w:r>
      <w:r w:rsidR="00F57795" w:rsidRPr="007E0BFF">
        <w:t xml:space="preserve"> (in euros)</w:t>
      </w:r>
      <w:r w:rsidR="00DD4288" w:rsidRPr="007E0BFF">
        <w:t>:</w:t>
      </w:r>
    </w:p>
    <w:p w14:paraId="15CBE39E" w14:textId="00FE5476" w:rsidR="00DB24FA" w:rsidRPr="00050B3A" w:rsidRDefault="00B41B5F" w:rsidP="00F674C8">
      <w:pPr>
        <w:tabs>
          <w:tab w:val="left" w:pos="1440"/>
        </w:tabs>
        <w:suppressAutoHyphens/>
        <w:jc w:val="both"/>
        <w:rPr>
          <w:sz w:val="22"/>
          <w:szCs w:val="22"/>
        </w:rPr>
      </w:pPr>
      <w:r w:rsidRPr="00B41B5F">
        <w:rPr>
          <w:noProof/>
        </w:rPr>
        <w:drawing>
          <wp:inline distT="0" distB="0" distL="0" distR="0" wp14:anchorId="259951CC" wp14:editId="5BBED621">
            <wp:extent cx="5731510" cy="2243663"/>
            <wp:effectExtent l="0" t="0" r="254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243663"/>
                    </a:xfrm>
                    <a:prstGeom prst="rect">
                      <a:avLst/>
                    </a:prstGeom>
                    <a:noFill/>
                    <a:ln>
                      <a:noFill/>
                    </a:ln>
                  </pic:spPr>
                </pic:pic>
              </a:graphicData>
            </a:graphic>
          </wp:inline>
        </w:drawing>
      </w:r>
    </w:p>
    <w:p w14:paraId="49E7D40D" w14:textId="77777777" w:rsidR="00485939" w:rsidRPr="007E0BFF" w:rsidRDefault="00485939" w:rsidP="00F674C8">
      <w:pPr>
        <w:suppressAutoHyphens/>
        <w:spacing w:before="240" w:after="120"/>
        <w:jc w:val="both"/>
        <w:rPr>
          <w:bCs/>
          <w:color w:val="000000"/>
        </w:rPr>
      </w:pPr>
      <w:r w:rsidRPr="007E0BFF">
        <w:rPr>
          <w:bCs/>
          <w:color w:val="000000"/>
        </w:rPr>
        <w:t xml:space="preserve">In 2014, the </w:t>
      </w:r>
      <w:r w:rsidR="008E60EE" w:rsidRPr="007E0BFF">
        <w:rPr>
          <w:bCs/>
          <w:color w:val="000000"/>
        </w:rPr>
        <w:t xml:space="preserve">Commission set up the </w:t>
      </w:r>
      <w:r w:rsidRPr="007E0BFF">
        <w:rPr>
          <w:bCs/>
          <w:color w:val="000000"/>
        </w:rPr>
        <w:t>Common Support Cent</w:t>
      </w:r>
      <w:r w:rsidR="00FA786C" w:rsidRPr="007E0BFF">
        <w:rPr>
          <w:bCs/>
          <w:color w:val="000000"/>
        </w:rPr>
        <w:t>re</w:t>
      </w:r>
      <w:r w:rsidRPr="007E0BFF">
        <w:rPr>
          <w:bCs/>
          <w:color w:val="000000"/>
        </w:rPr>
        <w:t xml:space="preserve"> (CSC) in DG RTD, responsible for the implementation and support of IT systems for Horizon 2020. Following a partnership agreement, the CSC (representing the Research and Innovation DG</w:t>
      </w:r>
      <w:r w:rsidR="00A43050" w:rsidRPr="007E0BFF">
        <w:rPr>
          <w:bCs/>
          <w:color w:val="000000"/>
        </w:rPr>
        <w:t>s</w:t>
      </w:r>
      <w:r w:rsidRPr="007E0BFF">
        <w:rPr>
          <w:bCs/>
          <w:color w:val="000000"/>
        </w:rPr>
        <w:t xml:space="preserve"> and DIGIT) has developed several IT tools (COMPASS, SYGMA,…). The development costs of these IT tools are shared among DGs without any financial participation of REA. DG Research and Innovation is the owner of these tools. </w:t>
      </w:r>
    </w:p>
    <w:p w14:paraId="5DBEE4A4" w14:textId="77777777" w:rsidR="00485939" w:rsidRPr="007E0BFF" w:rsidRDefault="00485939" w:rsidP="00F674C8">
      <w:pPr>
        <w:suppressAutoHyphens/>
        <w:spacing w:after="120"/>
        <w:jc w:val="both"/>
        <w:rPr>
          <w:bCs/>
          <w:color w:val="000000"/>
        </w:rPr>
      </w:pPr>
      <w:r w:rsidRPr="007E0BFF">
        <w:rPr>
          <w:bCs/>
          <w:color w:val="000000"/>
        </w:rPr>
        <w:t>T</w:t>
      </w:r>
      <w:r w:rsidR="006516B4" w:rsidRPr="007E0BFF">
        <w:rPr>
          <w:bCs/>
          <w:color w:val="000000"/>
        </w:rPr>
        <w:t xml:space="preserve">he </w:t>
      </w:r>
      <w:r w:rsidR="00D4241B" w:rsidRPr="007E0BFF">
        <w:rPr>
          <w:bCs/>
          <w:color w:val="000000"/>
        </w:rPr>
        <w:t xml:space="preserve">Agency has </w:t>
      </w:r>
      <w:r w:rsidRPr="007E0BFF">
        <w:rPr>
          <w:bCs/>
          <w:color w:val="000000"/>
        </w:rPr>
        <w:t xml:space="preserve">neverthelees </w:t>
      </w:r>
      <w:r w:rsidR="004B75B1" w:rsidRPr="007E0BFF">
        <w:rPr>
          <w:bCs/>
          <w:color w:val="000000"/>
        </w:rPr>
        <w:t>developed</w:t>
      </w:r>
      <w:r w:rsidR="00D4241B" w:rsidRPr="007E0BFF">
        <w:rPr>
          <w:bCs/>
          <w:color w:val="000000"/>
        </w:rPr>
        <w:t xml:space="preserve"> internally</w:t>
      </w:r>
      <w:r w:rsidR="006516B4" w:rsidRPr="007E0BFF">
        <w:rPr>
          <w:bCs/>
          <w:color w:val="000000"/>
        </w:rPr>
        <w:t xml:space="preserve"> intangible assets for th</w:t>
      </w:r>
      <w:r w:rsidR="00D4241B" w:rsidRPr="007E0BFF">
        <w:rPr>
          <w:bCs/>
          <w:color w:val="000000"/>
        </w:rPr>
        <w:t xml:space="preserve">e management of the FP7 actions in order to </w:t>
      </w:r>
      <w:r w:rsidR="006516B4" w:rsidRPr="007E0BFF">
        <w:rPr>
          <w:bCs/>
          <w:color w:val="000000"/>
        </w:rPr>
        <w:t>cover functionalities that are not provided by the central tools.</w:t>
      </w:r>
      <w:r w:rsidR="00DB24FA" w:rsidRPr="007E0BFF">
        <w:rPr>
          <w:bCs/>
          <w:color w:val="000000"/>
        </w:rPr>
        <w:t xml:space="preserve"> T</w:t>
      </w:r>
      <w:r w:rsidR="001D64F5" w:rsidRPr="007E0BFF">
        <w:rPr>
          <w:bCs/>
          <w:color w:val="000000"/>
        </w:rPr>
        <w:t xml:space="preserve">hese assets are </w:t>
      </w:r>
      <w:r w:rsidRPr="007E0BFF">
        <w:rPr>
          <w:bCs/>
          <w:color w:val="000000"/>
        </w:rPr>
        <w:t xml:space="preserve">now </w:t>
      </w:r>
      <w:r w:rsidR="001D64F5" w:rsidRPr="007E0BFF">
        <w:rPr>
          <w:bCs/>
          <w:color w:val="000000"/>
        </w:rPr>
        <w:t>fully amorti</w:t>
      </w:r>
      <w:r w:rsidR="008E60EE" w:rsidRPr="007E0BFF">
        <w:rPr>
          <w:bCs/>
          <w:color w:val="000000"/>
        </w:rPr>
        <w:t>s</w:t>
      </w:r>
      <w:r w:rsidR="001D64F5" w:rsidRPr="007E0BFF">
        <w:rPr>
          <w:bCs/>
          <w:color w:val="000000"/>
        </w:rPr>
        <w:t>ed.</w:t>
      </w:r>
    </w:p>
    <w:p w14:paraId="7F565352" w14:textId="6EB4946B" w:rsidR="006516B4" w:rsidRPr="007E0BFF" w:rsidRDefault="00DB24FA" w:rsidP="00F674C8">
      <w:pPr>
        <w:suppressAutoHyphens/>
        <w:spacing w:after="120"/>
        <w:jc w:val="both"/>
        <w:rPr>
          <w:bCs/>
          <w:color w:val="000000"/>
        </w:rPr>
      </w:pPr>
      <w:r w:rsidRPr="007E0BFF">
        <w:rPr>
          <w:bCs/>
          <w:color w:val="000000"/>
        </w:rPr>
        <w:t xml:space="preserve">Since </w:t>
      </w:r>
      <w:r w:rsidR="00050B3A" w:rsidRPr="007E0BFF">
        <w:rPr>
          <w:bCs/>
          <w:color w:val="000000"/>
        </w:rPr>
        <w:t>last</w:t>
      </w:r>
      <w:r w:rsidRPr="007E0BFF">
        <w:rPr>
          <w:bCs/>
          <w:color w:val="000000"/>
        </w:rPr>
        <w:t xml:space="preserve"> year, the Agency is developing a new tool to facilitate the </w:t>
      </w:r>
      <w:r w:rsidR="00A52503">
        <w:rPr>
          <w:bCs/>
          <w:color w:val="000000"/>
        </w:rPr>
        <w:t xml:space="preserve">planning of the </w:t>
      </w:r>
      <w:r w:rsidRPr="007E0BFF">
        <w:rPr>
          <w:bCs/>
          <w:color w:val="000000"/>
        </w:rPr>
        <w:t xml:space="preserve">operational management of e-grants activities (OMEGA). Some modules </w:t>
      </w:r>
      <w:r w:rsidR="00C13AF5" w:rsidRPr="007E0BFF">
        <w:rPr>
          <w:bCs/>
          <w:color w:val="000000"/>
        </w:rPr>
        <w:t>have been put in pro</w:t>
      </w:r>
      <w:r w:rsidR="00575112" w:rsidRPr="007E0BFF">
        <w:rPr>
          <w:bCs/>
          <w:color w:val="000000"/>
        </w:rPr>
        <w:t>du</w:t>
      </w:r>
      <w:r w:rsidR="00C13AF5" w:rsidRPr="007E0BFF">
        <w:rPr>
          <w:bCs/>
          <w:color w:val="000000"/>
        </w:rPr>
        <w:t xml:space="preserve">ction </w:t>
      </w:r>
      <w:r w:rsidR="00050B3A" w:rsidRPr="007E0BFF">
        <w:rPr>
          <w:bCs/>
          <w:color w:val="000000"/>
        </w:rPr>
        <w:t xml:space="preserve">in 2018 and 2019, </w:t>
      </w:r>
      <w:r w:rsidRPr="007E0BFF">
        <w:rPr>
          <w:bCs/>
          <w:color w:val="000000"/>
        </w:rPr>
        <w:t>other</w:t>
      </w:r>
      <w:r w:rsidR="00C13AF5" w:rsidRPr="007E0BFF">
        <w:rPr>
          <w:bCs/>
          <w:color w:val="000000"/>
        </w:rPr>
        <w:t>s</w:t>
      </w:r>
      <w:r w:rsidRPr="007E0BFF">
        <w:rPr>
          <w:bCs/>
          <w:color w:val="000000"/>
        </w:rPr>
        <w:t xml:space="preserve"> are still under </w:t>
      </w:r>
      <w:r w:rsidR="00485939" w:rsidRPr="007E0BFF">
        <w:rPr>
          <w:bCs/>
          <w:color w:val="000000"/>
        </w:rPr>
        <w:t>constructions</w:t>
      </w:r>
      <w:r w:rsidRPr="007E0BFF">
        <w:rPr>
          <w:bCs/>
          <w:color w:val="000000"/>
        </w:rPr>
        <w:t>.</w:t>
      </w:r>
    </w:p>
    <w:p w14:paraId="2DC778A3" w14:textId="77777777" w:rsidR="00F61A3F" w:rsidRPr="007E0BFF" w:rsidRDefault="00F61A3F" w:rsidP="00F674C8">
      <w:pPr>
        <w:pStyle w:val="Heading4"/>
        <w:numPr>
          <w:ilvl w:val="3"/>
          <w:numId w:val="11"/>
        </w:numPr>
        <w:spacing w:before="240" w:after="120"/>
        <w:ind w:left="357" w:hanging="357"/>
        <w:rPr>
          <w:i/>
          <w:szCs w:val="24"/>
        </w:rPr>
      </w:pPr>
      <w:r w:rsidRPr="007E0BFF">
        <w:rPr>
          <w:i/>
          <w:szCs w:val="24"/>
        </w:rPr>
        <w:t>Tangible fixed assets</w:t>
      </w:r>
    </w:p>
    <w:p w14:paraId="586BC4D4" w14:textId="77777777" w:rsidR="0046166E" w:rsidRPr="007E0BFF" w:rsidRDefault="0046166E" w:rsidP="00A64D26">
      <w:pPr>
        <w:tabs>
          <w:tab w:val="left" w:pos="1440"/>
        </w:tabs>
        <w:suppressAutoHyphens/>
        <w:spacing w:after="120"/>
        <w:jc w:val="both"/>
      </w:pPr>
      <w:r w:rsidRPr="007E0BFF">
        <w:t xml:space="preserve">Tangible fixed assets at </w:t>
      </w:r>
      <w:r w:rsidR="00B54068" w:rsidRPr="007E0BFF">
        <w:t>REA</w:t>
      </w:r>
      <w:r w:rsidRPr="007E0BFF">
        <w:t xml:space="preserve"> consist of</w:t>
      </w:r>
      <w:r w:rsidR="00D4241B" w:rsidRPr="007E0BFF">
        <w:t xml:space="preserve"> technical equipment, furniture, </w:t>
      </w:r>
      <w:r w:rsidRPr="007E0BFF">
        <w:t xml:space="preserve">computer hardware, </w:t>
      </w:r>
      <w:r w:rsidR="00D4241B" w:rsidRPr="007E0BFF">
        <w:t xml:space="preserve">leasehold improvements, telecommunication and </w:t>
      </w:r>
      <w:r w:rsidR="00BD4A0B" w:rsidRPr="007E0BFF">
        <w:t>audio-visual equipment</w:t>
      </w:r>
      <w:r w:rsidR="00FA786C" w:rsidRPr="007E0BFF">
        <w:t xml:space="preserve">. </w:t>
      </w:r>
      <w:r w:rsidR="00D4241B" w:rsidRPr="007E0BFF">
        <w:t>The two last categories are grouped under fixtures and fittings.</w:t>
      </w:r>
    </w:p>
    <w:p w14:paraId="396ADB06" w14:textId="77777777" w:rsidR="00CD0C7A" w:rsidRPr="007E0BFF" w:rsidRDefault="00F61A3F" w:rsidP="00A64D26">
      <w:pPr>
        <w:tabs>
          <w:tab w:val="left" w:pos="1440"/>
        </w:tabs>
        <w:suppressAutoHyphens/>
        <w:spacing w:after="120"/>
        <w:jc w:val="both"/>
      </w:pPr>
      <w:r w:rsidRPr="007E0BFF">
        <w:t>To be</w:t>
      </w:r>
      <w:r w:rsidR="00BF76D5" w:rsidRPr="007E0BFF">
        <w:t xml:space="preserve"> </w:t>
      </w:r>
      <w:r w:rsidR="00612084" w:rsidRPr="007E0BFF">
        <w:t>capitalised</w:t>
      </w:r>
      <w:r w:rsidRPr="007E0BFF">
        <w:t>,</w:t>
      </w:r>
      <w:r w:rsidR="00612084" w:rsidRPr="007E0BFF">
        <w:t xml:space="preserve"> tangible fixed assets</w:t>
      </w:r>
      <w:r w:rsidRPr="007E0BFF">
        <w:t xml:space="preserve"> should have a purchase price above € </w:t>
      </w:r>
      <w:r w:rsidR="00D8743F" w:rsidRPr="007E0BFF">
        <w:t>700</w:t>
      </w:r>
      <w:r w:rsidRPr="007E0BFF">
        <w:t>. Items with lower value are treated as expenses of the year; however</w:t>
      </w:r>
      <w:r w:rsidR="00A64D26" w:rsidRPr="007E0BFF">
        <w:t>,</w:t>
      </w:r>
      <w:r w:rsidRPr="007E0BFF">
        <w:t xml:space="preserve"> they are regist</w:t>
      </w:r>
      <w:r w:rsidR="00BD4A0B" w:rsidRPr="007E0BFF">
        <w:t>ered in the physical inventory.</w:t>
      </w:r>
    </w:p>
    <w:p w14:paraId="53613F22" w14:textId="77777777" w:rsidR="00CD0C7A" w:rsidRPr="007E0BFF" w:rsidRDefault="00CD0C7A" w:rsidP="00A64D26">
      <w:pPr>
        <w:tabs>
          <w:tab w:val="left" w:pos="1440"/>
        </w:tabs>
        <w:suppressAutoHyphens/>
        <w:spacing w:after="120"/>
        <w:jc w:val="both"/>
      </w:pPr>
      <w:r w:rsidRPr="007E0BFF">
        <w:t>The Agency has signed a usufruct contract for the Building COV2 covering the period 2008-2023 and a service</w:t>
      </w:r>
      <w:r w:rsidR="009D3107" w:rsidRPr="007E0BFF">
        <w:t>-</w:t>
      </w:r>
      <w:r w:rsidRPr="007E0BFF">
        <w:t>level agreement</w:t>
      </w:r>
      <w:r w:rsidR="00FA786C" w:rsidRPr="007E0BFF">
        <w:t xml:space="preserve"> with OIB for the rent of COVE.</w:t>
      </w:r>
      <w:r w:rsidRPr="007E0BFF">
        <w:t xml:space="preserve"> The rent/usufruct instalments are paid annually and registered as expenses (not capitali</w:t>
      </w:r>
      <w:r w:rsidR="00FA786C" w:rsidRPr="007E0BFF">
        <w:t>s</w:t>
      </w:r>
      <w:r w:rsidRPr="007E0BFF">
        <w:t>ed).</w:t>
      </w:r>
    </w:p>
    <w:p w14:paraId="54BFDFE8" w14:textId="77777777" w:rsidR="00050B3A" w:rsidRPr="007E0BFF" w:rsidRDefault="00CD0C7A" w:rsidP="00A64D26">
      <w:pPr>
        <w:tabs>
          <w:tab w:val="left" w:pos="1440"/>
        </w:tabs>
        <w:suppressAutoHyphens/>
        <w:spacing w:after="120"/>
        <w:jc w:val="both"/>
      </w:pPr>
      <w:r w:rsidRPr="007E0BFF">
        <w:t>Nevertheless, the works made for the initial fitting out of the building COV2 have been capitali</w:t>
      </w:r>
      <w:r w:rsidR="008E60EE" w:rsidRPr="007E0BFF">
        <w:t>s</w:t>
      </w:r>
      <w:r w:rsidRPr="007E0BFF">
        <w:t>ed over a useful life of 10 years under "other fixtures and fittings".</w:t>
      </w:r>
    </w:p>
    <w:p w14:paraId="5FFD97FA" w14:textId="77777777" w:rsidR="00C647B1" w:rsidRPr="007E0BFF" w:rsidRDefault="004E7ED2" w:rsidP="00A64D26">
      <w:pPr>
        <w:tabs>
          <w:tab w:val="left" w:pos="1440"/>
        </w:tabs>
        <w:suppressAutoHyphens/>
        <w:spacing w:after="120"/>
        <w:jc w:val="both"/>
      </w:pPr>
      <w:r w:rsidRPr="007E0BFF">
        <w:t xml:space="preserve">The variation of the </w:t>
      </w:r>
      <w:r w:rsidR="00BD4A0B" w:rsidRPr="007E0BFF">
        <w:t xml:space="preserve">tangible fixed assets in </w:t>
      </w:r>
      <w:r w:rsidR="00050B3A" w:rsidRPr="007E0BFF">
        <w:t>2019</w:t>
      </w:r>
      <w:r w:rsidR="00BF76D5" w:rsidRPr="007E0BFF">
        <w:t xml:space="preserve"> </w:t>
      </w:r>
      <w:r w:rsidR="00BD4A0B" w:rsidRPr="007E0BFF">
        <w:t>is detailed as follows (in euros):</w:t>
      </w:r>
    </w:p>
    <w:p w14:paraId="1EBC43B7" w14:textId="77777777" w:rsidR="00CD0C7A" w:rsidRDefault="00050B3A" w:rsidP="00F674C8">
      <w:pPr>
        <w:tabs>
          <w:tab w:val="left" w:pos="1440"/>
        </w:tabs>
        <w:suppressAutoHyphens/>
        <w:jc w:val="both"/>
        <w:rPr>
          <w:sz w:val="22"/>
          <w:szCs w:val="22"/>
        </w:rPr>
      </w:pPr>
      <w:r w:rsidRPr="00050B3A">
        <w:rPr>
          <w:noProof/>
        </w:rPr>
        <w:lastRenderedPageBreak/>
        <w:drawing>
          <wp:inline distT="0" distB="0" distL="0" distR="0" wp14:anchorId="1EFE8DBB" wp14:editId="26900AB0">
            <wp:extent cx="5497200" cy="2296800"/>
            <wp:effectExtent l="0" t="0" r="825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7200" cy="2296800"/>
                    </a:xfrm>
                    <a:prstGeom prst="rect">
                      <a:avLst/>
                    </a:prstGeom>
                    <a:noFill/>
                    <a:ln>
                      <a:noFill/>
                    </a:ln>
                  </pic:spPr>
                </pic:pic>
              </a:graphicData>
            </a:graphic>
          </wp:inline>
        </w:drawing>
      </w:r>
    </w:p>
    <w:p w14:paraId="377E7A8E" w14:textId="1E464139" w:rsidR="00500526" w:rsidRPr="007E0BFF" w:rsidRDefault="00500526" w:rsidP="00F674C8">
      <w:pPr>
        <w:tabs>
          <w:tab w:val="left" w:pos="1440"/>
        </w:tabs>
        <w:suppressAutoHyphens/>
        <w:spacing w:before="240" w:after="120"/>
        <w:jc w:val="both"/>
      </w:pPr>
      <w:r w:rsidRPr="007E0BFF">
        <w:t>The main movements in tangible fixed assets that call fo</w:t>
      </w:r>
      <w:r w:rsidR="00F6400F" w:rsidRPr="007E0BFF">
        <w:t>r a comment concern the categories</w:t>
      </w:r>
      <w:r w:rsidRPr="007E0BFF">
        <w:t xml:space="preserve"> </w:t>
      </w:r>
      <w:r w:rsidR="00F6400F" w:rsidRPr="007E0BFF">
        <w:t>“</w:t>
      </w:r>
      <w:r w:rsidRPr="007E0BFF">
        <w:t>fixtures and fittin</w:t>
      </w:r>
      <w:r w:rsidR="00E849F5" w:rsidRPr="007E0BFF">
        <w:t>gs</w:t>
      </w:r>
      <w:r w:rsidR="00F6400F" w:rsidRPr="007E0BFF">
        <w:t>”</w:t>
      </w:r>
      <w:r w:rsidR="005A6171">
        <w:t xml:space="preserve"> and</w:t>
      </w:r>
      <w:r w:rsidR="00F6400F" w:rsidRPr="007E0BFF">
        <w:t xml:space="preserve"> “Other PPE under leasing”</w:t>
      </w:r>
      <w:r w:rsidR="005A6171">
        <w:t>;</w:t>
      </w:r>
      <w:r w:rsidR="00E849F5" w:rsidRPr="007E0BFF">
        <w:t xml:space="preserve"> </w:t>
      </w:r>
      <w:r w:rsidR="005A6171">
        <w:t xml:space="preserve">they </w:t>
      </w:r>
      <w:r w:rsidR="00E849F5" w:rsidRPr="007E0BFF">
        <w:t>are explained as follows.</w:t>
      </w:r>
    </w:p>
    <w:p w14:paraId="0A306079" w14:textId="77777777" w:rsidR="00F6400F" w:rsidRPr="007E0BFF" w:rsidRDefault="00E849F5" w:rsidP="00F674C8">
      <w:pPr>
        <w:pStyle w:val="FStext"/>
        <w:spacing w:after="120"/>
        <w:rPr>
          <w:rFonts w:ascii="Times New Roman" w:hAnsi="Times New Roman"/>
          <w:sz w:val="24"/>
          <w:szCs w:val="24"/>
          <w:lang w:eastAsia="en-GB"/>
        </w:rPr>
      </w:pPr>
      <w:r w:rsidRPr="007E0BFF">
        <w:rPr>
          <w:rFonts w:ascii="Times New Roman" w:hAnsi="Times New Roman"/>
          <w:sz w:val="24"/>
          <w:szCs w:val="24"/>
          <w:lang w:eastAsia="en-GB"/>
        </w:rPr>
        <w:t xml:space="preserve">In 2017, </w:t>
      </w:r>
      <w:r w:rsidR="004F3C7B" w:rsidRPr="007E0BFF">
        <w:rPr>
          <w:rFonts w:ascii="Times New Roman" w:hAnsi="Times New Roman"/>
          <w:sz w:val="24"/>
          <w:szCs w:val="24"/>
          <w:lang w:eastAsia="en-GB"/>
        </w:rPr>
        <w:t>it was decided to invest in the modernisation of the Com</w:t>
      </w:r>
      <w:r w:rsidR="008423FE" w:rsidRPr="007E0BFF">
        <w:rPr>
          <w:rFonts w:ascii="Times New Roman" w:hAnsi="Times New Roman"/>
          <w:sz w:val="24"/>
          <w:szCs w:val="24"/>
          <w:lang w:eastAsia="en-GB"/>
        </w:rPr>
        <w:t>m</w:t>
      </w:r>
      <w:r w:rsidR="004F3C7B" w:rsidRPr="007E0BFF">
        <w:rPr>
          <w:rFonts w:ascii="Times New Roman" w:hAnsi="Times New Roman"/>
          <w:sz w:val="24"/>
          <w:szCs w:val="24"/>
          <w:lang w:eastAsia="en-GB"/>
        </w:rPr>
        <w:t xml:space="preserve">on Evaluation Platform in the COVE Building in order to have an increased evaluation capacity and also to better respond to an increasing number of evaluations done remotely. </w:t>
      </w:r>
      <w:r w:rsidR="003519D6" w:rsidRPr="007E0BFF">
        <w:rPr>
          <w:rFonts w:ascii="Times New Roman" w:hAnsi="Times New Roman"/>
          <w:sz w:val="24"/>
          <w:szCs w:val="24"/>
          <w:lang w:eastAsia="en-GB"/>
        </w:rPr>
        <w:t>The investments were implemented in two phases. Therefore, the A</w:t>
      </w:r>
      <w:r w:rsidRPr="007E0BFF">
        <w:rPr>
          <w:rFonts w:ascii="Times New Roman" w:hAnsi="Times New Roman"/>
          <w:sz w:val="24"/>
          <w:szCs w:val="24"/>
          <w:lang w:eastAsia="en-GB"/>
        </w:rPr>
        <w:t>gency</w:t>
      </w:r>
      <w:r w:rsidR="008423FE" w:rsidRPr="007E0BFF">
        <w:rPr>
          <w:rFonts w:ascii="Times New Roman" w:hAnsi="Times New Roman"/>
          <w:sz w:val="24"/>
          <w:szCs w:val="24"/>
          <w:lang w:eastAsia="en-GB"/>
        </w:rPr>
        <w:t xml:space="preserve"> </w:t>
      </w:r>
      <w:r w:rsidRPr="007E0BFF">
        <w:rPr>
          <w:rFonts w:ascii="Times New Roman" w:hAnsi="Times New Roman"/>
          <w:sz w:val="24"/>
          <w:szCs w:val="24"/>
          <w:lang w:eastAsia="en-GB"/>
        </w:rPr>
        <w:t xml:space="preserve">signed a </w:t>
      </w:r>
      <w:r w:rsidR="003519D6" w:rsidRPr="007E0BFF">
        <w:rPr>
          <w:rFonts w:ascii="Times New Roman" w:hAnsi="Times New Roman"/>
          <w:sz w:val="24"/>
          <w:szCs w:val="24"/>
          <w:lang w:eastAsia="en-GB"/>
        </w:rPr>
        <w:t xml:space="preserve">first </w:t>
      </w:r>
      <w:r w:rsidRPr="007E0BFF">
        <w:rPr>
          <w:rFonts w:ascii="Times New Roman" w:hAnsi="Times New Roman"/>
          <w:sz w:val="24"/>
          <w:szCs w:val="24"/>
          <w:lang w:eastAsia="en-GB"/>
        </w:rPr>
        <w:t xml:space="preserve">specific convention and cooperation agreement with the SCIC </w:t>
      </w:r>
      <w:r w:rsidR="003519D6" w:rsidRPr="007E0BFF">
        <w:rPr>
          <w:rFonts w:ascii="Times New Roman" w:hAnsi="Times New Roman"/>
          <w:sz w:val="24"/>
          <w:szCs w:val="24"/>
          <w:lang w:eastAsia="en-GB"/>
        </w:rPr>
        <w:t xml:space="preserve">in 2017 and a second one in 2018 </w:t>
      </w:r>
      <w:r w:rsidRPr="007E0BFF">
        <w:rPr>
          <w:rFonts w:ascii="Times New Roman" w:hAnsi="Times New Roman"/>
          <w:sz w:val="24"/>
          <w:szCs w:val="24"/>
          <w:lang w:eastAsia="en-GB"/>
        </w:rPr>
        <w:t xml:space="preserve">to cover </w:t>
      </w:r>
      <w:r w:rsidR="003519D6" w:rsidRPr="007E0BFF">
        <w:rPr>
          <w:rFonts w:ascii="Times New Roman" w:hAnsi="Times New Roman"/>
          <w:sz w:val="24"/>
          <w:szCs w:val="24"/>
          <w:lang w:eastAsia="en-GB"/>
        </w:rPr>
        <w:t xml:space="preserve">the </w:t>
      </w:r>
      <w:r w:rsidRPr="007E0BFF">
        <w:rPr>
          <w:rFonts w:ascii="Times New Roman" w:hAnsi="Times New Roman"/>
          <w:sz w:val="24"/>
          <w:szCs w:val="24"/>
          <w:lang w:eastAsia="en-GB"/>
        </w:rPr>
        <w:t>purchase and installation of audio-visual equipment</w:t>
      </w:r>
      <w:r w:rsidR="00F6400F" w:rsidRPr="007E0BFF">
        <w:rPr>
          <w:rFonts w:ascii="Times New Roman" w:hAnsi="Times New Roman"/>
          <w:sz w:val="24"/>
          <w:szCs w:val="24"/>
          <w:lang w:eastAsia="en-GB"/>
        </w:rPr>
        <w:t xml:space="preserve">. The </w:t>
      </w:r>
      <w:r w:rsidRPr="007E0BFF">
        <w:rPr>
          <w:rFonts w:ascii="Times New Roman" w:hAnsi="Times New Roman"/>
          <w:sz w:val="24"/>
          <w:szCs w:val="24"/>
          <w:lang w:eastAsia="en-GB"/>
        </w:rPr>
        <w:t xml:space="preserve">material </w:t>
      </w:r>
      <w:r w:rsidR="00F6400F" w:rsidRPr="007E0BFF">
        <w:rPr>
          <w:rFonts w:ascii="Times New Roman" w:hAnsi="Times New Roman"/>
          <w:sz w:val="24"/>
          <w:szCs w:val="24"/>
          <w:lang w:eastAsia="en-GB"/>
        </w:rPr>
        <w:t xml:space="preserve">corresponding to the second phase </w:t>
      </w:r>
      <w:r w:rsidR="008423FE" w:rsidRPr="007E0BFF">
        <w:rPr>
          <w:rFonts w:ascii="Times New Roman" w:hAnsi="Times New Roman"/>
          <w:sz w:val="24"/>
          <w:szCs w:val="24"/>
          <w:lang w:eastAsia="en-GB"/>
        </w:rPr>
        <w:t>has been</w:t>
      </w:r>
      <w:r w:rsidR="008E6D00" w:rsidRPr="007E0BFF">
        <w:rPr>
          <w:rFonts w:ascii="Times New Roman" w:hAnsi="Times New Roman"/>
          <w:sz w:val="24"/>
          <w:szCs w:val="24"/>
          <w:lang w:eastAsia="en-GB"/>
        </w:rPr>
        <w:t xml:space="preserve"> </w:t>
      </w:r>
      <w:r w:rsidR="00F6400F" w:rsidRPr="007E0BFF">
        <w:rPr>
          <w:rFonts w:ascii="Times New Roman" w:hAnsi="Times New Roman"/>
          <w:sz w:val="24"/>
          <w:szCs w:val="24"/>
          <w:lang w:eastAsia="en-GB"/>
        </w:rPr>
        <w:t>delivered and installed in 2019</w:t>
      </w:r>
      <w:r w:rsidRPr="007E0BFF">
        <w:rPr>
          <w:rFonts w:ascii="Times New Roman" w:hAnsi="Times New Roman"/>
          <w:sz w:val="24"/>
          <w:szCs w:val="24"/>
          <w:lang w:eastAsia="en-GB"/>
        </w:rPr>
        <w:t xml:space="preserve"> (€ </w:t>
      </w:r>
      <w:r w:rsidR="00F6400F" w:rsidRPr="007E0BFF">
        <w:rPr>
          <w:rFonts w:ascii="Times New Roman" w:hAnsi="Times New Roman"/>
          <w:sz w:val="24"/>
          <w:szCs w:val="24"/>
          <w:lang w:eastAsia="en-GB"/>
        </w:rPr>
        <w:t>633,475.03</w:t>
      </w:r>
      <w:r w:rsidRPr="007E0BFF">
        <w:rPr>
          <w:rFonts w:ascii="Times New Roman" w:hAnsi="Times New Roman"/>
          <w:sz w:val="24"/>
          <w:szCs w:val="24"/>
          <w:lang w:eastAsia="en-GB"/>
        </w:rPr>
        <w:t xml:space="preserve"> under additions).</w:t>
      </w:r>
      <w:r w:rsidR="008E6D00" w:rsidRPr="007E0BFF">
        <w:rPr>
          <w:rFonts w:ascii="Times New Roman" w:hAnsi="Times New Roman"/>
          <w:sz w:val="24"/>
          <w:szCs w:val="24"/>
          <w:lang w:eastAsia="en-GB"/>
        </w:rPr>
        <w:t xml:space="preserve"> </w:t>
      </w:r>
    </w:p>
    <w:p w14:paraId="7CF1AEFC" w14:textId="77777777" w:rsidR="00050B3A" w:rsidRPr="007E0BFF" w:rsidRDefault="00050B3A" w:rsidP="003F6D76">
      <w:pPr>
        <w:tabs>
          <w:tab w:val="left" w:pos="1440"/>
        </w:tabs>
        <w:suppressAutoHyphens/>
        <w:spacing w:after="120"/>
        <w:jc w:val="both"/>
      </w:pPr>
      <w:r w:rsidRPr="007E0BFF">
        <w:t xml:space="preserve">In 2019, the Agency renewed its fleet of photocopiers. </w:t>
      </w:r>
      <w:r w:rsidR="003F6D76" w:rsidRPr="007E0BFF">
        <w:t>The new equipment, installed in September, was acquired under a five-year finance lease at the end of which the Agency may decide to exercise its purchase option.</w:t>
      </w:r>
    </w:p>
    <w:p w14:paraId="5ED3001E" w14:textId="77777777" w:rsidR="00202664" w:rsidRPr="007E0BFF" w:rsidRDefault="00B91370" w:rsidP="008439BD">
      <w:pPr>
        <w:pStyle w:val="FStext"/>
        <w:spacing w:after="120"/>
        <w:rPr>
          <w:rFonts w:ascii="Times New Roman" w:hAnsi="Times New Roman"/>
          <w:b/>
          <w:i/>
          <w:sz w:val="24"/>
          <w:szCs w:val="24"/>
          <w:lang w:eastAsia="en-GB"/>
        </w:rPr>
      </w:pPr>
      <w:r w:rsidRPr="007E0BFF">
        <w:rPr>
          <w:rFonts w:ascii="Times New Roman" w:hAnsi="Times New Roman"/>
          <w:b/>
          <w:i/>
          <w:sz w:val="24"/>
          <w:szCs w:val="24"/>
          <w:lang w:eastAsia="en-GB"/>
        </w:rPr>
        <w:t>Current Assets</w:t>
      </w:r>
    </w:p>
    <w:p w14:paraId="5FB8616D" w14:textId="77777777" w:rsidR="00E22B07" w:rsidRPr="007E0BFF" w:rsidRDefault="00010E5C" w:rsidP="008439BD">
      <w:pPr>
        <w:pStyle w:val="Heading4"/>
        <w:numPr>
          <w:ilvl w:val="3"/>
          <w:numId w:val="11"/>
        </w:numPr>
        <w:spacing w:after="120"/>
        <w:rPr>
          <w:i/>
          <w:szCs w:val="24"/>
        </w:rPr>
      </w:pPr>
      <w:r w:rsidRPr="007E0BFF">
        <w:rPr>
          <w:i/>
          <w:szCs w:val="24"/>
        </w:rPr>
        <w:t>Current receivable customers (€ 32,724</w:t>
      </w:r>
      <w:r w:rsidR="00E22B07" w:rsidRPr="007E0BFF">
        <w:rPr>
          <w:i/>
          <w:szCs w:val="24"/>
        </w:rPr>
        <w:t>)</w:t>
      </w:r>
    </w:p>
    <w:p w14:paraId="3F7E8D55" w14:textId="77777777" w:rsidR="00010E5C" w:rsidRPr="007E0BFF" w:rsidRDefault="00800E0F" w:rsidP="00010E5C">
      <w:pPr>
        <w:pStyle w:val="Text4"/>
        <w:ind w:left="0"/>
        <w:rPr>
          <w:szCs w:val="24"/>
        </w:rPr>
      </w:pPr>
      <w:r w:rsidRPr="007E0BFF">
        <w:rPr>
          <w:szCs w:val="24"/>
        </w:rPr>
        <w:t>At the end of 2019, three recovery orders are not cashed out of wich two are overdue and reminders have been sent to the debtors concerned.</w:t>
      </w:r>
    </w:p>
    <w:p w14:paraId="7500BD95" w14:textId="77777777" w:rsidR="00010E5C" w:rsidRPr="007E0BFF" w:rsidRDefault="00010E5C" w:rsidP="00010E5C">
      <w:pPr>
        <w:pStyle w:val="Heading4"/>
        <w:numPr>
          <w:ilvl w:val="3"/>
          <w:numId w:val="11"/>
        </w:numPr>
        <w:spacing w:after="120"/>
        <w:rPr>
          <w:i/>
          <w:szCs w:val="24"/>
        </w:rPr>
      </w:pPr>
      <w:r w:rsidRPr="007E0BFF">
        <w:rPr>
          <w:i/>
          <w:szCs w:val="24"/>
        </w:rPr>
        <w:t>Deferred charges (€ 2,</w:t>
      </w:r>
      <w:r w:rsidR="00C0160B" w:rsidRPr="007E0BFF">
        <w:rPr>
          <w:i/>
          <w:szCs w:val="24"/>
        </w:rPr>
        <w:t>993</w:t>
      </w:r>
      <w:r w:rsidRPr="007E0BFF">
        <w:rPr>
          <w:i/>
          <w:szCs w:val="24"/>
        </w:rPr>
        <w:t>,</w:t>
      </w:r>
      <w:r w:rsidR="00C0160B" w:rsidRPr="007E0BFF">
        <w:rPr>
          <w:i/>
          <w:szCs w:val="24"/>
        </w:rPr>
        <w:t>529</w:t>
      </w:r>
      <w:r w:rsidRPr="007E0BFF">
        <w:rPr>
          <w:i/>
          <w:szCs w:val="24"/>
        </w:rPr>
        <w:t>)</w:t>
      </w:r>
    </w:p>
    <w:p w14:paraId="3875F6D0" w14:textId="705C87DE" w:rsidR="00E22B07" w:rsidRPr="007E0BFF" w:rsidRDefault="00E22B07" w:rsidP="008439BD">
      <w:pPr>
        <w:tabs>
          <w:tab w:val="left" w:pos="1440"/>
        </w:tabs>
        <w:suppressAutoHyphens/>
        <w:spacing w:after="120"/>
        <w:jc w:val="both"/>
        <w:rPr>
          <w:bCs/>
        </w:rPr>
      </w:pPr>
      <w:r w:rsidRPr="007E0BFF">
        <w:rPr>
          <w:bCs/>
        </w:rPr>
        <w:t xml:space="preserve">The </w:t>
      </w:r>
      <w:r w:rsidRPr="007E0BFF">
        <w:t>deferred</w:t>
      </w:r>
      <w:r w:rsidRPr="007E0BFF">
        <w:rPr>
          <w:bCs/>
        </w:rPr>
        <w:t xml:space="preserve"> charges include</w:t>
      </w:r>
      <w:r w:rsidR="00CC2FD8" w:rsidRPr="007E0BFF">
        <w:rPr>
          <w:bCs/>
        </w:rPr>
        <w:t xml:space="preserve"> the</w:t>
      </w:r>
      <w:r w:rsidRPr="007E0BFF">
        <w:rPr>
          <w:bCs/>
        </w:rPr>
        <w:t xml:space="preserve"> part of the usufruct </w:t>
      </w:r>
      <w:r w:rsidR="00CC2FD8" w:rsidRPr="007E0BFF">
        <w:rPr>
          <w:bCs/>
        </w:rPr>
        <w:t>instalment</w:t>
      </w:r>
      <w:r w:rsidRPr="007E0BFF">
        <w:rPr>
          <w:bCs/>
        </w:rPr>
        <w:t xml:space="preserve"> for REA's premises (offices in COV2) paid in 201</w:t>
      </w:r>
      <w:r w:rsidR="00C0160B" w:rsidRPr="007E0BFF">
        <w:rPr>
          <w:bCs/>
        </w:rPr>
        <w:t>9</w:t>
      </w:r>
      <w:r w:rsidRPr="007E0BFF">
        <w:rPr>
          <w:bCs/>
        </w:rPr>
        <w:t xml:space="preserve"> and </w:t>
      </w:r>
      <w:r w:rsidR="00A94A10" w:rsidRPr="007E0BFF">
        <w:rPr>
          <w:bCs/>
        </w:rPr>
        <w:t>related</w:t>
      </w:r>
      <w:r w:rsidRPr="007E0BFF">
        <w:rPr>
          <w:bCs/>
        </w:rPr>
        <w:t xml:space="preserve"> to </w:t>
      </w:r>
      <w:r w:rsidR="005A6171" w:rsidRPr="007E0BFF">
        <w:rPr>
          <w:bCs/>
        </w:rPr>
        <w:t>20</w:t>
      </w:r>
      <w:r w:rsidR="005A6171">
        <w:rPr>
          <w:bCs/>
        </w:rPr>
        <w:t xml:space="preserve">20 </w:t>
      </w:r>
      <w:r w:rsidRPr="007E0BFF">
        <w:rPr>
          <w:bCs/>
        </w:rPr>
        <w:t>(€ 2</w:t>
      </w:r>
      <w:r w:rsidR="00A94A10" w:rsidRPr="007E0BFF">
        <w:rPr>
          <w:bCs/>
        </w:rPr>
        <w:t>,</w:t>
      </w:r>
      <w:r w:rsidR="00C0160B" w:rsidRPr="007E0BFF">
        <w:rPr>
          <w:bCs/>
        </w:rPr>
        <w:t>812,424</w:t>
      </w:r>
      <w:r w:rsidR="00002B5E" w:rsidRPr="007E0BFF">
        <w:rPr>
          <w:bCs/>
        </w:rPr>
        <w:t>) and other prepaid charges</w:t>
      </w:r>
      <w:r w:rsidR="0016219C">
        <w:rPr>
          <w:bCs/>
        </w:rPr>
        <w:t xml:space="preserve"> </w:t>
      </w:r>
      <w:r w:rsidR="00002B5E" w:rsidRPr="007E0BFF">
        <w:rPr>
          <w:bCs/>
        </w:rPr>
        <w:t>(</w:t>
      </w:r>
      <w:r w:rsidR="00FA786C" w:rsidRPr="007E0BFF">
        <w:rPr>
          <w:bCs/>
        </w:rPr>
        <w:t>€</w:t>
      </w:r>
      <w:r w:rsidR="0016219C">
        <w:t> </w:t>
      </w:r>
      <w:r w:rsidR="006E0978">
        <w:rPr>
          <w:bCs/>
        </w:rPr>
        <w:t>181,105</w:t>
      </w:r>
      <w:r w:rsidRPr="007E0BFF">
        <w:rPr>
          <w:bCs/>
        </w:rPr>
        <w:t>)</w:t>
      </w:r>
      <w:r w:rsidR="00993241" w:rsidRPr="007E0BFF">
        <w:rPr>
          <w:bCs/>
        </w:rPr>
        <w:t xml:space="preserve"> mainly related to IT maintenance</w:t>
      </w:r>
      <w:r w:rsidRPr="007E0BFF">
        <w:rPr>
          <w:bCs/>
        </w:rPr>
        <w:t>.</w:t>
      </w:r>
    </w:p>
    <w:p w14:paraId="208A62CE" w14:textId="77777777" w:rsidR="00E22B07" w:rsidRPr="007E0BFF" w:rsidRDefault="00E22B07" w:rsidP="008439BD">
      <w:pPr>
        <w:pStyle w:val="Heading4"/>
        <w:numPr>
          <w:ilvl w:val="3"/>
          <w:numId w:val="11"/>
        </w:numPr>
        <w:spacing w:before="240" w:after="120"/>
        <w:rPr>
          <w:i/>
          <w:szCs w:val="24"/>
        </w:rPr>
      </w:pPr>
      <w:r w:rsidRPr="007E0BFF">
        <w:rPr>
          <w:i/>
          <w:szCs w:val="24"/>
        </w:rPr>
        <w:t xml:space="preserve">Deferred charges consolidated entities </w:t>
      </w:r>
      <w:r w:rsidR="00C0160B" w:rsidRPr="007E0BFF">
        <w:rPr>
          <w:i/>
          <w:szCs w:val="24"/>
        </w:rPr>
        <w:t>(€ 55,669</w:t>
      </w:r>
      <w:r w:rsidRPr="007E0BFF">
        <w:rPr>
          <w:i/>
          <w:szCs w:val="24"/>
        </w:rPr>
        <w:t>)</w:t>
      </w:r>
      <w:r w:rsidR="00AA6305" w:rsidRPr="007E0BFF">
        <w:rPr>
          <w:i/>
          <w:szCs w:val="24"/>
        </w:rPr>
        <w:t xml:space="preserve"> </w:t>
      </w:r>
    </w:p>
    <w:p w14:paraId="77FD391F" w14:textId="77777777" w:rsidR="00F727F0" w:rsidRPr="007E0BFF" w:rsidRDefault="0016077E" w:rsidP="00A64D26">
      <w:pPr>
        <w:pStyle w:val="Text4"/>
        <w:ind w:left="0"/>
        <w:rPr>
          <w:bCs/>
          <w:szCs w:val="24"/>
        </w:rPr>
      </w:pPr>
      <w:r w:rsidRPr="007E0BFF">
        <w:rPr>
          <w:bCs/>
          <w:szCs w:val="24"/>
        </w:rPr>
        <w:t>The Agency has prepaid in 2019</w:t>
      </w:r>
      <w:r w:rsidR="00F727F0" w:rsidRPr="007E0BFF">
        <w:rPr>
          <w:bCs/>
          <w:szCs w:val="24"/>
        </w:rPr>
        <w:t>:</w:t>
      </w:r>
    </w:p>
    <w:p w14:paraId="4885549F" w14:textId="1E0AD88E" w:rsidR="004003A0" w:rsidRPr="007E0BFF" w:rsidRDefault="004003A0" w:rsidP="00DE7CF7">
      <w:pPr>
        <w:pStyle w:val="ListParagraph"/>
        <w:numPr>
          <w:ilvl w:val="0"/>
          <w:numId w:val="19"/>
        </w:numPr>
        <w:spacing w:after="120"/>
        <w:ind w:left="284" w:hanging="284"/>
        <w:contextualSpacing w:val="0"/>
        <w:jc w:val="both"/>
        <w:rPr>
          <w:bCs/>
        </w:rPr>
      </w:pPr>
      <w:r w:rsidRPr="007E0BFF">
        <w:rPr>
          <w:bCs/>
        </w:rPr>
        <w:t xml:space="preserve">€ 44,331 to OIB for </w:t>
      </w:r>
      <w:r w:rsidR="006E0978">
        <w:rPr>
          <w:bCs/>
        </w:rPr>
        <w:t xml:space="preserve">waste </w:t>
      </w:r>
      <w:r w:rsidRPr="007E0BFF">
        <w:rPr>
          <w:bCs/>
        </w:rPr>
        <w:t>sorting station</w:t>
      </w:r>
      <w:r w:rsidR="006E0978">
        <w:rPr>
          <w:bCs/>
        </w:rPr>
        <w:t>s</w:t>
      </w:r>
      <w:r w:rsidRPr="007E0BFF">
        <w:rPr>
          <w:bCs/>
        </w:rPr>
        <w:t xml:space="preserve"> to be delivered in 2020;</w:t>
      </w:r>
    </w:p>
    <w:p w14:paraId="3E0C2311" w14:textId="77777777" w:rsidR="00723EF4" w:rsidRPr="007E0BFF" w:rsidRDefault="0040131C" w:rsidP="00DE7CF7">
      <w:pPr>
        <w:pStyle w:val="ListParagraph"/>
        <w:numPr>
          <w:ilvl w:val="0"/>
          <w:numId w:val="19"/>
        </w:numPr>
        <w:spacing w:after="120"/>
        <w:ind w:left="284" w:hanging="284"/>
        <w:contextualSpacing w:val="0"/>
        <w:jc w:val="both"/>
        <w:rPr>
          <w:bCs/>
        </w:rPr>
      </w:pPr>
      <w:r w:rsidRPr="007E0BFF">
        <w:rPr>
          <w:bCs/>
        </w:rPr>
        <w:t xml:space="preserve">€ </w:t>
      </w:r>
      <w:r w:rsidR="00723EF4" w:rsidRPr="007E0BFF">
        <w:rPr>
          <w:bCs/>
        </w:rPr>
        <w:t>11,338</w:t>
      </w:r>
      <w:r w:rsidRPr="007E0BFF">
        <w:rPr>
          <w:bCs/>
        </w:rPr>
        <w:t xml:space="preserve"> to DG </w:t>
      </w:r>
      <w:r w:rsidRPr="007E0BFF">
        <w:rPr>
          <w:bCs/>
          <w:color w:val="000000" w:themeColor="text1"/>
        </w:rPr>
        <w:t>EAC</w:t>
      </w:r>
      <w:r w:rsidRPr="007E0BFF">
        <w:rPr>
          <w:bCs/>
        </w:rPr>
        <w:t xml:space="preserve"> for trainees</w:t>
      </w:r>
      <w:r w:rsidR="00023AFB" w:rsidRPr="007E0BFF">
        <w:rPr>
          <w:bCs/>
        </w:rPr>
        <w:t xml:space="preserve"> (period January </w:t>
      </w:r>
      <w:r w:rsidR="004E7ED2" w:rsidRPr="007E0BFF">
        <w:rPr>
          <w:bCs/>
        </w:rPr>
        <w:t xml:space="preserve">to </w:t>
      </w:r>
      <w:r w:rsidR="00723EF4" w:rsidRPr="007E0BFF">
        <w:rPr>
          <w:bCs/>
        </w:rPr>
        <w:t>February 2020)</w:t>
      </w:r>
      <w:r w:rsidR="004003A0" w:rsidRPr="007E0BFF">
        <w:rPr>
          <w:bCs/>
        </w:rPr>
        <w:t>.</w:t>
      </w:r>
    </w:p>
    <w:p w14:paraId="72AA0BB4" w14:textId="77777777" w:rsidR="0016077E" w:rsidRPr="007E0BFF" w:rsidRDefault="009451C2" w:rsidP="009D3107">
      <w:pPr>
        <w:pStyle w:val="ListParagraph"/>
        <w:ind w:left="0"/>
        <w:contextualSpacing w:val="0"/>
        <w:jc w:val="both"/>
        <w:rPr>
          <w:bCs/>
        </w:rPr>
      </w:pPr>
      <w:r w:rsidRPr="007E0BFF">
        <w:rPr>
          <w:bCs/>
        </w:rPr>
        <w:t xml:space="preserve">The significant decrease compared to last year is mainly due to the fact that </w:t>
      </w:r>
      <w:r w:rsidR="004003A0" w:rsidRPr="007E0BFF">
        <w:rPr>
          <w:bCs/>
        </w:rPr>
        <w:t>the A</w:t>
      </w:r>
      <w:r w:rsidR="0016077E" w:rsidRPr="007E0BFF">
        <w:rPr>
          <w:bCs/>
        </w:rPr>
        <w:t xml:space="preserve">gency had prepaid </w:t>
      </w:r>
      <w:r w:rsidR="004003A0" w:rsidRPr="007E0BFF">
        <w:rPr>
          <w:bCs/>
        </w:rPr>
        <w:t xml:space="preserve">to SCIC </w:t>
      </w:r>
      <w:r w:rsidRPr="007E0BFF">
        <w:rPr>
          <w:bCs/>
        </w:rPr>
        <w:t xml:space="preserve">in 2018 </w:t>
      </w:r>
      <w:r w:rsidR="0016077E" w:rsidRPr="007E0BFF">
        <w:rPr>
          <w:bCs/>
        </w:rPr>
        <w:t xml:space="preserve">the delivery and installation of audio-visual equipment </w:t>
      </w:r>
      <w:r w:rsidR="004003A0" w:rsidRPr="007E0BFF">
        <w:rPr>
          <w:bCs/>
        </w:rPr>
        <w:t>for the second phase of investment on the Common Evalu</w:t>
      </w:r>
      <w:r w:rsidR="009D3107" w:rsidRPr="007E0BFF">
        <w:rPr>
          <w:bCs/>
        </w:rPr>
        <w:t>ation Platform.</w:t>
      </w:r>
    </w:p>
    <w:p w14:paraId="008FF201" w14:textId="77777777" w:rsidR="00E22B07" w:rsidRPr="007E0BFF" w:rsidRDefault="00E22B07" w:rsidP="008439BD">
      <w:pPr>
        <w:pStyle w:val="Heading4"/>
        <w:numPr>
          <w:ilvl w:val="3"/>
          <w:numId w:val="11"/>
        </w:numPr>
        <w:spacing w:before="240" w:after="120"/>
        <w:ind w:left="539" w:hanging="539"/>
        <w:rPr>
          <w:i/>
          <w:szCs w:val="24"/>
        </w:rPr>
      </w:pPr>
      <w:r w:rsidRPr="007E0BFF">
        <w:rPr>
          <w:i/>
          <w:szCs w:val="24"/>
        </w:rPr>
        <w:lastRenderedPageBreak/>
        <w:t xml:space="preserve">Sundry Receivables (€ </w:t>
      </w:r>
      <w:r w:rsidR="00D307B5" w:rsidRPr="007E0BFF">
        <w:rPr>
          <w:i/>
          <w:szCs w:val="24"/>
        </w:rPr>
        <w:t>66,221</w:t>
      </w:r>
      <w:r w:rsidRPr="007E0BFF">
        <w:rPr>
          <w:i/>
          <w:szCs w:val="24"/>
        </w:rPr>
        <w:t>)</w:t>
      </w:r>
    </w:p>
    <w:p w14:paraId="2D43BC59" w14:textId="28D54716" w:rsidR="00E22B07" w:rsidRPr="007E0BFF" w:rsidRDefault="00181697" w:rsidP="00D307B5">
      <w:pPr>
        <w:tabs>
          <w:tab w:val="left" w:pos="1440"/>
        </w:tabs>
        <w:suppressAutoHyphens/>
        <w:spacing w:after="120"/>
        <w:jc w:val="both"/>
      </w:pPr>
      <w:r w:rsidRPr="007E0BFF">
        <w:t xml:space="preserve">The sundry </w:t>
      </w:r>
      <w:r w:rsidR="00E22B07" w:rsidRPr="007E0BFF">
        <w:t xml:space="preserve">receivables </w:t>
      </w:r>
      <w:r w:rsidR="00D307B5" w:rsidRPr="007E0BFF">
        <w:t xml:space="preserve">relate </w:t>
      </w:r>
      <w:r w:rsidR="00E17713" w:rsidRPr="007E0BFF">
        <w:t xml:space="preserve">to </w:t>
      </w:r>
      <w:r w:rsidRPr="007E0BFF">
        <w:rPr>
          <w:bCs/>
        </w:rPr>
        <w:t>salary</w:t>
      </w:r>
      <w:r w:rsidRPr="007E0BFF">
        <w:t xml:space="preserve"> </w:t>
      </w:r>
      <w:r w:rsidR="00E22B07" w:rsidRPr="007E0BFF">
        <w:t>regularisations</w:t>
      </w:r>
      <w:r w:rsidR="002F21BD" w:rsidRPr="007E0BFF">
        <w:t xml:space="preserve"> or other regularisations linked to the payroll </w:t>
      </w:r>
      <w:r w:rsidR="00097559" w:rsidRPr="007E0BFF">
        <w:t xml:space="preserve">(€ </w:t>
      </w:r>
      <w:r w:rsidR="00E17713" w:rsidRPr="007E0BFF">
        <w:t>69,690</w:t>
      </w:r>
      <w:r w:rsidR="00097559" w:rsidRPr="007E0BFF">
        <w:t>)</w:t>
      </w:r>
      <w:r w:rsidR="00E22B07" w:rsidRPr="007E0BFF">
        <w:t xml:space="preserve"> </w:t>
      </w:r>
      <w:r w:rsidR="00E71C99" w:rsidRPr="007E0BFF">
        <w:t xml:space="preserve">vis-à-vis </w:t>
      </w:r>
      <w:r w:rsidRPr="007E0BFF">
        <w:t>staff</w:t>
      </w:r>
      <w:r w:rsidR="00E22B07" w:rsidRPr="007E0BFF">
        <w:t>.</w:t>
      </w:r>
    </w:p>
    <w:p w14:paraId="1A9D6DB7" w14:textId="77777777" w:rsidR="001A1618" w:rsidRPr="007E0BFF" w:rsidRDefault="001A1618" w:rsidP="001A1618">
      <w:pPr>
        <w:pStyle w:val="Heading4"/>
        <w:numPr>
          <w:ilvl w:val="3"/>
          <w:numId w:val="11"/>
        </w:numPr>
        <w:spacing w:before="240" w:after="120"/>
        <w:ind w:left="539" w:hanging="539"/>
        <w:rPr>
          <w:i/>
          <w:szCs w:val="24"/>
        </w:rPr>
      </w:pPr>
      <w:r w:rsidRPr="007E0BFF">
        <w:rPr>
          <w:i/>
          <w:szCs w:val="24"/>
        </w:rPr>
        <w:t>Current receivable consolidated entities (€ 457,310)</w:t>
      </w:r>
    </w:p>
    <w:p w14:paraId="2486BA1F" w14:textId="112659C9" w:rsidR="001A1618" w:rsidRPr="007E0BFF" w:rsidRDefault="00A15E93" w:rsidP="00D307B5">
      <w:pPr>
        <w:tabs>
          <w:tab w:val="left" w:pos="1440"/>
        </w:tabs>
        <w:suppressAutoHyphens/>
        <w:spacing w:after="120"/>
        <w:jc w:val="both"/>
      </w:pPr>
      <w:r w:rsidRPr="007E0BFF">
        <w:t>REA has re-i</w:t>
      </w:r>
      <w:r w:rsidR="00C96AA8">
        <w:t>n</w:t>
      </w:r>
      <w:r w:rsidRPr="007E0BFF">
        <w:t xml:space="preserve">voiced </w:t>
      </w:r>
      <w:r w:rsidR="00CF3E6A" w:rsidRPr="007E0BFF">
        <w:t xml:space="preserve">the rent </w:t>
      </w:r>
      <w:r w:rsidRPr="007E0BFF">
        <w:t xml:space="preserve">of </w:t>
      </w:r>
      <w:r w:rsidR="00CF3E6A" w:rsidRPr="007E0BFF">
        <w:t>the 19th floor for the period from 19/11/2019 to 23/09/2020</w:t>
      </w:r>
      <w:r w:rsidRPr="007E0BFF">
        <w:t xml:space="preserve"> to ERCEA. </w:t>
      </w:r>
      <w:r w:rsidR="00CF3E6A" w:rsidRPr="007E0BFF">
        <w:t xml:space="preserve">The debit note was sent at the end of the year and </w:t>
      </w:r>
      <w:r w:rsidRPr="007E0BFF">
        <w:t>will be cashed in 2020.</w:t>
      </w:r>
    </w:p>
    <w:p w14:paraId="5F9EEEAB" w14:textId="77777777" w:rsidR="00A15E93" w:rsidRPr="007E0BFF" w:rsidRDefault="00A15E93" w:rsidP="00A15E93">
      <w:pPr>
        <w:pStyle w:val="Heading4"/>
        <w:numPr>
          <w:ilvl w:val="3"/>
          <w:numId w:val="11"/>
        </w:numPr>
        <w:spacing w:before="240" w:after="120"/>
        <w:ind w:left="539" w:hanging="539"/>
        <w:rPr>
          <w:i/>
          <w:szCs w:val="24"/>
        </w:rPr>
      </w:pPr>
      <w:r w:rsidRPr="007E0BFF">
        <w:rPr>
          <w:i/>
          <w:szCs w:val="24"/>
        </w:rPr>
        <w:t>Accrued income (€ 7,000)</w:t>
      </w:r>
    </w:p>
    <w:p w14:paraId="6F370F8A" w14:textId="29C15577" w:rsidR="00A15E93" w:rsidRPr="007E0BFF" w:rsidRDefault="00187726" w:rsidP="00D307B5">
      <w:pPr>
        <w:tabs>
          <w:tab w:val="left" w:pos="1440"/>
        </w:tabs>
        <w:suppressAutoHyphens/>
        <w:spacing w:after="120"/>
        <w:jc w:val="both"/>
      </w:pPr>
      <w:r w:rsidRPr="007E0BFF">
        <w:t xml:space="preserve">This amount relates to the part of the selection costs incurred by the Agency for the constitution of a reserve list of candidates which was used by </w:t>
      </w:r>
      <w:r w:rsidR="00C96AA8">
        <w:t>the EPS</w:t>
      </w:r>
      <w:r w:rsidR="005D6AF3" w:rsidRPr="007E0BFF">
        <w:t>O for the recruitment of one</w:t>
      </w:r>
      <w:r w:rsidRPr="007E0BFF">
        <w:t xml:space="preserve"> member of </w:t>
      </w:r>
      <w:r w:rsidR="005D6AF3" w:rsidRPr="007E0BFF">
        <w:t xml:space="preserve">its </w:t>
      </w:r>
      <w:r w:rsidRPr="007E0BFF">
        <w:t>staff.</w:t>
      </w:r>
    </w:p>
    <w:p w14:paraId="2E5C1B91" w14:textId="77777777" w:rsidR="00FB1339" w:rsidRPr="007E0BFF" w:rsidRDefault="002B4362" w:rsidP="008439BD">
      <w:pPr>
        <w:pStyle w:val="Heading4"/>
        <w:numPr>
          <w:ilvl w:val="3"/>
          <w:numId w:val="11"/>
        </w:numPr>
        <w:spacing w:before="240" w:after="120"/>
        <w:ind w:left="539" w:hanging="539"/>
        <w:rPr>
          <w:i/>
          <w:szCs w:val="24"/>
        </w:rPr>
      </w:pPr>
      <w:r w:rsidRPr="007E0BFF">
        <w:rPr>
          <w:i/>
          <w:szCs w:val="24"/>
        </w:rPr>
        <w:t xml:space="preserve">Other </w:t>
      </w:r>
      <w:r w:rsidR="005D6AF3" w:rsidRPr="007E0BFF">
        <w:rPr>
          <w:i/>
          <w:szCs w:val="24"/>
        </w:rPr>
        <w:t>non exchange receivables</w:t>
      </w:r>
      <w:r w:rsidRPr="007E0BFF">
        <w:rPr>
          <w:i/>
          <w:szCs w:val="24"/>
        </w:rPr>
        <w:t xml:space="preserve"> </w:t>
      </w:r>
      <w:r w:rsidR="00CB6D22" w:rsidRPr="007E0BFF">
        <w:rPr>
          <w:i/>
          <w:szCs w:val="24"/>
        </w:rPr>
        <w:t>(€</w:t>
      </w:r>
      <w:r w:rsidR="001807AB" w:rsidRPr="007E0BFF">
        <w:rPr>
          <w:i/>
          <w:szCs w:val="24"/>
        </w:rPr>
        <w:t xml:space="preserve"> </w:t>
      </w:r>
      <w:r w:rsidR="005D6AF3" w:rsidRPr="007E0BFF">
        <w:rPr>
          <w:i/>
          <w:szCs w:val="24"/>
        </w:rPr>
        <w:t>1,055</w:t>
      </w:r>
      <w:r w:rsidR="00CB6D22" w:rsidRPr="007E0BFF">
        <w:rPr>
          <w:i/>
          <w:szCs w:val="24"/>
        </w:rPr>
        <w:t>)</w:t>
      </w:r>
    </w:p>
    <w:p w14:paraId="1E9A5C06" w14:textId="06137899" w:rsidR="002F21BD" w:rsidRPr="007E0BFF" w:rsidRDefault="002F21BD" w:rsidP="008439BD">
      <w:pPr>
        <w:pStyle w:val="Text4"/>
        <w:spacing w:after="120"/>
        <w:ind w:left="0"/>
        <w:rPr>
          <w:szCs w:val="24"/>
        </w:rPr>
      </w:pPr>
      <w:r w:rsidRPr="007E0BFF">
        <w:rPr>
          <w:szCs w:val="24"/>
        </w:rPr>
        <w:t xml:space="preserve">This amount corresponds to </w:t>
      </w:r>
      <w:r w:rsidR="001A75A8">
        <w:rPr>
          <w:szCs w:val="24"/>
        </w:rPr>
        <w:t xml:space="preserve">debit notes not yet due at 31 december 2019.  These debit notes relate to payroll </w:t>
      </w:r>
      <w:r w:rsidRPr="007E0BFF">
        <w:rPr>
          <w:szCs w:val="24"/>
        </w:rPr>
        <w:t xml:space="preserve">regularisations with </w:t>
      </w:r>
      <w:r w:rsidR="006E0978">
        <w:rPr>
          <w:szCs w:val="24"/>
        </w:rPr>
        <w:t>a non consolidated entity and to penalties charged to a contractor for non compliance with contractual provisions</w:t>
      </w:r>
    </w:p>
    <w:p w14:paraId="22C91D8F" w14:textId="77777777" w:rsidR="00F61A3F" w:rsidRPr="007E0BFF" w:rsidRDefault="00F61A3F" w:rsidP="008439BD">
      <w:pPr>
        <w:pStyle w:val="Heading4"/>
        <w:numPr>
          <w:ilvl w:val="3"/>
          <w:numId w:val="11"/>
        </w:numPr>
        <w:spacing w:before="240" w:after="120"/>
        <w:ind w:left="539" w:hanging="539"/>
        <w:rPr>
          <w:i/>
          <w:szCs w:val="24"/>
        </w:rPr>
      </w:pPr>
      <w:r w:rsidRPr="007E0BFF">
        <w:rPr>
          <w:i/>
          <w:szCs w:val="24"/>
        </w:rPr>
        <w:t>Cash and cash equivalents</w:t>
      </w:r>
      <w:r w:rsidR="00D5689C" w:rsidRPr="007E0BFF">
        <w:rPr>
          <w:i/>
          <w:szCs w:val="24"/>
        </w:rPr>
        <w:t xml:space="preserve"> (€ </w:t>
      </w:r>
      <w:r w:rsidR="001A1618" w:rsidRPr="007E0BFF">
        <w:rPr>
          <w:i/>
          <w:szCs w:val="24"/>
        </w:rPr>
        <w:t>7,131,227</w:t>
      </w:r>
      <w:r w:rsidRPr="007E0BFF">
        <w:rPr>
          <w:i/>
          <w:szCs w:val="24"/>
        </w:rPr>
        <w:t xml:space="preserve">) </w:t>
      </w:r>
    </w:p>
    <w:p w14:paraId="187FC673" w14:textId="77777777" w:rsidR="002B4362" w:rsidRPr="007E0BFF" w:rsidRDefault="00F61A3F" w:rsidP="008439BD">
      <w:pPr>
        <w:tabs>
          <w:tab w:val="left" w:pos="1440"/>
        </w:tabs>
        <w:suppressAutoHyphens/>
        <w:spacing w:after="120"/>
        <w:jc w:val="both"/>
        <w:rPr>
          <w:bCs/>
        </w:rPr>
      </w:pPr>
      <w:r w:rsidRPr="007E0BFF">
        <w:rPr>
          <w:bCs/>
        </w:rPr>
        <w:t xml:space="preserve">This </w:t>
      </w:r>
      <w:r w:rsidRPr="007E0BFF">
        <w:t>balance</w:t>
      </w:r>
      <w:r w:rsidRPr="007E0BFF">
        <w:rPr>
          <w:bCs/>
        </w:rPr>
        <w:t xml:space="preserve"> corresponds exclusively to the cash held on the REA's bank account on 31</w:t>
      </w:r>
      <w:r w:rsidR="008619DB" w:rsidRPr="007E0BFF">
        <w:rPr>
          <w:bCs/>
        </w:rPr>
        <w:t> </w:t>
      </w:r>
      <w:r w:rsidR="004F788E" w:rsidRPr="007E0BFF">
        <w:rPr>
          <w:bCs/>
        </w:rPr>
        <w:t xml:space="preserve">December </w:t>
      </w:r>
      <w:r w:rsidR="00FA0A1F" w:rsidRPr="007E0BFF">
        <w:rPr>
          <w:bCs/>
        </w:rPr>
        <w:t>201</w:t>
      </w:r>
      <w:r w:rsidR="001A1618" w:rsidRPr="007E0BFF">
        <w:rPr>
          <w:bCs/>
        </w:rPr>
        <w:t>9</w:t>
      </w:r>
      <w:r w:rsidRPr="007E0BFF">
        <w:rPr>
          <w:bCs/>
        </w:rPr>
        <w:t xml:space="preserve">. </w:t>
      </w:r>
      <w:r w:rsidR="00E14120" w:rsidRPr="007E0BFF">
        <w:rPr>
          <w:bCs/>
        </w:rPr>
        <w:t>The bank account is</w:t>
      </w:r>
      <w:r w:rsidR="00331EDB" w:rsidRPr="007E0BFF">
        <w:rPr>
          <w:bCs/>
        </w:rPr>
        <w:t xml:space="preserve"> held with ING. </w:t>
      </w:r>
      <w:r w:rsidR="00B54068" w:rsidRPr="007E0BFF">
        <w:rPr>
          <w:bCs/>
        </w:rPr>
        <w:t>REA</w:t>
      </w:r>
      <w:r w:rsidRPr="007E0BFF">
        <w:rPr>
          <w:bCs/>
        </w:rPr>
        <w:t xml:space="preserve"> does not hold any petty cash or other cash equivalents.</w:t>
      </w:r>
    </w:p>
    <w:p w14:paraId="78ECF8E6" w14:textId="77777777" w:rsidR="00B448B8" w:rsidRPr="007E0BFF" w:rsidRDefault="00B448B8" w:rsidP="00B448B8">
      <w:pPr>
        <w:pStyle w:val="Text3"/>
        <w:spacing w:before="240" w:after="120"/>
        <w:ind w:left="0"/>
        <w:rPr>
          <w:b/>
          <w:i/>
          <w:szCs w:val="24"/>
          <w:lang w:val="fr-BE"/>
        </w:rPr>
      </w:pPr>
      <w:r w:rsidRPr="007E0BFF">
        <w:rPr>
          <w:b/>
          <w:i/>
          <w:szCs w:val="24"/>
          <w:lang w:val="fr-BE"/>
        </w:rPr>
        <w:t>Non Current liabilities</w:t>
      </w:r>
    </w:p>
    <w:p w14:paraId="36158891" w14:textId="77777777" w:rsidR="00B448B8" w:rsidRPr="007E0BFF" w:rsidRDefault="00B448B8" w:rsidP="00B448B8">
      <w:pPr>
        <w:pStyle w:val="Heading4"/>
        <w:numPr>
          <w:ilvl w:val="3"/>
          <w:numId w:val="11"/>
        </w:numPr>
        <w:spacing w:after="120"/>
        <w:ind w:left="539" w:hanging="539"/>
        <w:rPr>
          <w:i/>
          <w:szCs w:val="24"/>
        </w:rPr>
      </w:pPr>
      <w:r w:rsidRPr="007E0BFF">
        <w:rPr>
          <w:i/>
          <w:szCs w:val="24"/>
        </w:rPr>
        <w:t>Long</w:t>
      </w:r>
      <w:r w:rsidR="009D3107" w:rsidRPr="007E0BFF">
        <w:rPr>
          <w:i/>
          <w:szCs w:val="24"/>
        </w:rPr>
        <w:t>-</w:t>
      </w:r>
      <w:r w:rsidRPr="007E0BFF">
        <w:rPr>
          <w:i/>
          <w:szCs w:val="24"/>
        </w:rPr>
        <w:t>term lease (€ 121,153)</w:t>
      </w:r>
    </w:p>
    <w:p w14:paraId="7324E3A3" w14:textId="77777777" w:rsidR="00B448B8" w:rsidRPr="007E0BFF" w:rsidRDefault="00B448B8" w:rsidP="008439BD">
      <w:pPr>
        <w:tabs>
          <w:tab w:val="left" w:pos="1440"/>
        </w:tabs>
        <w:suppressAutoHyphens/>
        <w:spacing w:after="120"/>
        <w:jc w:val="both"/>
        <w:rPr>
          <w:bCs/>
        </w:rPr>
      </w:pPr>
      <w:r w:rsidRPr="007E0BFF">
        <w:rPr>
          <w:bCs/>
        </w:rPr>
        <w:t>The amount corresponds to the portion of the debt due in more than one year for photocopiers acquired by the Agency via a financial leasing contract.</w:t>
      </w:r>
    </w:p>
    <w:p w14:paraId="693DD08F" w14:textId="77777777" w:rsidR="001747E1" w:rsidRPr="007E0BFF" w:rsidRDefault="001747E1" w:rsidP="008439BD">
      <w:pPr>
        <w:pStyle w:val="Text3"/>
        <w:spacing w:before="240" w:after="120"/>
        <w:ind w:left="0"/>
        <w:rPr>
          <w:b/>
          <w:i/>
          <w:szCs w:val="24"/>
          <w:lang w:val="fr-BE"/>
        </w:rPr>
      </w:pPr>
      <w:r w:rsidRPr="007E0BFF">
        <w:rPr>
          <w:b/>
          <w:i/>
          <w:szCs w:val="24"/>
          <w:lang w:val="fr-BE"/>
        </w:rPr>
        <w:t>Current liabilities</w:t>
      </w:r>
    </w:p>
    <w:p w14:paraId="0376F0F8" w14:textId="77777777" w:rsidR="00F61A3F" w:rsidRPr="007E0BFF" w:rsidRDefault="00B448B8" w:rsidP="008439BD">
      <w:pPr>
        <w:pStyle w:val="Heading4"/>
        <w:numPr>
          <w:ilvl w:val="3"/>
          <w:numId w:val="11"/>
        </w:numPr>
        <w:spacing w:after="120"/>
        <w:ind w:left="539" w:hanging="539"/>
        <w:rPr>
          <w:i/>
          <w:szCs w:val="24"/>
        </w:rPr>
      </w:pPr>
      <w:r w:rsidRPr="007E0BFF">
        <w:rPr>
          <w:i/>
          <w:szCs w:val="24"/>
        </w:rPr>
        <w:t>Short</w:t>
      </w:r>
      <w:r w:rsidR="009D3107" w:rsidRPr="007E0BFF">
        <w:rPr>
          <w:i/>
          <w:szCs w:val="24"/>
        </w:rPr>
        <w:t>-</w:t>
      </w:r>
      <w:r w:rsidRPr="007E0BFF">
        <w:rPr>
          <w:i/>
          <w:szCs w:val="24"/>
        </w:rPr>
        <w:t>term lease</w:t>
      </w:r>
      <w:r w:rsidR="00F61A3F" w:rsidRPr="007E0BFF">
        <w:rPr>
          <w:i/>
          <w:szCs w:val="24"/>
        </w:rPr>
        <w:t xml:space="preserve"> (€</w:t>
      </w:r>
      <w:r w:rsidR="00EC73D5" w:rsidRPr="007E0BFF">
        <w:rPr>
          <w:i/>
          <w:szCs w:val="24"/>
        </w:rPr>
        <w:t xml:space="preserve"> </w:t>
      </w:r>
      <w:r w:rsidRPr="007E0BFF">
        <w:rPr>
          <w:i/>
          <w:szCs w:val="24"/>
        </w:rPr>
        <w:t>33</w:t>
      </w:r>
      <w:r w:rsidR="007312DF" w:rsidRPr="007E0BFF">
        <w:rPr>
          <w:i/>
          <w:szCs w:val="24"/>
        </w:rPr>
        <w:t>,</w:t>
      </w:r>
      <w:r w:rsidRPr="007E0BFF">
        <w:rPr>
          <w:i/>
          <w:szCs w:val="24"/>
        </w:rPr>
        <w:t>881</w:t>
      </w:r>
      <w:r w:rsidR="00ED524D" w:rsidRPr="007E0BFF">
        <w:rPr>
          <w:i/>
          <w:szCs w:val="24"/>
        </w:rPr>
        <w:t>)</w:t>
      </w:r>
    </w:p>
    <w:p w14:paraId="0507069B" w14:textId="77777777" w:rsidR="00B448B8" w:rsidRPr="007E0BFF" w:rsidRDefault="00B448B8" w:rsidP="00B448B8">
      <w:pPr>
        <w:pStyle w:val="Text4"/>
        <w:ind w:left="0"/>
        <w:rPr>
          <w:szCs w:val="24"/>
        </w:rPr>
      </w:pPr>
      <w:r w:rsidRPr="007E0BFF">
        <w:rPr>
          <w:szCs w:val="24"/>
        </w:rPr>
        <w:t>The amount corresponds to the portion of the long-term debt due within one year for photocopiers acquired by the Agency via a financial leasing contract</w:t>
      </w:r>
    </w:p>
    <w:p w14:paraId="799517BC" w14:textId="77777777" w:rsidR="00B448B8" w:rsidRPr="007E0BFF" w:rsidRDefault="00B448B8" w:rsidP="00B448B8">
      <w:pPr>
        <w:pStyle w:val="Heading4"/>
        <w:numPr>
          <w:ilvl w:val="3"/>
          <w:numId w:val="11"/>
        </w:numPr>
        <w:spacing w:after="120"/>
        <w:ind w:left="539" w:hanging="539"/>
        <w:rPr>
          <w:i/>
          <w:szCs w:val="24"/>
        </w:rPr>
      </w:pPr>
      <w:r w:rsidRPr="007E0BFF">
        <w:rPr>
          <w:i/>
          <w:szCs w:val="24"/>
        </w:rPr>
        <w:t>Current payables (€ 65,932)</w:t>
      </w:r>
    </w:p>
    <w:p w14:paraId="67BC86AC" w14:textId="77777777" w:rsidR="00A31B6A" w:rsidRPr="007E0BFF" w:rsidRDefault="00F61A3F" w:rsidP="008439BD">
      <w:pPr>
        <w:tabs>
          <w:tab w:val="left" w:pos="1440"/>
        </w:tabs>
        <w:suppressAutoHyphens/>
        <w:spacing w:after="120"/>
        <w:jc w:val="both"/>
      </w:pPr>
      <w:r w:rsidRPr="007E0BFF">
        <w:rPr>
          <w:bCs/>
        </w:rPr>
        <w:t xml:space="preserve">The </w:t>
      </w:r>
      <w:r w:rsidR="0075761E" w:rsidRPr="007E0BFF">
        <w:t>account includes</w:t>
      </w:r>
      <w:r w:rsidR="00A31B6A" w:rsidRPr="007E0BFF">
        <w:t>:</w:t>
      </w:r>
    </w:p>
    <w:p w14:paraId="46876C98" w14:textId="77777777" w:rsidR="00F40162" w:rsidRPr="007E0BFF" w:rsidRDefault="00A31B6A" w:rsidP="00DE7CF7">
      <w:pPr>
        <w:pStyle w:val="ListParagraph"/>
        <w:numPr>
          <w:ilvl w:val="0"/>
          <w:numId w:val="19"/>
        </w:numPr>
        <w:ind w:left="284" w:hanging="284"/>
        <w:contextualSpacing w:val="0"/>
        <w:jc w:val="both"/>
        <w:rPr>
          <w:bCs/>
        </w:rPr>
      </w:pPr>
      <w:r w:rsidRPr="007E0BFF">
        <w:rPr>
          <w:bCs/>
        </w:rPr>
        <w:t xml:space="preserve">outstanding commercial invoices (€ </w:t>
      </w:r>
      <w:r w:rsidR="00EB6A4B" w:rsidRPr="007E0BFF">
        <w:rPr>
          <w:bCs/>
        </w:rPr>
        <w:t>64,971</w:t>
      </w:r>
      <w:r w:rsidRPr="007E0BFF">
        <w:rPr>
          <w:bCs/>
        </w:rPr>
        <w:t xml:space="preserve">) with suppliers of goods and services; </w:t>
      </w:r>
    </w:p>
    <w:p w14:paraId="545DE393" w14:textId="6ED5F9F6" w:rsidR="006A4443" w:rsidRPr="007E0BFF" w:rsidRDefault="00F40162" w:rsidP="00DE7CF7">
      <w:pPr>
        <w:pStyle w:val="ListParagraph"/>
        <w:numPr>
          <w:ilvl w:val="0"/>
          <w:numId w:val="19"/>
        </w:numPr>
        <w:ind w:left="284" w:hanging="284"/>
        <w:contextualSpacing w:val="0"/>
        <w:jc w:val="both"/>
        <w:rPr>
          <w:bCs/>
        </w:rPr>
      </w:pPr>
      <w:r w:rsidRPr="007E0BFF">
        <w:t>regularisations linked to the payroll and still to be settled with other EU institutions</w:t>
      </w:r>
      <w:r w:rsidR="00E7598D">
        <w:t xml:space="preserve"> </w:t>
      </w:r>
      <w:r w:rsidR="006A4443" w:rsidRPr="007E0BFF">
        <w:rPr>
          <w:bCs/>
        </w:rPr>
        <w:t>(€</w:t>
      </w:r>
      <w:r w:rsidR="00E7598D">
        <w:rPr>
          <w:bCs/>
        </w:rPr>
        <w:t> </w:t>
      </w:r>
      <w:r w:rsidR="00EB6A4B" w:rsidRPr="007E0BFF">
        <w:rPr>
          <w:bCs/>
        </w:rPr>
        <w:t>961</w:t>
      </w:r>
      <w:r w:rsidR="006A4443" w:rsidRPr="007E0BFF">
        <w:rPr>
          <w:bCs/>
        </w:rPr>
        <w:t>).</w:t>
      </w:r>
    </w:p>
    <w:p w14:paraId="30F06EDF" w14:textId="77777777" w:rsidR="00F61A3F" w:rsidRPr="007E0BFF" w:rsidRDefault="00F61A3F" w:rsidP="008439BD">
      <w:pPr>
        <w:pStyle w:val="Heading4"/>
        <w:numPr>
          <w:ilvl w:val="3"/>
          <w:numId w:val="11"/>
        </w:numPr>
        <w:spacing w:before="240" w:after="120"/>
        <w:ind w:left="539" w:hanging="539"/>
        <w:rPr>
          <w:i/>
          <w:szCs w:val="24"/>
        </w:rPr>
      </w:pPr>
      <w:r w:rsidRPr="007E0BFF">
        <w:rPr>
          <w:i/>
          <w:szCs w:val="24"/>
        </w:rPr>
        <w:t>Sundry payables (€</w:t>
      </w:r>
      <w:r w:rsidR="00FA786C" w:rsidRPr="007E0BFF">
        <w:rPr>
          <w:i/>
          <w:szCs w:val="24"/>
        </w:rPr>
        <w:t xml:space="preserve"> </w:t>
      </w:r>
      <w:r w:rsidR="00192A7E" w:rsidRPr="007E0BFF">
        <w:rPr>
          <w:i/>
          <w:szCs w:val="24"/>
        </w:rPr>
        <w:t>23,487</w:t>
      </w:r>
      <w:r w:rsidR="00ED524D" w:rsidRPr="007E0BFF">
        <w:rPr>
          <w:i/>
          <w:szCs w:val="24"/>
        </w:rPr>
        <w:t>)</w:t>
      </w:r>
    </w:p>
    <w:p w14:paraId="12DA2D24" w14:textId="77777777" w:rsidR="00A652BC" w:rsidRPr="007E0BFF" w:rsidRDefault="00542524" w:rsidP="008439BD">
      <w:pPr>
        <w:tabs>
          <w:tab w:val="left" w:pos="1440"/>
        </w:tabs>
        <w:suppressAutoHyphens/>
        <w:spacing w:after="120"/>
        <w:jc w:val="both"/>
        <w:rPr>
          <w:bCs/>
        </w:rPr>
      </w:pPr>
      <w:r w:rsidRPr="007E0BFF">
        <w:rPr>
          <w:bCs/>
        </w:rPr>
        <w:t xml:space="preserve">The amount </w:t>
      </w:r>
      <w:r w:rsidR="00686F87" w:rsidRPr="007E0BFF">
        <w:rPr>
          <w:bCs/>
        </w:rPr>
        <w:t>corresponds to</w:t>
      </w:r>
      <w:r w:rsidRPr="007E0BFF">
        <w:rPr>
          <w:bCs/>
        </w:rPr>
        <w:t xml:space="preserve"> parental contributions for nursery</w:t>
      </w:r>
      <w:r w:rsidR="00686F87" w:rsidRPr="007E0BFF">
        <w:rPr>
          <w:bCs/>
        </w:rPr>
        <w:t xml:space="preserve"> and day-care </w:t>
      </w:r>
      <w:r w:rsidRPr="007E0BFF">
        <w:rPr>
          <w:bCs/>
        </w:rPr>
        <w:t xml:space="preserve">to </w:t>
      </w:r>
      <w:r w:rsidR="00567763" w:rsidRPr="007E0BFF">
        <w:rPr>
          <w:bCs/>
        </w:rPr>
        <w:t xml:space="preserve">be </w:t>
      </w:r>
      <w:r w:rsidR="00772B73" w:rsidRPr="007E0BFF">
        <w:rPr>
          <w:bCs/>
        </w:rPr>
        <w:t>reimbursed</w:t>
      </w:r>
      <w:r w:rsidR="00567763" w:rsidRPr="007E0BFF">
        <w:rPr>
          <w:bCs/>
        </w:rPr>
        <w:t xml:space="preserve"> to the Commission.</w:t>
      </w:r>
    </w:p>
    <w:p w14:paraId="57028688" w14:textId="77777777" w:rsidR="00F61A3F" w:rsidRPr="007E0BFF" w:rsidRDefault="00F61A3F" w:rsidP="008439BD">
      <w:pPr>
        <w:pStyle w:val="Heading4"/>
        <w:numPr>
          <w:ilvl w:val="3"/>
          <w:numId w:val="11"/>
        </w:numPr>
        <w:spacing w:before="240" w:after="120"/>
        <w:ind w:left="539" w:hanging="539"/>
        <w:rPr>
          <w:i/>
          <w:szCs w:val="24"/>
        </w:rPr>
      </w:pPr>
      <w:r w:rsidRPr="007E0BFF">
        <w:rPr>
          <w:i/>
          <w:szCs w:val="24"/>
        </w:rPr>
        <w:lastRenderedPageBreak/>
        <w:t>Accounts payable to consolidated entities (€</w:t>
      </w:r>
      <w:r w:rsidR="00EC73D5" w:rsidRPr="007E0BFF">
        <w:rPr>
          <w:i/>
          <w:szCs w:val="24"/>
        </w:rPr>
        <w:t xml:space="preserve"> </w:t>
      </w:r>
      <w:r w:rsidR="00772B73" w:rsidRPr="007E0BFF">
        <w:rPr>
          <w:i/>
          <w:szCs w:val="24"/>
        </w:rPr>
        <w:t>384,439</w:t>
      </w:r>
      <w:r w:rsidR="00CF707C" w:rsidRPr="007E0BFF">
        <w:rPr>
          <w:i/>
          <w:szCs w:val="24"/>
        </w:rPr>
        <w:t>)</w:t>
      </w:r>
    </w:p>
    <w:p w14:paraId="16F0020D" w14:textId="77777777" w:rsidR="000F5538" w:rsidRPr="007E0BFF" w:rsidRDefault="00A652BC" w:rsidP="00A64D26">
      <w:pPr>
        <w:autoSpaceDE w:val="0"/>
        <w:autoSpaceDN w:val="0"/>
        <w:adjustRightInd w:val="0"/>
        <w:spacing w:after="120"/>
        <w:jc w:val="both"/>
        <w:rPr>
          <w:bCs/>
        </w:rPr>
      </w:pPr>
      <w:r w:rsidRPr="007E0BFF">
        <w:rPr>
          <w:bCs/>
        </w:rPr>
        <w:t>The amount corresponds to the</w:t>
      </w:r>
      <w:r w:rsidR="00772B73" w:rsidRPr="007E0BFF">
        <w:rPr>
          <w:bCs/>
        </w:rPr>
        <w:t xml:space="preserve"> 2019</w:t>
      </w:r>
      <w:r w:rsidRPr="007E0BFF">
        <w:rPr>
          <w:bCs/>
        </w:rPr>
        <w:t xml:space="preserve"> </w:t>
      </w:r>
      <w:r w:rsidR="00F61A3F" w:rsidRPr="007E0BFF">
        <w:rPr>
          <w:bCs/>
        </w:rPr>
        <w:t xml:space="preserve">positive budgetary outturn to be </w:t>
      </w:r>
      <w:r w:rsidRPr="007E0BFF">
        <w:rPr>
          <w:bCs/>
        </w:rPr>
        <w:t>reimbursed</w:t>
      </w:r>
      <w:r w:rsidR="000F5538" w:rsidRPr="007E0BFF">
        <w:rPr>
          <w:bCs/>
        </w:rPr>
        <w:t xml:space="preserve"> to</w:t>
      </w:r>
      <w:r w:rsidRPr="007E0BFF">
        <w:rPr>
          <w:bCs/>
        </w:rPr>
        <w:t xml:space="preserve"> </w:t>
      </w:r>
      <w:r w:rsidR="001B0EB7" w:rsidRPr="007E0BFF">
        <w:rPr>
          <w:bCs/>
        </w:rPr>
        <w:t>DG Research and Innovation</w:t>
      </w:r>
      <w:r w:rsidR="00772B73" w:rsidRPr="007E0BFF">
        <w:rPr>
          <w:bCs/>
        </w:rPr>
        <w:t xml:space="preserve"> in 2020</w:t>
      </w:r>
      <w:r w:rsidR="000F5538" w:rsidRPr="007E0BFF">
        <w:rPr>
          <w:bCs/>
        </w:rPr>
        <w:t xml:space="preserve"> after adoption of the final </w:t>
      </w:r>
      <w:r w:rsidR="00772B73" w:rsidRPr="007E0BFF">
        <w:rPr>
          <w:bCs/>
        </w:rPr>
        <w:t>2019</w:t>
      </w:r>
      <w:r w:rsidR="00686F87" w:rsidRPr="007E0BFF">
        <w:rPr>
          <w:bCs/>
        </w:rPr>
        <w:t xml:space="preserve"> accounts. </w:t>
      </w:r>
    </w:p>
    <w:p w14:paraId="108B5CC1" w14:textId="77777777" w:rsidR="00F61A3F" w:rsidRPr="007E0BFF" w:rsidRDefault="00F61A3F" w:rsidP="008439BD">
      <w:pPr>
        <w:pStyle w:val="Heading4"/>
        <w:numPr>
          <w:ilvl w:val="3"/>
          <w:numId w:val="11"/>
        </w:numPr>
        <w:spacing w:before="240" w:after="120"/>
        <w:ind w:left="539" w:hanging="539"/>
        <w:rPr>
          <w:i/>
          <w:szCs w:val="24"/>
        </w:rPr>
      </w:pPr>
      <w:r w:rsidRPr="007E0BFF">
        <w:rPr>
          <w:i/>
          <w:szCs w:val="24"/>
        </w:rPr>
        <w:t xml:space="preserve">Accrued charges </w:t>
      </w:r>
      <w:r w:rsidR="002E013B" w:rsidRPr="007E0BFF">
        <w:rPr>
          <w:i/>
          <w:szCs w:val="24"/>
        </w:rPr>
        <w:t xml:space="preserve">(€ </w:t>
      </w:r>
      <w:r w:rsidR="00F634CD" w:rsidRPr="007E0BFF">
        <w:rPr>
          <w:i/>
          <w:szCs w:val="24"/>
        </w:rPr>
        <w:t>1,524,914</w:t>
      </w:r>
      <w:r w:rsidR="002E013B" w:rsidRPr="007E0BFF">
        <w:rPr>
          <w:i/>
          <w:szCs w:val="24"/>
        </w:rPr>
        <w:t>)</w:t>
      </w:r>
    </w:p>
    <w:p w14:paraId="4D721C26" w14:textId="77777777" w:rsidR="003C7799" w:rsidRPr="007E0BFF" w:rsidRDefault="00087E07" w:rsidP="008439BD">
      <w:pPr>
        <w:tabs>
          <w:tab w:val="left" w:pos="1440"/>
        </w:tabs>
        <w:suppressAutoHyphens/>
        <w:spacing w:after="120"/>
        <w:jc w:val="both"/>
        <w:rPr>
          <w:bCs/>
        </w:rPr>
      </w:pPr>
      <w:r w:rsidRPr="007E0BFF">
        <w:rPr>
          <w:bCs/>
        </w:rPr>
        <w:t>A</w:t>
      </w:r>
      <w:r w:rsidR="00161166" w:rsidRPr="007E0BFF">
        <w:rPr>
          <w:bCs/>
        </w:rPr>
        <w:t>ccrued charges are expenses</w:t>
      </w:r>
      <w:r w:rsidRPr="007E0BFF">
        <w:rPr>
          <w:bCs/>
        </w:rPr>
        <w:t xml:space="preserve"> corresponding</w:t>
      </w:r>
      <w:r w:rsidR="00161166" w:rsidRPr="007E0BFF">
        <w:rPr>
          <w:bCs/>
        </w:rPr>
        <w:t xml:space="preserve"> to goods and services provided to the Agency</w:t>
      </w:r>
      <w:r w:rsidR="00F634CD" w:rsidRPr="007E0BFF">
        <w:rPr>
          <w:bCs/>
        </w:rPr>
        <w:t xml:space="preserve"> in 2019</w:t>
      </w:r>
      <w:r w:rsidR="0087445B" w:rsidRPr="007E0BFF">
        <w:rPr>
          <w:bCs/>
        </w:rPr>
        <w:t xml:space="preserve"> </w:t>
      </w:r>
      <w:r w:rsidR="00161166" w:rsidRPr="007E0BFF">
        <w:rPr>
          <w:bCs/>
        </w:rPr>
        <w:t xml:space="preserve">but not invoiced at year end. </w:t>
      </w:r>
      <w:r w:rsidR="007A3D23" w:rsidRPr="007E0BFF">
        <w:rPr>
          <w:bCs/>
        </w:rPr>
        <w:t>T</w:t>
      </w:r>
      <w:r w:rsidRPr="007E0BFF">
        <w:rPr>
          <w:bCs/>
        </w:rPr>
        <w:t>he pending payment obligation</w:t>
      </w:r>
      <w:r w:rsidR="00D65A06" w:rsidRPr="007E0BFF">
        <w:rPr>
          <w:bCs/>
        </w:rPr>
        <w:t>s</w:t>
      </w:r>
      <w:r w:rsidRPr="007E0BFF">
        <w:rPr>
          <w:bCs/>
        </w:rPr>
        <w:t xml:space="preserve"> of the Agency (called RAL – "reste à liquider")</w:t>
      </w:r>
      <w:r w:rsidR="007A3D23" w:rsidRPr="007E0BFF">
        <w:rPr>
          <w:bCs/>
        </w:rPr>
        <w:t xml:space="preserve"> </w:t>
      </w:r>
      <w:r w:rsidR="00D65A06" w:rsidRPr="007E0BFF">
        <w:rPr>
          <w:bCs/>
        </w:rPr>
        <w:t xml:space="preserve">have been analysed </w:t>
      </w:r>
      <w:r w:rsidR="007A3D23" w:rsidRPr="007E0BFF">
        <w:rPr>
          <w:bCs/>
        </w:rPr>
        <w:t>to estimate the amount of accruals.</w:t>
      </w:r>
    </w:p>
    <w:p w14:paraId="2DAEB4F3" w14:textId="77777777" w:rsidR="00161166" w:rsidRPr="007E0BFF" w:rsidRDefault="00161166" w:rsidP="008439BD">
      <w:pPr>
        <w:tabs>
          <w:tab w:val="left" w:pos="1440"/>
        </w:tabs>
        <w:suppressAutoHyphens/>
        <w:spacing w:after="120"/>
        <w:jc w:val="both"/>
        <w:rPr>
          <w:bCs/>
        </w:rPr>
      </w:pPr>
      <w:r w:rsidRPr="007E0BFF">
        <w:rPr>
          <w:bCs/>
        </w:rPr>
        <w:t>Th</w:t>
      </w:r>
      <w:r w:rsidR="007A3D23" w:rsidRPr="007E0BFF">
        <w:rPr>
          <w:bCs/>
        </w:rPr>
        <w:t xml:space="preserve">e amount </w:t>
      </w:r>
      <w:r w:rsidR="00F61A3F" w:rsidRPr="007E0BFF">
        <w:rPr>
          <w:bCs/>
        </w:rPr>
        <w:t>relates to</w:t>
      </w:r>
      <w:r w:rsidRPr="007E0BFF">
        <w:rPr>
          <w:bCs/>
        </w:rPr>
        <w:t>:</w:t>
      </w:r>
    </w:p>
    <w:p w14:paraId="22608B45" w14:textId="21E34E60" w:rsidR="00161166" w:rsidRPr="007E0BFF" w:rsidRDefault="00F61A3F" w:rsidP="00DE7CF7">
      <w:pPr>
        <w:pStyle w:val="ListParagraph"/>
        <w:numPr>
          <w:ilvl w:val="0"/>
          <w:numId w:val="19"/>
        </w:numPr>
        <w:ind w:left="284" w:hanging="284"/>
        <w:contextualSpacing w:val="0"/>
        <w:jc w:val="both"/>
        <w:rPr>
          <w:bCs/>
        </w:rPr>
      </w:pPr>
      <w:r w:rsidRPr="007E0BFF">
        <w:t>goods</w:t>
      </w:r>
      <w:r w:rsidRPr="007E0BFF">
        <w:rPr>
          <w:bCs/>
        </w:rPr>
        <w:t xml:space="preserve"> and services </w:t>
      </w:r>
      <w:r w:rsidR="00204D38" w:rsidRPr="007E0BFF">
        <w:rPr>
          <w:bCs/>
        </w:rPr>
        <w:t>delivered</w:t>
      </w:r>
      <w:r w:rsidRPr="007E0BFF">
        <w:rPr>
          <w:bCs/>
        </w:rPr>
        <w:t xml:space="preserve"> </w:t>
      </w:r>
      <w:r w:rsidR="007A3D23" w:rsidRPr="007E0BFF">
        <w:rPr>
          <w:bCs/>
        </w:rPr>
        <w:t xml:space="preserve">by suppliers </w:t>
      </w:r>
      <w:r w:rsidRPr="007E0BFF">
        <w:rPr>
          <w:bCs/>
        </w:rPr>
        <w:t xml:space="preserve">in </w:t>
      </w:r>
      <w:r w:rsidR="00FA0A1F" w:rsidRPr="007E0BFF">
        <w:rPr>
          <w:bCs/>
        </w:rPr>
        <w:t>201</w:t>
      </w:r>
      <w:r w:rsidR="00BC7BC6" w:rsidRPr="007E0BFF">
        <w:rPr>
          <w:bCs/>
        </w:rPr>
        <w:t>9</w:t>
      </w:r>
      <w:r w:rsidRPr="007E0BFF">
        <w:rPr>
          <w:bCs/>
        </w:rPr>
        <w:t xml:space="preserve"> but not invoiced at </w:t>
      </w:r>
      <w:r w:rsidR="002E013B" w:rsidRPr="007E0BFF">
        <w:rPr>
          <w:bCs/>
        </w:rPr>
        <w:t>year-end</w:t>
      </w:r>
      <w:r w:rsidR="00161166" w:rsidRPr="007E0BFF">
        <w:rPr>
          <w:bCs/>
        </w:rPr>
        <w:t xml:space="preserve"> </w:t>
      </w:r>
      <w:r w:rsidR="005362BD" w:rsidRPr="007E0BFF">
        <w:rPr>
          <w:bCs/>
        </w:rPr>
        <w:t>(€</w:t>
      </w:r>
      <w:r w:rsidR="00E7598D">
        <w:rPr>
          <w:bCs/>
        </w:rPr>
        <w:t> </w:t>
      </w:r>
      <w:r w:rsidR="00BC7BC6" w:rsidRPr="007E0BFF">
        <w:rPr>
          <w:bCs/>
        </w:rPr>
        <w:t>525,347</w:t>
      </w:r>
      <w:r w:rsidR="005362BD" w:rsidRPr="007E0BFF">
        <w:rPr>
          <w:bCs/>
        </w:rPr>
        <w:t>)</w:t>
      </w:r>
      <w:r w:rsidR="00EF2E95" w:rsidRPr="007E0BFF">
        <w:rPr>
          <w:bCs/>
        </w:rPr>
        <w:t xml:space="preserve">, </w:t>
      </w:r>
      <w:r w:rsidR="003C7799" w:rsidRPr="007E0BFF">
        <w:rPr>
          <w:bCs/>
        </w:rPr>
        <w:t xml:space="preserve">like </w:t>
      </w:r>
      <w:r w:rsidR="00EE2442" w:rsidRPr="007E0BFF">
        <w:rPr>
          <w:bCs/>
        </w:rPr>
        <w:t xml:space="preserve">IT consultancy, </w:t>
      </w:r>
      <w:r w:rsidR="005D617D" w:rsidRPr="007E0BFF">
        <w:rPr>
          <w:bCs/>
        </w:rPr>
        <w:t>use of interim staff, IT maintenance, office supplies, legal support</w:t>
      </w:r>
      <w:r w:rsidR="00EE2442" w:rsidRPr="007E0BFF">
        <w:rPr>
          <w:bCs/>
        </w:rPr>
        <w:t xml:space="preserve">, </w:t>
      </w:r>
      <w:r w:rsidR="005D617D" w:rsidRPr="007E0BFF">
        <w:rPr>
          <w:bCs/>
        </w:rPr>
        <w:t>trainings</w:t>
      </w:r>
      <w:r w:rsidR="008439BD" w:rsidRPr="007E0BFF">
        <w:rPr>
          <w:bCs/>
        </w:rPr>
        <w:t xml:space="preserve">, </w:t>
      </w:r>
      <w:r w:rsidR="005D617D" w:rsidRPr="007E0BFF">
        <w:rPr>
          <w:bCs/>
        </w:rPr>
        <w:t>mission expenses</w:t>
      </w:r>
      <w:r w:rsidR="008E60EE" w:rsidRPr="007E0BFF">
        <w:rPr>
          <w:bCs/>
        </w:rPr>
        <w:t>;</w:t>
      </w:r>
    </w:p>
    <w:p w14:paraId="6CCBAA5C" w14:textId="77777777" w:rsidR="004F4213" w:rsidRPr="007E0BFF" w:rsidRDefault="00F61A3F" w:rsidP="00DE7CF7">
      <w:pPr>
        <w:pStyle w:val="ListParagraph"/>
        <w:numPr>
          <w:ilvl w:val="0"/>
          <w:numId w:val="19"/>
        </w:numPr>
        <w:spacing w:after="120"/>
        <w:ind w:left="284" w:hanging="284"/>
        <w:contextualSpacing w:val="0"/>
        <w:jc w:val="both"/>
        <w:rPr>
          <w:bCs/>
        </w:rPr>
      </w:pPr>
      <w:r w:rsidRPr="007E0BFF">
        <w:rPr>
          <w:bCs/>
        </w:rPr>
        <w:t xml:space="preserve">charges relating to untaken annual leave by staff </w:t>
      </w:r>
      <w:r w:rsidR="0001046C" w:rsidRPr="007E0BFF">
        <w:rPr>
          <w:bCs/>
        </w:rPr>
        <w:t xml:space="preserve">€ </w:t>
      </w:r>
      <w:r w:rsidR="00BC7BC6" w:rsidRPr="007E0BFF">
        <w:rPr>
          <w:bCs/>
        </w:rPr>
        <w:t>999,567.</w:t>
      </w:r>
    </w:p>
    <w:p w14:paraId="5C537286" w14:textId="77777777" w:rsidR="00F61A3F" w:rsidRPr="007E0BFF" w:rsidRDefault="00224E48" w:rsidP="008439BD">
      <w:pPr>
        <w:pStyle w:val="Heading4"/>
        <w:numPr>
          <w:ilvl w:val="3"/>
          <w:numId w:val="11"/>
        </w:numPr>
        <w:spacing w:before="240" w:after="120"/>
        <w:ind w:left="539" w:hanging="539"/>
        <w:rPr>
          <w:i/>
          <w:szCs w:val="24"/>
        </w:rPr>
      </w:pPr>
      <w:r w:rsidRPr="007E0BFF">
        <w:rPr>
          <w:i/>
          <w:szCs w:val="24"/>
        </w:rPr>
        <w:t>A</w:t>
      </w:r>
      <w:r w:rsidR="00F61A3F" w:rsidRPr="007E0BFF">
        <w:rPr>
          <w:i/>
          <w:szCs w:val="24"/>
        </w:rPr>
        <w:t xml:space="preserve">ccruals consolidated entities (€ </w:t>
      </w:r>
      <w:r w:rsidR="0087445B" w:rsidRPr="007E0BFF">
        <w:rPr>
          <w:i/>
          <w:szCs w:val="24"/>
        </w:rPr>
        <w:t>1,</w:t>
      </w:r>
      <w:r w:rsidR="00F634CD" w:rsidRPr="007E0BFF">
        <w:rPr>
          <w:i/>
          <w:szCs w:val="24"/>
        </w:rPr>
        <w:t>855</w:t>
      </w:r>
      <w:r w:rsidR="0087445B" w:rsidRPr="007E0BFF">
        <w:rPr>
          <w:i/>
          <w:szCs w:val="24"/>
        </w:rPr>
        <w:t>,</w:t>
      </w:r>
      <w:r w:rsidR="00F634CD" w:rsidRPr="007E0BFF">
        <w:rPr>
          <w:i/>
          <w:szCs w:val="24"/>
        </w:rPr>
        <w:t>581</w:t>
      </w:r>
      <w:r w:rsidR="00F61A3F" w:rsidRPr="007E0BFF">
        <w:rPr>
          <w:i/>
          <w:szCs w:val="24"/>
        </w:rPr>
        <w:t>)</w:t>
      </w:r>
    </w:p>
    <w:p w14:paraId="085D5620" w14:textId="77777777" w:rsidR="00F61A3F" w:rsidRPr="007E0BFF" w:rsidRDefault="0067437D" w:rsidP="008439BD">
      <w:pPr>
        <w:tabs>
          <w:tab w:val="left" w:pos="1440"/>
        </w:tabs>
        <w:suppressAutoHyphens/>
        <w:spacing w:after="120"/>
        <w:jc w:val="both"/>
        <w:rPr>
          <w:bCs/>
        </w:rPr>
      </w:pPr>
      <w:r w:rsidRPr="007E0BFF">
        <w:rPr>
          <w:bCs/>
        </w:rPr>
        <w:t xml:space="preserve">Accruals with </w:t>
      </w:r>
      <w:r w:rsidR="00F61A3F" w:rsidRPr="007E0BFF">
        <w:rPr>
          <w:bCs/>
        </w:rPr>
        <w:t xml:space="preserve">consolidated entities </w:t>
      </w:r>
      <w:r w:rsidRPr="007E0BFF">
        <w:rPr>
          <w:bCs/>
        </w:rPr>
        <w:t xml:space="preserve">concern </w:t>
      </w:r>
      <w:r w:rsidR="00F61A3F" w:rsidRPr="007E0BFF">
        <w:rPr>
          <w:bCs/>
        </w:rPr>
        <w:t xml:space="preserve">goods and services </w:t>
      </w:r>
      <w:r w:rsidRPr="007E0BFF">
        <w:rPr>
          <w:bCs/>
        </w:rPr>
        <w:t xml:space="preserve">provided </w:t>
      </w:r>
      <w:r w:rsidR="00BC7BC6" w:rsidRPr="007E0BFF">
        <w:rPr>
          <w:bCs/>
        </w:rPr>
        <w:t>by other EU institutions in 2019</w:t>
      </w:r>
      <w:r w:rsidRPr="007E0BFF">
        <w:rPr>
          <w:bCs/>
        </w:rPr>
        <w:t xml:space="preserve"> in the framework of a Service Level Agreement and </w:t>
      </w:r>
      <w:r w:rsidR="00F61A3F" w:rsidRPr="007E0BFF">
        <w:rPr>
          <w:bCs/>
        </w:rPr>
        <w:t>not yet invoiced as of 31.12.</w:t>
      </w:r>
      <w:r w:rsidR="00FA0A1F" w:rsidRPr="007E0BFF">
        <w:rPr>
          <w:bCs/>
        </w:rPr>
        <w:t>201</w:t>
      </w:r>
      <w:r w:rsidR="00BC7BC6" w:rsidRPr="007E0BFF">
        <w:rPr>
          <w:bCs/>
        </w:rPr>
        <w:t>9</w:t>
      </w:r>
      <w:r w:rsidR="00F61A3F" w:rsidRPr="007E0BFF">
        <w:rPr>
          <w:bCs/>
        </w:rPr>
        <w:t>.</w:t>
      </w:r>
      <w:r w:rsidRPr="007E0BFF">
        <w:rPr>
          <w:bCs/>
        </w:rPr>
        <w:t xml:space="preserve"> </w:t>
      </w:r>
      <w:r w:rsidR="0075761E" w:rsidRPr="007E0BFF">
        <w:rPr>
          <w:bCs/>
        </w:rPr>
        <w:t>The</w:t>
      </w:r>
      <w:r w:rsidRPr="007E0BFF">
        <w:rPr>
          <w:bCs/>
        </w:rPr>
        <w:t xml:space="preserve"> amount is distributed between different services of the Commission: </w:t>
      </w:r>
    </w:p>
    <w:p w14:paraId="7FBDBC20" w14:textId="77777777" w:rsidR="00322875" w:rsidRPr="007E0BFF" w:rsidRDefault="00322875" w:rsidP="00DE7CF7">
      <w:pPr>
        <w:pStyle w:val="ListParagraph"/>
        <w:numPr>
          <w:ilvl w:val="0"/>
          <w:numId w:val="19"/>
        </w:numPr>
        <w:ind w:left="284" w:hanging="284"/>
        <w:contextualSpacing w:val="0"/>
        <w:jc w:val="both"/>
        <w:rPr>
          <w:bCs/>
        </w:rPr>
      </w:pPr>
      <w:r w:rsidRPr="007E0BFF">
        <w:rPr>
          <w:bCs/>
        </w:rPr>
        <w:t xml:space="preserve">OIB: </w:t>
      </w:r>
      <w:r w:rsidRPr="007E0BFF">
        <w:rPr>
          <w:bCs/>
        </w:rPr>
        <w:tab/>
      </w:r>
      <w:r w:rsidR="0002582C" w:rsidRPr="007E0BFF">
        <w:rPr>
          <w:bCs/>
        </w:rPr>
        <w:tab/>
      </w:r>
      <w:r w:rsidR="00693E16" w:rsidRPr="007E0BFF">
        <w:rPr>
          <w:bCs/>
        </w:rPr>
        <w:t xml:space="preserve">€ </w:t>
      </w:r>
      <w:r w:rsidR="0002582C" w:rsidRPr="007E0BFF">
        <w:rPr>
          <w:bCs/>
        </w:rPr>
        <w:t>1,606,498</w:t>
      </w:r>
    </w:p>
    <w:p w14:paraId="2CE701CD" w14:textId="77777777" w:rsidR="00322875" w:rsidRPr="007E0BFF" w:rsidRDefault="00322875" w:rsidP="00DE7CF7">
      <w:pPr>
        <w:pStyle w:val="ListParagraph"/>
        <w:numPr>
          <w:ilvl w:val="0"/>
          <w:numId w:val="19"/>
        </w:numPr>
        <w:ind w:left="284" w:hanging="284"/>
        <w:contextualSpacing w:val="0"/>
        <w:jc w:val="both"/>
        <w:rPr>
          <w:bCs/>
        </w:rPr>
      </w:pPr>
      <w:r w:rsidRPr="007E0BFF">
        <w:rPr>
          <w:bCs/>
        </w:rPr>
        <w:t>DG HR:</w:t>
      </w:r>
      <w:r w:rsidRPr="007E0BFF">
        <w:rPr>
          <w:bCs/>
        </w:rPr>
        <w:tab/>
      </w:r>
      <w:r w:rsidR="0002582C" w:rsidRPr="007E0BFF">
        <w:rPr>
          <w:bCs/>
        </w:rPr>
        <w:tab/>
      </w:r>
      <w:r w:rsidRPr="007E0BFF">
        <w:rPr>
          <w:bCs/>
        </w:rPr>
        <w:t xml:space="preserve">€ </w:t>
      </w:r>
      <w:r w:rsidR="00693E16" w:rsidRPr="007E0BFF">
        <w:rPr>
          <w:bCs/>
        </w:rPr>
        <w:t xml:space="preserve">  </w:t>
      </w:r>
      <w:r w:rsidR="0002582C" w:rsidRPr="007E0BFF">
        <w:rPr>
          <w:bCs/>
        </w:rPr>
        <w:t>135,839</w:t>
      </w:r>
    </w:p>
    <w:p w14:paraId="353CD7C9" w14:textId="77777777" w:rsidR="0002582C" w:rsidRPr="007E0BFF" w:rsidRDefault="0002582C" w:rsidP="00DE7CF7">
      <w:pPr>
        <w:pStyle w:val="ListParagraph"/>
        <w:numPr>
          <w:ilvl w:val="0"/>
          <w:numId w:val="19"/>
        </w:numPr>
        <w:ind w:left="284" w:hanging="284"/>
        <w:contextualSpacing w:val="0"/>
        <w:jc w:val="both"/>
        <w:rPr>
          <w:bCs/>
        </w:rPr>
      </w:pPr>
      <w:r w:rsidRPr="007E0BFF">
        <w:rPr>
          <w:bCs/>
        </w:rPr>
        <w:t xml:space="preserve">DIGIT: </w:t>
      </w:r>
      <w:r w:rsidRPr="007E0BFF">
        <w:rPr>
          <w:bCs/>
        </w:rPr>
        <w:tab/>
      </w:r>
      <w:r w:rsidRPr="007E0BFF">
        <w:rPr>
          <w:bCs/>
        </w:rPr>
        <w:tab/>
        <w:t>€     53,784</w:t>
      </w:r>
    </w:p>
    <w:p w14:paraId="7A2F0A57" w14:textId="77777777" w:rsidR="00322875" w:rsidRPr="007E0BFF" w:rsidRDefault="00322875" w:rsidP="00DE7CF7">
      <w:pPr>
        <w:pStyle w:val="ListParagraph"/>
        <w:numPr>
          <w:ilvl w:val="0"/>
          <w:numId w:val="19"/>
        </w:numPr>
        <w:ind w:left="284" w:hanging="284"/>
        <w:contextualSpacing w:val="0"/>
        <w:jc w:val="both"/>
        <w:rPr>
          <w:bCs/>
        </w:rPr>
      </w:pPr>
      <w:r w:rsidRPr="007E0BFF">
        <w:rPr>
          <w:bCs/>
        </w:rPr>
        <w:t>PMO:</w:t>
      </w:r>
      <w:r w:rsidRPr="007E0BFF">
        <w:rPr>
          <w:bCs/>
        </w:rPr>
        <w:tab/>
      </w:r>
      <w:r w:rsidR="0002582C" w:rsidRPr="007E0BFF">
        <w:rPr>
          <w:bCs/>
        </w:rPr>
        <w:tab/>
        <w:t>€     39,087</w:t>
      </w:r>
    </w:p>
    <w:p w14:paraId="79ACA104" w14:textId="4C7AD12F" w:rsidR="00322875" w:rsidRPr="007E0BFF" w:rsidRDefault="00432668" w:rsidP="00DE7CF7">
      <w:pPr>
        <w:pStyle w:val="ListParagraph"/>
        <w:numPr>
          <w:ilvl w:val="0"/>
          <w:numId w:val="19"/>
        </w:numPr>
        <w:ind w:left="284" w:hanging="284"/>
        <w:contextualSpacing w:val="0"/>
        <w:jc w:val="both"/>
        <w:rPr>
          <w:bCs/>
        </w:rPr>
      </w:pPr>
      <w:r w:rsidRPr="007E0BFF">
        <w:rPr>
          <w:bCs/>
        </w:rPr>
        <w:t>OP</w:t>
      </w:r>
      <w:r w:rsidR="0002582C" w:rsidRPr="007E0BFF">
        <w:rPr>
          <w:bCs/>
        </w:rPr>
        <w:t>:</w:t>
      </w:r>
      <w:r w:rsidR="0002582C" w:rsidRPr="007E0BFF">
        <w:rPr>
          <w:bCs/>
        </w:rPr>
        <w:tab/>
      </w:r>
      <w:r w:rsidR="00AF565D" w:rsidRPr="007E0BFF">
        <w:rPr>
          <w:bCs/>
        </w:rPr>
        <w:tab/>
      </w:r>
      <w:r w:rsidR="0002582C" w:rsidRPr="007E0BFF">
        <w:rPr>
          <w:bCs/>
        </w:rPr>
        <w:tab/>
        <w:t xml:space="preserve">€      </w:t>
      </w:r>
      <w:r w:rsidR="00A83CF5">
        <w:rPr>
          <w:bCs/>
        </w:rPr>
        <w:t xml:space="preserve"> </w:t>
      </w:r>
      <w:r w:rsidR="0002582C" w:rsidRPr="007E0BFF">
        <w:rPr>
          <w:bCs/>
        </w:rPr>
        <w:t xml:space="preserve">   200</w:t>
      </w:r>
    </w:p>
    <w:p w14:paraId="6EAA0891" w14:textId="77777777" w:rsidR="00432668" w:rsidRPr="007E0BFF" w:rsidRDefault="0002582C" w:rsidP="00DE7CF7">
      <w:pPr>
        <w:pStyle w:val="ListParagraph"/>
        <w:numPr>
          <w:ilvl w:val="0"/>
          <w:numId w:val="19"/>
        </w:numPr>
        <w:spacing w:after="120"/>
        <w:ind w:left="284" w:hanging="284"/>
        <w:contextualSpacing w:val="0"/>
        <w:jc w:val="both"/>
        <w:rPr>
          <w:bCs/>
        </w:rPr>
      </w:pPr>
      <w:r w:rsidRPr="007E0BFF">
        <w:rPr>
          <w:bCs/>
        </w:rPr>
        <w:t>EPSO:</w:t>
      </w:r>
      <w:r w:rsidRPr="007E0BFF">
        <w:rPr>
          <w:bCs/>
        </w:rPr>
        <w:tab/>
      </w:r>
      <w:r w:rsidRPr="007E0BFF">
        <w:rPr>
          <w:bCs/>
        </w:rPr>
        <w:tab/>
        <w:t>€     20,173</w:t>
      </w:r>
    </w:p>
    <w:p w14:paraId="0C179518" w14:textId="77777777" w:rsidR="00F634CD" w:rsidRPr="007E0BFF" w:rsidRDefault="00F634CD" w:rsidP="00F634CD">
      <w:pPr>
        <w:pStyle w:val="Heading4"/>
        <w:numPr>
          <w:ilvl w:val="3"/>
          <w:numId w:val="11"/>
        </w:numPr>
        <w:spacing w:before="240" w:after="120"/>
        <w:ind w:left="539" w:hanging="539"/>
        <w:rPr>
          <w:i/>
          <w:szCs w:val="24"/>
        </w:rPr>
      </w:pPr>
      <w:r w:rsidRPr="007E0BFF">
        <w:rPr>
          <w:i/>
          <w:szCs w:val="24"/>
        </w:rPr>
        <w:t>Differed income consolidated entities (€ 393,672)</w:t>
      </w:r>
    </w:p>
    <w:p w14:paraId="7FBF7B47" w14:textId="77777777" w:rsidR="00F634CD" w:rsidRPr="007E0BFF" w:rsidRDefault="00F634CD" w:rsidP="00F634CD">
      <w:pPr>
        <w:spacing w:after="120"/>
        <w:jc w:val="both"/>
        <w:rPr>
          <w:bCs/>
        </w:rPr>
      </w:pPr>
      <w:r w:rsidRPr="007E0BFF">
        <w:t>The amount corresponds to the rent for the 19</w:t>
      </w:r>
      <w:r w:rsidRPr="007E0BFF">
        <w:rPr>
          <w:vertAlign w:val="superscript"/>
        </w:rPr>
        <w:t>th</w:t>
      </w:r>
      <w:r w:rsidR="00AF565D" w:rsidRPr="007E0BFF">
        <w:rPr>
          <w:vertAlign w:val="superscript"/>
        </w:rPr>
        <w:t xml:space="preserve"> </w:t>
      </w:r>
      <w:r w:rsidRPr="007E0BFF">
        <w:t>floor made available to ERCEA and already invoiced for the period from January to September 2020.</w:t>
      </w:r>
    </w:p>
    <w:p w14:paraId="6FE95085" w14:textId="77777777" w:rsidR="0027297D" w:rsidRPr="007E0BFF" w:rsidRDefault="0027297D" w:rsidP="00383DBF">
      <w:pPr>
        <w:pStyle w:val="Heading3"/>
        <w:tabs>
          <w:tab w:val="clear" w:pos="840"/>
        </w:tabs>
        <w:spacing w:before="240" w:after="120"/>
        <w:ind w:left="720" w:hanging="720"/>
        <w:rPr>
          <w:b/>
          <w:szCs w:val="24"/>
        </w:rPr>
      </w:pPr>
      <w:bookmarkStart w:id="83" w:name="_Toc31821696"/>
      <w:r w:rsidRPr="007E0BFF">
        <w:rPr>
          <w:b/>
          <w:szCs w:val="24"/>
        </w:rPr>
        <w:t xml:space="preserve">Notes to the </w:t>
      </w:r>
      <w:r w:rsidR="00331EDB" w:rsidRPr="007E0BFF">
        <w:rPr>
          <w:b/>
          <w:szCs w:val="24"/>
        </w:rPr>
        <w:t>Statement of financial performance</w:t>
      </w:r>
      <w:bookmarkEnd w:id="83"/>
    </w:p>
    <w:p w14:paraId="64C2F6B9" w14:textId="77777777" w:rsidR="00447983" w:rsidRPr="007E0BFF" w:rsidRDefault="002B5B81" w:rsidP="004E0630">
      <w:pPr>
        <w:pStyle w:val="Text3"/>
        <w:spacing w:after="120"/>
        <w:ind w:left="0"/>
        <w:rPr>
          <w:b/>
          <w:szCs w:val="24"/>
        </w:rPr>
      </w:pPr>
      <w:r w:rsidRPr="007E0BFF">
        <w:rPr>
          <w:b/>
          <w:i/>
          <w:szCs w:val="24"/>
        </w:rPr>
        <w:t>N</w:t>
      </w:r>
      <w:r w:rsidR="00447983" w:rsidRPr="007E0BFF">
        <w:rPr>
          <w:b/>
          <w:i/>
          <w:szCs w:val="24"/>
        </w:rPr>
        <w:t xml:space="preserve">on-exchange </w:t>
      </w:r>
      <w:r w:rsidR="00B66429" w:rsidRPr="007E0BFF">
        <w:rPr>
          <w:b/>
          <w:i/>
          <w:szCs w:val="24"/>
        </w:rPr>
        <w:t>revenues</w:t>
      </w:r>
    </w:p>
    <w:p w14:paraId="26801384" w14:textId="77777777" w:rsidR="0077799F" w:rsidRPr="007E0BFF" w:rsidRDefault="0077799F" w:rsidP="004F1F24">
      <w:pPr>
        <w:pStyle w:val="Heading4"/>
        <w:numPr>
          <w:ilvl w:val="3"/>
          <w:numId w:val="11"/>
        </w:numPr>
        <w:spacing w:after="120"/>
        <w:ind w:left="539" w:hanging="539"/>
        <w:jc w:val="left"/>
        <w:rPr>
          <w:i/>
          <w:szCs w:val="24"/>
        </w:rPr>
      </w:pPr>
      <w:r w:rsidRPr="007E0BFF">
        <w:rPr>
          <w:i/>
          <w:szCs w:val="24"/>
        </w:rPr>
        <w:t>Other non exchange revenue (€ 1,308)</w:t>
      </w:r>
    </w:p>
    <w:p w14:paraId="1A796F8B" w14:textId="77777777" w:rsidR="0077799F" w:rsidRPr="007E0BFF" w:rsidRDefault="006D3370" w:rsidP="006D3370">
      <w:pPr>
        <w:pStyle w:val="Text4"/>
        <w:ind w:left="0"/>
        <w:rPr>
          <w:szCs w:val="24"/>
        </w:rPr>
      </w:pPr>
      <w:r w:rsidRPr="007E0BFF">
        <w:rPr>
          <w:szCs w:val="24"/>
        </w:rPr>
        <w:t xml:space="preserve">The amount relates to penalties charged to a contractor for non-compliance with certain </w:t>
      </w:r>
      <w:r w:rsidR="0074669D" w:rsidRPr="007E0BFF">
        <w:rPr>
          <w:szCs w:val="24"/>
        </w:rPr>
        <w:t xml:space="preserve">contractual </w:t>
      </w:r>
      <w:r w:rsidRPr="007E0BFF">
        <w:rPr>
          <w:szCs w:val="24"/>
        </w:rPr>
        <w:t>provisions.</w:t>
      </w:r>
    </w:p>
    <w:p w14:paraId="3FB8F100" w14:textId="77777777" w:rsidR="00A8715B" w:rsidRPr="007E0BFF" w:rsidRDefault="00B66429" w:rsidP="004F1F24">
      <w:pPr>
        <w:pStyle w:val="Heading4"/>
        <w:numPr>
          <w:ilvl w:val="3"/>
          <w:numId w:val="11"/>
        </w:numPr>
        <w:spacing w:after="120"/>
        <w:ind w:left="539" w:hanging="539"/>
        <w:jc w:val="left"/>
        <w:rPr>
          <w:i/>
          <w:szCs w:val="24"/>
        </w:rPr>
      </w:pPr>
      <w:r w:rsidRPr="007E0BFF">
        <w:rPr>
          <w:i/>
          <w:szCs w:val="24"/>
        </w:rPr>
        <w:t xml:space="preserve">Subsidy of the Commission </w:t>
      </w:r>
      <w:r w:rsidR="00A8715B" w:rsidRPr="007E0BFF">
        <w:rPr>
          <w:i/>
          <w:szCs w:val="24"/>
        </w:rPr>
        <w:t xml:space="preserve">(€ </w:t>
      </w:r>
      <w:r w:rsidR="005B27E8" w:rsidRPr="007E0BFF">
        <w:rPr>
          <w:i/>
          <w:szCs w:val="24"/>
        </w:rPr>
        <w:t>75,297,086</w:t>
      </w:r>
      <w:r w:rsidR="00A8715B" w:rsidRPr="007E0BFF">
        <w:rPr>
          <w:i/>
          <w:szCs w:val="24"/>
        </w:rPr>
        <w:t>)</w:t>
      </w:r>
    </w:p>
    <w:p w14:paraId="35026E1C" w14:textId="340AC6FD" w:rsidR="00A8715B" w:rsidRPr="007E0BFF" w:rsidRDefault="00EC08C5" w:rsidP="008439BD">
      <w:pPr>
        <w:pStyle w:val="Heading4"/>
        <w:spacing w:after="120"/>
        <w:rPr>
          <w:szCs w:val="24"/>
        </w:rPr>
      </w:pPr>
      <w:r w:rsidRPr="007E0BFF">
        <w:rPr>
          <w:szCs w:val="24"/>
        </w:rPr>
        <w:t xml:space="preserve">The Commission's subsidy </w:t>
      </w:r>
      <w:r w:rsidR="00E14107" w:rsidRPr="007E0BFF">
        <w:rPr>
          <w:szCs w:val="24"/>
        </w:rPr>
        <w:t>is equal</w:t>
      </w:r>
      <w:r w:rsidRPr="007E0BFF">
        <w:rPr>
          <w:szCs w:val="24"/>
        </w:rPr>
        <w:t xml:space="preserve"> to the </w:t>
      </w:r>
      <w:r w:rsidR="00E14107" w:rsidRPr="007E0BFF">
        <w:rPr>
          <w:szCs w:val="24"/>
        </w:rPr>
        <w:t xml:space="preserve">part of </w:t>
      </w:r>
      <w:r w:rsidR="00637C69" w:rsidRPr="007E0BFF">
        <w:rPr>
          <w:szCs w:val="24"/>
        </w:rPr>
        <w:t xml:space="preserve">the </w:t>
      </w:r>
      <w:r w:rsidR="00E14107" w:rsidRPr="007E0BFF">
        <w:rPr>
          <w:szCs w:val="24"/>
        </w:rPr>
        <w:t xml:space="preserve">Commission's contribution to </w:t>
      </w:r>
      <w:r w:rsidRPr="007E0BFF">
        <w:rPr>
          <w:szCs w:val="24"/>
        </w:rPr>
        <w:t>the operating</w:t>
      </w:r>
      <w:r w:rsidR="00E14107" w:rsidRPr="007E0BFF">
        <w:rPr>
          <w:szCs w:val="24"/>
        </w:rPr>
        <w:t xml:space="preserve"> budget, </w:t>
      </w:r>
      <w:r w:rsidRPr="007E0BFF">
        <w:rPr>
          <w:szCs w:val="24"/>
        </w:rPr>
        <w:t xml:space="preserve">received </w:t>
      </w:r>
      <w:r w:rsidR="005B27E8" w:rsidRPr="007E0BFF">
        <w:rPr>
          <w:szCs w:val="24"/>
        </w:rPr>
        <w:t>in 2019</w:t>
      </w:r>
      <w:r w:rsidR="00E14107" w:rsidRPr="007E0BFF">
        <w:rPr>
          <w:szCs w:val="24"/>
        </w:rPr>
        <w:t xml:space="preserve"> </w:t>
      </w:r>
      <w:r w:rsidRPr="007E0BFF">
        <w:rPr>
          <w:szCs w:val="24"/>
        </w:rPr>
        <w:t xml:space="preserve">by </w:t>
      </w:r>
      <w:r w:rsidR="00B54068" w:rsidRPr="007E0BFF">
        <w:rPr>
          <w:szCs w:val="24"/>
        </w:rPr>
        <w:t>REA</w:t>
      </w:r>
      <w:r w:rsidR="00E14107" w:rsidRPr="007E0BFF">
        <w:rPr>
          <w:szCs w:val="24"/>
        </w:rPr>
        <w:t xml:space="preserve">, used to cover </w:t>
      </w:r>
      <w:r w:rsidR="00BB2812" w:rsidRPr="007E0BFF">
        <w:rPr>
          <w:szCs w:val="24"/>
        </w:rPr>
        <w:t>the total expenditure of the year (</w:t>
      </w:r>
      <w:r w:rsidR="00E14107" w:rsidRPr="007E0BFF">
        <w:rPr>
          <w:szCs w:val="24"/>
        </w:rPr>
        <w:t xml:space="preserve">the payments done during the year as well as the outstanding payment obligations </w:t>
      </w:r>
      <w:r w:rsidR="00637C69" w:rsidRPr="007E0BFF">
        <w:rPr>
          <w:szCs w:val="24"/>
        </w:rPr>
        <w:t>at year-end –</w:t>
      </w:r>
      <w:r w:rsidR="00BB2812" w:rsidRPr="007E0BFF">
        <w:rPr>
          <w:szCs w:val="24"/>
        </w:rPr>
        <w:t xml:space="preserve"> </w:t>
      </w:r>
      <w:r w:rsidR="00E14107" w:rsidRPr="007E0BFF">
        <w:rPr>
          <w:szCs w:val="24"/>
        </w:rPr>
        <w:t>called RAL)</w:t>
      </w:r>
      <w:r w:rsidRPr="007E0BFF">
        <w:rPr>
          <w:szCs w:val="24"/>
        </w:rPr>
        <w:t xml:space="preserve">, </w:t>
      </w:r>
      <w:r w:rsidR="004515D3" w:rsidRPr="007E0BFF">
        <w:rPr>
          <w:szCs w:val="24"/>
        </w:rPr>
        <w:t>reduced</w:t>
      </w:r>
      <w:r w:rsidR="00BB2812" w:rsidRPr="007E0BFF">
        <w:rPr>
          <w:szCs w:val="24"/>
        </w:rPr>
        <w:t xml:space="preserve"> </w:t>
      </w:r>
      <w:r w:rsidR="00637C69" w:rsidRPr="007E0BFF">
        <w:rPr>
          <w:szCs w:val="24"/>
        </w:rPr>
        <w:t xml:space="preserve">by </w:t>
      </w:r>
      <w:r w:rsidR="00E14107" w:rsidRPr="007E0BFF">
        <w:rPr>
          <w:szCs w:val="24"/>
        </w:rPr>
        <w:t xml:space="preserve">the cancellation of unused amounts carried over from </w:t>
      </w:r>
      <w:r w:rsidR="00637C69" w:rsidRPr="007E0BFF">
        <w:rPr>
          <w:szCs w:val="24"/>
        </w:rPr>
        <w:t xml:space="preserve">the </w:t>
      </w:r>
      <w:r w:rsidR="00E14107" w:rsidRPr="007E0BFF">
        <w:rPr>
          <w:szCs w:val="24"/>
        </w:rPr>
        <w:t>previous year</w:t>
      </w:r>
      <w:r w:rsidR="00484D3C" w:rsidRPr="007E0BFF">
        <w:rPr>
          <w:szCs w:val="24"/>
        </w:rPr>
        <w:t xml:space="preserve"> (unused RAL from previous year)</w:t>
      </w:r>
      <w:r w:rsidR="00BB2812" w:rsidRPr="007E0BFF">
        <w:rPr>
          <w:szCs w:val="24"/>
        </w:rPr>
        <w:t xml:space="preserve"> and the </w:t>
      </w:r>
      <w:r w:rsidR="00EC20EB" w:rsidRPr="007E0BFF">
        <w:rPr>
          <w:szCs w:val="24"/>
        </w:rPr>
        <w:t xml:space="preserve">recovery of unduly paid amounts </w:t>
      </w:r>
      <w:r w:rsidR="00BB2812" w:rsidRPr="007E0BFF">
        <w:rPr>
          <w:szCs w:val="24"/>
        </w:rPr>
        <w:t xml:space="preserve">(other income) and </w:t>
      </w:r>
      <w:r w:rsidR="00A56332" w:rsidRPr="007E0BFF">
        <w:rPr>
          <w:szCs w:val="24"/>
        </w:rPr>
        <w:t>increased</w:t>
      </w:r>
      <w:r w:rsidR="00637C69" w:rsidRPr="007E0BFF">
        <w:rPr>
          <w:szCs w:val="24"/>
        </w:rPr>
        <w:t xml:space="preserve"> </w:t>
      </w:r>
      <w:r w:rsidR="00BB2812" w:rsidRPr="007E0BFF">
        <w:rPr>
          <w:szCs w:val="24"/>
        </w:rPr>
        <w:t xml:space="preserve">by the exchange rate </w:t>
      </w:r>
      <w:r w:rsidR="00A56332" w:rsidRPr="007E0BFF">
        <w:rPr>
          <w:szCs w:val="24"/>
        </w:rPr>
        <w:t>losse</w:t>
      </w:r>
      <w:r w:rsidR="00BB2812" w:rsidRPr="007E0BFF">
        <w:rPr>
          <w:szCs w:val="24"/>
        </w:rPr>
        <w:t>s (see budget outturn table under section 3.2).</w:t>
      </w:r>
    </w:p>
    <w:p w14:paraId="3946EB3C" w14:textId="77777777" w:rsidR="00BB2812" w:rsidRPr="007E0BFF" w:rsidRDefault="00BB2812" w:rsidP="008439BD">
      <w:pPr>
        <w:pStyle w:val="Text4"/>
        <w:spacing w:after="120"/>
        <w:ind w:left="0"/>
        <w:rPr>
          <w:szCs w:val="24"/>
        </w:rPr>
      </w:pPr>
      <w:r w:rsidRPr="007E0BFF">
        <w:rPr>
          <w:szCs w:val="24"/>
        </w:rPr>
        <w:t xml:space="preserve">This method </w:t>
      </w:r>
      <w:r w:rsidR="00637C69" w:rsidRPr="007E0BFF">
        <w:rPr>
          <w:szCs w:val="24"/>
        </w:rPr>
        <w:t>for determining</w:t>
      </w:r>
      <w:r w:rsidRPr="007E0BFF">
        <w:rPr>
          <w:szCs w:val="24"/>
        </w:rPr>
        <w:t xml:space="preserve"> revenue </w:t>
      </w:r>
      <w:r w:rsidR="00637C69" w:rsidRPr="007E0BFF">
        <w:rPr>
          <w:szCs w:val="24"/>
        </w:rPr>
        <w:t>follows the</w:t>
      </w:r>
      <w:r w:rsidRPr="007E0BFF">
        <w:rPr>
          <w:szCs w:val="24"/>
        </w:rPr>
        <w:t xml:space="preserve"> cashed-based </w:t>
      </w:r>
      <w:r w:rsidR="00637C69" w:rsidRPr="007E0BFF">
        <w:rPr>
          <w:szCs w:val="24"/>
        </w:rPr>
        <w:t xml:space="preserve">accounting </w:t>
      </w:r>
      <w:r w:rsidRPr="007E0BFF">
        <w:rPr>
          <w:szCs w:val="24"/>
        </w:rPr>
        <w:t xml:space="preserve">principle </w:t>
      </w:r>
      <w:r w:rsidR="00637C69" w:rsidRPr="007E0BFF">
        <w:rPr>
          <w:szCs w:val="24"/>
        </w:rPr>
        <w:t xml:space="preserve">and results </w:t>
      </w:r>
      <w:r w:rsidRPr="007E0BFF">
        <w:rPr>
          <w:szCs w:val="24"/>
        </w:rPr>
        <w:t>from the budget outturn.</w:t>
      </w:r>
    </w:p>
    <w:p w14:paraId="70BB2613" w14:textId="77777777" w:rsidR="00447983" w:rsidRPr="007E0BFF" w:rsidRDefault="002B5B81" w:rsidP="007E0BFF">
      <w:pPr>
        <w:pStyle w:val="Text3"/>
        <w:keepNext/>
        <w:spacing w:before="240" w:after="120"/>
        <w:ind w:left="0"/>
        <w:rPr>
          <w:b/>
          <w:szCs w:val="24"/>
        </w:rPr>
      </w:pPr>
      <w:r w:rsidRPr="007E0BFF">
        <w:rPr>
          <w:b/>
          <w:i/>
          <w:szCs w:val="24"/>
        </w:rPr>
        <w:lastRenderedPageBreak/>
        <w:t>E</w:t>
      </w:r>
      <w:r w:rsidR="00447983" w:rsidRPr="007E0BFF">
        <w:rPr>
          <w:b/>
          <w:i/>
          <w:szCs w:val="24"/>
        </w:rPr>
        <w:t xml:space="preserve">xchange </w:t>
      </w:r>
      <w:r w:rsidR="00B66429" w:rsidRPr="007E0BFF">
        <w:rPr>
          <w:b/>
          <w:i/>
          <w:szCs w:val="24"/>
        </w:rPr>
        <w:t>revenues</w:t>
      </w:r>
    </w:p>
    <w:p w14:paraId="56B09977" w14:textId="77777777" w:rsidR="00C61126" w:rsidRPr="007E0BFF" w:rsidRDefault="00C61126" w:rsidP="007E0BFF">
      <w:pPr>
        <w:pStyle w:val="Heading4"/>
        <w:numPr>
          <w:ilvl w:val="3"/>
          <w:numId w:val="11"/>
        </w:numPr>
        <w:spacing w:before="120" w:after="120"/>
        <w:ind w:left="539" w:hanging="539"/>
        <w:jc w:val="left"/>
        <w:rPr>
          <w:i/>
          <w:szCs w:val="24"/>
        </w:rPr>
      </w:pPr>
      <w:r w:rsidRPr="007E0BFF">
        <w:rPr>
          <w:i/>
          <w:szCs w:val="24"/>
        </w:rPr>
        <w:t xml:space="preserve">Fixed assets related revenue (€ </w:t>
      </w:r>
      <w:r w:rsidR="0024559E" w:rsidRPr="007E0BFF">
        <w:rPr>
          <w:i/>
          <w:szCs w:val="24"/>
        </w:rPr>
        <w:t>0</w:t>
      </w:r>
      <w:r w:rsidRPr="007E0BFF">
        <w:rPr>
          <w:i/>
          <w:szCs w:val="24"/>
        </w:rPr>
        <w:t>)</w:t>
      </w:r>
    </w:p>
    <w:p w14:paraId="4FFC6018" w14:textId="1C80A96F" w:rsidR="00C61126" w:rsidRPr="007E0BFF" w:rsidRDefault="00B0525B" w:rsidP="008439BD">
      <w:pPr>
        <w:pStyle w:val="Text4"/>
        <w:spacing w:after="120"/>
        <w:ind w:left="0"/>
        <w:rPr>
          <w:szCs w:val="24"/>
        </w:rPr>
      </w:pPr>
      <w:r w:rsidRPr="007E0BFF">
        <w:rPr>
          <w:szCs w:val="24"/>
        </w:rPr>
        <w:t>Unlike last year, no goods were transferred to the Agency free of charge by another institution</w:t>
      </w:r>
      <w:r w:rsidR="00BC74B1" w:rsidRPr="007E0BFF">
        <w:rPr>
          <w:szCs w:val="24"/>
        </w:rPr>
        <w:t>.</w:t>
      </w:r>
    </w:p>
    <w:p w14:paraId="1FFF47D8" w14:textId="7A202208" w:rsidR="00B66429" w:rsidRDefault="00485FB4" w:rsidP="008439BD">
      <w:pPr>
        <w:pStyle w:val="Heading4"/>
        <w:numPr>
          <w:ilvl w:val="3"/>
          <w:numId w:val="11"/>
        </w:numPr>
        <w:spacing w:before="240" w:after="120"/>
        <w:ind w:left="539" w:hanging="539"/>
        <w:jc w:val="left"/>
        <w:rPr>
          <w:i/>
          <w:szCs w:val="24"/>
        </w:rPr>
      </w:pPr>
      <w:r w:rsidRPr="007E0BFF">
        <w:rPr>
          <w:i/>
          <w:szCs w:val="24"/>
        </w:rPr>
        <w:t>Income with consolidated entities</w:t>
      </w:r>
      <w:r w:rsidR="00B66429" w:rsidRPr="007E0BFF">
        <w:rPr>
          <w:i/>
          <w:szCs w:val="24"/>
        </w:rPr>
        <w:t xml:space="preserve"> (€ </w:t>
      </w:r>
      <w:r w:rsidRPr="007E0BFF">
        <w:rPr>
          <w:i/>
          <w:szCs w:val="24"/>
        </w:rPr>
        <w:t>241,566</w:t>
      </w:r>
      <w:r w:rsidR="00B66429" w:rsidRPr="007E0BFF">
        <w:rPr>
          <w:i/>
          <w:szCs w:val="24"/>
        </w:rPr>
        <w:t>)</w:t>
      </w:r>
    </w:p>
    <w:p w14:paraId="3DC681F2" w14:textId="465CF799" w:rsidR="000F4A54" w:rsidRPr="00663454" w:rsidRDefault="000F4A54" w:rsidP="00663454">
      <w:pPr>
        <w:pStyle w:val="Text4"/>
        <w:ind w:left="0"/>
      </w:pPr>
      <w:r>
        <w:t>This corresponds to the recovery of unduly paid amounts booked in charge</w:t>
      </w:r>
      <w:r w:rsidR="00C45904">
        <w:t>s</w:t>
      </w:r>
      <w:r>
        <w:t xml:space="preserve"> in 2018 and to the re-invoicing to ERCEA of the rent for the 19</w:t>
      </w:r>
      <w:r w:rsidRPr="00663454">
        <w:rPr>
          <w:vertAlign w:val="superscript"/>
        </w:rPr>
        <w:t>th</w:t>
      </w:r>
      <w:r>
        <w:t xml:space="preserve"> floor for the period from 19/11/2019 to 31/12/2019.</w:t>
      </w:r>
    </w:p>
    <w:p w14:paraId="3F9BCBC9" w14:textId="77777777" w:rsidR="00167303" w:rsidRPr="007E0BFF" w:rsidRDefault="00167303" w:rsidP="008439BD">
      <w:pPr>
        <w:pStyle w:val="Heading4"/>
        <w:numPr>
          <w:ilvl w:val="3"/>
          <w:numId w:val="11"/>
        </w:numPr>
        <w:spacing w:before="240" w:after="120"/>
        <w:ind w:left="539" w:hanging="539"/>
        <w:jc w:val="left"/>
        <w:rPr>
          <w:i/>
          <w:szCs w:val="24"/>
        </w:rPr>
      </w:pPr>
      <w:r w:rsidRPr="007E0BFF">
        <w:rPr>
          <w:i/>
          <w:szCs w:val="24"/>
        </w:rPr>
        <w:t>Exchange rate differences</w:t>
      </w:r>
      <w:r w:rsidR="00447983" w:rsidRPr="007E0BFF">
        <w:rPr>
          <w:i/>
          <w:szCs w:val="24"/>
        </w:rPr>
        <w:t xml:space="preserve"> </w:t>
      </w:r>
      <w:r w:rsidRPr="007E0BFF">
        <w:rPr>
          <w:i/>
          <w:szCs w:val="24"/>
        </w:rPr>
        <w:t xml:space="preserve">(€ </w:t>
      </w:r>
      <w:r w:rsidR="00485FB4" w:rsidRPr="007E0BFF">
        <w:rPr>
          <w:i/>
          <w:szCs w:val="24"/>
        </w:rPr>
        <w:t>335</w:t>
      </w:r>
      <w:r w:rsidRPr="007E0BFF">
        <w:rPr>
          <w:i/>
          <w:szCs w:val="24"/>
        </w:rPr>
        <w:t>)</w:t>
      </w:r>
    </w:p>
    <w:p w14:paraId="56E5C365" w14:textId="77777777" w:rsidR="00167303" w:rsidRPr="007E0BFF" w:rsidRDefault="00855694" w:rsidP="008439BD">
      <w:pPr>
        <w:pStyle w:val="Text4"/>
        <w:spacing w:after="120"/>
        <w:ind w:left="0"/>
        <w:rPr>
          <w:szCs w:val="24"/>
        </w:rPr>
      </w:pPr>
      <w:r w:rsidRPr="007E0BFF">
        <w:rPr>
          <w:szCs w:val="24"/>
        </w:rPr>
        <w:t>The amount results from exchange gains on</w:t>
      </w:r>
      <w:r w:rsidR="00167303" w:rsidRPr="007E0BFF">
        <w:rPr>
          <w:szCs w:val="24"/>
        </w:rPr>
        <w:t xml:space="preserve"> </w:t>
      </w:r>
      <w:r w:rsidR="00637C69" w:rsidRPr="007E0BFF">
        <w:rPr>
          <w:szCs w:val="24"/>
        </w:rPr>
        <w:t xml:space="preserve">payments in </w:t>
      </w:r>
      <w:r w:rsidR="00167303" w:rsidRPr="007E0BFF">
        <w:rPr>
          <w:szCs w:val="24"/>
        </w:rPr>
        <w:t>foreig</w:t>
      </w:r>
      <w:r w:rsidR="003D2829" w:rsidRPr="007E0BFF">
        <w:rPr>
          <w:szCs w:val="24"/>
        </w:rPr>
        <w:t>n</w:t>
      </w:r>
      <w:r w:rsidR="00167303" w:rsidRPr="007E0BFF">
        <w:rPr>
          <w:szCs w:val="24"/>
        </w:rPr>
        <w:t xml:space="preserve"> currency.</w:t>
      </w:r>
    </w:p>
    <w:p w14:paraId="4785F0AD" w14:textId="77777777" w:rsidR="00167303" w:rsidRPr="007E0BFF" w:rsidRDefault="00447983" w:rsidP="008439BD">
      <w:pPr>
        <w:pStyle w:val="Heading4"/>
        <w:numPr>
          <w:ilvl w:val="3"/>
          <w:numId w:val="11"/>
        </w:numPr>
        <w:spacing w:before="240" w:after="120"/>
        <w:ind w:left="539" w:hanging="539"/>
        <w:jc w:val="left"/>
        <w:rPr>
          <w:i/>
          <w:szCs w:val="24"/>
        </w:rPr>
      </w:pPr>
      <w:r w:rsidRPr="007E0BFF">
        <w:rPr>
          <w:i/>
          <w:szCs w:val="24"/>
        </w:rPr>
        <w:t xml:space="preserve">Other </w:t>
      </w:r>
      <w:r w:rsidR="00177D65" w:rsidRPr="007E0BFF">
        <w:rPr>
          <w:i/>
          <w:szCs w:val="24"/>
        </w:rPr>
        <w:t xml:space="preserve">operating revenue </w:t>
      </w:r>
      <w:r w:rsidR="00D27CFC" w:rsidRPr="007E0BFF">
        <w:rPr>
          <w:i/>
          <w:szCs w:val="24"/>
        </w:rPr>
        <w:t>–</w:t>
      </w:r>
      <w:r w:rsidR="00177D65" w:rsidRPr="007E0BFF">
        <w:rPr>
          <w:i/>
          <w:szCs w:val="24"/>
        </w:rPr>
        <w:t xml:space="preserve"> miscellaneous </w:t>
      </w:r>
      <w:r w:rsidR="00D47080" w:rsidRPr="007E0BFF">
        <w:rPr>
          <w:i/>
          <w:szCs w:val="24"/>
        </w:rPr>
        <w:t xml:space="preserve">(€ </w:t>
      </w:r>
      <w:r w:rsidR="00485FB4" w:rsidRPr="007E0BFF">
        <w:rPr>
          <w:i/>
          <w:szCs w:val="24"/>
        </w:rPr>
        <w:t>39,734</w:t>
      </w:r>
      <w:r w:rsidR="00167303" w:rsidRPr="007E0BFF">
        <w:rPr>
          <w:i/>
          <w:szCs w:val="24"/>
        </w:rPr>
        <w:t>)</w:t>
      </w:r>
    </w:p>
    <w:p w14:paraId="62C9660A" w14:textId="453A5E9C" w:rsidR="000F4A54" w:rsidRDefault="00E74BBB" w:rsidP="008439BD">
      <w:pPr>
        <w:pStyle w:val="Text4"/>
        <w:spacing w:after="120"/>
        <w:ind w:left="0"/>
        <w:rPr>
          <w:szCs w:val="24"/>
        </w:rPr>
      </w:pPr>
      <w:r w:rsidRPr="007E0BFF">
        <w:rPr>
          <w:szCs w:val="24"/>
        </w:rPr>
        <w:t xml:space="preserve">The miscellaneous revenues </w:t>
      </w:r>
      <w:r w:rsidR="00637C69" w:rsidRPr="007E0BFF">
        <w:rPr>
          <w:szCs w:val="24"/>
        </w:rPr>
        <w:t>include</w:t>
      </w:r>
      <w:r w:rsidR="000F4A54">
        <w:rPr>
          <w:szCs w:val="24"/>
        </w:rPr>
        <w:t xml:space="preserve"> the re-invoicing of:</w:t>
      </w:r>
    </w:p>
    <w:p w14:paraId="5E362B5D" w14:textId="79FBB310" w:rsidR="000F4A54" w:rsidRDefault="00235DC0" w:rsidP="00663454">
      <w:pPr>
        <w:pStyle w:val="Text4"/>
        <w:numPr>
          <w:ilvl w:val="0"/>
          <w:numId w:val="29"/>
        </w:numPr>
        <w:spacing w:after="120"/>
        <w:rPr>
          <w:szCs w:val="24"/>
        </w:rPr>
      </w:pPr>
      <w:r>
        <w:t>legal costs incurred by the A</w:t>
      </w:r>
      <w:r w:rsidR="009F111A" w:rsidRPr="007E0BFF">
        <w:t>gency in the context of a legal proceeding against beneficiaries of a grant</w:t>
      </w:r>
      <w:r w:rsidR="009F111A">
        <w:t xml:space="preserve"> </w:t>
      </w:r>
      <w:r>
        <w:t>(granted on the operational budget)</w:t>
      </w:r>
      <w:r w:rsidR="000F4A54">
        <w:rPr>
          <w:szCs w:val="24"/>
        </w:rPr>
        <w:t>,</w:t>
      </w:r>
    </w:p>
    <w:p w14:paraId="29168ABF" w14:textId="77777777" w:rsidR="000F4A54" w:rsidRDefault="000F4A54" w:rsidP="00663454">
      <w:pPr>
        <w:pStyle w:val="Text4"/>
        <w:numPr>
          <w:ilvl w:val="0"/>
          <w:numId w:val="29"/>
        </w:numPr>
        <w:spacing w:after="120"/>
        <w:rPr>
          <w:szCs w:val="24"/>
        </w:rPr>
      </w:pPr>
      <w:r>
        <w:rPr>
          <w:szCs w:val="24"/>
        </w:rPr>
        <w:t>recruitment costs,</w:t>
      </w:r>
    </w:p>
    <w:p w14:paraId="786F07C4" w14:textId="04747AD0" w:rsidR="00167303" w:rsidRPr="007E0BFF" w:rsidRDefault="000F4A54" w:rsidP="00663454">
      <w:pPr>
        <w:pStyle w:val="Text4"/>
        <w:numPr>
          <w:ilvl w:val="0"/>
          <w:numId w:val="29"/>
        </w:numPr>
        <w:spacing w:after="120"/>
        <w:rPr>
          <w:szCs w:val="24"/>
        </w:rPr>
      </w:pPr>
      <w:r>
        <w:rPr>
          <w:szCs w:val="24"/>
        </w:rPr>
        <w:t>amounts unduly paid  and booked in charge in 2018</w:t>
      </w:r>
    </w:p>
    <w:p w14:paraId="5689F21F" w14:textId="77777777" w:rsidR="00447983" w:rsidRPr="007E0BFF" w:rsidRDefault="00447983" w:rsidP="00A43050">
      <w:pPr>
        <w:pStyle w:val="Text3"/>
        <w:keepNext/>
        <w:spacing w:before="240" w:after="120"/>
        <w:ind w:left="0"/>
        <w:rPr>
          <w:b/>
          <w:i/>
          <w:szCs w:val="24"/>
        </w:rPr>
      </w:pPr>
      <w:r w:rsidRPr="007E0BFF">
        <w:rPr>
          <w:b/>
          <w:i/>
          <w:szCs w:val="24"/>
        </w:rPr>
        <w:t xml:space="preserve">Expenses </w:t>
      </w:r>
    </w:p>
    <w:p w14:paraId="051A7C49" w14:textId="77777777" w:rsidR="00447983" w:rsidRPr="007E0BFF" w:rsidRDefault="00447983" w:rsidP="008439BD">
      <w:pPr>
        <w:pStyle w:val="Heading4"/>
        <w:numPr>
          <w:ilvl w:val="3"/>
          <w:numId w:val="11"/>
        </w:numPr>
        <w:spacing w:after="120"/>
        <w:ind w:left="539" w:hanging="539"/>
        <w:jc w:val="left"/>
        <w:rPr>
          <w:i/>
          <w:szCs w:val="24"/>
        </w:rPr>
      </w:pPr>
      <w:r w:rsidRPr="007E0BFF">
        <w:rPr>
          <w:i/>
          <w:szCs w:val="24"/>
        </w:rPr>
        <w:t xml:space="preserve">Staff </w:t>
      </w:r>
      <w:r w:rsidR="0075761E" w:rsidRPr="007E0BFF">
        <w:rPr>
          <w:i/>
          <w:szCs w:val="24"/>
        </w:rPr>
        <w:t>expenses (</w:t>
      </w:r>
      <w:r w:rsidRPr="007E0BFF">
        <w:rPr>
          <w:i/>
          <w:szCs w:val="24"/>
        </w:rPr>
        <w:t xml:space="preserve">€ </w:t>
      </w:r>
      <w:r w:rsidR="00582BE8" w:rsidRPr="007E0BFF">
        <w:rPr>
          <w:i/>
          <w:szCs w:val="24"/>
        </w:rPr>
        <w:t>54,295,380</w:t>
      </w:r>
      <w:r w:rsidRPr="007E0BFF">
        <w:rPr>
          <w:i/>
          <w:szCs w:val="24"/>
        </w:rPr>
        <w:t>)</w:t>
      </w:r>
    </w:p>
    <w:p w14:paraId="641EBB02" w14:textId="63F29BB7" w:rsidR="00D82D43" w:rsidRPr="007E0BFF" w:rsidRDefault="00D82D43" w:rsidP="00A04B14">
      <w:pPr>
        <w:pStyle w:val="Text4"/>
        <w:spacing w:after="120"/>
        <w:ind w:left="0"/>
        <w:rPr>
          <w:szCs w:val="24"/>
        </w:rPr>
      </w:pPr>
      <w:r w:rsidRPr="007E0BFF">
        <w:rPr>
          <w:szCs w:val="24"/>
        </w:rPr>
        <w:t>Compared to last year, staff costs h</w:t>
      </w:r>
      <w:r w:rsidR="00A67E60" w:rsidRPr="007E0BFF">
        <w:rPr>
          <w:szCs w:val="24"/>
        </w:rPr>
        <w:t xml:space="preserve">ave increased by approximately </w:t>
      </w:r>
      <w:r w:rsidR="00A04B14" w:rsidRPr="007E0BFF">
        <w:rPr>
          <w:szCs w:val="24"/>
        </w:rPr>
        <w:t xml:space="preserve">€ </w:t>
      </w:r>
      <w:r w:rsidRPr="007E0BFF">
        <w:rPr>
          <w:szCs w:val="24"/>
        </w:rPr>
        <w:t>5.4</w:t>
      </w:r>
      <w:r w:rsidR="00A67E60" w:rsidRPr="007E0BFF">
        <w:rPr>
          <w:szCs w:val="24"/>
        </w:rPr>
        <w:t xml:space="preserve"> </w:t>
      </w:r>
      <w:r w:rsidR="00A04B14" w:rsidRPr="007E0BFF">
        <w:rPr>
          <w:szCs w:val="24"/>
        </w:rPr>
        <w:t>million</w:t>
      </w:r>
      <w:r w:rsidRPr="007E0BFF">
        <w:rPr>
          <w:szCs w:val="24"/>
        </w:rPr>
        <w:t xml:space="preserve"> (11%) because the number of </w:t>
      </w:r>
      <w:r w:rsidR="000F4A54">
        <w:rPr>
          <w:szCs w:val="24"/>
        </w:rPr>
        <w:t>positions</w:t>
      </w:r>
      <w:r w:rsidR="000F4A54" w:rsidRPr="007E0BFF">
        <w:rPr>
          <w:szCs w:val="24"/>
        </w:rPr>
        <w:t xml:space="preserve"> </w:t>
      </w:r>
      <w:r w:rsidRPr="007E0BFF">
        <w:rPr>
          <w:szCs w:val="24"/>
        </w:rPr>
        <w:t>occupied in 2019 is higher than in 2018 and the cost of salaries has increased (indexation, seniority</w:t>
      </w:r>
      <w:r w:rsidR="000F4A54">
        <w:rPr>
          <w:szCs w:val="24"/>
        </w:rPr>
        <w:t xml:space="preserve"> progression and reclassification</w:t>
      </w:r>
      <w:r w:rsidR="00C45904">
        <w:rPr>
          <w:szCs w:val="24"/>
        </w:rPr>
        <w:t>s</w:t>
      </w:r>
      <w:r w:rsidRPr="007E0BFF">
        <w:rPr>
          <w:szCs w:val="24"/>
        </w:rPr>
        <w:t>).</w:t>
      </w:r>
    </w:p>
    <w:p w14:paraId="09F9284D" w14:textId="77777777" w:rsidR="00B36848" w:rsidRPr="007E0BFF" w:rsidRDefault="0088691F" w:rsidP="00A64D26">
      <w:pPr>
        <w:pStyle w:val="Text4"/>
        <w:spacing w:after="120"/>
        <w:ind w:left="0"/>
        <w:rPr>
          <w:bCs/>
          <w:szCs w:val="24"/>
        </w:rPr>
      </w:pPr>
      <w:r w:rsidRPr="007E0BFF">
        <w:rPr>
          <w:bCs/>
          <w:szCs w:val="24"/>
        </w:rPr>
        <w:t>Staff expenses include</w:t>
      </w:r>
      <w:r w:rsidR="00B36848" w:rsidRPr="007E0BFF">
        <w:rPr>
          <w:bCs/>
          <w:szCs w:val="24"/>
        </w:rPr>
        <w:t>:</w:t>
      </w:r>
    </w:p>
    <w:p w14:paraId="368BCD04" w14:textId="552144C6" w:rsidR="00B36848" w:rsidRPr="007E0BFF" w:rsidRDefault="0088691F" w:rsidP="00DE7CF7">
      <w:pPr>
        <w:pStyle w:val="ListParagraph"/>
        <w:numPr>
          <w:ilvl w:val="0"/>
          <w:numId w:val="19"/>
        </w:numPr>
        <w:ind w:left="284" w:hanging="284"/>
        <w:contextualSpacing w:val="0"/>
        <w:jc w:val="both"/>
        <w:rPr>
          <w:bCs/>
        </w:rPr>
      </w:pPr>
      <w:r w:rsidRPr="007E0BFF">
        <w:rPr>
          <w:bCs/>
        </w:rPr>
        <w:t xml:space="preserve">the </w:t>
      </w:r>
      <w:r w:rsidR="00447983" w:rsidRPr="007E0BFF">
        <w:rPr>
          <w:bCs/>
        </w:rPr>
        <w:t>gross salaries, allowances,</w:t>
      </w:r>
      <w:r w:rsidR="009B0292" w:rsidRPr="007E0BFF">
        <w:rPr>
          <w:bCs/>
        </w:rPr>
        <w:t xml:space="preserve"> social and pension cont</w:t>
      </w:r>
      <w:r w:rsidR="00B36848" w:rsidRPr="007E0BFF">
        <w:rPr>
          <w:bCs/>
        </w:rPr>
        <w:t>ributions</w:t>
      </w:r>
      <w:r w:rsidR="003F7C9F" w:rsidRPr="007E0BFF">
        <w:rPr>
          <w:bCs/>
        </w:rPr>
        <w:t>, an accrual for untaken holidays and other staff costs</w:t>
      </w:r>
      <w:r w:rsidR="00B82F49" w:rsidRPr="007E0BFF">
        <w:rPr>
          <w:bCs/>
        </w:rPr>
        <w:t xml:space="preserve"> </w:t>
      </w:r>
      <w:r w:rsidR="007E5262" w:rsidRPr="007E0BFF">
        <w:rPr>
          <w:bCs/>
        </w:rPr>
        <w:t>€ 53,740,969</w:t>
      </w:r>
      <w:r w:rsidR="00FA786C" w:rsidRPr="007E0BFF">
        <w:rPr>
          <w:bCs/>
        </w:rPr>
        <w:t>;</w:t>
      </w:r>
    </w:p>
    <w:p w14:paraId="2C44F164" w14:textId="78585377" w:rsidR="00024BCE" w:rsidRPr="007E0BFF" w:rsidRDefault="00B82F49" w:rsidP="00DE7CF7">
      <w:pPr>
        <w:pStyle w:val="ListParagraph"/>
        <w:numPr>
          <w:ilvl w:val="0"/>
          <w:numId w:val="19"/>
        </w:numPr>
        <w:ind w:left="284" w:hanging="284"/>
        <w:contextualSpacing w:val="0"/>
        <w:jc w:val="both"/>
        <w:rPr>
          <w:bCs/>
        </w:rPr>
      </w:pPr>
      <w:r w:rsidRPr="007E0BFF">
        <w:rPr>
          <w:bCs/>
        </w:rPr>
        <w:t>the amount paid to the DG EAC for the trainees empl</w:t>
      </w:r>
      <w:r w:rsidR="007E5262" w:rsidRPr="007E0BFF">
        <w:rPr>
          <w:bCs/>
        </w:rPr>
        <w:t>oyed by the Agency during 2019</w:t>
      </w:r>
      <w:r w:rsidR="00FA786C" w:rsidRPr="007E0BFF">
        <w:rPr>
          <w:bCs/>
        </w:rPr>
        <w:t xml:space="preserve"> </w:t>
      </w:r>
      <w:r w:rsidR="00E83817" w:rsidRPr="007E0BFF">
        <w:rPr>
          <w:bCs/>
        </w:rPr>
        <w:t>(€</w:t>
      </w:r>
      <w:r w:rsidR="000F4A54">
        <w:rPr>
          <w:bCs/>
        </w:rPr>
        <w:t> </w:t>
      </w:r>
      <w:r w:rsidR="007E5262" w:rsidRPr="007E0BFF">
        <w:rPr>
          <w:bCs/>
        </w:rPr>
        <w:t>57,145</w:t>
      </w:r>
      <w:r w:rsidR="00E83817" w:rsidRPr="007E0BFF">
        <w:rPr>
          <w:bCs/>
        </w:rPr>
        <w:t>)</w:t>
      </w:r>
      <w:r w:rsidR="00024BCE" w:rsidRPr="007E0BFF">
        <w:rPr>
          <w:bCs/>
        </w:rPr>
        <w:t>;</w:t>
      </w:r>
    </w:p>
    <w:p w14:paraId="6BED421F" w14:textId="77777777" w:rsidR="0033564A" w:rsidRPr="007E0BFF" w:rsidRDefault="001870E2" w:rsidP="00DE7CF7">
      <w:pPr>
        <w:pStyle w:val="ListParagraph"/>
        <w:numPr>
          <w:ilvl w:val="0"/>
          <w:numId w:val="19"/>
        </w:numPr>
        <w:ind w:left="284" w:hanging="284"/>
        <w:contextualSpacing w:val="0"/>
        <w:jc w:val="both"/>
        <w:rPr>
          <w:bCs/>
        </w:rPr>
      </w:pPr>
      <w:r w:rsidRPr="007E0BFF">
        <w:rPr>
          <w:bCs/>
        </w:rPr>
        <w:t>The employer's contribution to the school transport</w:t>
      </w:r>
      <w:r w:rsidR="00647C21" w:rsidRPr="007E0BFF">
        <w:rPr>
          <w:bCs/>
        </w:rPr>
        <w:t xml:space="preserve">, </w:t>
      </w:r>
      <w:r w:rsidR="00024BCE" w:rsidRPr="007E0BFF">
        <w:rPr>
          <w:bCs/>
        </w:rPr>
        <w:t xml:space="preserve">contribution to </w:t>
      </w:r>
      <w:r w:rsidR="0077494F" w:rsidRPr="007E0BFF">
        <w:rPr>
          <w:bCs/>
        </w:rPr>
        <w:t xml:space="preserve">staff public transport passes </w:t>
      </w:r>
      <w:r w:rsidR="003C7A20" w:rsidRPr="007E0BFF">
        <w:rPr>
          <w:bCs/>
        </w:rPr>
        <w:t xml:space="preserve">and other staff </w:t>
      </w:r>
      <w:r w:rsidR="0075761E" w:rsidRPr="007E0BFF">
        <w:rPr>
          <w:bCs/>
        </w:rPr>
        <w:t>perquisites</w:t>
      </w:r>
      <w:r w:rsidR="003C7A20" w:rsidRPr="007E0BFF">
        <w:rPr>
          <w:bCs/>
        </w:rPr>
        <w:t xml:space="preserve"> </w:t>
      </w:r>
      <w:r w:rsidR="007E5262" w:rsidRPr="007E0BFF">
        <w:rPr>
          <w:bCs/>
        </w:rPr>
        <w:t>(€ 497,266)</w:t>
      </w:r>
      <w:r w:rsidR="00FA786C" w:rsidRPr="007E0BFF">
        <w:rPr>
          <w:bCs/>
        </w:rPr>
        <w:t>.</w:t>
      </w:r>
    </w:p>
    <w:p w14:paraId="080E9354" w14:textId="77777777" w:rsidR="00024BCE" w:rsidRPr="007E0BFF" w:rsidRDefault="00024BCE" w:rsidP="00024BCE">
      <w:pPr>
        <w:pStyle w:val="ListParagraph"/>
        <w:ind w:left="284"/>
        <w:contextualSpacing w:val="0"/>
        <w:jc w:val="both"/>
        <w:rPr>
          <w:bCs/>
        </w:rPr>
      </w:pPr>
    </w:p>
    <w:p w14:paraId="3236BEEE" w14:textId="77777777" w:rsidR="00024BCE" w:rsidRPr="007E0BFF" w:rsidRDefault="00024BCE" w:rsidP="00024BCE">
      <w:pPr>
        <w:pStyle w:val="Heading4"/>
        <w:numPr>
          <w:ilvl w:val="3"/>
          <w:numId w:val="11"/>
        </w:numPr>
        <w:spacing w:after="120"/>
        <w:ind w:left="539" w:hanging="539"/>
        <w:jc w:val="left"/>
        <w:rPr>
          <w:i/>
          <w:szCs w:val="24"/>
        </w:rPr>
      </w:pPr>
      <w:r w:rsidRPr="007E0BFF">
        <w:rPr>
          <w:i/>
          <w:szCs w:val="24"/>
        </w:rPr>
        <w:t>Interest expenses (€ 1,222)</w:t>
      </w:r>
    </w:p>
    <w:p w14:paraId="794779E3" w14:textId="2AE07E5C" w:rsidR="00024BCE" w:rsidRPr="007E0BFF" w:rsidRDefault="00024BCE" w:rsidP="00024BCE">
      <w:pPr>
        <w:pStyle w:val="Text4"/>
        <w:spacing w:after="120"/>
        <w:ind w:left="0"/>
        <w:rPr>
          <w:bCs/>
          <w:szCs w:val="24"/>
        </w:rPr>
      </w:pPr>
      <w:r w:rsidRPr="007E0BFF">
        <w:rPr>
          <w:bCs/>
          <w:szCs w:val="24"/>
        </w:rPr>
        <w:t>It represents the interest expense</w:t>
      </w:r>
      <w:r w:rsidR="000F4A54">
        <w:rPr>
          <w:bCs/>
          <w:szCs w:val="24"/>
        </w:rPr>
        <w:t>s</w:t>
      </w:r>
      <w:r w:rsidRPr="007E0BFF">
        <w:rPr>
          <w:bCs/>
          <w:szCs w:val="24"/>
        </w:rPr>
        <w:t xml:space="preserve"> paid in 2019 for the financial leasing of photocopiers.</w:t>
      </w:r>
    </w:p>
    <w:p w14:paraId="461BF9F8" w14:textId="77777777" w:rsidR="00605796" w:rsidRPr="007E0BFF" w:rsidRDefault="00024BCE" w:rsidP="008439BD">
      <w:pPr>
        <w:pStyle w:val="Heading4"/>
        <w:numPr>
          <w:ilvl w:val="3"/>
          <w:numId w:val="11"/>
        </w:numPr>
        <w:spacing w:before="240" w:after="120"/>
        <w:ind w:left="539" w:hanging="539"/>
        <w:jc w:val="left"/>
        <w:rPr>
          <w:i/>
          <w:szCs w:val="24"/>
        </w:rPr>
      </w:pPr>
      <w:r w:rsidRPr="007E0BFF">
        <w:rPr>
          <w:i/>
          <w:szCs w:val="24"/>
        </w:rPr>
        <w:t>Administrative and IT expenses</w:t>
      </w:r>
      <w:r w:rsidR="00447983" w:rsidRPr="007E0BFF">
        <w:rPr>
          <w:i/>
          <w:szCs w:val="24"/>
        </w:rPr>
        <w:t xml:space="preserve"> (</w:t>
      </w:r>
      <w:r w:rsidR="00D47080" w:rsidRPr="007E0BFF">
        <w:rPr>
          <w:i/>
          <w:szCs w:val="24"/>
        </w:rPr>
        <w:t xml:space="preserve">€ </w:t>
      </w:r>
      <w:r w:rsidR="00EC0F67" w:rsidRPr="007E0BFF">
        <w:rPr>
          <w:i/>
          <w:szCs w:val="24"/>
        </w:rPr>
        <w:t>8,644,914</w:t>
      </w:r>
      <w:r w:rsidR="00447983" w:rsidRPr="007E0BFF">
        <w:rPr>
          <w:i/>
          <w:szCs w:val="24"/>
        </w:rPr>
        <w:t>)</w:t>
      </w:r>
      <w:r w:rsidR="00037FD8" w:rsidRPr="007E0BFF">
        <w:rPr>
          <w:i/>
          <w:szCs w:val="24"/>
        </w:rPr>
        <w:t xml:space="preserve"> </w:t>
      </w:r>
    </w:p>
    <w:p w14:paraId="3A51665A" w14:textId="77777777" w:rsidR="001562B1" w:rsidRPr="007E0BFF" w:rsidRDefault="00787B34" w:rsidP="00DE7CF7">
      <w:pPr>
        <w:pStyle w:val="ListParagraph"/>
        <w:numPr>
          <w:ilvl w:val="0"/>
          <w:numId w:val="19"/>
        </w:numPr>
        <w:ind w:left="284" w:hanging="284"/>
        <w:contextualSpacing w:val="0"/>
        <w:jc w:val="both"/>
        <w:rPr>
          <w:bCs/>
        </w:rPr>
      </w:pPr>
      <w:r w:rsidRPr="007E0BFF">
        <w:rPr>
          <w:bCs/>
        </w:rPr>
        <w:t xml:space="preserve">€ </w:t>
      </w:r>
      <w:r w:rsidR="00EC0F67" w:rsidRPr="007E0BFF">
        <w:rPr>
          <w:bCs/>
        </w:rPr>
        <w:t xml:space="preserve">5,219,702 </w:t>
      </w:r>
      <w:r w:rsidR="00B808F6" w:rsidRPr="007E0BFF">
        <w:rPr>
          <w:bCs/>
        </w:rPr>
        <w:t>relate to s</w:t>
      </w:r>
      <w:r w:rsidR="001562B1" w:rsidRPr="007E0BFF">
        <w:rPr>
          <w:bCs/>
        </w:rPr>
        <w:t>ervices</w:t>
      </w:r>
      <w:r w:rsidR="00B808F6" w:rsidRPr="007E0BFF">
        <w:rPr>
          <w:bCs/>
        </w:rPr>
        <w:t xml:space="preserve"> </w:t>
      </w:r>
      <w:r w:rsidR="001562B1" w:rsidRPr="007E0BFF">
        <w:rPr>
          <w:bCs/>
        </w:rPr>
        <w:t>provided by consolidated entities (O</w:t>
      </w:r>
      <w:r w:rsidR="00F0796E" w:rsidRPr="007E0BFF">
        <w:rPr>
          <w:bCs/>
        </w:rPr>
        <w:t xml:space="preserve">IB, </w:t>
      </w:r>
      <w:r w:rsidR="0033564A" w:rsidRPr="007E0BFF">
        <w:rPr>
          <w:bCs/>
        </w:rPr>
        <w:t xml:space="preserve">DG DIGIT, DG HR, </w:t>
      </w:r>
      <w:r w:rsidR="00D73ABC" w:rsidRPr="007E0BFF">
        <w:rPr>
          <w:bCs/>
        </w:rPr>
        <w:t xml:space="preserve">DG BUDG, </w:t>
      </w:r>
      <w:r w:rsidR="0033564A" w:rsidRPr="007E0BFF">
        <w:rPr>
          <w:bCs/>
        </w:rPr>
        <w:t xml:space="preserve">DG SCIC, </w:t>
      </w:r>
      <w:r w:rsidR="00F0796E" w:rsidRPr="007E0BFF">
        <w:rPr>
          <w:bCs/>
        </w:rPr>
        <w:t xml:space="preserve">PMO, </w:t>
      </w:r>
      <w:r w:rsidR="0033564A" w:rsidRPr="007E0BFF">
        <w:rPr>
          <w:bCs/>
        </w:rPr>
        <w:t>EPSO</w:t>
      </w:r>
      <w:r w:rsidR="001562B1" w:rsidRPr="007E0BFF">
        <w:rPr>
          <w:bCs/>
        </w:rPr>
        <w:t>) in the framework of Service</w:t>
      </w:r>
      <w:r w:rsidR="00FA786C" w:rsidRPr="007E0BFF">
        <w:rPr>
          <w:bCs/>
        </w:rPr>
        <w:t>-</w:t>
      </w:r>
      <w:r w:rsidR="001562B1" w:rsidRPr="007E0BFF">
        <w:rPr>
          <w:bCs/>
        </w:rPr>
        <w:t>Level agreements</w:t>
      </w:r>
      <w:r w:rsidR="00556D39" w:rsidRPr="007E0BFF">
        <w:rPr>
          <w:bCs/>
        </w:rPr>
        <w:t>;</w:t>
      </w:r>
    </w:p>
    <w:p w14:paraId="5FD05A91" w14:textId="77777777" w:rsidR="00D67384" w:rsidRPr="007E0BFF" w:rsidRDefault="00B808F6" w:rsidP="00DE7CF7">
      <w:pPr>
        <w:pStyle w:val="ListParagraph"/>
        <w:numPr>
          <w:ilvl w:val="0"/>
          <w:numId w:val="19"/>
        </w:numPr>
        <w:ind w:left="284" w:hanging="284"/>
        <w:contextualSpacing w:val="0"/>
        <w:jc w:val="both"/>
        <w:rPr>
          <w:bCs/>
          <w:color w:val="000000"/>
        </w:rPr>
      </w:pPr>
      <w:r w:rsidRPr="007E0BFF">
        <w:rPr>
          <w:bCs/>
          <w:color w:val="000000"/>
        </w:rPr>
        <w:t xml:space="preserve">€ </w:t>
      </w:r>
      <w:r w:rsidR="00EC0F67" w:rsidRPr="007E0BFF">
        <w:rPr>
          <w:bCs/>
          <w:color w:val="000000"/>
        </w:rPr>
        <w:t>3,425,212</w:t>
      </w:r>
      <w:r w:rsidR="002B0362" w:rsidRPr="007E0BFF">
        <w:rPr>
          <w:bCs/>
          <w:color w:val="000000"/>
        </w:rPr>
        <w:t xml:space="preserve"> relate</w:t>
      </w:r>
      <w:r w:rsidRPr="007E0BFF">
        <w:rPr>
          <w:bCs/>
          <w:color w:val="000000"/>
        </w:rPr>
        <w:t xml:space="preserve"> to s</w:t>
      </w:r>
      <w:r w:rsidR="006F1F1C" w:rsidRPr="007E0BFF">
        <w:rPr>
          <w:bCs/>
          <w:color w:val="000000"/>
        </w:rPr>
        <w:t xml:space="preserve">ervices </w:t>
      </w:r>
      <w:r w:rsidRPr="007E0BFF">
        <w:rPr>
          <w:bCs/>
          <w:color w:val="000000"/>
        </w:rPr>
        <w:t xml:space="preserve">or goods </w:t>
      </w:r>
      <w:r w:rsidR="006F1F1C" w:rsidRPr="007E0BFF">
        <w:rPr>
          <w:bCs/>
          <w:color w:val="000000"/>
        </w:rPr>
        <w:t>provided by external contractors</w:t>
      </w:r>
      <w:r w:rsidRPr="007E0BFF">
        <w:rPr>
          <w:bCs/>
          <w:color w:val="000000"/>
        </w:rPr>
        <w:t xml:space="preserve"> in the following fields:</w:t>
      </w:r>
    </w:p>
    <w:p w14:paraId="572F5EA4" w14:textId="6F86FFE0" w:rsidR="00D67384" w:rsidRPr="007E0BFF" w:rsidRDefault="00F30A1E" w:rsidP="00DE7CF7">
      <w:pPr>
        <w:pStyle w:val="ListParagraph"/>
        <w:numPr>
          <w:ilvl w:val="0"/>
          <w:numId w:val="23"/>
        </w:numPr>
        <w:ind w:left="851" w:hanging="284"/>
        <w:contextualSpacing w:val="0"/>
        <w:jc w:val="both"/>
        <w:rPr>
          <w:bCs/>
          <w:color w:val="000000"/>
        </w:rPr>
      </w:pPr>
      <w:r w:rsidRPr="007E0BFF">
        <w:t>n</w:t>
      </w:r>
      <w:r w:rsidR="00D67384" w:rsidRPr="007E0BFF">
        <w:t>on</w:t>
      </w:r>
      <w:r w:rsidR="00D67384" w:rsidRPr="007E0BFF">
        <w:rPr>
          <w:bCs/>
          <w:color w:val="000000"/>
        </w:rPr>
        <w:t xml:space="preserve"> IT services such as </w:t>
      </w:r>
      <w:r w:rsidR="000F4A54">
        <w:rPr>
          <w:bCs/>
          <w:color w:val="000000"/>
        </w:rPr>
        <w:t>outsourced ex-post controls</w:t>
      </w:r>
      <w:r w:rsidR="00D67384" w:rsidRPr="007E0BFF">
        <w:rPr>
          <w:bCs/>
          <w:color w:val="000000"/>
        </w:rPr>
        <w:t xml:space="preserve">, interim staff </w:t>
      </w:r>
      <w:r w:rsidR="00037FD8" w:rsidRPr="007E0BFF">
        <w:rPr>
          <w:bCs/>
          <w:color w:val="000000"/>
        </w:rPr>
        <w:t>(€ 880,180</w:t>
      </w:r>
      <w:r w:rsidR="00D67384" w:rsidRPr="007E0BFF">
        <w:rPr>
          <w:bCs/>
          <w:color w:val="000000"/>
        </w:rPr>
        <w:t>)</w:t>
      </w:r>
      <w:r w:rsidR="00556D39" w:rsidRPr="007E0BFF">
        <w:rPr>
          <w:bCs/>
          <w:color w:val="000000"/>
        </w:rPr>
        <w:t>;</w:t>
      </w:r>
    </w:p>
    <w:p w14:paraId="4F4E9DFB" w14:textId="77777777" w:rsidR="00D67384" w:rsidRPr="007E0BFF" w:rsidRDefault="00F30A1E" w:rsidP="00DE7CF7">
      <w:pPr>
        <w:pStyle w:val="ListParagraph"/>
        <w:numPr>
          <w:ilvl w:val="0"/>
          <w:numId w:val="23"/>
        </w:numPr>
        <w:ind w:left="851" w:hanging="284"/>
        <w:contextualSpacing w:val="0"/>
        <w:jc w:val="both"/>
        <w:rPr>
          <w:bCs/>
          <w:color w:val="000000"/>
        </w:rPr>
      </w:pPr>
      <w:r w:rsidRPr="007E0BFF">
        <w:t>m</w:t>
      </w:r>
      <w:r w:rsidR="00D67384" w:rsidRPr="007E0BFF">
        <w:t>aterial</w:t>
      </w:r>
      <w:r w:rsidR="00D67384" w:rsidRPr="007E0BFF">
        <w:rPr>
          <w:bCs/>
          <w:color w:val="000000"/>
        </w:rPr>
        <w:t xml:space="preserve">, office supplies, licence fees, maintenance </w:t>
      </w:r>
      <w:r w:rsidR="00037FD8" w:rsidRPr="007E0BFF">
        <w:rPr>
          <w:bCs/>
          <w:color w:val="000000"/>
        </w:rPr>
        <w:t>(€ 758,878)</w:t>
      </w:r>
      <w:r w:rsidR="00556D39" w:rsidRPr="007E0BFF">
        <w:rPr>
          <w:bCs/>
          <w:color w:val="000000"/>
        </w:rPr>
        <w:t>;</w:t>
      </w:r>
    </w:p>
    <w:p w14:paraId="160F8F50" w14:textId="77777777" w:rsidR="00B808F6" w:rsidRPr="007E0BFF" w:rsidRDefault="00F30A1E" w:rsidP="00DE7CF7">
      <w:pPr>
        <w:pStyle w:val="ListParagraph"/>
        <w:numPr>
          <w:ilvl w:val="0"/>
          <w:numId w:val="23"/>
        </w:numPr>
        <w:ind w:left="851" w:hanging="284"/>
        <w:contextualSpacing w:val="0"/>
        <w:jc w:val="both"/>
        <w:rPr>
          <w:bCs/>
          <w:color w:val="000000"/>
        </w:rPr>
      </w:pPr>
      <w:r w:rsidRPr="007E0BFF">
        <w:t>m</w:t>
      </w:r>
      <w:r w:rsidR="00B808F6" w:rsidRPr="007E0BFF">
        <w:t>issions</w:t>
      </w:r>
      <w:r w:rsidR="00B808F6" w:rsidRPr="007E0BFF">
        <w:rPr>
          <w:bCs/>
          <w:color w:val="000000"/>
        </w:rPr>
        <w:t xml:space="preserve"> </w:t>
      </w:r>
      <w:r w:rsidR="00037FD8" w:rsidRPr="007E0BFF">
        <w:rPr>
          <w:bCs/>
          <w:color w:val="000000"/>
        </w:rPr>
        <w:t>(€ 580,642)</w:t>
      </w:r>
      <w:r w:rsidR="00556D39" w:rsidRPr="007E0BFF">
        <w:rPr>
          <w:bCs/>
          <w:color w:val="000000"/>
        </w:rPr>
        <w:t>;</w:t>
      </w:r>
    </w:p>
    <w:p w14:paraId="6DF99D77" w14:textId="77777777" w:rsidR="00D67384" w:rsidRPr="007E0BFF" w:rsidRDefault="00F30A1E" w:rsidP="00DE7CF7">
      <w:pPr>
        <w:pStyle w:val="ListParagraph"/>
        <w:numPr>
          <w:ilvl w:val="0"/>
          <w:numId w:val="23"/>
        </w:numPr>
        <w:ind w:left="851" w:hanging="284"/>
        <w:contextualSpacing w:val="0"/>
        <w:jc w:val="both"/>
        <w:rPr>
          <w:bCs/>
          <w:color w:val="000000"/>
        </w:rPr>
      </w:pPr>
      <w:r w:rsidRPr="007E0BFF">
        <w:lastRenderedPageBreak/>
        <w:t>t</w:t>
      </w:r>
      <w:r w:rsidR="00D67384" w:rsidRPr="007E0BFF">
        <w:t>raining</w:t>
      </w:r>
      <w:r w:rsidR="00D67384" w:rsidRPr="007E0BFF">
        <w:rPr>
          <w:bCs/>
          <w:color w:val="000000"/>
        </w:rPr>
        <w:t xml:space="preserve"> </w:t>
      </w:r>
      <w:r w:rsidR="00037FD8" w:rsidRPr="007E0BFF">
        <w:rPr>
          <w:bCs/>
          <w:color w:val="000000"/>
        </w:rPr>
        <w:t>(€ 184,786)</w:t>
      </w:r>
      <w:r w:rsidR="00556D39" w:rsidRPr="007E0BFF">
        <w:rPr>
          <w:bCs/>
          <w:color w:val="000000"/>
        </w:rPr>
        <w:t>;</w:t>
      </w:r>
    </w:p>
    <w:p w14:paraId="1C1AE148" w14:textId="29133A20" w:rsidR="00B808F6" w:rsidRPr="007E0BFF" w:rsidRDefault="00D67384" w:rsidP="00DE7CF7">
      <w:pPr>
        <w:pStyle w:val="ListParagraph"/>
        <w:numPr>
          <w:ilvl w:val="0"/>
          <w:numId w:val="23"/>
        </w:numPr>
        <w:ind w:left="851" w:hanging="284"/>
        <w:contextualSpacing w:val="0"/>
        <w:jc w:val="both"/>
        <w:rPr>
          <w:bCs/>
          <w:color w:val="000000"/>
        </w:rPr>
      </w:pPr>
      <w:r w:rsidRPr="007E0BFF">
        <w:rPr>
          <w:bCs/>
          <w:color w:val="000000"/>
        </w:rPr>
        <w:t xml:space="preserve">IT </w:t>
      </w:r>
      <w:r w:rsidR="00F30A1E" w:rsidRPr="007E0BFF">
        <w:t>support</w:t>
      </w:r>
      <w:r w:rsidR="00F30A1E" w:rsidRPr="007E0BFF">
        <w:rPr>
          <w:bCs/>
          <w:color w:val="000000"/>
        </w:rPr>
        <w:t xml:space="preserve"> </w:t>
      </w:r>
      <w:r w:rsidR="00037FD8" w:rsidRPr="007E0BFF">
        <w:rPr>
          <w:bCs/>
          <w:color w:val="000000"/>
        </w:rPr>
        <w:t>(€ 662,131)</w:t>
      </w:r>
      <w:r w:rsidR="00556D39" w:rsidRPr="007E0BFF">
        <w:rPr>
          <w:bCs/>
          <w:color w:val="000000"/>
        </w:rPr>
        <w:t>;</w:t>
      </w:r>
    </w:p>
    <w:p w14:paraId="4E415528" w14:textId="77777777" w:rsidR="00F30A1E" w:rsidRPr="007E0BFF" w:rsidRDefault="00C82719" w:rsidP="00DE7CF7">
      <w:pPr>
        <w:pStyle w:val="ListParagraph"/>
        <w:numPr>
          <w:ilvl w:val="0"/>
          <w:numId w:val="23"/>
        </w:numPr>
        <w:ind w:left="851" w:hanging="284"/>
        <w:contextualSpacing w:val="0"/>
        <w:jc w:val="both"/>
        <w:rPr>
          <w:bCs/>
          <w:color w:val="000000"/>
        </w:rPr>
      </w:pPr>
      <w:r w:rsidRPr="007E0BFF">
        <w:t>H</w:t>
      </w:r>
      <w:r w:rsidR="008439BD" w:rsidRPr="007E0BFF">
        <w:t>orizon</w:t>
      </w:r>
      <w:r w:rsidR="008439BD" w:rsidRPr="007E0BFF">
        <w:rPr>
          <w:bCs/>
          <w:color w:val="000000"/>
        </w:rPr>
        <w:t xml:space="preserve"> </w:t>
      </w:r>
      <w:r w:rsidRPr="007E0BFF">
        <w:rPr>
          <w:bCs/>
          <w:color w:val="000000"/>
        </w:rPr>
        <w:t xml:space="preserve">2020 evaluation platform </w:t>
      </w:r>
      <w:r w:rsidR="00037FD8" w:rsidRPr="007E0BFF">
        <w:rPr>
          <w:bCs/>
          <w:color w:val="000000"/>
        </w:rPr>
        <w:t>(€ 153,733)</w:t>
      </w:r>
      <w:r w:rsidR="00556D39" w:rsidRPr="007E0BFF">
        <w:rPr>
          <w:bCs/>
          <w:color w:val="000000"/>
        </w:rPr>
        <w:t>;</w:t>
      </w:r>
    </w:p>
    <w:p w14:paraId="3B6CBCBE" w14:textId="77777777" w:rsidR="00F30A1E" w:rsidRPr="007E0BFF" w:rsidRDefault="00C82719" w:rsidP="00DE7CF7">
      <w:pPr>
        <w:pStyle w:val="ListParagraph"/>
        <w:numPr>
          <w:ilvl w:val="0"/>
          <w:numId w:val="23"/>
        </w:numPr>
        <w:ind w:left="851" w:hanging="284"/>
        <w:contextualSpacing w:val="0"/>
        <w:jc w:val="both"/>
        <w:rPr>
          <w:bCs/>
          <w:color w:val="000000"/>
        </w:rPr>
      </w:pPr>
      <w:r w:rsidRPr="007E0BFF">
        <w:t>communication</w:t>
      </w:r>
      <w:r w:rsidRPr="007E0BFF">
        <w:rPr>
          <w:bCs/>
          <w:color w:val="000000"/>
        </w:rPr>
        <w:t xml:space="preserve"> </w:t>
      </w:r>
      <w:r w:rsidR="00037FD8" w:rsidRPr="007E0BFF">
        <w:rPr>
          <w:bCs/>
          <w:color w:val="000000"/>
        </w:rPr>
        <w:t>(€ 163,796)</w:t>
      </w:r>
      <w:r w:rsidR="00556D39" w:rsidRPr="007E0BFF">
        <w:rPr>
          <w:bCs/>
          <w:color w:val="000000"/>
        </w:rPr>
        <w:t>;</w:t>
      </w:r>
    </w:p>
    <w:p w14:paraId="55919D5D" w14:textId="77777777" w:rsidR="00F30A1E" w:rsidRPr="007E0BFF" w:rsidRDefault="00F30A1E" w:rsidP="00DE7CF7">
      <w:pPr>
        <w:pStyle w:val="ListParagraph"/>
        <w:numPr>
          <w:ilvl w:val="0"/>
          <w:numId w:val="23"/>
        </w:numPr>
        <w:ind w:left="851" w:hanging="284"/>
        <w:contextualSpacing w:val="0"/>
        <w:jc w:val="both"/>
        <w:rPr>
          <w:bCs/>
          <w:color w:val="000000"/>
        </w:rPr>
      </w:pPr>
      <w:r w:rsidRPr="007E0BFF">
        <w:t>recruitmen</w:t>
      </w:r>
      <w:r w:rsidR="00C82719" w:rsidRPr="007E0BFF">
        <w:t>t</w:t>
      </w:r>
      <w:r w:rsidR="00037FD8" w:rsidRPr="007E0BFF">
        <w:t xml:space="preserve"> (€ 26,116)</w:t>
      </w:r>
      <w:r w:rsidR="00556D39" w:rsidRPr="007E0BFF">
        <w:rPr>
          <w:bCs/>
          <w:color w:val="000000"/>
        </w:rPr>
        <w:t>;</w:t>
      </w:r>
    </w:p>
    <w:p w14:paraId="4E4ED88B" w14:textId="77777777" w:rsidR="00F30A1E" w:rsidRPr="007E0BFF" w:rsidRDefault="00C82719" w:rsidP="00DE7CF7">
      <w:pPr>
        <w:pStyle w:val="ListParagraph"/>
        <w:numPr>
          <w:ilvl w:val="0"/>
          <w:numId w:val="23"/>
        </w:numPr>
        <w:ind w:left="851" w:hanging="284"/>
        <w:contextualSpacing w:val="0"/>
        <w:jc w:val="both"/>
        <w:rPr>
          <w:bCs/>
          <w:color w:val="000000"/>
        </w:rPr>
      </w:pPr>
      <w:r w:rsidRPr="007E0BFF">
        <w:rPr>
          <w:bCs/>
          <w:color w:val="000000"/>
        </w:rPr>
        <w:t xml:space="preserve">legal assistance </w:t>
      </w:r>
      <w:r w:rsidR="00037FD8" w:rsidRPr="007E0BFF">
        <w:rPr>
          <w:bCs/>
          <w:color w:val="000000"/>
        </w:rPr>
        <w:t>(€ 13,806)</w:t>
      </w:r>
      <w:r w:rsidR="00556D39" w:rsidRPr="007E0BFF">
        <w:rPr>
          <w:bCs/>
          <w:color w:val="000000"/>
        </w:rPr>
        <w:t>;</w:t>
      </w:r>
    </w:p>
    <w:p w14:paraId="41D62B95" w14:textId="77777777" w:rsidR="00C82719" w:rsidRPr="007E0BFF" w:rsidRDefault="00C82719" w:rsidP="00DE7CF7">
      <w:pPr>
        <w:pStyle w:val="ListParagraph"/>
        <w:numPr>
          <w:ilvl w:val="0"/>
          <w:numId w:val="23"/>
        </w:numPr>
        <w:spacing w:after="120"/>
        <w:ind w:left="851" w:hanging="284"/>
        <w:contextualSpacing w:val="0"/>
        <w:jc w:val="both"/>
        <w:rPr>
          <w:bCs/>
          <w:color w:val="000000"/>
        </w:rPr>
      </w:pPr>
      <w:r w:rsidRPr="007E0BFF">
        <w:rPr>
          <w:bCs/>
          <w:color w:val="000000"/>
        </w:rPr>
        <w:t xml:space="preserve">other </w:t>
      </w:r>
      <w:r w:rsidR="00037FD8" w:rsidRPr="007E0BFF">
        <w:rPr>
          <w:bCs/>
          <w:color w:val="000000"/>
        </w:rPr>
        <w:t>(€ 1,144)</w:t>
      </w:r>
      <w:r w:rsidR="009D3107" w:rsidRPr="007E0BFF">
        <w:rPr>
          <w:bCs/>
          <w:color w:val="000000"/>
        </w:rPr>
        <w:t>.</w:t>
      </w:r>
    </w:p>
    <w:p w14:paraId="5052B9DC" w14:textId="61A999F1" w:rsidR="008D72CC" w:rsidRPr="007E0BFF" w:rsidRDefault="008D72CC" w:rsidP="008D72CC">
      <w:pPr>
        <w:pStyle w:val="Text4"/>
        <w:ind w:left="0"/>
        <w:rPr>
          <w:szCs w:val="24"/>
        </w:rPr>
      </w:pPr>
      <w:r w:rsidRPr="007E0BFF">
        <w:rPr>
          <w:szCs w:val="24"/>
        </w:rPr>
        <w:t>Compared to 2018, expenses on this item have decreased by approximately €1.1</w:t>
      </w:r>
      <w:r w:rsidR="009D3107" w:rsidRPr="007E0BFF">
        <w:rPr>
          <w:szCs w:val="24"/>
        </w:rPr>
        <w:t xml:space="preserve"> million</w:t>
      </w:r>
      <w:r w:rsidRPr="007E0BFF">
        <w:rPr>
          <w:szCs w:val="24"/>
        </w:rPr>
        <w:t xml:space="preserve"> (11%) as a result of a decrease in costs on various items </w:t>
      </w:r>
      <w:r w:rsidR="000F4A54">
        <w:rPr>
          <w:szCs w:val="24"/>
        </w:rPr>
        <w:t>such as</w:t>
      </w:r>
      <w:r w:rsidRPr="007E0BFF">
        <w:rPr>
          <w:szCs w:val="24"/>
        </w:rPr>
        <w:t>:</w:t>
      </w:r>
    </w:p>
    <w:p w14:paraId="10B118BF" w14:textId="428394DB" w:rsidR="008D72CC" w:rsidRPr="007E0BFF" w:rsidRDefault="008D72CC" w:rsidP="00DE7CF7">
      <w:pPr>
        <w:pStyle w:val="Text4"/>
        <w:numPr>
          <w:ilvl w:val="0"/>
          <w:numId w:val="28"/>
        </w:numPr>
        <w:spacing w:after="0"/>
        <w:ind w:left="714" w:hanging="357"/>
        <w:rPr>
          <w:szCs w:val="24"/>
        </w:rPr>
      </w:pPr>
      <w:r w:rsidRPr="007E0BFF">
        <w:rPr>
          <w:szCs w:val="24"/>
        </w:rPr>
        <w:t xml:space="preserve">Interim staff and </w:t>
      </w:r>
      <w:r w:rsidR="000F4A54">
        <w:rPr>
          <w:szCs w:val="24"/>
        </w:rPr>
        <w:t>outsourced ex-post controls</w:t>
      </w:r>
      <w:r w:rsidRPr="007E0BFF">
        <w:rPr>
          <w:szCs w:val="24"/>
        </w:rPr>
        <w:t xml:space="preserve"> (- € 0.41 million)</w:t>
      </w:r>
    </w:p>
    <w:p w14:paraId="750F1978" w14:textId="77777777" w:rsidR="008D72CC" w:rsidRPr="007E0BFF" w:rsidRDefault="008D72CC" w:rsidP="00DE7CF7">
      <w:pPr>
        <w:pStyle w:val="Text4"/>
        <w:numPr>
          <w:ilvl w:val="0"/>
          <w:numId w:val="28"/>
        </w:numPr>
        <w:spacing w:after="0"/>
        <w:ind w:left="714" w:hanging="357"/>
        <w:rPr>
          <w:szCs w:val="24"/>
        </w:rPr>
      </w:pPr>
      <w:r w:rsidRPr="007E0BFF">
        <w:rPr>
          <w:szCs w:val="24"/>
        </w:rPr>
        <w:t>Material</w:t>
      </w:r>
      <w:r w:rsidRPr="007E0BFF">
        <w:rPr>
          <w:bCs/>
          <w:color w:val="000000"/>
          <w:szCs w:val="24"/>
        </w:rPr>
        <w:t xml:space="preserve">, office supplies, licence fees, maintenance </w:t>
      </w:r>
      <w:r w:rsidRPr="007E0BFF">
        <w:rPr>
          <w:szCs w:val="24"/>
        </w:rPr>
        <w:t>(- € 0.31 million)</w:t>
      </w:r>
      <w:r w:rsidRPr="007E0BFF">
        <w:rPr>
          <w:bCs/>
          <w:color w:val="000000"/>
          <w:szCs w:val="24"/>
        </w:rPr>
        <w:t xml:space="preserve"> </w:t>
      </w:r>
    </w:p>
    <w:p w14:paraId="5F5118BD" w14:textId="77777777" w:rsidR="008D72CC" w:rsidRPr="007E0BFF" w:rsidRDefault="008D72CC" w:rsidP="00DE7CF7">
      <w:pPr>
        <w:pStyle w:val="Text4"/>
        <w:numPr>
          <w:ilvl w:val="0"/>
          <w:numId w:val="28"/>
        </w:numPr>
        <w:spacing w:after="0"/>
        <w:ind w:left="714" w:hanging="357"/>
        <w:rPr>
          <w:szCs w:val="24"/>
        </w:rPr>
      </w:pPr>
      <w:r w:rsidRPr="007E0BFF">
        <w:rPr>
          <w:bCs/>
          <w:color w:val="000000"/>
          <w:szCs w:val="24"/>
        </w:rPr>
        <w:t>Services provided by consolidated entities (- € 0</w:t>
      </w:r>
      <w:r w:rsidR="009D3107" w:rsidRPr="007E0BFF">
        <w:rPr>
          <w:bCs/>
          <w:color w:val="000000"/>
          <w:szCs w:val="24"/>
        </w:rPr>
        <w:t>.</w:t>
      </w:r>
      <w:r w:rsidRPr="007E0BFF">
        <w:rPr>
          <w:bCs/>
          <w:color w:val="000000"/>
          <w:szCs w:val="24"/>
        </w:rPr>
        <w:t>14 million)</w:t>
      </w:r>
    </w:p>
    <w:p w14:paraId="452EE626" w14:textId="77777777" w:rsidR="008D72CC" w:rsidRPr="007E0BFF" w:rsidRDefault="008D72CC" w:rsidP="00DE7CF7">
      <w:pPr>
        <w:pStyle w:val="Text4"/>
        <w:numPr>
          <w:ilvl w:val="0"/>
          <w:numId w:val="28"/>
        </w:numPr>
        <w:spacing w:after="0"/>
        <w:ind w:left="714" w:hanging="357"/>
        <w:rPr>
          <w:szCs w:val="24"/>
        </w:rPr>
      </w:pPr>
      <w:r w:rsidRPr="007E0BFF">
        <w:rPr>
          <w:szCs w:val="24"/>
        </w:rPr>
        <w:t>IT support (- € 0.13 million)</w:t>
      </w:r>
    </w:p>
    <w:p w14:paraId="33401154" w14:textId="77777777" w:rsidR="00447983" w:rsidRPr="007E0BFF" w:rsidRDefault="003D0326" w:rsidP="008439BD">
      <w:pPr>
        <w:pStyle w:val="Heading4"/>
        <w:numPr>
          <w:ilvl w:val="3"/>
          <w:numId w:val="11"/>
        </w:numPr>
        <w:spacing w:before="240" w:after="120"/>
        <w:ind w:left="539" w:hanging="539"/>
        <w:jc w:val="left"/>
        <w:rPr>
          <w:i/>
          <w:szCs w:val="24"/>
        </w:rPr>
      </w:pPr>
      <w:r w:rsidRPr="007E0BFF">
        <w:rPr>
          <w:i/>
          <w:szCs w:val="24"/>
        </w:rPr>
        <w:t>A</w:t>
      </w:r>
      <w:r w:rsidR="00447983" w:rsidRPr="007E0BFF">
        <w:rPr>
          <w:i/>
          <w:szCs w:val="24"/>
        </w:rPr>
        <w:t>sset</w:t>
      </w:r>
      <w:r w:rsidRPr="007E0BFF">
        <w:rPr>
          <w:i/>
          <w:szCs w:val="24"/>
        </w:rPr>
        <w:t>s</w:t>
      </w:r>
      <w:r w:rsidR="00447983" w:rsidRPr="007E0BFF">
        <w:rPr>
          <w:i/>
          <w:szCs w:val="24"/>
        </w:rPr>
        <w:t xml:space="preserve"> related expenses </w:t>
      </w:r>
      <w:r w:rsidR="002B3B3B" w:rsidRPr="007E0BFF">
        <w:rPr>
          <w:i/>
          <w:szCs w:val="24"/>
        </w:rPr>
        <w:t xml:space="preserve">(€ </w:t>
      </w:r>
      <w:r w:rsidR="00D227F3" w:rsidRPr="007E0BFF">
        <w:rPr>
          <w:i/>
          <w:szCs w:val="24"/>
        </w:rPr>
        <w:t>806,968</w:t>
      </w:r>
      <w:r w:rsidR="00447983" w:rsidRPr="007E0BFF">
        <w:rPr>
          <w:i/>
          <w:szCs w:val="24"/>
        </w:rPr>
        <w:t>)</w:t>
      </w:r>
    </w:p>
    <w:p w14:paraId="3BE58EF8" w14:textId="77777777" w:rsidR="00447983" w:rsidRPr="007E0BFF" w:rsidRDefault="00447983" w:rsidP="008439BD">
      <w:pPr>
        <w:tabs>
          <w:tab w:val="left" w:pos="1440"/>
        </w:tabs>
        <w:suppressAutoHyphens/>
        <w:spacing w:after="120"/>
        <w:jc w:val="both"/>
        <w:rPr>
          <w:bCs/>
        </w:rPr>
      </w:pPr>
      <w:r w:rsidRPr="007E0BFF">
        <w:rPr>
          <w:bCs/>
        </w:rPr>
        <w:t xml:space="preserve">These expenses relate to </w:t>
      </w:r>
      <w:r w:rsidR="002553DA" w:rsidRPr="007E0BFF">
        <w:rPr>
          <w:bCs/>
        </w:rPr>
        <w:t xml:space="preserve">the </w:t>
      </w:r>
      <w:r w:rsidRPr="007E0BFF">
        <w:rPr>
          <w:bCs/>
        </w:rPr>
        <w:t xml:space="preserve">depreciation charges of the Agency's tangible and intangible fixed assets respectively € </w:t>
      </w:r>
      <w:r w:rsidR="00D227F3" w:rsidRPr="007E0BFF">
        <w:rPr>
          <w:bCs/>
        </w:rPr>
        <w:t xml:space="preserve">743,544 </w:t>
      </w:r>
      <w:r w:rsidR="00000336" w:rsidRPr="007E0BFF">
        <w:rPr>
          <w:bCs/>
        </w:rPr>
        <w:t>and</w:t>
      </w:r>
      <w:r w:rsidRPr="007E0BFF">
        <w:rPr>
          <w:bCs/>
        </w:rPr>
        <w:t xml:space="preserve"> € </w:t>
      </w:r>
      <w:r w:rsidR="00D227F3" w:rsidRPr="007E0BFF">
        <w:rPr>
          <w:bCs/>
        </w:rPr>
        <w:t>63,424</w:t>
      </w:r>
      <w:r w:rsidR="00106DE3" w:rsidRPr="007E0BFF">
        <w:rPr>
          <w:bCs/>
        </w:rPr>
        <w:t>.</w:t>
      </w:r>
    </w:p>
    <w:p w14:paraId="70AA968F" w14:textId="77777777" w:rsidR="00E84149" w:rsidRPr="007E0BFF" w:rsidRDefault="00E84149" w:rsidP="008439BD">
      <w:pPr>
        <w:tabs>
          <w:tab w:val="left" w:pos="1440"/>
        </w:tabs>
        <w:suppressAutoHyphens/>
        <w:spacing w:after="120"/>
        <w:jc w:val="both"/>
        <w:rPr>
          <w:bCs/>
        </w:rPr>
      </w:pPr>
      <w:r w:rsidRPr="007E0BFF">
        <w:rPr>
          <w:bCs/>
        </w:rPr>
        <w:t>Depreciation expenses decreased from 2018 as some equipment is fully depreciated and not replaced.</w:t>
      </w:r>
    </w:p>
    <w:p w14:paraId="5B5EDD50" w14:textId="77777777" w:rsidR="00CA26E3" w:rsidRPr="007E0BFF" w:rsidRDefault="0075761E" w:rsidP="008439BD">
      <w:pPr>
        <w:pStyle w:val="Heading4"/>
        <w:numPr>
          <w:ilvl w:val="3"/>
          <w:numId w:val="11"/>
        </w:numPr>
        <w:spacing w:before="240" w:after="120"/>
        <w:ind w:left="539" w:hanging="539"/>
        <w:jc w:val="left"/>
        <w:rPr>
          <w:i/>
          <w:szCs w:val="24"/>
        </w:rPr>
      </w:pPr>
      <w:r w:rsidRPr="007E0BFF">
        <w:rPr>
          <w:i/>
          <w:szCs w:val="24"/>
        </w:rPr>
        <w:t>Land and Building (</w:t>
      </w:r>
      <w:r w:rsidR="00CA26E3" w:rsidRPr="007E0BFF">
        <w:rPr>
          <w:i/>
          <w:szCs w:val="24"/>
        </w:rPr>
        <w:t xml:space="preserve">€ </w:t>
      </w:r>
      <w:r w:rsidR="00003531" w:rsidRPr="007E0BFF">
        <w:rPr>
          <w:i/>
          <w:szCs w:val="24"/>
        </w:rPr>
        <w:t>12,379,153</w:t>
      </w:r>
      <w:r w:rsidR="00CA26E3" w:rsidRPr="007E0BFF">
        <w:rPr>
          <w:i/>
          <w:szCs w:val="24"/>
        </w:rPr>
        <w:t>)</w:t>
      </w:r>
    </w:p>
    <w:p w14:paraId="615D3F85" w14:textId="4CF27B63" w:rsidR="00A67E60" w:rsidRPr="007E0BFF" w:rsidRDefault="00F155D9" w:rsidP="00A04B14">
      <w:pPr>
        <w:pStyle w:val="Default"/>
        <w:jc w:val="both"/>
        <w:rPr>
          <w:rFonts w:ascii="Times New Roman" w:hAnsi="Times New Roman" w:cs="Times New Roman"/>
          <w:bCs/>
          <w:color w:val="auto"/>
        </w:rPr>
      </w:pPr>
      <w:r w:rsidRPr="007E0BFF">
        <w:rPr>
          <w:rFonts w:ascii="Times New Roman" w:hAnsi="Times New Roman" w:cs="Times New Roman"/>
          <w:bCs/>
          <w:color w:val="auto"/>
        </w:rPr>
        <w:t>Compared to last year, the building and associated costs ha</w:t>
      </w:r>
      <w:r w:rsidR="00A67E60" w:rsidRPr="007E0BFF">
        <w:rPr>
          <w:rFonts w:ascii="Times New Roman" w:hAnsi="Times New Roman" w:cs="Times New Roman"/>
          <w:bCs/>
          <w:color w:val="auto"/>
        </w:rPr>
        <w:t>ve increased by approximately</w:t>
      </w:r>
      <w:r w:rsidR="00A04B14" w:rsidRPr="007E0BFF">
        <w:rPr>
          <w:rFonts w:ascii="Times New Roman" w:hAnsi="Times New Roman" w:cs="Times New Roman"/>
          <w:bCs/>
          <w:color w:val="auto"/>
        </w:rPr>
        <w:t xml:space="preserve"> €</w:t>
      </w:r>
      <w:r w:rsidR="000F4A54">
        <w:rPr>
          <w:rFonts w:ascii="Times New Roman" w:hAnsi="Times New Roman" w:cs="Times New Roman"/>
          <w:bCs/>
          <w:color w:val="auto"/>
        </w:rPr>
        <w:t> </w:t>
      </w:r>
      <w:r w:rsidR="00A67E60" w:rsidRPr="007E0BFF">
        <w:rPr>
          <w:rFonts w:ascii="Times New Roman" w:hAnsi="Times New Roman" w:cs="Times New Roman"/>
          <w:bCs/>
          <w:color w:val="auto"/>
        </w:rPr>
        <w:t>1.7</w:t>
      </w:r>
      <w:r w:rsidR="00A04B14" w:rsidRPr="007E0BFF">
        <w:rPr>
          <w:rFonts w:ascii="Times New Roman" w:hAnsi="Times New Roman" w:cs="Times New Roman"/>
          <w:bCs/>
          <w:color w:val="auto"/>
        </w:rPr>
        <w:t xml:space="preserve"> million</w:t>
      </w:r>
      <w:r w:rsidRPr="007E0BFF">
        <w:rPr>
          <w:rFonts w:ascii="Times New Roman" w:hAnsi="Times New Roman" w:cs="Times New Roman"/>
          <w:bCs/>
          <w:color w:val="auto"/>
        </w:rPr>
        <w:t xml:space="preserve"> (</w:t>
      </w:r>
      <w:r w:rsidR="00A67E60" w:rsidRPr="007E0BFF">
        <w:rPr>
          <w:rFonts w:ascii="Times New Roman" w:hAnsi="Times New Roman" w:cs="Times New Roman"/>
          <w:bCs/>
          <w:color w:val="auto"/>
        </w:rPr>
        <w:t>16</w:t>
      </w:r>
      <w:r w:rsidRPr="007E0BFF">
        <w:rPr>
          <w:rFonts w:ascii="Times New Roman" w:hAnsi="Times New Roman" w:cs="Times New Roman"/>
          <w:bCs/>
          <w:color w:val="auto"/>
        </w:rPr>
        <w:t>%)</w:t>
      </w:r>
      <w:r w:rsidR="00A67E60" w:rsidRPr="007E0BFF">
        <w:rPr>
          <w:rFonts w:ascii="Times New Roman" w:hAnsi="Times New Roman" w:cs="Times New Roman"/>
          <w:bCs/>
          <w:color w:val="auto"/>
        </w:rPr>
        <w:t>. It is mainly due to an increase in office surface occupied by REA and an increase of prices of the services provided by OIB (higher unit prices and changes in the method of calculation of the costs following the Commission's guidance on the charge-back process for the provision of services to Agencies).</w:t>
      </w:r>
    </w:p>
    <w:p w14:paraId="515ABC03" w14:textId="77777777" w:rsidR="001D7EA5" w:rsidRPr="007E0BFF" w:rsidRDefault="00CA26E3" w:rsidP="009D3107">
      <w:pPr>
        <w:pStyle w:val="Text4"/>
        <w:spacing w:after="120"/>
        <w:ind w:left="0"/>
        <w:rPr>
          <w:szCs w:val="24"/>
        </w:rPr>
      </w:pPr>
      <w:r w:rsidRPr="007E0BFF">
        <w:rPr>
          <w:bCs/>
          <w:szCs w:val="24"/>
        </w:rPr>
        <w:t>Th</w:t>
      </w:r>
      <w:r w:rsidR="00F155D9" w:rsidRPr="007E0BFF">
        <w:rPr>
          <w:bCs/>
          <w:szCs w:val="24"/>
        </w:rPr>
        <w:t>e</w:t>
      </w:r>
      <w:r w:rsidRPr="007E0BFF">
        <w:rPr>
          <w:bCs/>
          <w:szCs w:val="24"/>
        </w:rPr>
        <w:t xml:space="preserve"> amount </w:t>
      </w:r>
      <w:r w:rsidR="001D7EA5" w:rsidRPr="007E0BFF">
        <w:rPr>
          <w:bCs/>
          <w:szCs w:val="24"/>
        </w:rPr>
        <w:t>includes the</w:t>
      </w:r>
      <w:r w:rsidRPr="007E0BFF">
        <w:rPr>
          <w:bCs/>
          <w:szCs w:val="24"/>
        </w:rPr>
        <w:t xml:space="preserve"> rent</w:t>
      </w:r>
      <w:r w:rsidR="001D7EA5" w:rsidRPr="007E0BFF">
        <w:rPr>
          <w:bCs/>
          <w:szCs w:val="24"/>
        </w:rPr>
        <w:t xml:space="preserve">/usufruct instalments </w:t>
      </w:r>
      <w:r w:rsidR="00A31D17" w:rsidRPr="007E0BFF">
        <w:rPr>
          <w:bCs/>
          <w:szCs w:val="24"/>
        </w:rPr>
        <w:t xml:space="preserve">for </w:t>
      </w:r>
      <w:r w:rsidR="004E13C3" w:rsidRPr="007E0BFF">
        <w:rPr>
          <w:bCs/>
          <w:szCs w:val="24"/>
        </w:rPr>
        <w:t>REA's premises</w:t>
      </w:r>
      <w:r w:rsidR="00C561D0" w:rsidRPr="007E0BFF">
        <w:rPr>
          <w:bCs/>
          <w:szCs w:val="24"/>
        </w:rPr>
        <w:t xml:space="preserve"> (</w:t>
      </w:r>
      <w:r w:rsidR="004E13C3" w:rsidRPr="007E0BFF">
        <w:rPr>
          <w:bCs/>
          <w:szCs w:val="24"/>
        </w:rPr>
        <w:t>offices in COV2</w:t>
      </w:r>
      <w:r w:rsidR="00C561D0" w:rsidRPr="007E0BFF">
        <w:rPr>
          <w:bCs/>
          <w:szCs w:val="24"/>
        </w:rPr>
        <w:t xml:space="preserve"> and </w:t>
      </w:r>
      <w:r w:rsidR="002553DA" w:rsidRPr="007E0BFF">
        <w:rPr>
          <w:bCs/>
          <w:szCs w:val="24"/>
        </w:rPr>
        <w:t xml:space="preserve">the </w:t>
      </w:r>
      <w:r w:rsidR="00C561D0" w:rsidRPr="007E0BFF">
        <w:rPr>
          <w:bCs/>
          <w:szCs w:val="24"/>
        </w:rPr>
        <w:t>evaluation facility in COVE)</w:t>
      </w:r>
      <w:r w:rsidR="001D7EA5" w:rsidRPr="007E0BFF">
        <w:rPr>
          <w:bCs/>
          <w:szCs w:val="24"/>
        </w:rPr>
        <w:t xml:space="preserve"> and other building charges like</w:t>
      </w:r>
      <w:r w:rsidRPr="007E0BFF">
        <w:rPr>
          <w:bCs/>
          <w:szCs w:val="24"/>
        </w:rPr>
        <w:t xml:space="preserve"> mai</w:t>
      </w:r>
      <w:r w:rsidR="001E2150" w:rsidRPr="007E0BFF">
        <w:rPr>
          <w:bCs/>
          <w:szCs w:val="24"/>
        </w:rPr>
        <w:t xml:space="preserve">ntenance, </w:t>
      </w:r>
      <w:r w:rsidRPr="007E0BFF">
        <w:rPr>
          <w:bCs/>
          <w:szCs w:val="24"/>
        </w:rPr>
        <w:t>security</w:t>
      </w:r>
      <w:r w:rsidR="001E2150" w:rsidRPr="007E0BFF">
        <w:rPr>
          <w:bCs/>
          <w:szCs w:val="24"/>
        </w:rPr>
        <w:t xml:space="preserve"> and insurance</w:t>
      </w:r>
      <w:r w:rsidR="001D7EA5" w:rsidRPr="007E0BFF">
        <w:rPr>
          <w:bCs/>
          <w:szCs w:val="24"/>
        </w:rPr>
        <w:t>.</w:t>
      </w:r>
    </w:p>
    <w:p w14:paraId="20EBB21B" w14:textId="0D74590A" w:rsidR="00447983" w:rsidRPr="007E0BFF" w:rsidRDefault="001E2150" w:rsidP="008439BD">
      <w:pPr>
        <w:autoSpaceDE w:val="0"/>
        <w:autoSpaceDN w:val="0"/>
        <w:adjustRightInd w:val="0"/>
        <w:spacing w:after="120"/>
        <w:jc w:val="both"/>
        <w:rPr>
          <w:i/>
        </w:rPr>
      </w:pPr>
      <w:r w:rsidRPr="007E0BFF">
        <w:rPr>
          <w:bCs/>
        </w:rPr>
        <w:t xml:space="preserve">Part of these expenses relate to services provided by </w:t>
      </w:r>
      <w:r w:rsidR="000B0FC5" w:rsidRPr="007E0BFF">
        <w:rPr>
          <w:bCs/>
        </w:rPr>
        <w:t xml:space="preserve">consolidated entities </w:t>
      </w:r>
      <w:r w:rsidR="007E05AC" w:rsidRPr="007E0BFF">
        <w:rPr>
          <w:bCs/>
        </w:rPr>
        <w:t>in the framework of Service</w:t>
      </w:r>
      <w:r w:rsidR="008439BD" w:rsidRPr="007E0BFF">
        <w:rPr>
          <w:bCs/>
        </w:rPr>
        <w:t>-</w:t>
      </w:r>
      <w:r w:rsidR="007E05AC" w:rsidRPr="007E0BFF">
        <w:rPr>
          <w:bCs/>
        </w:rPr>
        <w:t xml:space="preserve">Level agreements and represents </w:t>
      </w:r>
      <w:r w:rsidR="007E4817" w:rsidRPr="007E0BFF">
        <w:rPr>
          <w:bCs/>
        </w:rPr>
        <w:t>€</w:t>
      </w:r>
      <w:r w:rsidR="00E52D54" w:rsidRPr="007E0BFF">
        <w:rPr>
          <w:bCs/>
        </w:rPr>
        <w:t xml:space="preserve"> </w:t>
      </w:r>
      <w:r w:rsidR="004600EF" w:rsidRPr="007E0BFF">
        <w:rPr>
          <w:bCs/>
        </w:rPr>
        <w:t>8,554,445</w:t>
      </w:r>
      <w:r w:rsidR="007E05AC" w:rsidRPr="007E0BFF">
        <w:rPr>
          <w:bCs/>
        </w:rPr>
        <w:t>.</w:t>
      </w:r>
    </w:p>
    <w:p w14:paraId="0D1C88AF" w14:textId="77777777" w:rsidR="004963AB" w:rsidRPr="007E0BFF" w:rsidRDefault="004963AB" w:rsidP="008439BD">
      <w:pPr>
        <w:pStyle w:val="Heading4"/>
        <w:numPr>
          <w:ilvl w:val="3"/>
          <w:numId w:val="11"/>
        </w:numPr>
        <w:spacing w:before="240" w:after="120"/>
        <w:ind w:left="539" w:hanging="539"/>
        <w:jc w:val="left"/>
        <w:rPr>
          <w:i/>
          <w:szCs w:val="24"/>
        </w:rPr>
      </w:pPr>
      <w:r w:rsidRPr="007E0BFF">
        <w:rPr>
          <w:i/>
          <w:szCs w:val="24"/>
        </w:rPr>
        <w:t>Exchange rate differences losses.</w:t>
      </w:r>
      <w:r w:rsidR="003C563C" w:rsidRPr="007E0BFF">
        <w:rPr>
          <w:i/>
          <w:szCs w:val="24"/>
        </w:rPr>
        <w:t xml:space="preserve"> (</w:t>
      </w:r>
      <w:r w:rsidR="00187527" w:rsidRPr="007E0BFF">
        <w:rPr>
          <w:i/>
          <w:szCs w:val="24"/>
        </w:rPr>
        <w:t>€</w:t>
      </w:r>
      <w:r w:rsidR="00504A72" w:rsidRPr="007E0BFF">
        <w:rPr>
          <w:i/>
          <w:szCs w:val="24"/>
        </w:rPr>
        <w:t xml:space="preserve"> </w:t>
      </w:r>
      <w:r w:rsidR="00D227F3" w:rsidRPr="007E0BFF">
        <w:rPr>
          <w:i/>
          <w:szCs w:val="24"/>
        </w:rPr>
        <w:t>770</w:t>
      </w:r>
      <w:r w:rsidR="003C563C" w:rsidRPr="007E0BFF">
        <w:rPr>
          <w:i/>
          <w:szCs w:val="24"/>
        </w:rPr>
        <w:t>)</w:t>
      </w:r>
      <w:r w:rsidRPr="007E0BFF">
        <w:rPr>
          <w:szCs w:val="24"/>
        </w:rPr>
        <w:t xml:space="preserve"> </w:t>
      </w:r>
    </w:p>
    <w:p w14:paraId="1AB45102" w14:textId="5159E603" w:rsidR="003C563C" w:rsidRPr="007E0BFF" w:rsidRDefault="000F4A54" w:rsidP="008439BD">
      <w:pPr>
        <w:pStyle w:val="Heading4"/>
        <w:spacing w:before="120" w:after="120"/>
        <w:jc w:val="left"/>
        <w:rPr>
          <w:szCs w:val="24"/>
        </w:rPr>
      </w:pPr>
      <w:r>
        <w:rPr>
          <w:szCs w:val="24"/>
        </w:rPr>
        <w:t>E</w:t>
      </w:r>
      <w:r w:rsidR="007E4817" w:rsidRPr="007E0BFF">
        <w:rPr>
          <w:szCs w:val="24"/>
        </w:rPr>
        <w:t>x</w:t>
      </w:r>
      <w:r w:rsidR="004963AB" w:rsidRPr="007E0BFF">
        <w:rPr>
          <w:szCs w:val="24"/>
        </w:rPr>
        <w:t xml:space="preserve">change rate </w:t>
      </w:r>
      <w:r>
        <w:rPr>
          <w:szCs w:val="24"/>
        </w:rPr>
        <w:t xml:space="preserve">losses </w:t>
      </w:r>
      <w:r w:rsidRPr="007E0BFF">
        <w:rPr>
          <w:szCs w:val="24"/>
        </w:rPr>
        <w:t>result</w:t>
      </w:r>
      <w:r>
        <w:rPr>
          <w:szCs w:val="24"/>
        </w:rPr>
        <w:t>ing</w:t>
      </w:r>
      <w:r w:rsidRPr="007E0BFF">
        <w:rPr>
          <w:szCs w:val="24"/>
        </w:rPr>
        <w:t xml:space="preserve"> </w:t>
      </w:r>
      <w:r w:rsidR="004963AB" w:rsidRPr="007E0BFF">
        <w:rPr>
          <w:szCs w:val="24"/>
        </w:rPr>
        <w:t>from payme</w:t>
      </w:r>
      <w:r w:rsidR="007E4817" w:rsidRPr="007E0BFF">
        <w:rPr>
          <w:szCs w:val="24"/>
        </w:rPr>
        <w:t>n</w:t>
      </w:r>
      <w:r w:rsidR="004C5201" w:rsidRPr="007E0BFF">
        <w:rPr>
          <w:szCs w:val="24"/>
        </w:rPr>
        <w:t>ts in</w:t>
      </w:r>
      <w:r w:rsidR="004963AB" w:rsidRPr="007E0BFF">
        <w:rPr>
          <w:szCs w:val="24"/>
        </w:rPr>
        <w:t xml:space="preserve"> </w:t>
      </w:r>
      <w:r w:rsidR="007E4817" w:rsidRPr="007E0BFF">
        <w:rPr>
          <w:szCs w:val="24"/>
        </w:rPr>
        <w:t>foreign</w:t>
      </w:r>
      <w:r w:rsidR="004963AB" w:rsidRPr="007E0BFF">
        <w:rPr>
          <w:szCs w:val="24"/>
        </w:rPr>
        <w:t xml:space="preserve"> currency</w:t>
      </w:r>
      <w:r w:rsidR="007E4817" w:rsidRPr="007E0BFF">
        <w:rPr>
          <w:szCs w:val="24"/>
        </w:rPr>
        <w:t>.</w:t>
      </w:r>
    </w:p>
    <w:p w14:paraId="12946C62" w14:textId="77777777" w:rsidR="00193224" w:rsidRPr="007E0BFF" w:rsidRDefault="00193224" w:rsidP="00383DBF">
      <w:pPr>
        <w:pStyle w:val="Heading3"/>
        <w:tabs>
          <w:tab w:val="clear" w:pos="840"/>
        </w:tabs>
        <w:spacing w:before="240" w:after="120"/>
        <w:ind w:left="720" w:hanging="720"/>
        <w:rPr>
          <w:b/>
          <w:szCs w:val="24"/>
        </w:rPr>
      </w:pPr>
      <w:bookmarkStart w:id="84" w:name="_Toc31821697"/>
      <w:r w:rsidRPr="007E0BFF">
        <w:rPr>
          <w:b/>
          <w:szCs w:val="24"/>
        </w:rPr>
        <w:t>Notes to the Cash-flow statement</w:t>
      </w:r>
      <w:bookmarkEnd w:id="84"/>
    </w:p>
    <w:p w14:paraId="630E96FC" w14:textId="77777777" w:rsidR="00193224" w:rsidRPr="007E0BFF" w:rsidRDefault="005E708D" w:rsidP="008439BD">
      <w:pPr>
        <w:pStyle w:val="Text3"/>
        <w:spacing w:after="120"/>
        <w:ind w:left="0"/>
        <w:rPr>
          <w:szCs w:val="24"/>
        </w:rPr>
      </w:pPr>
      <w:r w:rsidRPr="007E0BFF">
        <w:rPr>
          <w:szCs w:val="24"/>
        </w:rPr>
        <w:t xml:space="preserve">The purpose of the </w:t>
      </w:r>
      <w:r w:rsidR="0075761E" w:rsidRPr="007E0BFF">
        <w:rPr>
          <w:szCs w:val="24"/>
        </w:rPr>
        <w:t>cash</w:t>
      </w:r>
      <w:r w:rsidR="009D3107" w:rsidRPr="007E0BFF">
        <w:rPr>
          <w:szCs w:val="24"/>
        </w:rPr>
        <w:t>-</w:t>
      </w:r>
      <w:r w:rsidR="0075761E" w:rsidRPr="007E0BFF">
        <w:rPr>
          <w:szCs w:val="24"/>
        </w:rPr>
        <w:t>flow</w:t>
      </w:r>
      <w:r w:rsidRPr="007E0BFF">
        <w:rPr>
          <w:szCs w:val="24"/>
        </w:rPr>
        <w:t xml:space="preserve"> statement is to provide information on the sources and uses o</w:t>
      </w:r>
      <w:r w:rsidR="00635076" w:rsidRPr="007E0BFF">
        <w:rPr>
          <w:szCs w:val="24"/>
        </w:rPr>
        <w:t xml:space="preserve">f cash by </w:t>
      </w:r>
      <w:r w:rsidR="00B54068" w:rsidRPr="007E0BFF">
        <w:rPr>
          <w:szCs w:val="24"/>
        </w:rPr>
        <w:t>REA</w:t>
      </w:r>
      <w:r w:rsidRPr="007E0BFF">
        <w:rPr>
          <w:szCs w:val="24"/>
        </w:rPr>
        <w:t>.</w:t>
      </w:r>
      <w:r w:rsidR="00635076" w:rsidRPr="007E0BFF">
        <w:rPr>
          <w:szCs w:val="24"/>
        </w:rPr>
        <w:t xml:space="preserve"> It is prepared using the indirect method.</w:t>
      </w:r>
      <w:r w:rsidR="00582BE8" w:rsidRPr="007E0BFF">
        <w:rPr>
          <w:szCs w:val="24"/>
        </w:rPr>
        <w:t xml:space="preserve"> It presents information about cash generated from operations and the effects of various changes in the balance sheet on the Agency's cash position.</w:t>
      </w:r>
    </w:p>
    <w:p w14:paraId="41C321E8" w14:textId="77777777" w:rsidR="00635076" w:rsidRPr="007E0BFF" w:rsidRDefault="005C14AC" w:rsidP="008439BD">
      <w:pPr>
        <w:pStyle w:val="Text3"/>
        <w:keepNext/>
        <w:spacing w:before="240" w:after="120"/>
        <w:ind w:left="0"/>
        <w:rPr>
          <w:i/>
          <w:szCs w:val="24"/>
        </w:rPr>
      </w:pPr>
      <w:r w:rsidRPr="007E0BFF">
        <w:rPr>
          <w:i/>
          <w:szCs w:val="24"/>
        </w:rPr>
        <w:t>(1) Operating activities</w:t>
      </w:r>
    </w:p>
    <w:p w14:paraId="75F88B62" w14:textId="77777777" w:rsidR="005C14AC" w:rsidRPr="007E0BFF" w:rsidRDefault="005C14AC" w:rsidP="008439BD">
      <w:pPr>
        <w:pStyle w:val="Text3"/>
        <w:spacing w:after="120"/>
        <w:ind w:left="0"/>
        <w:rPr>
          <w:szCs w:val="24"/>
        </w:rPr>
      </w:pPr>
      <w:r w:rsidRPr="007E0BFF">
        <w:rPr>
          <w:szCs w:val="24"/>
        </w:rPr>
        <w:t xml:space="preserve">Operating activities reflect the </w:t>
      </w:r>
      <w:r w:rsidR="002553DA" w:rsidRPr="007E0BFF">
        <w:rPr>
          <w:szCs w:val="24"/>
        </w:rPr>
        <w:t xml:space="preserve">cash generated / (used) from </w:t>
      </w:r>
      <w:r w:rsidRPr="007E0BFF">
        <w:rPr>
          <w:szCs w:val="24"/>
        </w:rPr>
        <w:t xml:space="preserve">regular activities of </w:t>
      </w:r>
      <w:r w:rsidR="00B54068" w:rsidRPr="007E0BFF">
        <w:rPr>
          <w:szCs w:val="24"/>
        </w:rPr>
        <w:t>REA</w:t>
      </w:r>
      <w:r w:rsidR="004C5201" w:rsidRPr="007E0BFF">
        <w:rPr>
          <w:szCs w:val="24"/>
        </w:rPr>
        <w:t>.</w:t>
      </w:r>
    </w:p>
    <w:p w14:paraId="5B082117" w14:textId="77777777" w:rsidR="005C14AC" w:rsidRPr="007E0BFF" w:rsidRDefault="005C14AC" w:rsidP="008439BD">
      <w:pPr>
        <w:pStyle w:val="Text3"/>
        <w:keepNext/>
        <w:spacing w:before="240" w:after="120"/>
        <w:ind w:left="0"/>
        <w:rPr>
          <w:i/>
          <w:szCs w:val="24"/>
        </w:rPr>
      </w:pPr>
      <w:r w:rsidRPr="007E0BFF">
        <w:rPr>
          <w:i/>
          <w:szCs w:val="24"/>
        </w:rPr>
        <w:lastRenderedPageBreak/>
        <w:t>(</w:t>
      </w:r>
      <w:r w:rsidR="002553DA" w:rsidRPr="007E0BFF">
        <w:rPr>
          <w:i/>
          <w:szCs w:val="24"/>
        </w:rPr>
        <w:t>2</w:t>
      </w:r>
      <w:r w:rsidRPr="007E0BFF">
        <w:rPr>
          <w:i/>
          <w:szCs w:val="24"/>
        </w:rPr>
        <w:t>) Investing activities</w:t>
      </w:r>
    </w:p>
    <w:p w14:paraId="61EA5E2C" w14:textId="00D9CF78" w:rsidR="00635076" w:rsidRPr="007E0BFF" w:rsidRDefault="005C14AC" w:rsidP="008439BD">
      <w:pPr>
        <w:pStyle w:val="Text3"/>
        <w:spacing w:after="120"/>
        <w:ind w:left="0"/>
        <w:rPr>
          <w:szCs w:val="24"/>
        </w:rPr>
      </w:pPr>
      <w:r w:rsidRPr="007E0BFF">
        <w:rPr>
          <w:szCs w:val="24"/>
        </w:rPr>
        <w:t>Investing activities reflect</w:t>
      </w:r>
      <w:r w:rsidR="002553DA" w:rsidRPr="007E0BFF">
        <w:rPr>
          <w:szCs w:val="24"/>
        </w:rPr>
        <w:t xml:space="preserve"> the cash generated / (used) from</w:t>
      </w:r>
      <w:r w:rsidRPr="007E0BFF">
        <w:rPr>
          <w:szCs w:val="24"/>
        </w:rPr>
        <w:t xml:space="preserve"> the acquisition and disposal of intangible </w:t>
      </w:r>
      <w:r w:rsidR="000F4A54">
        <w:rPr>
          <w:szCs w:val="24"/>
        </w:rPr>
        <w:t xml:space="preserve">and tangible fixed </w:t>
      </w:r>
      <w:r w:rsidRPr="007E0BFF">
        <w:rPr>
          <w:szCs w:val="24"/>
        </w:rPr>
        <w:t>assets.</w:t>
      </w:r>
    </w:p>
    <w:p w14:paraId="772BB09F" w14:textId="299CE1C3" w:rsidR="00193224" w:rsidRPr="007E0BFF" w:rsidRDefault="00193224" w:rsidP="00383DBF">
      <w:pPr>
        <w:pStyle w:val="Heading3"/>
        <w:tabs>
          <w:tab w:val="clear" w:pos="840"/>
        </w:tabs>
        <w:spacing w:before="240" w:after="120"/>
        <w:ind w:left="720" w:hanging="720"/>
        <w:rPr>
          <w:b/>
          <w:szCs w:val="24"/>
        </w:rPr>
      </w:pPr>
      <w:bookmarkStart w:id="85" w:name="_Toc31821698"/>
      <w:r w:rsidRPr="007E0BFF">
        <w:rPr>
          <w:b/>
          <w:szCs w:val="24"/>
        </w:rPr>
        <w:t xml:space="preserve">Contingent </w:t>
      </w:r>
      <w:r w:rsidR="00383DBF" w:rsidRPr="007E0BFF">
        <w:rPr>
          <w:b/>
          <w:szCs w:val="24"/>
        </w:rPr>
        <w:t>a</w:t>
      </w:r>
      <w:r w:rsidRPr="007E0BFF">
        <w:rPr>
          <w:b/>
          <w:szCs w:val="24"/>
        </w:rPr>
        <w:t xml:space="preserve">ssets and </w:t>
      </w:r>
      <w:r w:rsidR="00383DBF" w:rsidRPr="007E0BFF">
        <w:rPr>
          <w:b/>
          <w:szCs w:val="24"/>
        </w:rPr>
        <w:t>l</w:t>
      </w:r>
      <w:r w:rsidRPr="007E0BFF">
        <w:rPr>
          <w:b/>
          <w:szCs w:val="24"/>
        </w:rPr>
        <w:t>iabilities</w:t>
      </w:r>
      <w:bookmarkEnd w:id="85"/>
    </w:p>
    <w:p w14:paraId="6223C084" w14:textId="77777777" w:rsidR="00DB13C6" w:rsidRPr="007E0BFF" w:rsidRDefault="00C02163" w:rsidP="008439BD">
      <w:pPr>
        <w:tabs>
          <w:tab w:val="left" w:pos="1440"/>
        </w:tabs>
        <w:suppressAutoHyphens/>
        <w:spacing w:after="120"/>
        <w:jc w:val="both"/>
        <w:rPr>
          <w:bCs/>
        </w:rPr>
      </w:pPr>
      <w:r w:rsidRPr="007E0BFF">
        <w:rPr>
          <w:bCs/>
        </w:rPr>
        <w:t>The A</w:t>
      </w:r>
      <w:r w:rsidR="0027297D" w:rsidRPr="007E0BFF">
        <w:rPr>
          <w:bCs/>
        </w:rPr>
        <w:t xml:space="preserve">gency has no contingent </w:t>
      </w:r>
      <w:r w:rsidR="00383DBF" w:rsidRPr="007E0BFF">
        <w:rPr>
          <w:bCs/>
        </w:rPr>
        <w:t>a</w:t>
      </w:r>
      <w:r w:rsidR="00DB13C6" w:rsidRPr="007E0BFF">
        <w:rPr>
          <w:bCs/>
        </w:rPr>
        <w:t>sset</w:t>
      </w:r>
      <w:r w:rsidR="002553DA" w:rsidRPr="007E0BFF">
        <w:rPr>
          <w:bCs/>
        </w:rPr>
        <w:t>s</w:t>
      </w:r>
      <w:r w:rsidR="00DB13C6" w:rsidRPr="007E0BFF">
        <w:rPr>
          <w:bCs/>
        </w:rPr>
        <w:t xml:space="preserve"> </w:t>
      </w:r>
      <w:r w:rsidR="002553DA" w:rsidRPr="007E0BFF">
        <w:rPr>
          <w:bCs/>
        </w:rPr>
        <w:t xml:space="preserve">or </w:t>
      </w:r>
      <w:r w:rsidR="00DB13C6" w:rsidRPr="007E0BFF">
        <w:rPr>
          <w:bCs/>
        </w:rPr>
        <w:t>liabilit</w:t>
      </w:r>
      <w:r w:rsidR="002553DA" w:rsidRPr="007E0BFF">
        <w:rPr>
          <w:bCs/>
        </w:rPr>
        <w:t>ies</w:t>
      </w:r>
      <w:r w:rsidR="0027297D" w:rsidRPr="007E0BFF">
        <w:rPr>
          <w:bCs/>
        </w:rPr>
        <w:t xml:space="preserve"> to</w:t>
      </w:r>
      <w:r w:rsidRPr="007E0BFF">
        <w:rPr>
          <w:bCs/>
        </w:rPr>
        <w:t xml:space="preserve"> disclose at the end of </w:t>
      </w:r>
      <w:r w:rsidR="00C61864" w:rsidRPr="007E0BFF">
        <w:rPr>
          <w:bCs/>
        </w:rPr>
        <w:t>2019</w:t>
      </w:r>
      <w:r w:rsidR="00317D02" w:rsidRPr="007E0BFF">
        <w:rPr>
          <w:bCs/>
        </w:rPr>
        <w:t>.</w:t>
      </w:r>
    </w:p>
    <w:p w14:paraId="109D726E" w14:textId="77777777" w:rsidR="00DB13C6" w:rsidRPr="00383DBF" w:rsidRDefault="00DB13C6" w:rsidP="00383DBF">
      <w:pPr>
        <w:pStyle w:val="Heading3"/>
        <w:tabs>
          <w:tab w:val="clear" w:pos="840"/>
        </w:tabs>
        <w:spacing w:before="240" w:after="120"/>
        <w:ind w:left="720" w:hanging="720"/>
        <w:rPr>
          <w:b/>
          <w:szCs w:val="24"/>
        </w:rPr>
      </w:pPr>
      <w:bookmarkStart w:id="86" w:name="_Toc31821699"/>
      <w:r w:rsidRPr="00383DBF">
        <w:rPr>
          <w:b/>
          <w:szCs w:val="24"/>
        </w:rPr>
        <w:t>Other significant disclosures</w:t>
      </w:r>
      <w:bookmarkEnd w:id="86"/>
    </w:p>
    <w:tbl>
      <w:tblPr>
        <w:tblW w:w="5000" w:type="pct"/>
        <w:tblLook w:val="0000" w:firstRow="0" w:lastRow="0" w:firstColumn="0" w:lastColumn="0" w:noHBand="0" w:noVBand="0"/>
      </w:tblPr>
      <w:tblGrid>
        <w:gridCol w:w="7580"/>
        <w:gridCol w:w="1662"/>
      </w:tblGrid>
      <w:tr w:rsidR="0027297D" w:rsidRPr="00246320" w14:paraId="211E07FD" w14:textId="77777777" w:rsidTr="0027297D">
        <w:trPr>
          <w:trHeight w:val="270"/>
        </w:trPr>
        <w:tc>
          <w:tcPr>
            <w:tcW w:w="500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3B9DB6" w14:textId="77777777" w:rsidR="0027297D" w:rsidRPr="00246320" w:rsidRDefault="00D34DA9" w:rsidP="00A64D26">
            <w:pPr>
              <w:jc w:val="center"/>
              <w:rPr>
                <w:b/>
                <w:bCs/>
                <w:sz w:val="22"/>
                <w:szCs w:val="22"/>
              </w:rPr>
            </w:pPr>
            <w:r w:rsidRPr="00246320">
              <w:rPr>
                <w:b/>
                <w:bCs/>
                <w:sz w:val="22"/>
                <w:szCs w:val="22"/>
              </w:rPr>
              <w:t>Commitments for future expenditure</w:t>
            </w:r>
          </w:p>
        </w:tc>
      </w:tr>
      <w:tr w:rsidR="00803CB3" w:rsidRPr="00246320" w14:paraId="21FB0F78" w14:textId="77777777" w:rsidTr="004B79B1">
        <w:trPr>
          <w:trHeight w:val="270"/>
        </w:trPr>
        <w:tc>
          <w:tcPr>
            <w:tcW w:w="4101" w:type="pct"/>
            <w:tcBorders>
              <w:left w:val="single" w:sz="8" w:space="0" w:color="auto"/>
              <w:right w:val="single" w:sz="4" w:space="0" w:color="auto"/>
            </w:tcBorders>
            <w:shd w:val="clear" w:color="auto" w:fill="auto"/>
            <w:vAlign w:val="center"/>
          </w:tcPr>
          <w:p w14:paraId="18254996" w14:textId="77777777" w:rsidR="00803CB3" w:rsidRPr="00246320" w:rsidRDefault="00803CB3" w:rsidP="00A64D26">
            <w:pPr>
              <w:rPr>
                <w:b/>
                <w:bCs/>
                <w:sz w:val="22"/>
                <w:szCs w:val="22"/>
              </w:rPr>
            </w:pPr>
            <w:r w:rsidRPr="00246320">
              <w:rPr>
                <w:sz w:val="22"/>
                <w:szCs w:val="22"/>
              </w:rPr>
              <w:t xml:space="preserve">Commitments made in </w:t>
            </w:r>
            <w:r w:rsidR="0045261A" w:rsidRPr="00246320">
              <w:rPr>
                <w:sz w:val="22"/>
                <w:szCs w:val="22"/>
              </w:rPr>
              <w:t>201</w:t>
            </w:r>
            <w:r w:rsidR="00D5084B">
              <w:rPr>
                <w:sz w:val="22"/>
                <w:szCs w:val="22"/>
              </w:rPr>
              <w:t>9</w:t>
            </w:r>
            <w:r w:rsidR="00DB13C6">
              <w:rPr>
                <w:sz w:val="22"/>
                <w:szCs w:val="22"/>
              </w:rPr>
              <w:t xml:space="preserve"> and not yet paid</w:t>
            </w:r>
            <w:r w:rsidRPr="00246320">
              <w:rPr>
                <w:sz w:val="22"/>
                <w:szCs w:val="22"/>
              </w:rPr>
              <w:t xml:space="preserve"> as of 31.12.</w:t>
            </w:r>
            <w:r w:rsidR="0045261A" w:rsidRPr="00246320">
              <w:rPr>
                <w:sz w:val="22"/>
                <w:szCs w:val="22"/>
              </w:rPr>
              <w:t>201</w:t>
            </w:r>
            <w:r w:rsidR="00D5084B">
              <w:rPr>
                <w:sz w:val="22"/>
                <w:szCs w:val="22"/>
              </w:rPr>
              <w:t>9</w:t>
            </w:r>
          </w:p>
        </w:tc>
        <w:tc>
          <w:tcPr>
            <w:tcW w:w="899" w:type="pct"/>
            <w:tcBorders>
              <w:left w:val="nil"/>
              <w:right w:val="single" w:sz="8" w:space="0" w:color="auto"/>
            </w:tcBorders>
            <w:shd w:val="clear" w:color="auto" w:fill="auto"/>
            <w:vAlign w:val="center"/>
          </w:tcPr>
          <w:p w14:paraId="6984AD59" w14:textId="77777777" w:rsidR="00681947" w:rsidRPr="00246320" w:rsidRDefault="00D5084B" w:rsidP="00D5084B">
            <w:pPr>
              <w:jc w:val="right"/>
              <w:rPr>
                <w:sz w:val="22"/>
                <w:szCs w:val="22"/>
              </w:rPr>
            </w:pPr>
            <w:r>
              <w:rPr>
                <w:sz w:val="22"/>
                <w:szCs w:val="22"/>
              </w:rPr>
              <w:t xml:space="preserve">4,362,405 </w:t>
            </w:r>
          </w:p>
        </w:tc>
      </w:tr>
      <w:tr w:rsidR="00803CB3" w:rsidRPr="00246320" w14:paraId="538D1A7E" w14:textId="77777777" w:rsidTr="004B79B1">
        <w:trPr>
          <w:trHeight w:val="270"/>
        </w:trPr>
        <w:tc>
          <w:tcPr>
            <w:tcW w:w="4101" w:type="pct"/>
            <w:tcBorders>
              <w:left w:val="single" w:sz="8" w:space="0" w:color="auto"/>
              <w:bottom w:val="single" w:sz="8" w:space="0" w:color="auto"/>
              <w:right w:val="single" w:sz="4" w:space="0" w:color="auto"/>
            </w:tcBorders>
            <w:shd w:val="clear" w:color="auto" w:fill="auto"/>
            <w:vAlign w:val="center"/>
          </w:tcPr>
          <w:p w14:paraId="378D23CB" w14:textId="77777777" w:rsidR="00803CB3" w:rsidRPr="00246320" w:rsidRDefault="00B233DD" w:rsidP="00A64D26">
            <w:pPr>
              <w:rPr>
                <w:bCs/>
                <w:sz w:val="22"/>
                <w:szCs w:val="22"/>
              </w:rPr>
            </w:pPr>
            <w:r>
              <w:rPr>
                <w:bCs/>
                <w:sz w:val="22"/>
                <w:szCs w:val="22"/>
              </w:rPr>
              <w:t>Future charges related to</w:t>
            </w:r>
            <w:r w:rsidR="00803CB3" w:rsidRPr="00246320">
              <w:rPr>
                <w:bCs/>
                <w:sz w:val="22"/>
                <w:szCs w:val="22"/>
              </w:rPr>
              <w:t xml:space="preserve"> </w:t>
            </w:r>
            <w:r w:rsidR="002553DA">
              <w:rPr>
                <w:bCs/>
                <w:sz w:val="22"/>
                <w:szCs w:val="22"/>
              </w:rPr>
              <w:t xml:space="preserve">the </w:t>
            </w:r>
            <w:r w:rsidR="00B54068">
              <w:rPr>
                <w:bCs/>
                <w:sz w:val="22"/>
                <w:szCs w:val="22"/>
              </w:rPr>
              <w:t>REA</w:t>
            </w:r>
            <w:r w:rsidR="00803CB3" w:rsidRPr="00246320">
              <w:rPr>
                <w:bCs/>
                <w:sz w:val="22"/>
                <w:szCs w:val="22"/>
              </w:rPr>
              <w:t xml:space="preserve"> building</w:t>
            </w:r>
          </w:p>
        </w:tc>
        <w:tc>
          <w:tcPr>
            <w:tcW w:w="899" w:type="pct"/>
            <w:tcBorders>
              <w:left w:val="nil"/>
              <w:bottom w:val="single" w:sz="8" w:space="0" w:color="auto"/>
              <w:right w:val="single" w:sz="8" w:space="0" w:color="auto"/>
            </w:tcBorders>
            <w:shd w:val="clear" w:color="auto" w:fill="auto"/>
            <w:vAlign w:val="center"/>
          </w:tcPr>
          <w:p w14:paraId="3CA2FB3D" w14:textId="77777777" w:rsidR="0053750B" w:rsidRPr="00246320" w:rsidRDefault="00F81041" w:rsidP="00A64D26">
            <w:pPr>
              <w:jc w:val="right"/>
              <w:rPr>
                <w:sz w:val="22"/>
                <w:szCs w:val="22"/>
              </w:rPr>
            </w:pPr>
            <w:r>
              <w:rPr>
                <w:sz w:val="22"/>
                <w:szCs w:val="22"/>
              </w:rPr>
              <w:t>12,101,575</w:t>
            </w:r>
          </w:p>
        </w:tc>
      </w:tr>
      <w:tr w:rsidR="003F5E63" w:rsidRPr="00246320" w14:paraId="2B75BA85" w14:textId="77777777" w:rsidTr="004B79B1">
        <w:trPr>
          <w:trHeight w:val="270"/>
        </w:trPr>
        <w:tc>
          <w:tcPr>
            <w:tcW w:w="4101" w:type="pct"/>
            <w:tcBorders>
              <w:top w:val="nil"/>
              <w:left w:val="single" w:sz="8" w:space="0" w:color="auto"/>
              <w:bottom w:val="single" w:sz="8" w:space="0" w:color="auto"/>
              <w:right w:val="single" w:sz="4" w:space="0" w:color="auto"/>
            </w:tcBorders>
            <w:shd w:val="clear" w:color="auto" w:fill="auto"/>
            <w:vAlign w:val="center"/>
          </w:tcPr>
          <w:p w14:paraId="673E2A9D" w14:textId="77777777" w:rsidR="003F5E63" w:rsidRPr="00246320" w:rsidRDefault="003F5E63" w:rsidP="00A64D26">
            <w:pPr>
              <w:rPr>
                <w:b/>
                <w:bCs/>
                <w:sz w:val="22"/>
                <w:szCs w:val="22"/>
              </w:rPr>
            </w:pPr>
            <w:r w:rsidRPr="00246320">
              <w:rPr>
                <w:b/>
                <w:bCs/>
                <w:sz w:val="22"/>
                <w:szCs w:val="22"/>
              </w:rPr>
              <w:t>T</w:t>
            </w:r>
            <w:r w:rsidR="00317D02" w:rsidRPr="00246320">
              <w:rPr>
                <w:b/>
                <w:bCs/>
                <w:sz w:val="22"/>
                <w:szCs w:val="22"/>
              </w:rPr>
              <w:t>otal</w:t>
            </w:r>
          </w:p>
        </w:tc>
        <w:tc>
          <w:tcPr>
            <w:tcW w:w="899" w:type="pct"/>
            <w:tcBorders>
              <w:top w:val="nil"/>
              <w:left w:val="nil"/>
              <w:bottom w:val="single" w:sz="8" w:space="0" w:color="auto"/>
              <w:right w:val="single" w:sz="8" w:space="0" w:color="auto"/>
            </w:tcBorders>
            <w:shd w:val="clear" w:color="auto" w:fill="auto"/>
            <w:vAlign w:val="center"/>
          </w:tcPr>
          <w:p w14:paraId="56F5B6E1" w14:textId="77777777" w:rsidR="003F5E63" w:rsidRPr="00246320" w:rsidRDefault="00F81041" w:rsidP="00A64D26">
            <w:pPr>
              <w:jc w:val="right"/>
              <w:rPr>
                <w:b/>
                <w:sz w:val="22"/>
                <w:szCs w:val="22"/>
              </w:rPr>
            </w:pPr>
            <w:r>
              <w:rPr>
                <w:b/>
                <w:sz w:val="22"/>
                <w:szCs w:val="22"/>
              </w:rPr>
              <w:t>16,463,980</w:t>
            </w:r>
          </w:p>
        </w:tc>
      </w:tr>
    </w:tbl>
    <w:p w14:paraId="5E813F8E" w14:textId="77777777" w:rsidR="001A4D99" w:rsidRPr="007E0BFF" w:rsidRDefault="00390F89" w:rsidP="008439BD">
      <w:pPr>
        <w:spacing w:before="240" w:after="120"/>
        <w:jc w:val="both"/>
        <w:rPr>
          <w:bCs/>
        </w:rPr>
      </w:pPr>
      <w:r w:rsidRPr="007E0BFF">
        <w:rPr>
          <w:bCs/>
        </w:rPr>
        <w:t xml:space="preserve">Commitments made in </w:t>
      </w:r>
      <w:r w:rsidR="0045261A" w:rsidRPr="007E0BFF">
        <w:rPr>
          <w:bCs/>
        </w:rPr>
        <w:t>201</w:t>
      </w:r>
      <w:r w:rsidR="00D5084B" w:rsidRPr="007E0BFF">
        <w:rPr>
          <w:bCs/>
        </w:rPr>
        <w:t>9</w:t>
      </w:r>
      <w:r w:rsidR="00835EFF" w:rsidRPr="007E0BFF">
        <w:rPr>
          <w:bCs/>
        </w:rPr>
        <w:t xml:space="preserve"> and not yet paid</w:t>
      </w:r>
      <w:r w:rsidRPr="007E0BFF">
        <w:rPr>
          <w:bCs/>
        </w:rPr>
        <w:t xml:space="preserve"> as of 31.12.</w:t>
      </w:r>
      <w:r w:rsidR="0045261A" w:rsidRPr="007E0BFF">
        <w:rPr>
          <w:bCs/>
        </w:rPr>
        <w:t>201</w:t>
      </w:r>
      <w:r w:rsidR="00D5084B" w:rsidRPr="007E0BFF">
        <w:rPr>
          <w:bCs/>
        </w:rPr>
        <w:t>9</w:t>
      </w:r>
      <w:r w:rsidRPr="007E0BFF">
        <w:rPr>
          <w:bCs/>
        </w:rPr>
        <w:t xml:space="preserve"> </w:t>
      </w:r>
      <w:r w:rsidR="004C5201" w:rsidRPr="007E0BFF">
        <w:rPr>
          <w:bCs/>
        </w:rPr>
        <w:t>correspond</w:t>
      </w:r>
      <w:r w:rsidR="004E3708" w:rsidRPr="007E0BFF">
        <w:rPr>
          <w:bCs/>
        </w:rPr>
        <w:t xml:space="preserve"> to the </w:t>
      </w:r>
      <w:r w:rsidR="001A4D99" w:rsidRPr="007E0BFF">
        <w:rPr>
          <w:bCs/>
        </w:rPr>
        <w:t xml:space="preserve">difference between </w:t>
      </w:r>
      <w:r w:rsidR="00835EFF" w:rsidRPr="007E0BFF">
        <w:rPr>
          <w:bCs/>
        </w:rPr>
        <w:t xml:space="preserve">open amounts on </w:t>
      </w:r>
      <w:r w:rsidR="001A4D99" w:rsidRPr="007E0BFF">
        <w:rPr>
          <w:bCs/>
        </w:rPr>
        <w:t xml:space="preserve">commitments </w:t>
      </w:r>
      <w:r w:rsidR="00EA7F52" w:rsidRPr="007E0BFF">
        <w:rPr>
          <w:bCs/>
        </w:rPr>
        <w:t>entered in 2019</w:t>
      </w:r>
      <w:r w:rsidR="00B233DD" w:rsidRPr="007E0BFF">
        <w:rPr>
          <w:bCs/>
        </w:rPr>
        <w:t xml:space="preserve"> (RAL: € </w:t>
      </w:r>
      <w:r w:rsidR="00D5084B" w:rsidRPr="007E0BFF">
        <w:rPr>
          <w:bCs/>
        </w:rPr>
        <w:t>6,790</w:t>
      </w:r>
      <w:r w:rsidR="00B233DD" w:rsidRPr="007E0BFF">
        <w:rPr>
          <w:bCs/>
        </w:rPr>
        <w:t>,</w:t>
      </w:r>
      <w:r w:rsidR="00D5084B" w:rsidRPr="007E0BFF">
        <w:rPr>
          <w:bCs/>
        </w:rPr>
        <w:t>092</w:t>
      </w:r>
      <w:r w:rsidR="00B233DD" w:rsidRPr="007E0BFF">
        <w:rPr>
          <w:bCs/>
        </w:rPr>
        <w:t>)</w:t>
      </w:r>
      <w:r w:rsidR="00835EFF" w:rsidRPr="007E0BFF">
        <w:rPr>
          <w:bCs/>
        </w:rPr>
        <w:t xml:space="preserve"> </w:t>
      </w:r>
      <w:r w:rsidR="004B79B1" w:rsidRPr="007E0BFF">
        <w:rPr>
          <w:bCs/>
        </w:rPr>
        <w:t>and</w:t>
      </w:r>
      <w:r w:rsidR="001A4D99" w:rsidRPr="007E0BFF">
        <w:rPr>
          <w:bCs/>
        </w:rPr>
        <w:t xml:space="preserve"> </w:t>
      </w:r>
      <w:r w:rsidR="002553DA" w:rsidRPr="007E0BFF">
        <w:rPr>
          <w:bCs/>
        </w:rPr>
        <w:t xml:space="preserve">the </w:t>
      </w:r>
      <w:r w:rsidR="00835EFF" w:rsidRPr="007E0BFF">
        <w:rPr>
          <w:bCs/>
        </w:rPr>
        <w:t xml:space="preserve">estimated </w:t>
      </w:r>
      <w:r w:rsidR="001A4D99" w:rsidRPr="007E0BFF">
        <w:rPr>
          <w:bCs/>
        </w:rPr>
        <w:t xml:space="preserve">accruals </w:t>
      </w:r>
      <w:r w:rsidR="00F81041" w:rsidRPr="007E0BFF">
        <w:rPr>
          <w:bCs/>
        </w:rPr>
        <w:t>excluding provision for untaken holidays as of 31.12.2019 (€ 2,427,687)</w:t>
      </w:r>
      <w:r w:rsidR="008439BD" w:rsidRPr="007E0BFF">
        <w:rPr>
          <w:bCs/>
        </w:rPr>
        <w:t>.</w:t>
      </w:r>
      <w:r w:rsidR="00D5084B" w:rsidRPr="007E0BFF">
        <w:rPr>
          <w:bCs/>
        </w:rPr>
        <w:t xml:space="preserve"> The amount is comparable to 2018.</w:t>
      </w:r>
    </w:p>
    <w:p w14:paraId="1F70101E" w14:textId="77777777" w:rsidR="00A26C46" w:rsidRPr="007E0BFF" w:rsidRDefault="000B0FC5" w:rsidP="00A64D26">
      <w:pPr>
        <w:tabs>
          <w:tab w:val="left" w:pos="1440"/>
        </w:tabs>
        <w:suppressAutoHyphens/>
        <w:spacing w:after="120"/>
        <w:jc w:val="both"/>
        <w:rPr>
          <w:bCs/>
        </w:rPr>
      </w:pPr>
      <w:r w:rsidRPr="007E0BFF">
        <w:rPr>
          <w:bCs/>
        </w:rPr>
        <w:t>The t</w:t>
      </w:r>
      <w:r w:rsidR="00800097" w:rsidRPr="007E0BFF">
        <w:rPr>
          <w:bCs/>
        </w:rPr>
        <w:t xml:space="preserve">otal </w:t>
      </w:r>
      <w:r w:rsidR="00315C89" w:rsidRPr="007E0BFF">
        <w:rPr>
          <w:bCs/>
        </w:rPr>
        <w:t xml:space="preserve">future charges </w:t>
      </w:r>
      <w:r w:rsidR="00A26C46" w:rsidRPr="007E0BFF">
        <w:rPr>
          <w:bCs/>
        </w:rPr>
        <w:t xml:space="preserve">related to the usufruct contract signed with a third party for the building COV2 </w:t>
      </w:r>
      <w:r w:rsidR="00B233DD" w:rsidRPr="007E0BFF">
        <w:rPr>
          <w:bCs/>
        </w:rPr>
        <w:t xml:space="preserve">amounts to </w:t>
      </w:r>
      <w:r w:rsidR="00A26C46" w:rsidRPr="007E0BFF">
        <w:rPr>
          <w:bCs/>
        </w:rPr>
        <w:t xml:space="preserve">€ </w:t>
      </w:r>
      <w:r w:rsidR="00EA7F52" w:rsidRPr="007E0BFF">
        <w:rPr>
          <w:bCs/>
        </w:rPr>
        <w:t>12,101,575</w:t>
      </w:r>
      <w:r w:rsidR="00A26C46" w:rsidRPr="007E0BFF">
        <w:rPr>
          <w:bCs/>
        </w:rPr>
        <w:t>. The period covered runs until 23.09.</w:t>
      </w:r>
      <w:r w:rsidR="00FA786C" w:rsidRPr="007E0BFF">
        <w:rPr>
          <w:bCs/>
        </w:rPr>
        <w:t>2023.</w:t>
      </w:r>
    </w:p>
    <w:p w14:paraId="29270719" w14:textId="77777777" w:rsidR="004935F8" w:rsidRPr="007E0BFF" w:rsidRDefault="00193224" w:rsidP="00383DBF">
      <w:pPr>
        <w:pStyle w:val="Heading3"/>
        <w:tabs>
          <w:tab w:val="clear" w:pos="840"/>
        </w:tabs>
        <w:spacing w:before="240" w:after="120"/>
        <w:ind w:left="720" w:hanging="720"/>
        <w:rPr>
          <w:b/>
          <w:szCs w:val="24"/>
        </w:rPr>
      </w:pPr>
      <w:bookmarkStart w:id="87" w:name="_Toc31821700"/>
      <w:r w:rsidRPr="007E0BFF">
        <w:rPr>
          <w:b/>
          <w:szCs w:val="24"/>
        </w:rPr>
        <w:t>Financial Instruments</w:t>
      </w:r>
      <w:bookmarkEnd w:id="87"/>
    </w:p>
    <w:p w14:paraId="59480666" w14:textId="77777777" w:rsidR="004935F8" w:rsidRPr="007E0BFF" w:rsidRDefault="00331EDB" w:rsidP="008439BD">
      <w:pPr>
        <w:autoSpaceDE w:val="0"/>
        <w:autoSpaceDN w:val="0"/>
        <w:adjustRightInd w:val="0"/>
        <w:spacing w:after="120"/>
        <w:jc w:val="both"/>
        <w:rPr>
          <w:bCs/>
        </w:rPr>
      </w:pPr>
      <w:r w:rsidRPr="007E0BFF">
        <w:rPr>
          <w:bCs/>
        </w:rPr>
        <w:t>Financial instruments comprise cash, current receivable</w:t>
      </w:r>
      <w:r w:rsidR="002553DA" w:rsidRPr="007E0BFF">
        <w:rPr>
          <w:bCs/>
        </w:rPr>
        <w:t>s</w:t>
      </w:r>
      <w:r w:rsidRPr="007E0BFF">
        <w:rPr>
          <w:bCs/>
        </w:rPr>
        <w:t>, current payables, amounts due</w:t>
      </w:r>
      <w:r w:rsidR="00103EA0" w:rsidRPr="007E0BFF">
        <w:rPr>
          <w:bCs/>
        </w:rPr>
        <w:t xml:space="preserve"> to and </w:t>
      </w:r>
      <w:r w:rsidR="002553DA" w:rsidRPr="007E0BFF">
        <w:rPr>
          <w:bCs/>
        </w:rPr>
        <w:t xml:space="preserve">recoverable </w:t>
      </w:r>
      <w:r w:rsidR="00103EA0" w:rsidRPr="007E0BFF">
        <w:rPr>
          <w:bCs/>
        </w:rPr>
        <w:t>from consolidated entities.</w:t>
      </w:r>
      <w:r w:rsidR="004935F8" w:rsidRPr="007E0BFF">
        <w:rPr>
          <w:bCs/>
        </w:rPr>
        <w:t xml:space="preserve"> Financial instruments give rise to liquidity, credit, interest rate and foreign currency risks. Information about how they are managed is set out below.</w:t>
      </w:r>
    </w:p>
    <w:p w14:paraId="3B2A595C" w14:textId="77777777" w:rsidR="00345C3D" w:rsidRPr="007E0BFF" w:rsidRDefault="004935F8" w:rsidP="008439BD">
      <w:pPr>
        <w:autoSpaceDE w:val="0"/>
        <w:autoSpaceDN w:val="0"/>
        <w:adjustRightInd w:val="0"/>
        <w:spacing w:after="120"/>
        <w:jc w:val="both"/>
        <w:rPr>
          <w:bCs/>
        </w:rPr>
      </w:pPr>
      <w:r w:rsidRPr="007E0BFF">
        <w:rPr>
          <w:bCs/>
        </w:rPr>
        <w:t>The carrying amounts of financial instruments are detailed here</w:t>
      </w:r>
      <w:r w:rsidR="00A26C46" w:rsidRPr="007E0BFF">
        <w:rPr>
          <w:bCs/>
        </w:rPr>
        <w:t>after</w:t>
      </w:r>
      <w:r w:rsidRPr="007E0BFF">
        <w:rPr>
          <w:bCs/>
        </w:rPr>
        <w:t xml:space="preserve"> (in EUR).</w:t>
      </w:r>
    </w:p>
    <w:p w14:paraId="62B3043F" w14:textId="62178115" w:rsidR="004B4908" w:rsidRDefault="00BE611E" w:rsidP="004B4908">
      <w:pPr>
        <w:autoSpaceDE w:val="0"/>
        <w:autoSpaceDN w:val="0"/>
        <w:adjustRightInd w:val="0"/>
        <w:spacing w:after="240"/>
        <w:jc w:val="both"/>
        <w:rPr>
          <w:b/>
          <w:i/>
          <w:sz w:val="22"/>
          <w:szCs w:val="22"/>
        </w:rPr>
      </w:pPr>
      <w:r w:rsidRPr="00BE611E">
        <w:rPr>
          <w:noProof/>
        </w:rPr>
        <w:drawing>
          <wp:inline distT="0" distB="0" distL="0" distR="0" wp14:anchorId="4DCB30F3" wp14:editId="0895C864">
            <wp:extent cx="4280400" cy="3574800"/>
            <wp:effectExtent l="0" t="0" r="635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0400" cy="3574800"/>
                    </a:xfrm>
                    <a:prstGeom prst="rect">
                      <a:avLst/>
                    </a:prstGeom>
                    <a:noFill/>
                    <a:ln>
                      <a:noFill/>
                    </a:ln>
                  </pic:spPr>
                </pic:pic>
              </a:graphicData>
            </a:graphic>
          </wp:inline>
        </w:drawing>
      </w:r>
      <w:r w:rsidRPr="00BE611E" w:rsidDel="003F6D54">
        <w:t xml:space="preserve"> </w:t>
      </w:r>
    </w:p>
    <w:p w14:paraId="08B6DF53" w14:textId="77777777" w:rsidR="00027C77" w:rsidRPr="007E0BFF" w:rsidRDefault="00027C77" w:rsidP="004B4908">
      <w:pPr>
        <w:autoSpaceDE w:val="0"/>
        <w:autoSpaceDN w:val="0"/>
        <w:adjustRightInd w:val="0"/>
        <w:spacing w:before="240" w:after="120"/>
        <w:jc w:val="both"/>
        <w:rPr>
          <w:b/>
        </w:rPr>
      </w:pPr>
      <w:r w:rsidRPr="007E0BFF">
        <w:rPr>
          <w:b/>
          <w:i/>
        </w:rPr>
        <w:lastRenderedPageBreak/>
        <w:t>Credit risk</w:t>
      </w:r>
    </w:p>
    <w:p w14:paraId="6AA21EFC" w14:textId="77777777" w:rsidR="005D11B9" w:rsidRPr="007E0BFF" w:rsidRDefault="00027C77" w:rsidP="009D3107">
      <w:pPr>
        <w:autoSpaceDE w:val="0"/>
        <w:autoSpaceDN w:val="0"/>
        <w:adjustRightInd w:val="0"/>
        <w:spacing w:after="120"/>
        <w:jc w:val="both"/>
        <w:rPr>
          <w:bCs/>
        </w:rPr>
      </w:pPr>
      <w:r w:rsidRPr="007E0BFF">
        <w:rPr>
          <w:bCs/>
        </w:rPr>
        <w:t>The credit risk is the risk of</w:t>
      </w:r>
      <w:r w:rsidR="007A78D1" w:rsidRPr="007E0BFF">
        <w:rPr>
          <w:bCs/>
        </w:rPr>
        <w:t xml:space="preserve"> loss due to a debtor's default</w:t>
      </w:r>
      <w:r w:rsidR="00676149" w:rsidRPr="007E0BFF">
        <w:rPr>
          <w:bCs/>
        </w:rPr>
        <w:t xml:space="preserve">, when a </w:t>
      </w:r>
      <w:r w:rsidR="002553DA" w:rsidRPr="007E0BFF">
        <w:rPr>
          <w:bCs/>
        </w:rPr>
        <w:t xml:space="preserve">contracted party </w:t>
      </w:r>
      <w:r w:rsidR="00676149" w:rsidRPr="007E0BFF">
        <w:rPr>
          <w:bCs/>
        </w:rPr>
        <w:t>fail</w:t>
      </w:r>
      <w:r w:rsidR="002553DA" w:rsidRPr="007E0BFF">
        <w:rPr>
          <w:bCs/>
        </w:rPr>
        <w:t>s</w:t>
      </w:r>
      <w:r w:rsidR="00676149" w:rsidRPr="007E0BFF">
        <w:rPr>
          <w:bCs/>
        </w:rPr>
        <w:t xml:space="preserve"> to meet its obligation</w:t>
      </w:r>
      <w:r w:rsidR="002553DA" w:rsidRPr="007E0BFF">
        <w:rPr>
          <w:bCs/>
        </w:rPr>
        <w:t>s</w:t>
      </w:r>
      <w:r w:rsidR="00676149" w:rsidRPr="007E0BFF">
        <w:rPr>
          <w:bCs/>
        </w:rPr>
        <w:t xml:space="preserve"> in accordance with </w:t>
      </w:r>
      <w:r w:rsidR="002553DA" w:rsidRPr="007E0BFF">
        <w:rPr>
          <w:bCs/>
        </w:rPr>
        <w:t xml:space="preserve">the </w:t>
      </w:r>
      <w:r w:rsidR="00676149" w:rsidRPr="007E0BFF">
        <w:rPr>
          <w:bCs/>
        </w:rPr>
        <w:t>agreed terms.</w:t>
      </w:r>
    </w:p>
    <w:p w14:paraId="688B8D59" w14:textId="77777777" w:rsidR="004C5201" w:rsidRPr="007E0BFF" w:rsidRDefault="008904F6" w:rsidP="004B4908">
      <w:pPr>
        <w:autoSpaceDE w:val="0"/>
        <w:autoSpaceDN w:val="0"/>
        <w:adjustRightInd w:val="0"/>
        <w:spacing w:after="120"/>
        <w:rPr>
          <w:bCs/>
        </w:rPr>
      </w:pPr>
      <w:r w:rsidRPr="007E0BFF">
        <w:rPr>
          <w:bCs/>
        </w:rPr>
        <w:t>It should be underline</w:t>
      </w:r>
      <w:r w:rsidR="00614813" w:rsidRPr="007E0BFF">
        <w:rPr>
          <w:bCs/>
        </w:rPr>
        <w:t>d</w:t>
      </w:r>
      <w:r w:rsidRPr="007E0BFF">
        <w:rPr>
          <w:bCs/>
        </w:rPr>
        <w:t xml:space="preserve"> that d</w:t>
      </w:r>
      <w:r w:rsidR="004C5201" w:rsidRPr="007E0BFF">
        <w:rPr>
          <w:bCs/>
        </w:rPr>
        <w:t xml:space="preserve">iffered charges and receivables mainly concern </w:t>
      </w:r>
      <w:r w:rsidRPr="007E0BFF">
        <w:rPr>
          <w:bCs/>
        </w:rPr>
        <w:t>consolidated entities.</w:t>
      </w:r>
    </w:p>
    <w:p w14:paraId="4CBA8D70" w14:textId="77777777" w:rsidR="005D11B9" w:rsidRPr="007E0BFF" w:rsidRDefault="008904F6" w:rsidP="004B4908">
      <w:pPr>
        <w:autoSpaceDE w:val="0"/>
        <w:autoSpaceDN w:val="0"/>
        <w:adjustRightInd w:val="0"/>
        <w:spacing w:after="120"/>
        <w:rPr>
          <w:bCs/>
        </w:rPr>
      </w:pPr>
      <w:r w:rsidRPr="007E0BFF">
        <w:rPr>
          <w:bCs/>
        </w:rPr>
        <w:t xml:space="preserve">The Commission subsidy is paid in 3 </w:t>
      </w:r>
      <w:r w:rsidR="0075761E" w:rsidRPr="007E0BFF">
        <w:rPr>
          <w:bCs/>
        </w:rPr>
        <w:t>instalments</w:t>
      </w:r>
      <w:r w:rsidRPr="007E0BFF">
        <w:rPr>
          <w:bCs/>
        </w:rPr>
        <w:t xml:space="preserve"> to limit the amount of </w:t>
      </w:r>
      <w:r w:rsidR="0075761E" w:rsidRPr="007E0BFF">
        <w:rPr>
          <w:bCs/>
        </w:rPr>
        <w:t>cash on</w:t>
      </w:r>
      <w:r w:rsidRPr="007E0BFF">
        <w:rPr>
          <w:bCs/>
        </w:rPr>
        <w:t xml:space="preserve"> the bank account.</w:t>
      </w:r>
    </w:p>
    <w:p w14:paraId="2BD0D010" w14:textId="77777777" w:rsidR="00451B24" w:rsidRPr="007E0BFF" w:rsidRDefault="008904F6" w:rsidP="009D3107">
      <w:pPr>
        <w:autoSpaceDE w:val="0"/>
        <w:autoSpaceDN w:val="0"/>
        <w:adjustRightInd w:val="0"/>
        <w:spacing w:after="120"/>
        <w:jc w:val="both"/>
        <w:rPr>
          <w:bCs/>
        </w:rPr>
      </w:pPr>
      <w:r w:rsidRPr="007E0BFF">
        <w:rPr>
          <w:bCs/>
        </w:rPr>
        <w:t>The bank was selected via a call for tender and the minimum short term credit rating required for</w:t>
      </w:r>
      <w:r w:rsidR="00A43050" w:rsidRPr="007E0BFF">
        <w:rPr>
          <w:bCs/>
        </w:rPr>
        <w:t xml:space="preserve"> </w:t>
      </w:r>
      <w:r w:rsidRPr="007E0BFF">
        <w:rPr>
          <w:bCs/>
        </w:rPr>
        <w:t xml:space="preserve">admission to the tendering procedure is </w:t>
      </w:r>
      <w:r w:rsidR="00451B24" w:rsidRPr="007E0BFF">
        <w:rPr>
          <w:bCs/>
        </w:rPr>
        <w:t>Moody's P-1 or equiv</w:t>
      </w:r>
      <w:r w:rsidR="00FA786C" w:rsidRPr="007E0BFF">
        <w:rPr>
          <w:bCs/>
        </w:rPr>
        <w:t>alent (S&amp;P: A-1 or Fitch: F1).</w:t>
      </w:r>
      <w:r w:rsidR="00A31D17" w:rsidRPr="007E0BFF">
        <w:rPr>
          <w:bCs/>
        </w:rPr>
        <w:t xml:space="preserve"> </w:t>
      </w:r>
      <w:r w:rsidR="00451B24" w:rsidRPr="007E0BFF">
        <w:rPr>
          <w:bCs/>
        </w:rPr>
        <w:t xml:space="preserve">The credit ratings of the bank are reviewed on a regular basis. </w:t>
      </w:r>
    </w:p>
    <w:p w14:paraId="04CACF81" w14:textId="1935186F" w:rsidR="005D11B9" w:rsidRPr="007E0BFF" w:rsidRDefault="00E54633" w:rsidP="00A43050">
      <w:pPr>
        <w:autoSpaceDE w:val="0"/>
        <w:autoSpaceDN w:val="0"/>
        <w:adjustRightInd w:val="0"/>
        <w:spacing w:after="120"/>
        <w:jc w:val="both"/>
        <w:rPr>
          <w:bCs/>
        </w:rPr>
      </w:pPr>
      <w:r w:rsidRPr="007E0BFF">
        <w:rPr>
          <w:bCs/>
        </w:rPr>
        <w:t>REA holds a ba</w:t>
      </w:r>
      <w:r w:rsidR="004F1FD4" w:rsidRPr="007E0BFF">
        <w:rPr>
          <w:bCs/>
        </w:rPr>
        <w:t>nk account at</w:t>
      </w:r>
      <w:r w:rsidRPr="007E0BFF">
        <w:rPr>
          <w:bCs/>
        </w:rPr>
        <w:t xml:space="preserve"> ING </w:t>
      </w:r>
      <w:r w:rsidR="0075761E" w:rsidRPr="007E0BFF">
        <w:rPr>
          <w:bCs/>
        </w:rPr>
        <w:t>Belgium;</w:t>
      </w:r>
      <w:r w:rsidRPr="007E0BFF">
        <w:rPr>
          <w:bCs/>
        </w:rPr>
        <w:t xml:space="preserve"> risk</w:t>
      </w:r>
      <w:r w:rsidR="002553DA" w:rsidRPr="007E0BFF">
        <w:rPr>
          <w:bCs/>
        </w:rPr>
        <w:t>s</w:t>
      </w:r>
      <w:r w:rsidRPr="007E0BFF">
        <w:rPr>
          <w:bCs/>
        </w:rPr>
        <w:t xml:space="preserve"> </w:t>
      </w:r>
      <w:r w:rsidR="002553DA" w:rsidRPr="007E0BFF">
        <w:rPr>
          <w:bCs/>
        </w:rPr>
        <w:t xml:space="preserve">have </w:t>
      </w:r>
      <w:r w:rsidRPr="007E0BFF">
        <w:rPr>
          <w:bCs/>
        </w:rPr>
        <w:t>been asse</w:t>
      </w:r>
      <w:r w:rsidR="00F21475">
        <w:rPr>
          <w:bCs/>
        </w:rPr>
        <w:t>sse</w:t>
      </w:r>
      <w:r w:rsidR="00E408C0" w:rsidRPr="007E0BFF">
        <w:rPr>
          <w:bCs/>
        </w:rPr>
        <w:t>d</w:t>
      </w:r>
      <w:r w:rsidRPr="007E0BFF">
        <w:rPr>
          <w:bCs/>
        </w:rPr>
        <w:t xml:space="preserve"> as follow</w:t>
      </w:r>
      <w:r w:rsidR="002553DA" w:rsidRPr="007E0BFF">
        <w:rPr>
          <w:bCs/>
        </w:rPr>
        <w:t>s</w:t>
      </w:r>
      <w:r w:rsidRPr="007E0BFF">
        <w:rPr>
          <w:bCs/>
        </w:rPr>
        <w:t xml:space="preserve"> by the principal rating</w:t>
      </w:r>
      <w:r w:rsidR="00A43050" w:rsidRPr="007E0BFF">
        <w:rPr>
          <w:bCs/>
        </w:rPr>
        <w:t xml:space="preserve"> </w:t>
      </w:r>
      <w:r w:rsidRPr="007E0BFF">
        <w:rPr>
          <w:bCs/>
        </w:rPr>
        <w:t xml:space="preserve">agencies: </w:t>
      </w:r>
    </w:p>
    <w:tbl>
      <w:tblPr>
        <w:tblW w:w="7465" w:type="dxa"/>
        <w:tblInd w:w="108" w:type="dxa"/>
        <w:tblLook w:val="04A0" w:firstRow="1" w:lastRow="0" w:firstColumn="1" w:lastColumn="0" w:noHBand="0" w:noVBand="1"/>
      </w:tblPr>
      <w:tblGrid>
        <w:gridCol w:w="2127"/>
        <w:gridCol w:w="2018"/>
        <w:gridCol w:w="1720"/>
        <w:gridCol w:w="1600"/>
      </w:tblGrid>
      <w:tr w:rsidR="00FA786C" w:rsidRPr="00FA786C" w14:paraId="2598BAB1" w14:textId="77777777" w:rsidTr="004B4908">
        <w:trPr>
          <w:trHeight w:val="331"/>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74B98" w14:textId="77777777" w:rsidR="00E408C0" w:rsidRPr="00FA786C" w:rsidRDefault="00E408C0" w:rsidP="00010E5C">
            <w:pPr>
              <w:ind w:firstLineChars="100" w:firstLine="220"/>
              <w:rPr>
                <w:b/>
                <w:bCs/>
                <w:sz w:val="22"/>
                <w:szCs w:val="22"/>
              </w:rPr>
            </w:pPr>
            <w:r w:rsidRPr="00FA786C">
              <w:rPr>
                <w:b/>
                <w:bCs/>
                <w:sz w:val="22"/>
                <w:szCs w:val="22"/>
              </w:rPr>
              <w:t> </w:t>
            </w:r>
          </w:p>
        </w:tc>
        <w:tc>
          <w:tcPr>
            <w:tcW w:w="2018" w:type="dxa"/>
            <w:tcBorders>
              <w:top w:val="single" w:sz="4" w:space="0" w:color="auto"/>
              <w:left w:val="nil"/>
              <w:bottom w:val="single" w:sz="4" w:space="0" w:color="auto"/>
              <w:right w:val="single" w:sz="4" w:space="0" w:color="auto"/>
            </w:tcBorders>
            <w:shd w:val="clear" w:color="000000" w:fill="FFFFFF"/>
            <w:vAlign w:val="center"/>
            <w:hideMark/>
          </w:tcPr>
          <w:p w14:paraId="286C0E37" w14:textId="77777777" w:rsidR="00E408C0" w:rsidRPr="00FA786C" w:rsidRDefault="00E408C0" w:rsidP="004B4908">
            <w:pPr>
              <w:ind w:leftChars="-1" w:hanging="2"/>
              <w:rPr>
                <w:b/>
                <w:bCs/>
                <w:sz w:val="22"/>
                <w:szCs w:val="22"/>
              </w:rPr>
            </w:pPr>
            <w:r w:rsidRPr="00FA786C">
              <w:rPr>
                <w:b/>
                <w:bCs/>
                <w:sz w:val="22"/>
                <w:szCs w:val="22"/>
              </w:rPr>
              <w:t>Standard &amp; Poor</w:t>
            </w:r>
            <w:r w:rsidR="00A43050">
              <w:rPr>
                <w:b/>
                <w:bCs/>
                <w:sz w:val="22"/>
                <w:szCs w:val="22"/>
              </w:rPr>
              <w:t>’</w:t>
            </w:r>
            <w:r w:rsidRPr="00FA786C">
              <w:rPr>
                <w:b/>
                <w:bCs/>
                <w:sz w:val="22"/>
                <w:szCs w:val="22"/>
              </w:rPr>
              <w:t>s</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546A2188" w14:textId="77777777" w:rsidR="00E408C0" w:rsidRPr="00FA786C" w:rsidRDefault="00E408C0" w:rsidP="004B4908">
            <w:pPr>
              <w:jc w:val="center"/>
              <w:rPr>
                <w:b/>
                <w:bCs/>
                <w:sz w:val="22"/>
                <w:szCs w:val="22"/>
              </w:rPr>
            </w:pPr>
            <w:r w:rsidRPr="00FA786C">
              <w:rPr>
                <w:b/>
                <w:bCs/>
                <w:sz w:val="22"/>
                <w:szCs w:val="22"/>
              </w:rPr>
              <w:t>Moody’s</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0695382D" w14:textId="77777777" w:rsidR="00E408C0" w:rsidRPr="00FA786C" w:rsidRDefault="00E408C0" w:rsidP="004B4908">
            <w:pPr>
              <w:ind w:leftChars="-8" w:left="-18" w:hanging="1"/>
              <w:jc w:val="center"/>
              <w:rPr>
                <w:b/>
                <w:bCs/>
                <w:sz w:val="22"/>
                <w:szCs w:val="22"/>
              </w:rPr>
            </w:pPr>
            <w:r w:rsidRPr="00FA786C">
              <w:rPr>
                <w:b/>
                <w:bCs/>
                <w:sz w:val="22"/>
                <w:szCs w:val="22"/>
              </w:rPr>
              <w:t>Fitch</w:t>
            </w:r>
          </w:p>
        </w:tc>
      </w:tr>
      <w:tr w:rsidR="00FA786C" w:rsidRPr="00FA786C" w14:paraId="6E056022" w14:textId="77777777" w:rsidTr="004B4908">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F3ECF72" w14:textId="77777777" w:rsidR="00E408C0" w:rsidRPr="00FA786C" w:rsidRDefault="00E408C0" w:rsidP="00A64D26">
            <w:pPr>
              <w:ind w:firstLineChars="100" w:firstLine="220"/>
              <w:rPr>
                <w:sz w:val="22"/>
                <w:szCs w:val="22"/>
              </w:rPr>
            </w:pPr>
            <w:r w:rsidRPr="00FA786C">
              <w:rPr>
                <w:sz w:val="22"/>
                <w:szCs w:val="22"/>
              </w:rPr>
              <w:t>Short</w:t>
            </w:r>
            <w:r w:rsidR="00D27CFC" w:rsidRPr="00FA786C">
              <w:rPr>
                <w:sz w:val="22"/>
                <w:szCs w:val="22"/>
              </w:rPr>
              <w:t>-t</w:t>
            </w:r>
            <w:r w:rsidRPr="00FA786C">
              <w:rPr>
                <w:sz w:val="22"/>
                <w:szCs w:val="22"/>
              </w:rPr>
              <w:t>er</w:t>
            </w:r>
            <w:r w:rsidR="00DD5674" w:rsidRPr="00FA786C">
              <w:rPr>
                <w:sz w:val="22"/>
                <w:szCs w:val="22"/>
              </w:rPr>
              <w:t xml:space="preserve">m </w:t>
            </w:r>
            <w:r w:rsidRPr="00FA786C">
              <w:rPr>
                <w:sz w:val="22"/>
                <w:szCs w:val="22"/>
              </w:rPr>
              <w:t>rating</w:t>
            </w:r>
          </w:p>
        </w:tc>
        <w:tc>
          <w:tcPr>
            <w:tcW w:w="2018" w:type="dxa"/>
            <w:tcBorders>
              <w:top w:val="nil"/>
              <w:left w:val="nil"/>
              <w:bottom w:val="single" w:sz="4" w:space="0" w:color="auto"/>
              <w:right w:val="single" w:sz="4" w:space="0" w:color="auto"/>
            </w:tcBorders>
            <w:shd w:val="clear" w:color="auto" w:fill="auto"/>
            <w:vAlign w:val="center"/>
            <w:hideMark/>
          </w:tcPr>
          <w:p w14:paraId="57A93CA0" w14:textId="77777777" w:rsidR="00E408C0" w:rsidRPr="00FA786C" w:rsidRDefault="009F1732" w:rsidP="004B4908">
            <w:pPr>
              <w:ind w:hanging="2"/>
              <w:jc w:val="center"/>
              <w:rPr>
                <w:sz w:val="22"/>
                <w:szCs w:val="22"/>
              </w:rPr>
            </w:pPr>
            <w:r w:rsidRPr="00FA786C">
              <w:rPr>
                <w:sz w:val="22"/>
                <w:szCs w:val="22"/>
              </w:rPr>
              <w:t>A-1</w:t>
            </w:r>
          </w:p>
        </w:tc>
        <w:tc>
          <w:tcPr>
            <w:tcW w:w="1720" w:type="dxa"/>
            <w:tcBorders>
              <w:top w:val="nil"/>
              <w:left w:val="nil"/>
              <w:bottom w:val="single" w:sz="4" w:space="0" w:color="auto"/>
              <w:right w:val="single" w:sz="4" w:space="0" w:color="auto"/>
            </w:tcBorders>
            <w:shd w:val="clear" w:color="auto" w:fill="auto"/>
            <w:vAlign w:val="center"/>
            <w:hideMark/>
          </w:tcPr>
          <w:p w14:paraId="1287BBD7" w14:textId="77777777" w:rsidR="00E408C0" w:rsidRPr="00FA786C" w:rsidRDefault="009F1732" w:rsidP="004B4908">
            <w:pPr>
              <w:jc w:val="center"/>
              <w:rPr>
                <w:sz w:val="22"/>
                <w:szCs w:val="22"/>
              </w:rPr>
            </w:pPr>
            <w:r w:rsidRPr="00FA786C">
              <w:rPr>
                <w:sz w:val="22"/>
                <w:szCs w:val="22"/>
              </w:rPr>
              <w:t>P-1</w:t>
            </w:r>
          </w:p>
        </w:tc>
        <w:tc>
          <w:tcPr>
            <w:tcW w:w="1600" w:type="dxa"/>
            <w:tcBorders>
              <w:top w:val="nil"/>
              <w:left w:val="nil"/>
              <w:bottom w:val="single" w:sz="4" w:space="0" w:color="auto"/>
              <w:right w:val="single" w:sz="4" w:space="0" w:color="auto"/>
            </w:tcBorders>
            <w:shd w:val="clear" w:color="auto" w:fill="auto"/>
            <w:vAlign w:val="center"/>
            <w:hideMark/>
          </w:tcPr>
          <w:p w14:paraId="7C3DE84A" w14:textId="77777777" w:rsidR="00E408C0" w:rsidRPr="00FA786C" w:rsidRDefault="009F1732" w:rsidP="004B4908">
            <w:pPr>
              <w:jc w:val="center"/>
              <w:rPr>
                <w:sz w:val="22"/>
                <w:szCs w:val="22"/>
              </w:rPr>
            </w:pPr>
            <w:r w:rsidRPr="00FA786C">
              <w:rPr>
                <w:sz w:val="22"/>
                <w:szCs w:val="22"/>
              </w:rPr>
              <w:t>F1</w:t>
            </w:r>
          </w:p>
        </w:tc>
      </w:tr>
      <w:tr w:rsidR="00FA786C" w:rsidRPr="00FA786C" w14:paraId="60A1F4A2" w14:textId="77777777" w:rsidTr="004B4908">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F45DEED" w14:textId="77777777" w:rsidR="00E408C0" w:rsidRPr="00FA786C" w:rsidRDefault="00E408C0" w:rsidP="00A64D26">
            <w:pPr>
              <w:ind w:firstLineChars="100" w:firstLine="220"/>
              <w:rPr>
                <w:sz w:val="22"/>
                <w:szCs w:val="22"/>
              </w:rPr>
            </w:pPr>
            <w:r w:rsidRPr="00FA786C">
              <w:rPr>
                <w:sz w:val="22"/>
                <w:szCs w:val="22"/>
              </w:rPr>
              <w:t>Long</w:t>
            </w:r>
            <w:r w:rsidR="00D27CFC" w:rsidRPr="00FA786C">
              <w:rPr>
                <w:sz w:val="22"/>
                <w:szCs w:val="22"/>
              </w:rPr>
              <w:t>-t</w:t>
            </w:r>
            <w:r w:rsidRPr="00FA786C">
              <w:rPr>
                <w:sz w:val="22"/>
                <w:szCs w:val="22"/>
              </w:rPr>
              <w:t>erm rating</w:t>
            </w:r>
          </w:p>
        </w:tc>
        <w:tc>
          <w:tcPr>
            <w:tcW w:w="2018" w:type="dxa"/>
            <w:tcBorders>
              <w:top w:val="nil"/>
              <w:left w:val="nil"/>
              <w:bottom w:val="single" w:sz="4" w:space="0" w:color="auto"/>
              <w:right w:val="single" w:sz="4" w:space="0" w:color="auto"/>
            </w:tcBorders>
            <w:shd w:val="clear" w:color="auto" w:fill="auto"/>
            <w:vAlign w:val="center"/>
            <w:hideMark/>
          </w:tcPr>
          <w:p w14:paraId="16861D91" w14:textId="77777777" w:rsidR="00E408C0" w:rsidRPr="00FA786C" w:rsidRDefault="009F1732" w:rsidP="003F1448">
            <w:pPr>
              <w:ind w:hanging="2"/>
              <w:jc w:val="center"/>
              <w:rPr>
                <w:sz w:val="22"/>
                <w:szCs w:val="22"/>
              </w:rPr>
            </w:pPr>
            <w:r w:rsidRPr="00FA786C">
              <w:rPr>
                <w:sz w:val="22"/>
                <w:szCs w:val="22"/>
              </w:rPr>
              <w:t>A</w:t>
            </w:r>
            <w:r w:rsidR="003F1448">
              <w:rPr>
                <w:sz w:val="22"/>
                <w:szCs w:val="22"/>
              </w:rPr>
              <w:t>+</w:t>
            </w:r>
          </w:p>
        </w:tc>
        <w:tc>
          <w:tcPr>
            <w:tcW w:w="1720" w:type="dxa"/>
            <w:tcBorders>
              <w:top w:val="nil"/>
              <w:left w:val="nil"/>
              <w:bottom w:val="single" w:sz="4" w:space="0" w:color="auto"/>
              <w:right w:val="single" w:sz="4" w:space="0" w:color="auto"/>
            </w:tcBorders>
            <w:shd w:val="clear" w:color="auto" w:fill="auto"/>
            <w:vAlign w:val="center"/>
            <w:hideMark/>
          </w:tcPr>
          <w:p w14:paraId="3228F3A2" w14:textId="77777777" w:rsidR="00E408C0" w:rsidRPr="00FA786C" w:rsidRDefault="009F1732" w:rsidP="004B4908">
            <w:pPr>
              <w:jc w:val="center"/>
              <w:rPr>
                <w:sz w:val="22"/>
                <w:szCs w:val="22"/>
              </w:rPr>
            </w:pPr>
            <w:r w:rsidRPr="00FA786C">
              <w:rPr>
                <w:sz w:val="22"/>
                <w:szCs w:val="22"/>
              </w:rPr>
              <w:t>Aa3</w:t>
            </w:r>
          </w:p>
        </w:tc>
        <w:tc>
          <w:tcPr>
            <w:tcW w:w="1600" w:type="dxa"/>
            <w:tcBorders>
              <w:top w:val="nil"/>
              <w:left w:val="nil"/>
              <w:bottom w:val="single" w:sz="4" w:space="0" w:color="auto"/>
              <w:right w:val="single" w:sz="4" w:space="0" w:color="auto"/>
            </w:tcBorders>
            <w:shd w:val="clear" w:color="auto" w:fill="auto"/>
            <w:vAlign w:val="center"/>
            <w:hideMark/>
          </w:tcPr>
          <w:p w14:paraId="68174AEA" w14:textId="77777777" w:rsidR="00E408C0" w:rsidRPr="00FA786C" w:rsidRDefault="009F1732" w:rsidP="004B4908">
            <w:pPr>
              <w:jc w:val="center"/>
              <w:rPr>
                <w:sz w:val="22"/>
                <w:szCs w:val="22"/>
              </w:rPr>
            </w:pPr>
            <w:r w:rsidRPr="00FA786C">
              <w:rPr>
                <w:sz w:val="22"/>
                <w:szCs w:val="22"/>
              </w:rPr>
              <w:t>A+</w:t>
            </w:r>
          </w:p>
        </w:tc>
      </w:tr>
    </w:tbl>
    <w:p w14:paraId="4032CDD5" w14:textId="77777777" w:rsidR="00FA786C" w:rsidRDefault="009F1732" w:rsidP="004B4908">
      <w:pPr>
        <w:autoSpaceDE w:val="0"/>
        <w:autoSpaceDN w:val="0"/>
        <w:adjustRightInd w:val="0"/>
        <w:spacing w:before="240" w:after="120"/>
        <w:jc w:val="both"/>
        <w:rPr>
          <w:bCs/>
          <w:sz w:val="22"/>
          <w:szCs w:val="22"/>
        </w:rPr>
      </w:pPr>
      <w:r>
        <w:rPr>
          <w:bCs/>
          <w:sz w:val="22"/>
          <w:szCs w:val="22"/>
        </w:rPr>
        <w:t xml:space="preserve">The short term-rating is high grade. The </w:t>
      </w:r>
      <w:r w:rsidR="00A31D17">
        <w:rPr>
          <w:bCs/>
          <w:sz w:val="22"/>
          <w:szCs w:val="22"/>
        </w:rPr>
        <w:t>l</w:t>
      </w:r>
      <w:r w:rsidR="00451B24">
        <w:rPr>
          <w:bCs/>
          <w:sz w:val="22"/>
          <w:szCs w:val="22"/>
        </w:rPr>
        <w:t xml:space="preserve">ong-term rating </w:t>
      </w:r>
      <w:r>
        <w:rPr>
          <w:bCs/>
          <w:sz w:val="22"/>
          <w:szCs w:val="22"/>
        </w:rPr>
        <w:t>established by both Standard &amp; Poor</w:t>
      </w:r>
      <w:r w:rsidR="00A43050">
        <w:rPr>
          <w:bCs/>
          <w:sz w:val="22"/>
          <w:szCs w:val="22"/>
        </w:rPr>
        <w:t>’</w:t>
      </w:r>
      <w:r>
        <w:rPr>
          <w:bCs/>
          <w:sz w:val="22"/>
          <w:szCs w:val="22"/>
        </w:rPr>
        <w:t xml:space="preserve">s and Fitch is </w:t>
      </w:r>
      <w:r w:rsidR="003F1448">
        <w:rPr>
          <w:bCs/>
          <w:sz w:val="22"/>
          <w:szCs w:val="22"/>
        </w:rPr>
        <w:t xml:space="preserve">upper-medium grade </w:t>
      </w:r>
      <w:r>
        <w:rPr>
          <w:bCs/>
          <w:sz w:val="22"/>
          <w:szCs w:val="22"/>
        </w:rPr>
        <w:t xml:space="preserve">while it is considered as </w:t>
      </w:r>
      <w:r w:rsidR="003F1448">
        <w:rPr>
          <w:bCs/>
          <w:sz w:val="22"/>
          <w:szCs w:val="22"/>
        </w:rPr>
        <w:t>high</w:t>
      </w:r>
      <w:r w:rsidR="00451B24">
        <w:rPr>
          <w:bCs/>
          <w:sz w:val="22"/>
          <w:szCs w:val="22"/>
        </w:rPr>
        <w:t xml:space="preserve"> grade</w:t>
      </w:r>
      <w:r>
        <w:rPr>
          <w:bCs/>
          <w:sz w:val="22"/>
          <w:szCs w:val="22"/>
        </w:rPr>
        <w:t xml:space="preserve"> by Moody’</w:t>
      </w:r>
      <w:r w:rsidR="004419CD">
        <w:rPr>
          <w:bCs/>
          <w:sz w:val="22"/>
          <w:szCs w:val="22"/>
        </w:rPr>
        <w:t>s</w:t>
      </w:r>
      <w:r w:rsidR="00451B24">
        <w:rPr>
          <w:bCs/>
          <w:sz w:val="22"/>
          <w:szCs w:val="22"/>
        </w:rPr>
        <w:t>.</w:t>
      </w:r>
    </w:p>
    <w:p w14:paraId="780F3C31" w14:textId="77777777" w:rsidR="00451B24" w:rsidRDefault="004305FF" w:rsidP="004B4908">
      <w:pPr>
        <w:autoSpaceDE w:val="0"/>
        <w:autoSpaceDN w:val="0"/>
        <w:adjustRightInd w:val="0"/>
        <w:spacing w:after="120"/>
        <w:jc w:val="both"/>
        <w:rPr>
          <w:bCs/>
          <w:sz w:val="22"/>
          <w:szCs w:val="22"/>
        </w:rPr>
      </w:pPr>
      <w:r>
        <w:rPr>
          <w:bCs/>
          <w:sz w:val="22"/>
          <w:szCs w:val="22"/>
        </w:rPr>
        <w:t>The maximum exposure to credit risk can be summari</w:t>
      </w:r>
      <w:r w:rsidR="00A31D17">
        <w:rPr>
          <w:bCs/>
          <w:sz w:val="22"/>
          <w:szCs w:val="22"/>
        </w:rPr>
        <w:t>s</w:t>
      </w:r>
      <w:r>
        <w:rPr>
          <w:bCs/>
          <w:sz w:val="22"/>
          <w:szCs w:val="22"/>
        </w:rPr>
        <w:t>e</w:t>
      </w:r>
      <w:r w:rsidR="0075761E">
        <w:rPr>
          <w:bCs/>
          <w:sz w:val="22"/>
          <w:szCs w:val="22"/>
        </w:rPr>
        <w:t>d</w:t>
      </w:r>
      <w:r>
        <w:rPr>
          <w:bCs/>
          <w:sz w:val="22"/>
          <w:szCs w:val="22"/>
        </w:rPr>
        <w:t xml:space="preserve"> as follows:</w:t>
      </w:r>
    </w:p>
    <w:p w14:paraId="7B851F81" w14:textId="77777777" w:rsidR="003B5DDB" w:rsidRDefault="003F1448" w:rsidP="00A64D26">
      <w:pPr>
        <w:autoSpaceDE w:val="0"/>
        <w:autoSpaceDN w:val="0"/>
        <w:adjustRightInd w:val="0"/>
        <w:spacing w:after="240"/>
        <w:jc w:val="both"/>
        <w:rPr>
          <w:bCs/>
          <w:sz w:val="22"/>
          <w:szCs w:val="22"/>
        </w:rPr>
      </w:pPr>
      <w:r w:rsidRPr="003F1448">
        <w:rPr>
          <w:noProof/>
        </w:rPr>
        <w:drawing>
          <wp:inline distT="0" distB="0" distL="0" distR="0" wp14:anchorId="717F816B" wp14:editId="4394E8D9">
            <wp:extent cx="5731510" cy="2224307"/>
            <wp:effectExtent l="0" t="0" r="254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224307"/>
                    </a:xfrm>
                    <a:prstGeom prst="rect">
                      <a:avLst/>
                    </a:prstGeom>
                    <a:noFill/>
                    <a:ln>
                      <a:noFill/>
                    </a:ln>
                  </pic:spPr>
                </pic:pic>
              </a:graphicData>
            </a:graphic>
          </wp:inline>
        </w:drawing>
      </w:r>
    </w:p>
    <w:p w14:paraId="3D1693DF" w14:textId="77777777" w:rsidR="004305FF" w:rsidRPr="007E0BFF" w:rsidRDefault="00354A2A" w:rsidP="00A64D26">
      <w:pPr>
        <w:autoSpaceDE w:val="0"/>
        <w:autoSpaceDN w:val="0"/>
        <w:adjustRightInd w:val="0"/>
        <w:spacing w:after="240"/>
        <w:jc w:val="both"/>
        <w:rPr>
          <w:bCs/>
          <w:sz w:val="6"/>
          <w:szCs w:val="6"/>
        </w:rPr>
      </w:pPr>
      <w:r w:rsidRPr="00354A2A">
        <w:t xml:space="preserve"> </w:t>
      </w:r>
      <w:r w:rsidRPr="00354A2A">
        <w:rPr>
          <w:noProof/>
        </w:rPr>
        <w:drawing>
          <wp:inline distT="0" distB="0" distL="0" distR="0" wp14:anchorId="42B593CA" wp14:editId="4AF386BF">
            <wp:extent cx="5814000" cy="651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4000" cy="651600"/>
                    </a:xfrm>
                    <a:prstGeom prst="rect">
                      <a:avLst/>
                    </a:prstGeom>
                    <a:noFill/>
                    <a:ln>
                      <a:noFill/>
                    </a:ln>
                  </pic:spPr>
                </pic:pic>
              </a:graphicData>
            </a:graphic>
          </wp:inline>
        </w:drawing>
      </w:r>
      <w:r w:rsidRPr="00354A2A">
        <w:t xml:space="preserve"> </w:t>
      </w:r>
    </w:p>
    <w:p w14:paraId="26339D2B" w14:textId="77777777" w:rsidR="001A3AA0" w:rsidRPr="007E0BFF" w:rsidRDefault="001A3AA0" w:rsidP="004B4908">
      <w:pPr>
        <w:pStyle w:val="Text3"/>
        <w:spacing w:before="240" w:after="120"/>
        <w:ind w:left="0"/>
        <w:rPr>
          <w:b/>
          <w:szCs w:val="24"/>
        </w:rPr>
      </w:pPr>
      <w:r w:rsidRPr="007E0BFF">
        <w:rPr>
          <w:b/>
          <w:i/>
          <w:szCs w:val="24"/>
        </w:rPr>
        <w:t>Liquidity risk</w:t>
      </w:r>
    </w:p>
    <w:p w14:paraId="25213538" w14:textId="77777777" w:rsidR="00451B24" w:rsidRPr="007E0BFF" w:rsidRDefault="001A3AA0" w:rsidP="004B4908">
      <w:pPr>
        <w:autoSpaceDE w:val="0"/>
        <w:autoSpaceDN w:val="0"/>
        <w:adjustRightInd w:val="0"/>
        <w:spacing w:after="120"/>
        <w:jc w:val="both"/>
        <w:rPr>
          <w:bCs/>
        </w:rPr>
      </w:pPr>
      <w:r w:rsidRPr="007E0BFF">
        <w:rPr>
          <w:bCs/>
        </w:rPr>
        <w:t xml:space="preserve">Liquidity risk </w:t>
      </w:r>
      <w:r w:rsidR="007A78D1" w:rsidRPr="007E0BFF">
        <w:rPr>
          <w:bCs/>
        </w:rPr>
        <w:t xml:space="preserve">is the possible inability to meet </w:t>
      </w:r>
      <w:r w:rsidR="00676149" w:rsidRPr="007E0BFF">
        <w:rPr>
          <w:bCs/>
        </w:rPr>
        <w:t>short term</w:t>
      </w:r>
      <w:r w:rsidR="007A78D1" w:rsidRPr="007E0BFF">
        <w:rPr>
          <w:bCs/>
        </w:rPr>
        <w:t xml:space="preserve"> obligation</w:t>
      </w:r>
      <w:r w:rsidR="002553DA" w:rsidRPr="007E0BFF">
        <w:rPr>
          <w:bCs/>
        </w:rPr>
        <w:t>s</w:t>
      </w:r>
      <w:r w:rsidR="007A78D1" w:rsidRPr="007E0BFF">
        <w:rPr>
          <w:bCs/>
        </w:rPr>
        <w:t xml:space="preserve">, as a result of </w:t>
      </w:r>
      <w:r w:rsidR="002553DA" w:rsidRPr="007E0BFF">
        <w:rPr>
          <w:bCs/>
        </w:rPr>
        <w:t xml:space="preserve">the </w:t>
      </w:r>
      <w:r w:rsidR="007A78D1" w:rsidRPr="007E0BFF">
        <w:rPr>
          <w:bCs/>
        </w:rPr>
        <w:t>inability to convert its current assets into cash without incurring capital losses.</w:t>
      </w:r>
    </w:p>
    <w:p w14:paraId="06035A79" w14:textId="77777777" w:rsidR="00135C96" w:rsidRPr="007E0BFF" w:rsidRDefault="00135C96" w:rsidP="004B4908">
      <w:pPr>
        <w:autoSpaceDE w:val="0"/>
        <w:autoSpaceDN w:val="0"/>
        <w:adjustRightInd w:val="0"/>
        <w:spacing w:after="120"/>
        <w:jc w:val="both"/>
        <w:rPr>
          <w:bCs/>
        </w:rPr>
      </w:pPr>
      <w:r w:rsidRPr="007E0BFF">
        <w:rPr>
          <w:bCs/>
        </w:rPr>
        <w:t>The Agency mitigates its liquidity risk by monitoring forecast</w:t>
      </w:r>
      <w:r w:rsidR="002553DA" w:rsidRPr="007E0BFF">
        <w:rPr>
          <w:bCs/>
        </w:rPr>
        <w:t>ed</w:t>
      </w:r>
      <w:r w:rsidRPr="007E0BFF">
        <w:rPr>
          <w:bCs/>
        </w:rPr>
        <w:t xml:space="preserve"> and actual </w:t>
      </w:r>
      <w:r w:rsidR="0075761E" w:rsidRPr="007E0BFF">
        <w:rPr>
          <w:bCs/>
        </w:rPr>
        <w:t>cash flows</w:t>
      </w:r>
      <w:r w:rsidRPr="007E0BFF">
        <w:rPr>
          <w:bCs/>
        </w:rPr>
        <w:t>. Aging balances for assets and liabilities are an important source of information.</w:t>
      </w:r>
    </w:p>
    <w:p w14:paraId="49B27F1E" w14:textId="77777777" w:rsidR="00F0207A" w:rsidRPr="007E0BFF" w:rsidRDefault="00354A2A" w:rsidP="004B4908">
      <w:pPr>
        <w:autoSpaceDE w:val="0"/>
        <w:autoSpaceDN w:val="0"/>
        <w:adjustRightInd w:val="0"/>
        <w:spacing w:after="120"/>
        <w:jc w:val="both"/>
        <w:rPr>
          <w:bCs/>
        </w:rPr>
      </w:pPr>
      <w:r w:rsidRPr="007E0BFF">
        <w:rPr>
          <w:bCs/>
        </w:rPr>
        <w:t>At the end of 2019</w:t>
      </w:r>
      <w:r w:rsidR="00552ED1" w:rsidRPr="007E0BFF">
        <w:rPr>
          <w:bCs/>
        </w:rPr>
        <w:t>, t</w:t>
      </w:r>
      <w:r w:rsidR="00F0207A" w:rsidRPr="007E0BFF">
        <w:rPr>
          <w:bCs/>
        </w:rPr>
        <w:t xml:space="preserve">he Agency has </w:t>
      </w:r>
      <w:r w:rsidRPr="007E0BFF">
        <w:rPr>
          <w:bCs/>
        </w:rPr>
        <w:t xml:space="preserve">a long </w:t>
      </w:r>
      <w:r w:rsidR="00F0207A" w:rsidRPr="007E0BFF">
        <w:rPr>
          <w:bCs/>
        </w:rPr>
        <w:t xml:space="preserve">term </w:t>
      </w:r>
      <w:r w:rsidRPr="007E0BFF">
        <w:rPr>
          <w:bCs/>
        </w:rPr>
        <w:t xml:space="preserve">lease liability of € 121,153. The </w:t>
      </w:r>
      <w:r w:rsidR="00AF565D" w:rsidRPr="007E0BFF">
        <w:rPr>
          <w:bCs/>
        </w:rPr>
        <w:t>s</w:t>
      </w:r>
      <w:r w:rsidRPr="007E0BFF">
        <w:rPr>
          <w:bCs/>
        </w:rPr>
        <w:t>hort</w:t>
      </w:r>
      <w:r w:rsidR="00AF565D" w:rsidRPr="007E0BFF">
        <w:rPr>
          <w:bCs/>
        </w:rPr>
        <w:t>-</w:t>
      </w:r>
      <w:r w:rsidRPr="007E0BFF">
        <w:rPr>
          <w:bCs/>
        </w:rPr>
        <w:t xml:space="preserve">term payables are equal to </w:t>
      </w:r>
      <w:r w:rsidR="00F0207A" w:rsidRPr="007E0BFF">
        <w:rPr>
          <w:bCs/>
        </w:rPr>
        <w:t xml:space="preserve">€ </w:t>
      </w:r>
      <w:r w:rsidR="00F27A10" w:rsidRPr="007E0BFF">
        <w:rPr>
          <w:bCs/>
        </w:rPr>
        <w:t>473,858</w:t>
      </w:r>
      <w:r w:rsidR="00F0207A" w:rsidRPr="007E0BFF">
        <w:rPr>
          <w:bCs/>
        </w:rPr>
        <w:t xml:space="preserve"> out wich </w:t>
      </w:r>
      <w:r w:rsidR="00552ED1" w:rsidRPr="007E0BFF">
        <w:rPr>
          <w:bCs/>
        </w:rPr>
        <w:t xml:space="preserve">€ </w:t>
      </w:r>
      <w:r w:rsidR="00F27A10" w:rsidRPr="007E0BFF">
        <w:rPr>
          <w:bCs/>
        </w:rPr>
        <w:t>384,439</w:t>
      </w:r>
      <w:r w:rsidR="00552ED1" w:rsidRPr="007E0BFF">
        <w:rPr>
          <w:bCs/>
        </w:rPr>
        <w:t xml:space="preserve"> vis-à-vis consolidated entities.</w:t>
      </w:r>
    </w:p>
    <w:p w14:paraId="5FC36D5A" w14:textId="77777777" w:rsidR="00135C96" w:rsidRPr="007E0BFF" w:rsidRDefault="00135C96" w:rsidP="004B4908">
      <w:pPr>
        <w:autoSpaceDE w:val="0"/>
        <w:autoSpaceDN w:val="0"/>
        <w:adjustRightInd w:val="0"/>
        <w:spacing w:after="120"/>
        <w:jc w:val="both"/>
        <w:rPr>
          <w:bCs/>
        </w:rPr>
      </w:pPr>
      <w:r w:rsidRPr="007E0BFF">
        <w:rPr>
          <w:bCs/>
        </w:rPr>
        <w:lastRenderedPageBreak/>
        <w:t>The Agency's bank account may not be overdrawn and the EU budget</w:t>
      </w:r>
      <w:r w:rsidR="002553DA" w:rsidRPr="007E0BFF">
        <w:rPr>
          <w:bCs/>
        </w:rPr>
        <w:t>ary</w:t>
      </w:r>
      <w:r w:rsidRPr="007E0BFF">
        <w:rPr>
          <w:bCs/>
        </w:rPr>
        <w:t xml:space="preserve"> principles ensure that overall cash resources for a given year are sufficient for the execution of payments.</w:t>
      </w:r>
    </w:p>
    <w:p w14:paraId="6746EC29" w14:textId="77777777" w:rsidR="00135C96" w:rsidRPr="007E0BFF" w:rsidRDefault="00135C96" w:rsidP="004B4908">
      <w:pPr>
        <w:pStyle w:val="Text3"/>
        <w:spacing w:before="240" w:after="120"/>
        <w:ind w:left="0"/>
        <w:rPr>
          <w:b/>
          <w:szCs w:val="24"/>
        </w:rPr>
      </w:pPr>
      <w:r w:rsidRPr="007E0BFF">
        <w:rPr>
          <w:b/>
          <w:i/>
          <w:szCs w:val="24"/>
        </w:rPr>
        <w:t>Foreign currency risk</w:t>
      </w:r>
    </w:p>
    <w:p w14:paraId="26DED243" w14:textId="77777777" w:rsidR="00135C96" w:rsidRPr="007E0BFF" w:rsidRDefault="00135C96" w:rsidP="004B4908">
      <w:pPr>
        <w:autoSpaceDE w:val="0"/>
        <w:autoSpaceDN w:val="0"/>
        <w:adjustRightInd w:val="0"/>
        <w:spacing w:after="120"/>
        <w:jc w:val="both"/>
        <w:rPr>
          <w:bCs/>
        </w:rPr>
      </w:pPr>
      <w:r w:rsidRPr="007E0BFF">
        <w:rPr>
          <w:bCs/>
        </w:rPr>
        <w:t xml:space="preserve">Currency risk is the risk that </w:t>
      </w:r>
      <w:r w:rsidR="00817000" w:rsidRPr="007E0BFF">
        <w:rPr>
          <w:bCs/>
        </w:rPr>
        <w:t xml:space="preserve">the value of </w:t>
      </w:r>
      <w:r w:rsidR="009A4096" w:rsidRPr="007E0BFF">
        <w:rPr>
          <w:bCs/>
        </w:rPr>
        <w:t xml:space="preserve">operations or investments will be affected by exchange rate fluctuations. As only very few transactions are in other currency and amounts are not significant, </w:t>
      </w:r>
      <w:r w:rsidR="00B54068" w:rsidRPr="007E0BFF">
        <w:rPr>
          <w:bCs/>
        </w:rPr>
        <w:t>REA</w:t>
      </w:r>
      <w:r w:rsidR="009A4096" w:rsidRPr="007E0BFF">
        <w:rPr>
          <w:bCs/>
        </w:rPr>
        <w:t xml:space="preserve"> has no foreign currency risk.</w:t>
      </w:r>
    </w:p>
    <w:p w14:paraId="4D35275C" w14:textId="77777777" w:rsidR="00193224" w:rsidRPr="007E0BFF" w:rsidRDefault="00193224" w:rsidP="00383DBF">
      <w:pPr>
        <w:pStyle w:val="Heading3"/>
        <w:tabs>
          <w:tab w:val="clear" w:pos="840"/>
        </w:tabs>
        <w:spacing w:before="240" w:after="120"/>
        <w:ind w:left="720" w:hanging="720"/>
        <w:rPr>
          <w:b/>
          <w:szCs w:val="24"/>
        </w:rPr>
      </w:pPr>
      <w:bookmarkStart w:id="88" w:name="_Toc31821701"/>
      <w:r w:rsidRPr="007E0BFF">
        <w:rPr>
          <w:b/>
          <w:szCs w:val="24"/>
        </w:rPr>
        <w:t>Changes in accounting policies</w:t>
      </w:r>
      <w:bookmarkEnd w:id="88"/>
    </w:p>
    <w:p w14:paraId="0B33D828" w14:textId="77777777" w:rsidR="00B61420" w:rsidRPr="007E0BFF" w:rsidRDefault="00B61420" w:rsidP="004B4908">
      <w:pPr>
        <w:pStyle w:val="Text3"/>
        <w:spacing w:after="120"/>
        <w:ind w:left="0"/>
        <w:rPr>
          <w:szCs w:val="24"/>
        </w:rPr>
      </w:pPr>
      <w:r w:rsidRPr="007E0BFF">
        <w:rPr>
          <w:szCs w:val="24"/>
        </w:rPr>
        <w:t>No change in accounti</w:t>
      </w:r>
      <w:r w:rsidR="0094559B" w:rsidRPr="007E0BFF">
        <w:rPr>
          <w:szCs w:val="24"/>
        </w:rPr>
        <w:t>ng policy was introduced in 2019</w:t>
      </w:r>
      <w:r w:rsidRPr="007E0BFF">
        <w:rPr>
          <w:szCs w:val="24"/>
        </w:rPr>
        <w:t>.</w:t>
      </w:r>
    </w:p>
    <w:p w14:paraId="5EF820F0" w14:textId="77777777" w:rsidR="00193224" w:rsidRPr="007E0BFF" w:rsidRDefault="00193224" w:rsidP="00383DBF">
      <w:pPr>
        <w:pStyle w:val="Heading3"/>
        <w:tabs>
          <w:tab w:val="clear" w:pos="840"/>
        </w:tabs>
        <w:spacing w:before="240" w:after="120"/>
        <w:ind w:left="720" w:hanging="720"/>
        <w:rPr>
          <w:b/>
          <w:szCs w:val="24"/>
        </w:rPr>
      </w:pPr>
      <w:bookmarkStart w:id="89" w:name="_Toc31821702"/>
      <w:r w:rsidRPr="007E0BFF">
        <w:rPr>
          <w:b/>
          <w:szCs w:val="24"/>
        </w:rPr>
        <w:t>Related party disclosures</w:t>
      </w:r>
      <w:bookmarkEnd w:id="89"/>
    </w:p>
    <w:p w14:paraId="7014900B" w14:textId="77777777" w:rsidR="00193224" w:rsidRPr="007E0BFF" w:rsidRDefault="00193224" w:rsidP="00A43050">
      <w:pPr>
        <w:tabs>
          <w:tab w:val="left" w:pos="1440"/>
        </w:tabs>
        <w:suppressAutoHyphens/>
        <w:spacing w:after="120"/>
        <w:jc w:val="both"/>
      </w:pPr>
      <w:r w:rsidRPr="007E0BFF">
        <w:t xml:space="preserve">The related parties of </w:t>
      </w:r>
      <w:r w:rsidR="00B54068" w:rsidRPr="007E0BFF">
        <w:t>REA</w:t>
      </w:r>
      <w:r w:rsidRPr="007E0BFF">
        <w:t xml:space="preserve"> are key management personnel. They are responsible for the strategic direction and operational management of the </w:t>
      </w:r>
      <w:r w:rsidR="00817000" w:rsidRPr="007E0BFF">
        <w:t xml:space="preserve">Agency </w:t>
      </w:r>
      <w:r w:rsidRPr="007E0BFF">
        <w:t>and are entrusted with significant authority to execute their mandate.</w:t>
      </w:r>
    </w:p>
    <w:p w14:paraId="753A79E0" w14:textId="20F5C0AC" w:rsidR="00F21475" w:rsidRDefault="0030078D" w:rsidP="00A43050">
      <w:pPr>
        <w:tabs>
          <w:tab w:val="left" w:pos="1440"/>
        </w:tabs>
        <w:suppressAutoHyphens/>
        <w:spacing w:after="120"/>
        <w:jc w:val="both"/>
        <w:rPr>
          <w:sz w:val="22"/>
          <w:szCs w:val="22"/>
        </w:rPr>
      </w:pPr>
      <w:r w:rsidRPr="0030078D">
        <w:rPr>
          <w:noProof/>
        </w:rPr>
        <w:drawing>
          <wp:inline distT="0" distB="0" distL="0" distR="0" wp14:anchorId="3134D112" wp14:editId="47C36A14">
            <wp:extent cx="5029200" cy="838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0" cy="838200"/>
                    </a:xfrm>
                    <a:prstGeom prst="rect">
                      <a:avLst/>
                    </a:prstGeom>
                    <a:noFill/>
                    <a:ln>
                      <a:noFill/>
                    </a:ln>
                  </pic:spPr>
                </pic:pic>
              </a:graphicData>
            </a:graphic>
          </wp:inline>
        </w:drawing>
      </w:r>
      <w:r w:rsidRPr="0030078D">
        <w:t xml:space="preserve"> </w:t>
      </w:r>
    </w:p>
    <w:p w14:paraId="3A6BB51B" w14:textId="32C9F7D6" w:rsidR="00193224" w:rsidRPr="007E0BFF" w:rsidRDefault="00193224" w:rsidP="00A43050">
      <w:pPr>
        <w:tabs>
          <w:tab w:val="left" w:pos="1440"/>
        </w:tabs>
        <w:suppressAutoHyphens/>
        <w:spacing w:before="240" w:after="120"/>
        <w:jc w:val="both"/>
      </w:pPr>
      <w:r w:rsidRPr="007E0BFF">
        <w:t xml:space="preserve">The balance position of the Agency with the key management personnel for its activity period as </w:t>
      </w:r>
      <w:r w:rsidRPr="007E0BFF">
        <w:rPr>
          <w:bCs/>
        </w:rPr>
        <w:t>autonomous</w:t>
      </w:r>
      <w:r w:rsidRPr="007E0BFF">
        <w:t xml:space="preserve"> entity during the financial year 201</w:t>
      </w:r>
      <w:r w:rsidR="008A253D">
        <w:t>9</w:t>
      </w:r>
      <w:r w:rsidRPr="007E0BFF">
        <w:t xml:space="preserve"> is composed of the salary and allowances as determined for the relevant grade by the Staff Regulations of the Officials of the European Communities. No specific disclosure requirements are necessary for these transactions in accordance with the EU accounting rules.</w:t>
      </w:r>
    </w:p>
    <w:p w14:paraId="510F9CAE" w14:textId="77777777" w:rsidR="001A4D99" w:rsidRPr="007E0BFF" w:rsidRDefault="001A4D99" w:rsidP="00383DBF">
      <w:pPr>
        <w:pStyle w:val="Heading3"/>
        <w:tabs>
          <w:tab w:val="clear" w:pos="840"/>
        </w:tabs>
        <w:spacing w:before="240" w:after="120"/>
        <w:ind w:left="720" w:hanging="720"/>
        <w:rPr>
          <w:b/>
          <w:szCs w:val="24"/>
        </w:rPr>
      </w:pPr>
      <w:bookmarkStart w:id="90" w:name="_Toc31821703"/>
      <w:r w:rsidRPr="007E0BFF">
        <w:rPr>
          <w:b/>
          <w:szCs w:val="24"/>
        </w:rPr>
        <w:t>Post balance sheet events</w:t>
      </w:r>
      <w:bookmarkEnd w:id="90"/>
    </w:p>
    <w:p w14:paraId="5EFAB12D" w14:textId="2D9EBDE8" w:rsidR="0027297D" w:rsidRPr="007E0BFF" w:rsidRDefault="0027297D" w:rsidP="00A64D26">
      <w:pPr>
        <w:tabs>
          <w:tab w:val="left" w:pos="1440"/>
        </w:tabs>
        <w:suppressAutoHyphens/>
        <w:spacing w:after="120"/>
        <w:jc w:val="both"/>
        <w:rPr>
          <w:bCs/>
        </w:rPr>
      </w:pPr>
      <w:r w:rsidRPr="007E0BFF">
        <w:rPr>
          <w:bCs/>
        </w:rPr>
        <w:t>Subsequent events are defined as events which occur between the year-end and the date on which the accounts are issue</w:t>
      </w:r>
      <w:r w:rsidR="0030078D">
        <w:rPr>
          <w:bCs/>
        </w:rPr>
        <w:t>d</w:t>
      </w:r>
      <w:r w:rsidRPr="007E0BFF">
        <w:rPr>
          <w:bCs/>
        </w:rPr>
        <w:t>. Two types of events can be identified:</w:t>
      </w:r>
    </w:p>
    <w:p w14:paraId="526BEFC0" w14:textId="77777777" w:rsidR="0027297D" w:rsidRPr="007E0BFF" w:rsidRDefault="008A065D" w:rsidP="00DE7CF7">
      <w:pPr>
        <w:pStyle w:val="ListParagraph"/>
        <w:numPr>
          <w:ilvl w:val="0"/>
          <w:numId w:val="19"/>
        </w:numPr>
        <w:ind w:left="284" w:hanging="284"/>
        <w:contextualSpacing w:val="0"/>
        <w:jc w:val="both"/>
        <w:rPr>
          <w:bCs/>
        </w:rPr>
      </w:pPr>
      <w:r w:rsidRPr="007E0BFF">
        <w:rPr>
          <w:bCs/>
          <w:color w:val="000000"/>
        </w:rPr>
        <w:t>s</w:t>
      </w:r>
      <w:r w:rsidR="0027297D" w:rsidRPr="007E0BFF">
        <w:rPr>
          <w:bCs/>
          <w:color w:val="000000"/>
        </w:rPr>
        <w:t>ubsequent</w:t>
      </w:r>
      <w:r w:rsidR="0027297D" w:rsidRPr="007E0BFF">
        <w:rPr>
          <w:bCs/>
        </w:rPr>
        <w:t xml:space="preserve"> events relating to an</w:t>
      </w:r>
      <w:r w:rsidR="0075761E" w:rsidRPr="007E0BFF">
        <w:rPr>
          <w:bCs/>
        </w:rPr>
        <w:t xml:space="preserve"> existing situation at year-end; t</w:t>
      </w:r>
      <w:r w:rsidR="0027297D" w:rsidRPr="007E0BFF">
        <w:rPr>
          <w:bCs/>
        </w:rPr>
        <w:t>he financial effect need to be r</w:t>
      </w:r>
      <w:r w:rsidR="00A31D17" w:rsidRPr="007E0BFF">
        <w:rPr>
          <w:bCs/>
        </w:rPr>
        <w:t>eflected in the annual accounts;</w:t>
      </w:r>
    </w:p>
    <w:p w14:paraId="11D981E1" w14:textId="77777777" w:rsidR="0027297D" w:rsidRPr="007E0BFF" w:rsidRDefault="008A065D" w:rsidP="00DE7CF7">
      <w:pPr>
        <w:pStyle w:val="ListParagraph"/>
        <w:numPr>
          <w:ilvl w:val="0"/>
          <w:numId w:val="19"/>
        </w:numPr>
        <w:spacing w:after="120"/>
        <w:ind w:left="284" w:hanging="284"/>
        <w:contextualSpacing w:val="0"/>
        <w:jc w:val="both"/>
        <w:rPr>
          <w:bCs/>
        </w:rPr>
      </w:pPr>
      <w:r w:rsidRPr="007E0BFF">
        <w:rPr>
          <w:bCs/>
          <w:color w:val="000000"/>
        </w:rPr>
        <w:t>s</w:t>
      </w:r>
      <w:r w:rsidR="0027297D" w:rsidRPr="007E0BFF">
        <w:rPr>
          <w:bCs/>
          <w:color w:val="000000"/>
        </w:rPr>
        <w:t>ubsequent</w:t>
      </w:r>
      <w:r w:rsidR="0027297D" w:rsidRPr="007E0BFF">
        <w:rPr>
          <w:bCs/>
        </w:rPr>
        <w:t xml:space="preserve"> event</w:t>
      </w:r>
      <w:r w:rsidR="00D34DA9" w:rsidRPr="007E0BFF">
        <w:rPr>
          <w:bCs/>
        </w:rPr>
        <w:t>s</w:t>
      </w:r>
      <w:r w:rsidR="00CC10C5" w:rsidRPr="007E0BFF">
        <w:rPr>
          <w:bCs/>
        </w:rPr>
        <w:t xml:space="preserve"> not related</w:t>
      </w:r>
      <w:r w:rsidR="0027297D" w:rsidRPr="007E0BFF">
        <w:rPr>
          <w:bCs/>
        </w:rPr>
        <w:t xml:space="preserve"> to an existing situation at 31 </w:t>
      </w:r>
      <w:r w:rsidR="0075761E" w:rsidRPr="007E0BFF">
        <w:rPr>
          <w:bCs/>
        </w:rPr>
        <w:t>December of the financial year; n</w:t>
      </w:r>
      <w:r w:rsidR="0027297D" w:rsidRPr="007E0BFF">
        <w:rPr>
          <w:bCs/>
        </w:rPr>
        <w:t>o accounting entry is necessary, but the nature of the event, estimate</w:t>
      </w:r>
      <w:r w:rsidR="0027297D" w:rsidRPr="007E0BFF">
        <w:rPr>
          <w:bCs/>
          <w:color w:val="000000"/>
        </w:rPr>
        <w:t xml:space="preserve"> </w:t>
      </w:r>
      <w:r w:rsidR="0027297D" w:rsidRPr="007E0BFF">
        <w:rPr>
          <w:bCs/>
        </w:rPr>
        <w:t>of the financial effect or indication of impossibility of carrying out the estimate should be mentioned in the notes to the financial statements if the amount is significant.</w:t>
      </w:r>
    </w:p>
    <w:p w14:paraId="0641FF42" w14:textId="77777777" w:rsidR="00AB58EA" w:rsidRPr="00AB58EA" w:rsidRDefault="00AB58EA" w:rsidP="00AB58EA">
      <w:pPr>
        <w:jc w:val="both"/>
        <w:rPr>
          <w:bCs/>
        </w:rPr>
      </w:pPr>
      <w:r w:rsidRPr="00AB58EA">
        <w:rPr>
          <w:bCs/>
        </w:rPr>
        <w:t>During the first half of 2020, the coronavirus outbreak has had huge impacts on the EU economy. As a non-adjusting event, the outbreak of the coronavirus does not require any adjustments to the figures reported in these annual accounts. For subsequent reporting periods, COVID-19 may affect the recognition and measurement of some assets and liabilities on the balance sheet and also of some revenue and expenses recognised in the statement of financial performance. However, based on the information available at the date of signature of these annual accounts, REA does not expect material financial effects due to the coronavirus outbreak.</w:t>
      </w:r>
    </w:p>
    <w:p w14:paraId="34EE6221" w14:textId="77777777" w:rsidR="004F4213" w:rsidRPr="00AB58EA" w:rsidRDefault="004F4213" w:rsidP="00A64D26">
      <w:pPr>
        <w:tabs>
          <w:tab w:val="left" w:pos="1440"/>
        </w:tabs>
        <w:suppressAutoHyphens/>
        <w:spacing w:after="120"/>
        <w:jc w:val="both"/>
        <w:rPr>
          <w:sz w:val="22"/>
          <w:szCs w:val="22"/>
          <w:lang w:val="en-US"/>
        </w:rPr>
      </w:pPr>
    </w:p>
    <w:p w14:paraId="383759EA" w14:textId="77777777" w:rsidR="004F4213" w:rsidRPr="00246320" w:rsidRDefault="004F4213" w:rsidP="00A64D26">
      <w:pPr>
        <w:tabs>
          <w:tab w:val="left" w:pos="1440"/>
        </w:tabs>
        <w:suppressAutoHyphens/>
        <w:spacing w:after="120"/>
        <w:jc w:val="both"/>
        <w:rPr>
          <w:sz w:val="22"/>
          <w:szCs w:val="22"/>
        </w:rPr>
      </w:pPr>
    </w:p>
    <w:p w14:paraId="3E813C40" w14:textId="77777777" w:rsidR="00A9713A" w:rsidRPr="007E0BFF" w:rsidRDefault="00934D02" w:rsidP="00A64D26">
      <w:pPr>
        <w:pStyle w:val="Heading1"/>
        <w:pageBreakBefore/>
        <w:tabs>
          <w:tab w:val="clear" w:pos="764"/>
        </w:tabs>
        <w:ind w:left="284" w:hanging="284"/>
        <w:rPr>
          <w:szCs w:val="24"/>
        </w:rPr>
      </w:pPr>
      <w:bookmarkStart w:id="91" w:name="_Toc381265996"/>
      <w:bookmarkStart w:id="92" w:name="_Toc31821704"/>
      <w:r w:rsidRPr="007E0BFF">
        <w:rPr>
          <w:szCs w:val="24"/>
        </w:rPr>
        <w:lastRenderedPageBreak/>
        <w:t>REPORTS</w:t>
      </w:r>
      <w:r w:rsidR="00A9713A" w:rsidRPr="007E0BFF">
        <w:rPr>
          <w:szCs w:val="24"/>
        </w:rPr>
        <w:t xml:space="preserve"> ON </w:t>
      </w:r>
      <w:bookmarkEnd w:id="91"/>
      <w:r w:rsidR="00053B57" w:rsidRPr="007E0BFF">
        <w:rPr>
          <w:szCs w:val="24"/>
        </w:rPr>
        <w:t>THE IMPLEMENTATION OF THE BUDGET</w:t>
      </w:r>
      <w:bookmarkEnd w:id="92"/>
    </w:p>
    <w:p w14:paraId="7EF13FB5" w14:textId="77777777" w:rsidR="00571412" w:rsidRPr="007E0BFF" w:rsidRDefault="00F26E5B" w:rsidP="009C4D27">
      <w:pPr>
        <w:pStyle w:val="Heading2"/>
        <w:tabs>
          <w:tab w:val="num" w:pos="540"/>
        </w:tabs>
        <w:spacing w:before="240" w:after="120"/>
        <w:ind w:left="540" w:hanging="540"/>
        <w:rPr>
          <w:szCs w:val="24"/>
        </w:rPr>
      </w:pPr>
      <w:bookmarkStart w:id="93" w:name="_Toc31821705"/>
      <w:r w:rsidRPr="007E0BFF">
        <w:rPr>
          <w:szCs w:val="24"/>
        </w:rPr>
        <w:t>Introduction</w:t>
      </w:r>
      <w:bookmarkEnd w:id="93"/>
    </w:p>
    <w:p w14:paraId="08260881" w14:textId="77777777" w:rsidR="00053B57" w:rsidRPr="007E0BFF" w:rsidRDefault="00053B57" w:rsidP="00383DBF">
      <w:pPr>
        <w:pStyle w:val="Heading3"/>
        <w:tabs>
          <w:tab w:val="clear" w:pos="840"/>
        </w:tabs>
        <w:spacing w:after="120"/>
        <w:ind w:left="720" w:hanging="720"/>
        <w:rPr>
          <w:b/>
          <w:szCs w:val="24"/>
        </w:rPr>
      </w:pPr>
      <w:bookmarkStart w:id="94" w:name="_Toc31821706"/>
      <w:bookmarkStart w:id="95" w:name="_Toc381265997"/>
      <w:r w:rsidRPr="007E0BFF">
        <w:rPr>
          <w:b/>
          <w:szCs w:val="24"/>
        </w:rPr>
        <w:t>Budgetary structur</w:t>
      </w:r>
      <w:r w:rsidR="00571412" w:rsidRPr="007E0BFF">
        <w:rPr>
          <w:b/>
          <w:szCs w:val="24"/>
        </w:rPr>
        <w:t>e</w:t>
      </w:r>
      <w:bookmarkEnd w:id="94"/>
    </w:p>
    <w:p w14:paraId="3620F92E" w14:textId="77777777" w:rsidR="000D079A" w:rsidRPr="007E0BFF" w:rsidRDefault="000D079A" w:rsidP="0037540E">
      <w:pPr>
        <w:spacing w:after="120"/>
        <w:jc w:val="both"/>
      </w:pPr>
      <w:r w:rsidRPr="007E0BFF">
        <w:t xml:space="preserve">The budgetary accounts are kept in accordance with the </w:t>
      </w:r>
      <w:r w:rsidR="00A90B79" w:rsidRPr="007E0BFF">
        <w:t xml:space="preserve">Standard </w:t>
      </w:r>
      <w:r w:rsidRPr="007E0BFF">
        <w:t xml:space="preserve">Financial Regulation </w:t>
      </w:r>
      <w:r w:rsidR="00A90B79" w:rsidRPr="007E0BFF">
        <w:t>for executive agencies</w:t>
      </w:r>
      <w:r w:rsidRPr="007E0BFF">
        <w:t xml:space="preserve">. </w:t>
      </w:r>
    </w:p>
    <w:p w14:paraId="2A043C05" w14:textId="77777777" w:rsidR="000D079A" w:rsidRPr="007E0BFF" w:rsidRDefault="000D079A" w:rsidP="0037540E">
      <w:pPr>
        <w:spacing w:after="120"/>
        <w:jc w:val="both"/>
      </w:pPr>
      <w:r w:rsidRPr="007E0BFF">
        <w:t xml:space="preserve">The budget is the instrument which, for each financial year, forecasts and authorises the revenue and expenditure considered necessary for the implementation of </w:t>
      </w:r>
      <w:r w:rsidR="00A90B79" w:rsidRPr="007E0BFF">
        <w:t>the Agency's activities</w:t>
      </w:r>
      <w:r w:rsidR="00817000" w:rsidRPr="007E0BFF">
        <w:t>.</w:t>
      </w:r>
    </w:p>
    <w:p w14:paraId="7F7F4B47" w14:textId="77777777" w:rsidR="000D079A" w:rsidRPr="007E0BFF" w:rsidRDefault="000D079A" w:rsidP="0037540E">
      <w:pPr>
        <w:spacing w:after="120"/>
        <w:jc w:val="both"/>
      </w:pPr>
      <w:r w:rsidRPr="007E0BFF">
        <w:t xml:space="preserve">The budget structure for </w:t>
      </w:r>
      <w:r w:rsidR="00B54068" w:rsidRPr="007E0BFF">
        <w:t>REA</w:t>
      </w:r>
      <w:r w:rsidR="00A90B79" w:rsidRPr="007E0BFF">
        <w:t xml:space="preserve"> </w:t>
      </w:r>
      <w:r w:rsidRPr="007E0BFF">
        <w:t xml:space="preserve">consists </w:t>
      </w:r>
      <w:r w:rsidR="00A90B79" w:rsidRPr="007E0BFF">
        <w:t xml:space="preserve">only </w:t>
      </w:r>
      <w:r w:rsidRPr="007E0BFF">
        <w:t xml:space="preserve">of non-differentiated </w:t>
      </w:r>
      <w:r w:rsidR="00A90B79" w:rsidRPr="007E0BFF">
        <w:t xml:space="preserve">administrative </w:t>
      </w:r>
      <w:r w:rsidRPr="007E0BFF">
        <w:t xml:space="preserve">appropriations, meaning that the commitment and the payment appropriations are of the same amount. Non-differentiated appropriations are used to finance operations of an annual nature (which comply with the principle of annuality). </w:t>
      </w:r>
    </w:p>
    <w:p w14:paraId="5177DD3A" w14:textId="77777777" w:rsidR="000D079A" w:rsidRPr="007E0BFF" w:rsidRDefault="000D079A" w:rsidP="0037540E">
      <w:pPr>
        <w:spacing w:after="120"/>
        <w:jc w:val="both"/>
      </w:pPr>
      <w:r w:rsidRPr="007E0BFF">
        <w:t>The appropriations are split into commitment and payment appropriations:</w:t>
      </w:r>
    </w:p>
    <w:p w14:paraId="7E6ECC6A" w14:textId="77777777" w:rsidR="000D079A" w:rsidRPr="007E0BFF" w:rsidRDefault="000D079A" w:rsidP="00DE7CF7">
      <w:pPr>
        <w:pStyle w:val="ListParagraph"/>
        <w:numPr>
          <w:ilvl w:val="0"/>
          <w:numId w:val="19"/>
        </w:numPr>
        <w:ind w:left="284" w:hanging="284"/>
        <w:contextualSpacing w:val="0"/>
        <w:jc w:val="both"/>
      </w:pPr>
      <w:r w:rsidRPr="007E0BFF">
        <w:rPr>
          <w:bCs/>
          <w:color w:val="000000"/>
        </w:rPr>
        <w:t>Commitment</w:t>
      </w:r>
      <w:r w:rsidRPr="007E0BFF">
        <w:t xml:space="preserve"> appropriations (CA)</w:t>
      </w:r>
      <w:r w:rsidR="00F2037F" w:rsidRPr="007E0BFF">
        <w:t xml:space="preserve">: </w:t>
      </w:r>
      <w:r w:rsidRPr="007E0BFF">
        <w:t>cover the total cost of the legal obligations entered into</w:t>
      </w:r>
      <w:r w:rsidR="00A31D17" w:rsidRPr="007E0BFF">
        <w:t xml:space="preserve"> for the current financial year;</w:t>
      </w:r>
    </w:p>
    <w:p w14:paraId="7BA4F03F" w14:textId="77777777" w:rsidR="000D079A" w:rsidRPr="007E0BFF" w:rsidRDefault="000D079A" w:rsidP="00DE7CF7">
      <w:pPr>
        <w:pStyle w:val="ListParagraph"/>
        <w:numPr>
          <w:ilvl w:val="0"/>
          <w:numId w:val="19"/>
        </w:numPr>
        <w:spacing w:after="120"/>
        <w:ind w:left="284" w:hanging="284"/>
        <w:contextualSpacing w:val="0"/>
        <w:jc w:val="both"/>
      </w:pPr>
      <w:r w:rsidRPr="007E0BFF">
        <w:rPr>
          <w:bCs/>
          <w:color w:val="000000"/>
        </w:rPr>
        <w:t>Payment</w:t>
      </w:r>
      <w:r w:rsidRPr="007E0BFF">
        <w:t xml:space="preserve"> appropriations (PA)</w:t>
      </w:r>
      <w:r w:rsidR="00F2037F" w:rsidRPr="007E0BFF">
        <w:t xml:space="preserve">: </w:t>
      </w:r>
      <w:r w:rsidRPr="007E0BFF">
        <w:t>cover expenditure arising from commitments entered into in the current financial year and/or earlier financial years.</w:t>
      </w:r>
    </w:p>
    <w:p w14:paraId="01A196E7" w14:textId="77777777" w:rsidR="00E64D56" w:rsidRPr="007E0BFF" w:rsidRDefault="00E64D56" w:rsidP="0037540E">
      <w:pPr>
        <w:spacing w:after="120"/>
        <w:jc w:val="both"/>
      </w:pPr>
      <w:r w:rsidRPr="007E0BFF">
        <w:t>The main sources of appropriations are:</w:t>
      </w:r>
    </w:p>
    <w:p w14:paraId="2F26D2B1" w14:textId="77777777" w:rsidR="00E64D56" w:rsidRPr="007E0BFF" w:rsidRDefault="00E64D56" w:rsidP="00DE7CF7">
      <w:pPr>
        <w:pStyle w:val="ListParagraph"/>
        <w:numPr>
          <w:ilvl w:val="0"/>
          <w:numId w:val="19"/>
        </w:numPr>
        <w:ind w:left="284" w:hanging="284"/>
        <w:contextualSpacing w:val="0"/>
        <w:jc w:val="both"/>
      </w:pPr>
      <w:r w:rsidRPr="007E0BFF">
        <w:t xml:space="preserve">The budget for the current year which corresponds to the </w:t>
      </w:r>
      <w:r w:rsidR="00817000" w:rsidRPr="007E0BFF">
        <w:t xml:space="preserve">initial </w:t>
      </w:r>
      <w:r w:rsidRPr="007E0BFF">
        <w:t>adopted budget and its subsequent amending budgets and transfers (fund source C1)</w:t>
      </w:r>
      <w:r w:rsidR="00A31D17" w:rsidRPr="007E0BFF">
        <w:t>;</w:t>
      </w:r>
    </w:p>
    <w:p w14:paraId="7F6DA1AC" w14:textId="77777777" w:rsidR="00E64D56" w:rsidRPr="007E0BFF" w:rsidRDefault="00E64D56" w:rsidP="00DE7CF7">
      <w:pPr>
        <w:pStyle w:val="ListParagraph"/>
        <w:numPr>
          <w:ilvl w:val="0"/>
          <w:numId w:val="19"/>
        </w:numPr>
        <w:spacing w:after="120"/>
        <w:ind w:left="284" w:hanging="284"/>
        <w:contextualSpacing w:val="0"/>
        <w:jc w:val="both"/>
      </w:pPr>
      <w:r w:rsidRPr="007E0BFF">
        <w:t>The non-differentiated payment appropriations carried over from the previous year (fund source C8)</w:t>
      </w:r>
      <w:r w:rsidR="00A31D17" w:rsidRPr="007E0BFF">
        <w:t>.</w:t>
      </w:r>
    </w:p>
    <w:p w14:paraId="2BE032DE" w14:textId="77777777" w:rsidR="00DC7D43" w:rsidRPr="007E0BFF" w:rsidRDefault="00144E68" w:rsidP="0037540E">
      <w:pPr>
        <w:spacing w:after="120"/>
        <w:jc w:val="both"/>
      </w:pPr>
      <w:r w:rsidRPr="007E0BFF">
        <w:t>The 2019</w:t>
      </w:r>
      <w:r w:rsidR="00DC7D43" w:rsidRPr="007E0BFF">
        <w:t xml:space="preserve"> budget is distributed in the following budget titles:</w:t>
      </w:r>
    </w:p>
    <w:p w14:paraId="530C35C1" w14:textId="3DE83942" w:rsidR="00DC7D43" w:rsidRPr="00144E68" w:rsidRDefault="0030078D" w:rsidP="0037540E">
      <w:pPr>
        <w:jc w:val="both"/>
        <w:rPr>
          <w:sz w:val="22"/>
        </w:rPr>
      </w:pPr>
      <w:r w:rsidRPr="0030078D">
        <w:rPr>
          <w:noProof/>
        </w:rPr>
        <w:drawing>
          <wp:inline distT="0" distB="0" distL="0" distR="0" wp14:anchorId="66A3D8F9" wp14:editId="223B92DB">
            <wp:extent cx="5745600" cy="9972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45600" cy="997200"/>
                    </a:xfrm>
                    <a:prstGeom prst="rect">
                      <a:avLst/>
                    </a:prstGeom>
                    <a:noFill/>
                    <a:ln>
                      <a:noFill/>
                    </a:ln>
                  </pic:spPr>
                </pic:pic>
              </a:graphicData>
            </a:graphic>
          </wp:inline>
        </w:drawing>
      </w:r>
      <w:r w:rsidRPr="0030078D">
        <w:t xml:space="preserve"> </w:t>
      </w:r>
    </w:p>
    <w:p w14:paraId="1677156B" w14:textId="77777777" w:rsidR="007B7775" w:rsidRPr="007E0BFF" w:rsidRDefault="007B7775" w:rsidP="0037540E">
      <w:pPr>
        <w:tabs>
          <w:tab w:val="left" w:pos="1440"/>
        </w:tabs>
        <w:suppressAutoHyphens/>
        <w:spacing w:before="240" w:after="120"/>
        <w:jc w:val="both"/>
        <w:rPr>
          <w:bCs/>
        </w:rPr>
      </w:pPr>
      <w:r w:rsidRPr="007E0BFF">
        <w:rPr>
          <w:bCs/>
        </w:rPr>
        <w:t>Title 1 budget lines are related to staff expenditure:</w:t>
      </w:r>
    </w:p>
    <w:p w14:paraId="717D575A" w14:textId="77777777" w:rsidR="007B7775" w:rsidRPr="007E0BFF" w:rsidRDefault="007B7775" w:rsidP="00DE7CF7">
      <w:pPr>
        <w:pStyle w:val="ListParagraph"/>
        <w:numPr>
          <w:ilvl w:val="0"/>
          <w:numId w:val="19"/>
        </w:numPr>
        <w:ind w:left="284" w:hanging="284"/>
        <w:contextualSpacing w:val="0"/>
        <w:jc w:val="both"/>
        <w:rPr>
          <w:bCs/>
        </w:rPr>
      </w:pPr>
      <w:r w:rsidRPr="007E0BFF">
        <w:rPr>
          <w:bCs/>
        </w:rPr>
        <w:t xml:space="preserve">Chapter 11: remuneration, allowances and charges for the statutory Staff of the Agency paid </w:t>
      </w:r>
      <w:r w:rsidRPr="007E0BFF">
        <w:rPr>
          <w:bCs/>
          <w:color w:val="000000"/>
        </w:rPr>
        <w:t>directly</w:t>
      </w:r>
      <w:r w:rsidRPr="007E0BFF">
        <w:rPr>
          <w:bCs/>
        </w:rPr>
        <w:t xml:space="preserve"> to the staff member and included in the salary pay slip as well as expenses for interi</w:t>
      </w:r>
      <w:r w:rsidR="00A31D17" w:rsidRPr="007E0BFF">
        <w:rPr>
          <w:bCs/>
        </w:rPr>
        <w:t>m supportive staff and trainees;</w:t>
      </w:r>
    </w:p>
    <w:p w14:paraId="708CFB59" w14:textId="10E979DD" w:rsidR="007B7775" w:rsidRPr="007E0BFF" w:rsidRDefault="007B7775" w:rsidP="00DE7CF7">
      <w:pPr>
        <w:pStyle w:val="ListParagraph"/>
        <w:numPr>
          <w:ilvl w:val="0"/>
          <w:numId w:val="19"/>
        </w:numPr>
        <w:spacing w:after="120"/>
        <w:ind w:left="284" w:hanging="284"/>
        <w:contextualSpacing w:val="0"/>
        <w:jc w:val="both"/>
        <w:rPr>
          <w:bCs/>
        </w:rPr>
      </w:pPr>
      <w:r w:rsidRPr="007E0BFF">
        <w:rPr>
          <w:bCs/>
          <w:color w:val="000000"/>
        </w:rPr>
        <w:t>Chapter</w:t>
      </w:r>
      <w:r w:rsidRPr="007E0BFF">
        <w:rPr>
          <w:bCs/>
        </w:rPr>
        <w:t xml:space="preserve"> 12: specific Staff related charges, costs for missions, training courses, medical service, staff perquisites (e.g. public transport reimbursements) and internal meeting expenses are incorporated under this chapter. The costs of recruitments and of any change of personnel incurred by the Agency are also included.</w:t>
      </w:r>
    </w:p>
    <w:p w14:paraId="6B9375A6" w14:textId="77777777" w:rsidR="007B7775" w:rsidRPr="007E0BFF" w:rsidRDefault="007B7775" w:rsidP="00A64D26">
      <w:pPr>
        <w:tabs>
          <w:tab w:val="left" w:pos="1440"/>
        </w:tabs>
        <w:suppressAutoHyphens/>
        <w:spacing w:after="120"/>
        <w:jc w:val="both"/>
        <w:rPr>
          <w:bCs/>
        </w:rPr>
      </w:pPr>
      <w:r w:rsidRPr="007E0BFF">
        <w:rPr>
          <w:bCs/>
        </w:rPr>
        <w:t>Title 2 budget lines relate to infrastructure and operating expenditure:</w:t>
      </w:r>
    </w:p>
    <w:p w14:paraId="131545F0" w14:textId="77777777" w:rsidR="007B7775" w:rsidRPr="007E0BFF" w:rsidRDefault="007B7775" w:rsidP="00DE7CF7">
      <w:pPr>
        <w:pStyle w:val="ListParagraph"/>
        <w:numPr>
          <w:ilvl w:val="0"/>
          <w:numId w:val="19"/>
        </w:numPr>
        <w:ind w:left="284" w:hanging="284"/>
        <w:contextualSpacing w:val="0"/>
        <w:jc w:val="both"/>
        <w:rPr>
          <w:bCs/>
        </w:rPr>
      </w:pPr>
      <w:r w:rsidRPr="007E0BFF">
        <w:rPr>
          <w:bCs/>
        </w:rPr>
        <w:t xml:space="preserve">Chapter 21: Building expenditure. The rent is fixed through a usufruct contract signed by the Agency following a tender procedure launched to the benefit to the European Commission and its consolidated entities. Charges for the maintenance, cleaning, security, </w:t>
      </w:r>
      <w:r w:rsidRPr="007E0BFF">
        <w:rPr>
          <w:bCs/>
        </w:rPr>
        <w:lastRenderedPageBreak/>
        <w:t>heating, etc. of the building, and costs of the fitting out of premises are a</w:t>
      </w:r>
      <w:r w:rsidR="0037540E" w:rsidRPr="007E0BFF">
        <w:rPr>
          <w:bCs/>
        </w:rPr>
        <w:t>lso included under this chapter;</w:t>
      </w:r>
    </w:p>
    <w:p w14:paraId="3228B991" w14:textId="77777777" w:rsidR="007B7775" w:rsidRPr="007E0BFF" w:rsidRDefault="007B7775" w:rsidP="00DE7CF7">
      <w:pPr>
        <w:pStyle w:val="ListParagraph"/>
        <w:numPr>
          <w:ilvl w:val="0"/>
          <w:numId w:val="19"/>
        </w:numPr>
        <w:ind w:left="284" w:hanging="284"/>
        <w:contextualSpacing w:val="0"/>
        <w:jc w:val="both"/>
        <w:rPr>
          <w:bCs/>
        </w:rPr>
      </w:pPr>
      <w:r w:rsidRPr="007E0BFF">
        <w:rPr>
          <w:bCs/>
        </w:rPr>
        <w:t xml:space="preserve">Chapter 22: ICT expenditure. This includes the purchase of equipment, licences, support for maintenance, specific </w:t>
      </w:r>
      <w:r w:rsidR="0037540E" w:rsidRPr="007E0BFF">
        <w:rPr>
          <w:bCs/>
        </w:rPr>
        <w:t>IT developments and IT services;</w:t>
      </w:r>
    </w:p>
    <w:p w14:paraId="5F63BE0D" w14:textId="77777777" w:rsidR="007B7775" w:rsidRPr="007E0BFF" w:rsidRDefault="007B7775" w:rsidP="00DE7CF7">
      <w:pPr>
        <w:pStyle w:val="ListParagraph"/>
        <w:numPr>
          <w:ilvl w:val="0"/>
          <w:numId w:val="19"/>
        </w:numPr>
        <w:spacing w:after="120"/>
        <w:ind w:left="284" w:hanging="284"/>
        <w:contextualSpacing w:val="0"/>
        <w:jc w:val="both"/>
        <w:rPr>
          <w:bCs/>
        </w:rPr>
      </w:pPr>
      <w:r w:rsidRPr="007E0BFF">
        <w:rPr>
          <w:bCs/>
        </w:rPr>
        <w:t>Chapter 23: Movable property and Current Operating expenditure. This chapter covers the costs of furniture and office supplies for the Agency and its staff and other current operating expenditure.</w:t>
      </w:r>
    </w:p>
    <w:p w14:paraId="107ED26A" w14:textId="77777777" w:rsidR="007B7775" w:rsidRPr="007E0BFF" w:rsidRDefault="007B7775" w:rsidP="0037540E">
      <w:pPr>
        <w:spacing w:after="120"/>
        <w:rPr>
          <w:bCs/>
        </w:rPr>
      </w:pPr>
      <w:r w:rsidRPr="007E0BFF">
        <w:rPr>
          <w:bCs/>
        </w:rPr>
        <w:t>Title 3 budget lines relate to programme support expenditure:</w:t>
      </w:r>
    </w:p>
    <w:p w14:paraId="6C5AF03E" w14:textId="77777777" w:rsidR="007B7775" w:rsidRPr="007E0BFF" w:rsidRDefault="007B7775" w:rsidP="00DE7CF7">
      <w:pPr>
        <w:pStyle w:val="ListParagraph"/>
        <w:numPr>
          <w:ilvl w:val="0"/>
          <w:numId w:val="19"/>
        </w:numPr>
        <w:ind w:left="284" w:hanging="284"/>
        <w:contextualSpacing w:val="0"/>
        <w:jc w:val="both"/>
        <w:rPr>
          <w:bCs/>
        </w:rPr>
      </w:pPr>
      <w:r w:rsidRPr="007E0BFF">
        <w:rPr>
          <w:bCs/>
        </w:rPr>
        <w:t>Chapter 31: Programme Management expenditure such as external communication, information and ICT expenses as well as external audits and missions. This budget chapter concerns administrative expenditure directly related to the management of operational activities delegated to the Agency.</w:t>
      </w:r>
    </w:p>
    <w:p w14:paraId="77BF5C27" w14:textId="77777777" w:rsidR="007B7775" w:rsidRPr="007E0BFF" w:rsidRDefault="007B7775" w:rsidP="00DE7CF7">
      <w:pPr>
        <w:pStyle w:val="ListParagraph"/>
        <w:numPr>
          <w:ilvl w:val="0"/>
          <w:numId w:val="19"/>
        </w:numPr>
        <w:spacing w:after="120"/>
        <w:ind w:left="284" w:hanging="284"/>
        <w:contextualSpacing w:val="0"/>
        <w:jc w:val="both"/>
        <w:rPr>
          <w:bCs/>
        </w:rPr>
      </w:pPr>
      <w:r w:rsidRPr="007E0BFF">
        <w:rPr>
          <w:bCs/>
        </w:rPr>
        <w:t>Chapter 32: Common Support Services expenditure, such as building and ICT expenses for the Common Evaluation Platform and Common Support Services as well as meetings of experts.</w:t>
      </w:r>
    </w:p>
    <w:p w14:paraId="033F3816" w14:textId="77777777" w:rsidR="00571412" w:rsidRPr="007E0BFF" w:rsidRDefault="00571412" w:rsidP="00383DBF">
      <w:pPr>
        <w:pStyle w:val="Heading3"/>
        <w:tabs>
          <w:tab w:val="clear" w:pos="840"/>
        </w:tabs>
        <w:spacing w:before="240" w:after="120"/>
        <w:ind w:left="720" w:hanging="720"/>
        <w:rPr>
          <w:b/>
          <w:szCs w:val="24"/>
        </w:rPr>
      </w:pPr>
      <w:bookmarkStart w:id="96" w:name="_Toc31821707"/>
      <w:r w:rsidRPr="007E0BFF">
        <w:rPr>
          <w:b/>
          <w:szCs w:val="24"/>
        </w:rPr>
        <w:t>Budgetary principles</w:t>
      </w:r>
      <w:bookmarkEnd w:id="96"/>
    </w:p>
    <w:p w14:paraId="2B575778" w14:textId="77777777" w:rsidR="00CA00D6" w:rsidRPr="007E0BFF" w:rsidRDefault="00CA00D6" w:rsidP="0037540E">
      <w:pPr>
        <w:spacing w:after="120"/>
        <w:jc w:val="both"/>
      </w:pPr>
      <w:r w:rsidRPr="007E0BFF">
        <w:t xml:space="preserve">The budget of </w:t>
      </w:r>
      <w:r w:rsidR="00B54068" w:rsidRPr="007E0BFF">
        <w:t>REA</w:t>
      </w:r>
      <w:r w:rsidRPr="007E0BFF">
        <w:t xml:space="preserve"> has been established in compliance with the principles of unity, budget accuracy, annuality, equilibrium, unit of account, universality, specification, sound financial management and transparency as set out in the standard Financial Regulation for the executive agencies.</w:t>
      </w:r>
    </w:p>
    <w:p w14:paraId="50C36844" w14:textId="77777777" w:rsidR="00CA00D6" w:rsidRPr="007E0BFF" w:rsidRDefault="00CA00D6" w:rsidP="0037540E">
      <w:pPr>
        <w:spacing w:before="240" w:after="120"/>
        <w:jc w:val="both"/>
        <w:rPr>
          <w:i/>
          <w:iCs/>
        </w:rPr>
      </w:pPr>
      <w:r w:rsidRPr="007E0BFF">
        <w:rPr>
          <w:i/>
          <w:iCs/>
        </w:rPr>
        <w:t>Principle of annuality</w:t>
      </w:r>
    </w:p>
    <w:p w14:paraId="7383E918" w14:textId="77777777" w:rsidR="00CA00D6" w:rsidRPr="007E0BFF" w:rsidRDefault="00CA00D6" w:rsidP="0037540E">
      <w:pPr>
        <w:autoSpaceDE w:val="0"/>
        <w:autoSpaceDN w:val="0"/>
        <w:adjustRightInd w:val="0"/>
        <w:spacing w:after="120"/>
        <w:jc w:val="both"/>
      </w:pPr>
      <w:r w:rsidRPr="007E0BFF">
        <w:t>The appropriations entered in the budget shall be authorised for one financial year which shall run from 1 January to 31 December, inclusive.</w:t>
      </w:r>
    </w:p>
    <w:p w14:paraId="2692293E" w14:textId="77777777" w:rsidR="00CA00D6" w:rsidRPr="007E0BFF" w:rsidRDefault="00CA00D6" w:rsidP="0037540E">
      <w:pPr>
        <w:autoSpaceDE w:val="0"/>
        <w:autoSpaceDN w:val="0"/>
        <w:adjustRightInd w:val="0"/>
        <w:spacing w:after="120"/>
        <w:jc w:val="both"/>
      </w:pPr>
      <w:r w:rsidRPr="007E0BFF">
        <w:t xml:space="preserve">Commitments shall be entered in </w:t>
      </w:r>
      <w:r w:rsidR="0075761E" w:rsidRPr="007E0BFF">
        <w:t>the accounts on the basis of the</w:t>
      </w:r>
      <w:r w:rsidRPr="007E0BFF">
        <w:t xml:space="preserve"> legal commitments entered into up to 31 December.</w:t>
      </w:r>
    </w:p>
    <w:p w14:paraId="5044FC2D" w14:textId="77777777" w:rsidR="00CA00D6" w:rsidRPr="007E0BFF" w:rsidRDefault="00CA00D6" w:rsidP="0037540E">
      <w:pPr>
        <w:spacing w:after="120"/>
        <w:jc w:val="both"/>
      </w:pPr>
      <w:r w:rsidRPr="007E0BFF">
        <w:t>Payments shall be entered in the accounts for a financial year on the basis of the payments effected by the Accounting Officer by 31 December of that year at the latest.</w:t>
      </w:r>
    </w:p>
    <w:p w14:paraId="018B1D39" w14:textId="77777777" w:rsidR="00CA00D6" w:rsidRPr="007E0BFF" w:rsidRDefault="00CA00D6" w:rsidP="0037540E">
      <w:pPr>
        <w:spacing w:before="240" w:after="120"/>
        <w:jc w:val="both"/>
        <w:rPr>
          <w:i/>
          <w:iCs/>
        </w:rPr>
      </w:pPr>
      <w:r w:rsidRPr="007E0BFF">
        <w:rPr>
          <w:i/>
          <w:iCs/>
        </w:rPr>
        <w:t>Principle of equilibrium</w:t>
      </w:r>
    </w:p>
    <w:p w14:paraId="50ECC323" w14:textId="77777777" w:rsidR="00CA00D6" w:rsidRPr="007E0BFF" w:rsidRDefault="00CA00D6" w:rsidP="0037540E">
      <w:pPr>
        <w:autoSpaceDE w:val="0"/>
        <w:autoSpaceDN w:val="0"/>
        <w:adjustRightInd w:val="0"/>
        <w:spacing w:after="120"/>
        <w:jc w:val="both"/>
      </w:pPr>
      <w:r w:rsidRPr="007E0BFF">
        <w:t>The Agency’s budget revenue and payment appropriations must be in balance.</w:t>
      </w:r>
    </w:p>
    <w:p w14:paraId="2606EEBC" w14:textId="77777777" w:rsidR="00571412" w:rsidRPr="007E0BFF" w:rsidRDefault="00CA00D6" w:rsidP="0037540E">
      <w:pPr>
        <w:spacing w:after="120"/>
        <w:jc w:val="both"/>
      </w:pPr>
      <w:r w:rsidRPr="007E0BFF">
        <w:t>Commitment appropriations may not exceed the amount of the Community subsidy, plus own revenue and any other revenue.</w:t>
      </w:r>
      <w:r w:rsidR="00A31D17" w:rsidRPr="007E0BFF">
        <w:t xml:space="preserve"> </w:t>
      </w:r>
      <w:r w:rsidRPr="007E0BFF">
        <w:t>The Agency may not raise loans.</w:t>
      </w:r>
    </w:p>
    <w:p w14:paraId="73015924" w14:textId="77777777" w:rsidR="00CA00D6" w:rsidRPr="007E0BFF" w:rsidRDefault="00CA00D6" w:rsidP="0037540E">
      <w:pPr>
        <w:spacing w:before="240" w:after="120"/>
        <w:jc w:val="both"/>
        <w:rPr>
          <w:i/>
          <w:iCs/>
        </w:rPr>
      </w:pPr>
      <w:r w:rsidRPr="007E0BFF">
        <w:rPr>
          <w:i/>
          <w:iCs/>
        </w:rPr>
        <w:t>Principle of unit of account</w:t>
      </w:r>
    </w:p>
    <w:p w14:paraId="15C5B8C9" w14:textId="77777777" w:rsidR="00CA00D6" w:rsidRPr="007E0BFF" w:rsidRDefault="00CA00D6" w:rsidP="0037540E">
      <w:pPr>
        <w:spacing w:after="120"/>
        <w:jc w:val="both"/>
      </w:pPr>
      <w:r w:rsidRPr="007E0BFF">
        <w:t>The budget shall be drawn up and implemented in Euro and the accounts shall be presented in Euro. However, for cash-flow purposes, the Accounting Officer and, in the case of imprest accounts,</w:t>
      </w:r>
      <w:r w:rsidR="00A31D17" w:rsidRPr="007E0BFF">
        <w:t xml:space="preserve"> </w:t>
      </w:r>
      <w:r w:rsidRPr="007E0BFF">
        <w:t>imprest</w:t>
      </w:r>
      <w:r w:rsidR="00A31D17" w:rsidRPr="007E0BFF">
        <w:t xml:space="preserve"> </w:t>
      </w:r>
      <w:r w:rsidRPr="007E0BFF">
        <w:t>administrators shall be authorised to carry out operations in national currencies.</w:t>
      </w:r>
    </w:p>
    <w:p w14:paraId="5D4EB07D" w14:textId="77777777" w:rsidR="00CA00D6" w:rsidRPr="007E0BFF" w:rsidRDefault="00CA00D6" w:rsidP="0037540E">
      <w:pPr>
        <w:pStyle w:val="Text2"/>
        <w:spacing w:before="240" w:after="120"/>
        <w:ind w:left="0"/>
        <w:rPr>
          <w:i/>
          <w:iCs/>
          <w:szCs w:val="24"/>
        </w:rPr>
      </w:pPr>
      <w:r w:rsidRPr="007E0BFF">
        <w:rPr>
          <w:i/>
          <w:iCs/>
          <w:szCs w:val="24"/>
        </w:rPr>
        <w:t>Principle of universality</w:t>
      </w:r>
    </w:p>
    <w:p w14:paraId="2ED59177" w14:textId="2EBDDCAC" w:rsidR="00CA00D6" w:rsidRDefault="00CA00D6" w:rsidP="0037540E">
      <w:pPr>
        <w:spacing w:after="120"/>
        <w:jc w:val="both"/>
      </w:pPr>
      <w:r w:rsidRPr="007E0BFF">
        <w:t>Total revenue shall cover all expenditure. All revenue and expenditure shall be entered in full without any adjustment against each other.</w:t>
      </w:r>
    </w:p>
    <w:p w14:paraId="44C76CC7" w14:textId="77777777" w:rsidR="00663454" w:rsidRPr="007E0BFF" w:rsidRDefault="00663454" w:rsidP="0037540E">
      <w:pPr>
        <w:spacing w:after="120"/>
        <w:jc w:val="both"/>
      </w:pPr>
    </w:p>
    <w:p w14:paraId="523A44D7" w14:textId="77777777" w:rsidR="00CA00D6" w:rsidRPr="007E0BFF" w:rsidRDefault="00CA00D6" w:rsidP="0037540E">
      <w:pPr>
        <w:spacing w:before="240" w:after="120"/>
        <w:jc w:val="both"/>
        <w:rPr>
          <w:i/>
          <w:iCs/>
        </w:rPr>
      </w:pPr>
      <w:r w:rsidRPr="007E0BFF">
        <w:rPr>
          <w:i/>
          <w:iCs/>
        </w:rPr>
        <w:lastRenderedPageBreak/>
        <w:t>Principle of specification</w:t>
      </w:r>
    </w:p>
    <w:p w14:paraId="206FD84E" w14:textId="77777777" w:rsidR="00CA00D6" w:rsidRPr="007E0BFF" w:rsidRDefault="00CA00D6" w:rsidP="0037540E">
      <w:pPr>
        <w:autoSpaceDE w:val="0"/>
        <w:autoSpaceDN w:val="0"/>
        <w:adjustRightInd w:val="0"/>
        <w:spacing w:after="120"/>
        <w:jc w:val="both"/>
      </w:pPr>
      <w:r w:rsidRPr="007E0BFF">
        <w:t>The appropriations in their entirety shall be earmarked for specific purposes by title and chapter; the</w:t>
      </w:r>
      <w:r w:rsidR="00A31D17" w:rsidRPr="007E0BFF">
        <w:t xml:space="preserve"> </w:t>
      </w:r>
      <w:r w:rsidRPr="007E0BFF">
        <w:t>chapters shall be further subdivided into articles and items.</w:t>
      </w:r>
    </w:p>
    <w:p w14:paraId="7DC9E6E6" w14:textId="77777777" w:rsidR="00CA00D6" w:rsidRPr="007E0BFF" w:rsidRDefault="00CA00D6" w:rsidP="0037540E">
      <w:pPr>
        <w:spacing w:after="120"/>
        <w:jc w:val="both"/>
      </w:pPr>
      <w:r w:rsidRPr="007E0BFF">
        <w:t>The Executive Agency's Director may authorise transfers from one article to another within each</w:t>
      </w:r>
      <w:r w:rsidR="00A31D17" w:rsidRPr="007E0BFF">
        <w:t xml:space="preserve"> </w:t>
      </w:r>
      <w:r w:rsidRPr="007E0BFF">
        <w:t>chapter.</w:t>
      </w:r>
      <w:r w:rsidR="00817000" w:rsidRPr="007E0BFF">
        <w:t xml:space="preserve"> Transfers between chapters</w:t>
      </w:r>
      <w:r w:rsidR="00AF49A3" w:rsidRPr="007E0BFF">
        <w:t>/titles</w:t>
      </w:r>
      <w:r w:rsidR="00817000" w:rsidRPr="007E0BFF">
        <w:t xml:space="preserve"> may be authorised by the Agency's Steering Committee.</w:t>
      </w:r>
    </w:p>
    <w:p w14:paraId="45ABF918" w14:textId="77777777" w:rsidR="00CA00D6" w:rsidRPr="007E0BFF" w:rsidRDefault="00CA00D6" w:rsidP="0037540E">
      <w:pPr>
        <w:spacing w:before="240" w:after="120"/>
        <w:jc w:val="both"/>
        <w:rPr>
          <w:i/>
          <w:iCs/>
        </w:rPr>
      </w:pPr>
      <w:r w:rsidRPr="007E0BFF">
        <w:rPr>
          <w:i/>
          <w:iCs/>
        </w:rPr>
        <w:t>Principle of sound financial management</w:t>
      </w:r>
    </w:p>
    <w:p w14:paraId="717FEB27" w14:textId="77777777" w:rsidR="00CA00D6" w:rsidRPr="007E0BFF" w:rsidRDefault="00CA00D6" w:rsidP="0037540E">
      <w:pPr>
        <w:autoSpaceDE w:val="0"/>
        <w:autoSpaceDN w:val="0"/>
        <w:adjustRightInd w:val="0"/>
        <w:spacing w:after="120"/>
        <w:jc w:val="both"/>
      </w:pPr>
      <w:r w:rsidRPr="007E0BFF">
        <w:t>Budget appropriations shall be used in accordance with the principle of sound financial management,</w:t>
      </w:r>
      <w:r w:rsidR="00A31D17" w:rsidRPr="007E0BFF">
        <w:t xml:space="preserve"> </w:t>
      </w:r>
      <w:r w:rsidRPr="007E0BFF">
        <w:t>that is to say, in accordance with the principles of economy, efficiency and effectiveness.</w:t>
      </w:r>
    </w:p>
    <w:p w14:paraId="536D246A" w14:textId="77777777" w:rsidR="00CA00D6" w:rsidRPr="007E0BFF" w:rsidRDefault="00CA00D6" w:rsidP="0037540E">
      <w:pPr>
        <w:autoSpaceDE w:val="0"/>
        <w:autoSpaceDN w:val="0"/>
        <w:adjustRightInd w:val="0"/>
        <w:spacing w:after="120"/>
        <w:jc w:val="both"/>
      </w:pPr>
      <w:r w:rsidRPr="007E0BFF">
        <w:t>The principle of economy require</w:t>
      </w:r>
      <w:r w:rsidR="0044437D" w:rsidRPr="007E0BFF">
        <w:t>s that the resources used by the</w:t>
      </w:r>
      <w:r w:rsidRPr="007E0BFF">
        <w:t xml:space="preserve"> Agency for the pursuit of its</w:t>
      </w:r>
      <w:r w:rsidR="00A31D17" w:rsidRPr="007E0BFF">
        <w:t xml:space="preserve"> </w:t>
      </w:r>
      <w:r w:rsidRPr="007E0BFF">
        <w:t>activities shall be made available in due time, in appropriate quantity and quality and at the best price.</w:t>
      </w:r>
    </w:p>
    <w:p w14:paraId="1D1ACA0E" w14:textId="77777777" w:rsidR="00CA00D6" w:rsidRPr="007E0BFF" w:rsidRDefault="00CA00D6" w:rsidP="0037540E">
      <w:pPr>
        <w:autoSpaceDE w:val="0"/>
        <w:autoSpaceDN w:val="0"/>
        <w:adjustRightInd w:val="0"/>
        <w:spacing w:after="120"/>
        <w:jc w:val="both"/>
      </w:pPr>
      <w:r w:rsidRPr="007E0BFF">
        <w:t xml:space="preserve">The principle </w:t>
      </w:r>
      <w:r w:rsidR="0044437D" w:rsidRPr="007E0BFF">
        <w:t>of efficiency is concerned with the</w:t>
      </w:r>
      <w:r w:rsidRPr="007E0BFF">
        <w:t xml:space="preserve"> best relationship between resources employed and</w:t>
      </w:r>
      <w:r w:rsidR="0044437D" w:rsidRPr="007E0BFF">
        <w:t xml:space="preserve"> </w:t>
      </w:r>
      <w:r w:rsidRPr="007E0BFF">
        <w:t>results achieved.</w:t>
      </w:r>
    </w:p>
    <w:p w14:paraId="27C642DE" w14:textId="77777777" w:rsidR="00CA00D6" w:rsidRPr="007E0BFF" w:rsidRDefault="00CA00D6" w:rsidP="0037540E">
      <w:pPr>
        <w:spacing w:after="120"/>
        <w:jc w:val="both"/>
      </w:pPr>
      <w:r w:rsidRPr="007E0BFF">
        <w:t xml:space="preserve">The principle of effectiveness is concerned with attaining the specific objectives set and achieving </w:t>
      </w:r>
      <w:r w:rsidR="0044437D" w:rsidRPr="007E0BFF">
        <w:t xml:space="preserve">the </w:t>
      </w:r>
      <w:r w:rsidRPr="007E0BFF">
        <w:t>intended results.</w:t>
      </w:r>
    </w:p>
    <w:p w14:paraId="7C0018EF" w14:textId="77777777" w:rsidR="00571412" w:rsidRPr="007E0BFF" w:rsidRDefault="00CA00D6" w:rsidP="0037540E">
      <w:pPr>
        <w:pStyle w:val="Text2"/>
        <w:spacing w:before="240" w:after="120"/>
        <w:ind w:left="0"/>
        <w:rPr>
          <w:i/>
          <w:iCs/>
          <w:szCs w:val="24"/>
        </w:rPr>
      </w:pPr>
      <w:r w:rsidRPr="007E0BFF">
        <w:rPr>
          <w:i/>
          <w:iCs/>
          <w:szCs w:val="24"/>
        </w:rPr>
        <w:t>Principle of transparency</w:t>
      </w:r>
    </w:p>
    <w:p w14:paraId="2AC9844F" w14:textId="77777777" w:rsidR="00CA00D6" w:rsidRPr="007E0BFF" w:rsidRDefault="00CA00D6" w:rsidP="0037540E">
      <w:pPr>
        <w:spacing w:after="120"/>
        <w:jc w:val="both"/>
      </w:pPr>
      <w:r w:rsidRPr="007E0BFF">
        <w:t xml:space="preserve">The budget shall be </w:t>
      </w:r>
      <w:r w:rsidR="0044437D" w:rsidRPr="007E0BFF">
        <w:t>drawn up and implemented and the</w:t>
      </w:r>
      <w:r w:rsidRPr="007E0BFF">
        <w:t xml:space="preserve"> account</w:t>
      </w:r>
      <w:r w:rsidR="0044437D" w:rsidRPr="007E0BFF">
        <w:t xml:space="preserve">s presented in compliance with </w:t>
      </w:r>
      <w:r w:rsidRPr="007E0BFF">
        <w:t>the</w:t>
      </w:r>
      <w:r w:rsidR="0044437D" w:rsidRPr="007E0BFF">
        <w:t xml:space="preserve"> </w:t>
      </w:r>
      <w:r w:rsidRPr="007E0BFF">
        <w:t>principle of transparency. The budget, as finally adopted, shall be published in die Official Journal of</w:t>
      </w:r>
      <w:r w:rsidR="0044437D" w:rsidRPr="007E0BFF">
        <w:t xml:space="preserve"> the</w:t>
      </w:r>
      <w:r w:rsidRPr="007E0BFF">
        <w:t xml:space="preserve"> European Union and amending budgets shall be publish</w:t>
      </w:r>
      <w:r w:rsidR="0044437D" w:rsidRPr="007E0BFF">
        <w:t>ed in an appropriate way within</w:t>
      </w:r>
      <w:r w:rsidRPr="007E0BFF">
        <w:t xml:space="preserve"> two</w:t>
      </w:r>
      <w:r w:rsidR="0044437D" w:rsidRPr="007E0BFF">
        <w:t xml:space="preserve"> month</w:t>
      </w:r>
      <w:r w:rsidR="00817000" w:rsidRPr="007E0BFF">
        <w:t>s</w:t>
      </w:r>
      <w:r w:rsidR="0044437D" w:rsidRPr="007E0BFF">
        <w:t xml:space="preserve"> of their</w:t>
      </w:r>
      <w:r w:rsidRPr="007E0BFF">
        <w:t xml:space="preserve"> adoption.</w:t>
      </w:r>
    </w:p>
    <w:p w14:paraId="0FE58B5E" w14:textId="77777777" w:rsidR="00F26E5B" w:rsidRPr="007E0BFF" w:rsidRDefault="00F26E5B" w:rsidP="00383DBF">
      <w:pPr>
        <w:pStyle w:val="Heading3"/>
        <w:tabs>
          <w:tab w:val="clear" w:pos="840"/>
        </w:tabs>
        <w:spacing w:before="240" w:after="120"/>
        <w:ind w:left="720" w:hanging="720"/>
        <w:rPr>
          <w:b/>
          <w:szCs w:val="24"/>
        </w:rPr>
      </w:pPr>
      <w:bookmarkStart w:id="97" w:name="_Toc31821708"/>
      <w:r w:rsidRPr="007E0BFF">
        <w:rPr>
          <w:b/>
          <w:szCs w:val="24"/>
        </w:rPr>
        <w:t>Key data</w:t>
      </w:r>
      <w:bookmarkEnd w:id="97"/>
    </w:p>
    <w:p w14:paraId="74203F41" w14:textId="77777777" w:rsidR="009530F1" w:rsidRDefault="00144E68" w:rsidP="00A64D26">
      <w:r w:rsidRPr="00144E68">
        <w:rPr>
          <w:noProof/>
        </w:rPr>
        <w:drawing>
          <wp:inline distT="0" distB="0" distL="0" distR="0" wp14:anchorId="45EAE845" wp14:editId="5FDD74A2">
            <wp:extent cx="5731510" cy="141862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1418629"/>
                    </a:xfrm>
                    <a:prstGeom prst="rect">
                      <a:avLst/>
                    </a:prstGeom>
                    <a:noFill/>
                    <a:ln>
                      <a:noFill/>
                    </a:ln>
                  </pic:spPr>
                </pic:pic>
              </a:graphicData>
            </a:graphic>
          </wp:inline>
        </w:drawing>
      </w:r>
    </w:p>
    <w:p w14:paraId="1427A3F7" w14:textId="77777777" w:rsidR="006653B2" w:rsidRPr="007E0BFF" w:rsidRDefault="006653B2" w:rsidP="0037540E">
      <w:pPr>
        <w:pStyle w:val="Heading2"/>
        <w:tabs>
          <w:tab w:val="num" w:pos="540"/>
        </w:tabs>
        <w:spacing w:before="360" w:after="120"/>
        <w:ind w:left="540" w:hanging="540"/>
        <w:rPr>
          <w:szCs w:val="24"/>
        </w:rPr>
      </w:pPr>
      <w:bookmarkStart w:id="98" w:name="_Toc381266002"/>
      <w:bookmarkStart w:id="99" w:name="_Toc31821709"/>
      <w:r w:rsidRPr="007E0BFF">
        <w:rPr>
          <w:szCs w:val="24"/>
        </w:rPr>
        <w:t xml:space="preserve">Budget </w:t>
      </w:r>
      <w:bookmarkEnd w:id="98"/>
      <w:r w:rsidR="00F26E5B" w:rsidRPr="007E0BFF">
        <w:rPr>
          <w:szCs w:val="24"/>
        </w:rPr>
        <w:t>Result</w:t>
      </w:r>
      <w:bookmarkEnd w:id="99"/>
    </w:p>
    <w:p w14:paraId="4FC9FE3D" w14:textId="77777777" w:rsidR="006653B2" w:rsidRPr="007E0BFF" w:rsidRDefault="006653B2" w:rsidP="0037540E">
      <w:pPr>
        <w:spacing w:after="120"/>
        <w:jc w:val="both"/>
      </w:pPr>
      <w:r w:rsidRPr="007E0BFF">
        <w:t xml:space="preserve">The budgetary outturn account was prepared in accordance with the requirements of </w:t>
      </w:r>
      <w:r w:rsidR="00A31D17" w:rsidRPr="007E0BFF">
        <w:t xml:space="preserve">Article 244 of </w:t>
      </w:r>
      <w:r w:rsidRPr="007E0BFF">
        <w:t xml:space="preserve">Commission Regulation (EU, Euratom) No </w:t>
      </w:r>
      <w:r w:rsidR="00272F7C" w:rsidRPr="007E0BFF">
        <w:t>2018/1046</w:t>
      </w:r>
      <w:r w:rsidR="00CB67CA" w:rsidRPr="007E0BFF">
        <w:t xml:space="preserve"> </w:t>
      </w:r>
      <w:r w:rsidRPr="007E0BFF">
        <w:t xml:space="preserve">and in accordance with </w:t>
      </w:r>
      <w:r w:rsidR="00A31D17" w:rsidRPr="007E0BFF">
        <w:t xml:space="preserve">Article 56 of </w:t>
      </w:r>
      <w:r w:rsidRPr="007E0BFF">
        <w:t>the Standard Financial Regulation for executive agencies.</w:t>
      </w:r>
    </w:p>
    <w:p w14:paraId="132B5D41" w14:textId="248CE150" w:rsidR="006653B2" w:rsidRDefault="006653B2" w:rsidP="0037540E">
      <w:pPr>
        <w:spacing w:after="120"/>
        <w:jc w:val="both"/>
      </w:pPr>
      <w:r w:rsidRPr="007E0BFF">
        <w:t>The revenue entered in the accounts is the amount actually received during the course of the year. For the purpose of calculating the budget result for the year, expenditure comprises payments made against the year's appropriations plus any of the appropriations for that year that are carried over to the following year. Payments made against</w:t>
      </w:r>
      <w:r w:rsidR="00217077" w:rsidRPr="007E0BFF">
        <w:t xml:space="preserve"> the year's appropriations mean</w:t>
      </w:r>
      <w:r w:rsidRPr="007E0BFF">
        <w:t xml:space="preserve"> payments that are made by the accounting officer by 31 December of the financial year. </w:t>
      </w:r>
    </w:p>
    <w:p w14:paraId="4BAC7B53" w14:textId="77777777" w:rsidR="00663454" w:rsidRPr="007E0BFF" w:rsidRDefault="00663454" w:rsidP="0037540E">
      <w:pPr>
        <w:spacing w:after="120"/>
        <w:jc w:val="both"/>
      </w:pPr>
    </w:p>
    <w:p w14:paraId="01A53A18" w14:textId="77777777" w:rsidR="006653B2" w:rsidRPr="007E0BFF" w:rsidRDefault="006653B2" w:rsidP="0037540E">
      <w:pPr>
        <w:spacing w:after="120"/>
        <w:jc w:val="both"/>
      </w:pPr>
      <w:r w:rsidRPr="007E0BFF">
        <w:lastRenderedPageBreak/>
        <w:t xml:space="preserve">The following are added to or deducted from the resulting figure: </w:t>
      </w:r>
    </w:p>
    <w:p w14:paraId="3AB25607" w14:textId="77777777" w:rsidR="006653B2" w:rsidRPr="007E0BFF" w:rsidRDefault="006653B2" w:rsidP="00DE7CF7">
      <w:pPr>
        <w:pStyle w:val="ListParagraph"/>
        <w:numPr>
          <w:ilvl w:val="0"/>
          <w:numId w:val="19"/>
        </w:numPr>
        <w:ind w:left="284" w:hanging="284"/>
        <w:contextualSpacing w:val="0"/>
        <w:jc w:val="both"/>
      </w:pPr>
      <w:r w:rsidRPr="007E0BFF">
        <w:t xml:space="preserve">the </w:t>
      </w:r>
      <w:r w:rsidRPr="007E0BFF">
        <w:rPr>
          <w:bCs/>
        </w:rPr>
        <w:t>cancellations</w:t>
      </w:r>
      <w:r w:rsidRPr="007E0BFF">
        <w:t xml:space="preserve"> of payment appropriations carried over from previous years</w:t>
      </w:r>
      <w:r w:rsidR="00817000" w:rsidRPr="007E0BFF">
        <w:t xml:space="preserve"> (added)</w:t>
      </w:r>
      <w:r w:rsidRPr="007E0BFF">
        <w:t>,</w:t>
      </w:r>
    </w:p>
    <w:p w14:paraId="669B23EE" w14:textId="77777777" w:rsidR="006653B2" w:rsidRPr="007E0BFF" w:rsidRDefault="006653B2" w:rsidP="00DE7CF7">
      <w:pPr>
        <w:pStyle w:val="ListParagraph"/>
        <w:numPr>
          <w:ilvl w:val="0"/>
          <w:numId w:val="19"/>
        </w:numPr>
        <w:spacing w:after="120"/>
        <w:ind w:left="284" w:hanging="284"/>
        <w:contextualSpacing w:val="0"/>
        <w:jc w:val="both"/>
      </w:pPr>
      <w:r w:rsidRPr="007E0BFF">
        <w:t xml:space="preserve">the </w:t>
      </w:r>
      <w:r w:rsidRPr="007E0BFF">
        <w:rPr>
          <w:bCs/>
        </w:rPr>
        <w:t>balance</w:t>
      </w:r>
      <w:r w:rsidRPr="007E0BFF">
        <w:t xml:space="preserve"> of exchange-rate gains</w:t>
      </w:r>
      <w:r w:rsidR="00AF4FBF" w:rsidRPr="007E0BFF">
        <w:t xml:space="preserve"> (added)</w:t>
      </w:r>
      <w:r w:rsidRPr="007E0BFF">
        <w:t xml:space="preserve"> and losses</w:t>
      </w:r>
      <w:r w:rsidR="00AF4FBF" w:rsidRPr="007E0BFF">
        <w:t xml:space="preserve"> (deducted)</w:t>
      </w:r>
      <w:r w:rsidRPr="007E0BFF">
        <w:t xml:space="preserve"> recorded during the year.</w:t>
      </w:r>
    </w:p>
    <w:p w14:paraId="68BE6183" w14:textId="77777777" w:rsidR="006653B2" w:rsidRPr="007E0BFF" w:rsidRDefault="006653B2" w:rsidP="0037540E">
      <w:pPr>
        <w:keepNext/>
        <w:spacing w:before="240" w:after="120"/>
        <w:jc w:val="both"/>
        <w:rPr>
          <w:b/>
          <w:i/>
        </w:rPr>
      </w:pPr>
      <w:r w:rsidRPr="007E0BFF">
        <w:rPr>
          <w:b/>
          <w:i/>
        </w:rPr>
        <w:t>Budget outturn table in EUR</w:t>
      </w:r>
    </w:p>
    <w:p w14:paraId="6AAFC8B0" w14:textId="77777777" w:rsidR="00466937" w:rsidRPr="009D4936" w:rsidRDefault="00EE44E4" w:rsidP="0037540E">
      <w:pPr>
        <w:jc w:val="both"/>
        <w:rPr>
          <w:b/>
          <w:i/>
          <w:sz w:val="22"/>
        </w:rPr>
      </w:pPr>
      <w:r w:rsidRPr="00EE44E4">
        <w:rPr>
          <w:noProof/>
        </w:rPr>
        <w:drawing>
          <wp:inline distT="0" distB="0" distL="0" distR="0" wp14:anchorId="4DD05553" wp14:editId="4C662F43">
            <wp:extent cx="5493600" cy="387720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93600" cy="3877200"/>
                    </a:xfrm>
                    <a:prstGeom prst="rect">
                      <a:avLst/>
                    </a:prstGeom>
                    <a:noFill/>
                    <a:ln>
                      <a:noFill/>
                    </a:ln>
                  </pic:spPr>
                </pic:pic>
              </a:graphicData>
            </a:graphic>
          </wp:inline>
        </w:drawing>
      </w:r>
    </w:p>
    <w:p w14:paraId="74B2E991" w14:textId="77777777" w:rsidR="006653B2" w:rsidRPr="007E0BFF" w:rsidRDefault="006653B2" w:rsidP="0037540E">
      <w:pPr>
        <w:spacing w:before="240" w:after="120"/>
        <w:rPr>
          <w:bCs/>
          <w:color w:val="000000"/>
        </w:rPr>
      </w:pPr>
      <w:r w:rsidRPr="007E0BFF">
        <w:rPr>
          <w:bCs/>
          <w:color w:val="000000"/>
        </w:rPr>
        <w:t>T</w:t>
      </w:r>
      <w:r w:rsidR="00EE44E4" w:rsidRPr="007E0BFF">
        <w:rPr>
          <w:bCs/>
          <w:color w:val="000000"/>
        </w:rPr>
        <w:t>he 2019</w:t>
      </w:r>
      <w:r w:rsidRPr="007E0BFF">
        <w:rPr>
          <w:bCs/>
          <w:color w:val="000000"/>
        </w:rPr>
        <w:t xml:space="preserve"> budget result amounts to </w:t>
      </w:r>
      <w:r w:rsidR="001E7FBB" w:rsidRPr="007E0BFF">
        <w:rPr>
          <w:bCs/>
          <w:color w:val="000000"/>
        </w:rPr>
        <w:t xml:space="preserve">€ </w:t>
      </w:r>
      <w:r w:rsidR="00EE44E4" w:rsidRPr="007E0BFF">
        <w:rPr>
          <w:bCs/>
          <w:color w:val="000000"/>
        </w:rPr>
        <w:t>384,439.10</w:t>
      </w:r>
      <w:r w:rsidRPr="007E0BFF">
        <w:rPr>
          <w:bCs/>
          <w:color w:val="000000"/>
        </w:rPr>
        <w:t xml:space="preserve"> and corresponds to:</w:t>
      </w:r>
    </w:p>
    <w:p w14:paraId="0EB75385" w14:textId="77777777" w:rsidR="006653B2" w:rsidRPr="007E0BFF" w:rsidRDefault="00AA206A" w:rsidP="00DE7CF7">
      <w:pPr>
        <w:pStyle w:val="ListParagraph"/>
        <w:numPr>
          <w:ilvl w:val="0"/>
          <w:numId w:val="19"/>
        </w:numPr>
        <w:ind w:left="284" w:hanging="284"/>
        <w:contextualSpacing w:val="0"/>
        <w:jc w:val="both"/>
        <w:rPr>
          <w:bCs/>
          <w:color w:val="000000"/>
        </w:rPr>
      </w:pPr>
      <w:r w:rsidRPr="007E0BFF">
        <w:rPr>
          <w:bCs/>
          <w:color w:val="000000"/>
        </w:rPr>
        <w:t>€</w:t>
      </w:r>
      <w:r w:rsidR="00EE44E4" w:rsidRPr="007E0BFF">
        <w:rPr>
          <w:bCs/>
          <w:color w:val="000000"/>
        </w:rPr>
        <w:t xml:space="preserve"> 36,094.48</w:t>
      </w:r>
      <w:r w:rsidR="006653B2" w:rsidRPr="007E0BFF">
        <w:rPr>
          <w:bCs/>
          <w:color w:val="000000"/>
        </w:rPr>
        <w:t xml:space="preserve">: </w:t>
      </w:r>
      <w:r w:rsidR="006653B2" w:rsidRPr="007E0BFF">
        <w:rPr>
          <w:bCs/>
        </w:rPr>
        <w:t>current</w:t>
      </w:r>
      <w:r w:rsidR="006653B2" w:rsidRPr="007E0BFF">
        <w:rPr>
          <w:bCs/>
          <w:color w:val="000000"/>
        </w:rPr>
        <w:t xml:space="preserve"> year </w:t>
      </w:r>
      <w:r w:rsidR="00DD5A01" w:rsidRPr="007E0BFF">
        <w:rPr>
          <w:bCs/>
          <w:color w:val="000000"/>
        </w:rPr>
        <w:t xml:space="preserve">commitment </w:t>
      </w:r>
      <w:r w:rsidR="006653B2" w:rsidRPr="007E0BFF">
        <w:rPr>
          <w:bCs/>
          <w:color w:val="000000"/>
        </w:rPr>
        <w:t xml:space="preserve">appropriations </w:t>
      </w:r>
      <w:r w:rsidR="00DD5A01" w:rsidRPr="007E0BFF">
        <w:rPr>
          <w:bCs/>
          <w:color w:val="000000"/>
        </w:rPr>
        <w:t xml:space="preserve">(C1) </w:t>
      </w:r>
      <w:r w:rsidR="006653B2" w:rsidRPr="007E0BFF">
        <w:rPr>
          <w:bCs/>
          <w:color w:val="000000"/>
        </w:rPr>
        <w:t>not used</w:t>
      </w:r>
      <w:r w:rsidR="00CC1E79" w:rsidRPr="007E0BFF">
        <w:rPr>
          <w:bCs/>
          <w:color w:val="000000"/>
        </w:rPr>
        <w:t>,</w:t>
      </w:r>
    </w:p>
    <w:p w14:paraId="2A0BC1E7" w14:textId="26674DB3" w:rsidR="00EE44E4" w:rsidRPr="007E0BFF" w:rsidRDefault="00EE44E4" w:rsidP="00DE7CF7">
      <w:pPr>
        <w:pStyle w:val="ListParagraph"/>
        <w:numPr>
          <w:ilvl w:val="0"/>
          <w:numId w:val="19"/>
        </w:numPr>
        <w:ind w:left="284" w:hanging="284"/>
        <w:contextualSpacing w:val="0"/>
        <w:jc w:val="both"/>
        <w:rPr>
          <w:bCs/>
          <w:color w:val="000000"/>
        </w:rPr>
      </w:pPr>
      <w:r w:rsidRPr="007E0BFF">
        <w:rPr>
          <w:bCs/>
          <w:color w:val="000000"/>
        </w:rPr>
        <w:t>€ 58,520.16:</w:t>
      </w:r>
      <w:r w:rsidR="0030078D">
        <w:rPr>
          <w:bCs/>
          <w:color w:val="000000"/>
        </w:rPr>
        <w:t xml:space="preserve"> </w:t>
      </w:r>
      <w:r w:rsidRPr="007E0BFF">
        <w:rPr>
          <w:bCs/>
          <w:color w:val="000000"/>
        </w:rPr>
        <w:t xml:space="preserve">miscellaneous revenue (recovery orders issued and cashed by the Agency) not used </w:t>
      </w:r>
      <w:r w:rsidR="00EB1A05">
        <w:rPr>
          <w:bCs/>
          <w:color w:val="000000"/>
        </w:rPr>
        <w:t xml:space="preserve">in the financing of </w:t>
      </w:r>
      <w:r w:rsidRPr="007E0BFF">
        <w:rPr>
          <w:bCs/>
          <w:color w:val="000000"/>
        </w:rPr>
        <w:t>the Agency</w:t>
      </w:r>
      <w:r w:rsidR="00EB1A05">
        <w:rPr>
          <w:bCs/>
          <w:color w:val="000000"/>
        </w:rPr>
        <w:t xml:space="preserve">’s operating budget </w:t>
      </w:r>
      <w:r w:rsidR="00433055" w:rsidRPr="007E0BFF">
        <w:rPr>
          <w:bCs/>
          <w:color w:val="000000"/>
        </w:rPr>
        <w:t>(out of € 179,080.15)</w:t>
      </w:r>
      <w:r w:rsidR="009C3551" w:rsidRPr="007E0BFF">
        <w:rPr>
          <w:bCs/>
          <w:color w:val="000000"/>
        </w:rPr>
        <w:t>,</w:t>
      </w:r>
    </w:p>
    <w:p w14:paraId="201A7151" w14:textId="77777777" w:rsidR="006653B2" w:rsidRPr="007E0BFF" w:rsidRDefault="00AA206A" w:rsidP="00DE7CF7">
      <w:pPr>
        <w:pStyle w:val="ListParagraph"/>
        <w:numPr>
          <w:ilvl w:val="0"/>
          <w:numId w:val="19"/>
        </w:numPr>
        <w:ind w:left="284" w:hanging="284"/>
        <w:contextualSpacing w:val="0"/>
        <w:jc w:val="both"/>
        <w:rPr>
          <w:bCs/>
          <w:color w:val="000000"/>
        </w:rPr>
      </w:pPr>
      <w:r w:rsidRPr="007E0BFF">
        <w:rPr>
          <w:bCs/>
          <w:color w:val="000000"/>
        </w:rPr>
        <w:t>€</w:t>
      </w:r>
      <w:r w:rsidR="000C1E49" w:rsidRPr="007E0BFF">
        <w:rPr>
          <w:bCs/>
          <w:color w:val="000000"/>
        </w:rPr>
        <w:t xml:space="preserve"> </w:t>
      </w:r>
      <w:r w:rsidR="00EE44E4" w:rsidRPr="007E0BFF">
        <w:rPr>
          <w:bCs/>
          <w:color w:val="000000"/>
        </w:rPr>
        <w:t>290,259.27</w:t>
      </w:r>
      <w:r w:rsidR="006653B2" w:rsidRPr="007E0BFF">
        <w:rPr>
          <w:bCs/>
          <w:color w:val="000000"/>
        </w:rPr>
        <w:t xml:space="preserve">: </w:t>
      </w:r>
      <w:r w:rsidR="006653B2" w:rsidRPr="007E0BFF">
        <w:rPr>
          <w:bCs/>
        </w:rPr>
        <w:t>appro</w:t>
      </w:r>
      <w:r w:rsidR="00466937" w:rsidRPr="007E0BFF">
        <w:rPr>
          <w:bCs/>
        </w:rPr>
        <w:t>priations</w:t>
      </w:r>
      <w:r w:rsidR="00EE44E4" w:rsidRPr="007E0BFF">
        <w:rPr>
          <w:bCs/>
          <w:color w:val="000000"/>
        </w:rPr>
        <w:t xml:space="preserve"> carried over from 2018 to 2019</w:t>
      </w:r>
      <w:r w:rsidR="00DD5A01" w:rsidRPr="007E0BFF">
        <w:rPr>
          <w:bCs/>
          <w:color w:val="000000"/>
        </w:rPr>
        <w:t xml:space="preserve"> (C8) and</w:t>
      </w:r>
      <w:r w:rsidR="006653B2" w:rsidRPr="007E0BFF">
        <w:rPr>
          <w:bCs/>
          <w:color w:val="000000"/>
        </w:rPr>
        <w:t xml:space="preserve"> not used</w:t>
      </w:r>
      <w:r w:rsidR="00CC1E79" w:rsidRPr="007E0BFF">
        <w:rPr>
          <w:bCs/>
          <w:color w:val="000000"/>
        </w:rPr>
        <w:t>,</w:t>
      </w:r>
    </w:p>
    <w:p w14:paraId="317A0552" w14:textId="77777777" w:rsidR="006653B2" w:rsidRPr="007E0BFF" w:rsidRDefault="00AA206A" w:rsidP="00DE7CF7">
      <w:pPr>
        <w:pStyle w:val="ListParagraph"/>
        <w:numPr>
          <w:ilvl w:val="0"/>
          <w:numId w:val="19"/>
        </w:numPr>
        <w:spacing w:after="120"/>
        <w:ind w:left="284" w:hanging="284"/>
        <w:contextualSpacing w:val="0"/>
        <w:jc w:val="both"/>
        <w:rPr>
          <w:bCs/>
          <w:color w:val="000000"/>
        </w:rPr>
      </w:pPr>
      <w:r w:rsidRPr="007E0BFF">
        <w:rPr>
          <w:bCs/>
          <w:color w:val="000000"/>
        </w:rPr>
        <w:t>€</w:t>
      </w:r>
      <w:r w:rsidR="000C1E49" w:rsidRPr="007E0BFF">
        <w:rPr>
          <w:bCs/>
          <w:color w:val="000000"/>
        </w:rPr>
        <w:t xml:space="preserve"> -</w:t>
      </w:r>
      <w:r w:rsidR="004F3F34" w:rsidRPr="007E0BFF">
        <w:rPr>
          <w:bCs/>
          <w:color w:val="000000"/>
        </w:rPr>
        <w:t xml:space="preserve"> </w:t>
      </w:r>
      <w:r w:rsidR="00EE44E4" w:rsidRPr="007E0BFF">
        <w:rPr>
          <w:bCs/>
          <w:color w:val="000000"/>
        </w:rPr>
        <w:t>434</w:t>
      </w:r>
      <w:r w:rsidR="000C1E49" w:rsidRPr="007E0BFF">
        <w:rPr>
          <w:bCs/>
          <w:color w:val="000000"/>
        </w:rPr>
        <w:t>,81</w:t>
      </w:r>
      <w:r w:rsidR="006653B2" w:rsidRPr="007E0BFF">
        <w:rPr>
          <w:bCs/>
          <w:color w:val="000000"/>
        </w:rPr>
        <w:t xml:space="preserve">: exchange rate </w:t>
      </w:r>
      <w:r w:rsidR="000C1E49" w:rsidRPr="007E0BFF">
        <w:rPr>
          <w:bCs/>
          <w:color w:val="000000"/>
        </w:rPr>
        <w:t>losses</w:t>
      </w:r>
      <w:r w:rsidR="0037540E" w:rsidRPr="007E0BFF">
        <w:rPr>
          <w:bCs/>
          <w:color w:val="000000"/>
        </w:rPr>
        <w:t>.</w:t>
      </w:r>
    </w:p>
    <w:p w14:paraId="312AECE9" w14:textId="4BB7916A" w:rsidR="00CE3728" w:rsidRPr="00040620" w:rsidRDefault="00815A22" w:rsidP="00040620">
      <w:pPr>
        <w:keepNext/>
        <w:spacing w:before="240" w:after="120"/>
        <w:jc w:val="both"/>
        <w:rPr>
          <w:b/>
          <w:i/>
        </w:rPr>
      </w:pPr>
      <w:bookmarkStart w:id="100" w:name="_Toc381266003"/>
      <w:bookmarkStart w:id="101" w:name="_Toc31727214"/>
      <w:r w:rsidRPr="00040620">
        <w:rPr>
          <w:b/>
          <w:i/>
        </w:rPr>
        <w:lastRenderedPageBreak/>
        <w:t>Reconciliation of the 2019</w:t>
      </w:r>
      <w:r w:rsidR="00646190" w:rsidRPr="00040620">
        <w:rPr>
          <w:b/>
          <w:i/>
        </w:rPr>
        <w:t xml:space="preserve"> economic result</w:t>
      </w:r>
      <w:r w:rsidRPr="00040620">
        <w:rPr>
          <w:b/>
          <w:i/>
        </w:rPr>
        <w:t xml:space="preserve"> with the 2019</w:t>
      </w:r>
      <w:r w:rsidR="00CE3728" w:rsidRPr="00040620">
        <w:rPr>
          <w:b/>
          <w:i/>
        </w:rPr>
        <w:t xml:space="preserve"> </w:t>
      </w:r>
      <w:bookmarkEnd w:id="100"/>
      <w:r w:rsidR="00CE3728" w:rsidRPr="00040620">
        <w:rPr>
          <w:b/>
          <w:i/>
        </w:rPr>
        <w:t>budget</w:t>
      </w:r>
      <w:r w:rsidR="00646190" w:rsidRPr="00040620">
        <w:rPr>
          <w:b/>
          <w:i/>
        </w:rPr>
        <w:t>ary</w:t>
      </w:r>
      <w:r w:rsidR="00CE3728" w:rsidRPr="00040620">
        <w:rPr>
          <w:b/>
          <w:i/>
        </w:rPr>
        <w:t xml:space="preserve"> </w:t>
      </w:r>
      <w:bookmarkEnd w:id="101"/>
    </w:p>
    <w:p w14:paraId="56CF837B" w14:textId="5C527423" w:rsidR="00A17787" w:rsidRPr="00A17787" w:rsidRDefault="009F111A" w:rsidP="0037540E">
      <w:pPr>
        <w:pStyle w:val="Text2"/>
        <w:spacing w:after="0"/>
        <w:ind w:left="0"/>
      </w:pPr>
      <w:r w:rsidRPr="009F111A">
        <w:rPr>
          <w:noProof/>
          <w:lang w:eastAsia="en-GB"/>
        </w:rPr>
        <w:drawing>
          <wp:inline distT="0" distB="0" distL="0" distR="0" wp14:anchorId="31653B16" wp14:editId="47AA46EB">
            <wp:extent cx="6429600" cy="3765600"/>
            <wp:effectExtent l="0" t="0" r="9525"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29600" cy="3765600"/>
                    </a:xfrm>
                    <a:prstGeom prst="rect">
                      <a:avLst/>
                    </a:prstGeom>
                    <a:noFill/>
                    <a:ln>
                      <a:noFill/>
                    </a:ln>
                  </pic:spPr>
                </pic:pic>
              </a:graphicData>
            </a:graphic>
          </wp:inline>
        </w:drawing>
      </w:r>
      <w:r w:rsidRPr="009F111A">
        <w:t xml:space="preserve"> </w:t>
      </w:r>
    </w:p>
    <w:p w14:paraId="71F3E18B" w14:textId="623E3A61" w:rsidR="007003C1" w:rsidRPr="007E0BFF" w:rsidRDefault="004208A6" w:rsidP="0037540E">
      <w:pPr>
        <w:autoSpaceDE w:val="0"/>
        <w:autoSpaceDN w:val="0"/>
        <w:adjustRightInd w:val="0"/>
        <w:spacing w:before="240" w:after="120"/>
        <w:jc w:val="both"/>
      </w:pPr>
      <w:r w:rsidRPr="007E0BFF">
        <w:t xml:space="preserve">The economic result shown in the </w:t>
      </w:r>
      <w:r w:rsidR="0030078D">
        <w:t>S</w:t>
      </w:r>
      <w:r w:rsidR="0046477B" w:rsidRPr="007E0BFF">
        <w:t>tatement of financial performance</w:t>
      </w:r>
      <w:r w:rsidR="00B06776" w:rsidRPr="007E0BFF">
        <w:t xml:space="preserve"> (point 2.2)</w:t>
      </w:r>
      <w:r w:rsidR="0046477B" w:rsidRPr="007E0BFF">
        <w:t xml:space="preserve"> differs from the budget</w:t>
      </w:r>
      <w:r w:rsidR="00817000" w:rsidRPr="007E0BFF">
        <w:t>ary</w:t>
      </w:r>
      <w:r w:rsidR="0046477B" w:rsidRPr="007E0BFF">
        <w:t xml:space="preserve"> result shown in the budget outturn account</w:t>
      </w:r>
      <w:r w:rsidR="00B06776" w:rsidRPr="007E0BFF">
        <w:t xml:space="preserve"> (point 3.2)</w:t>
      </w:r>
      <w:r w:rsidR="0046477B" w:rsidRPr="007E0BFF">
        <w:t xml:space="preserve"> because the economic result is based on</w:t>
      </w:r>
      <w:r w:rsidR="00CE3728" w:rsidRPr="007E0BFF">
        <w:t xml:space="preserve"> </w:t>
      </w:r>
      <w:r w:rsidR="0046477B" w:rsidRPr="007E0BFF">
        <w:t>accrual accounting principles (</w:t>
      </w:r>
      <w:r w:rsidR="0072002D" w:rsidRPr="007E0BFF">
        <w:t>revenues and expenses are recorded when they occur; income is reported in the period it is earned regardless of when it is received and expenses are reported in the period they are incurred whet</w:t>
      </w:r>
      <w:r w:rsidR="009473A2" w:rsidRPr="007E0BFF">
        <w:t>h</w:t>
      </w:r>
      <w:r w:rsidR="0072002D" w:rsidRPr="007E0BFF">
        <w:t>er they are paid or not</w:t>
      </w:r>
      <w:r w:rsidR="0046477B" w:rsidRPr="007E0BFF">
        <w:t>) w</w:t>
      </w:r>
      <w:r w:rsidR="00F72B13" w:rsidRPr="007E0BFF">
        <w:t xml:space="preserve">hile the budget result is </w:t>
      </w:r>
      <w:r w:rsidR="00CE3728" w:rsidRPr="007E0BFF">
        <w:t>based on modified cash a</w:t>
      </w:r>
      <w:r w:rsidR="0046477B" w:rsidRPr="007E0BFF">
        <w:t>ccounting rules (</w:t>
      </w:r>
      <w:r w:rsidR="0072002D" w:rsidRPr="007E0BFF">
        <w:t xml:space="preserve">revenues are recorded in the period they are cashed and expenses are recorded in the period they are paid, </w:t>
      </w:r>
      <w:r w:rsidR="00CE3728" w:rsidRPr="007E0BFF">
        <w:t xml:space="preserve">carry-over of appropriations are </w:t>
      </w:r>
      <w:r w:rsidR="0072002D" w:rsidRPr="007E0BFF">
        <w:t xml:space="preserve">also </w:t>
      </w:r>
      <w:r w:rsidR="00CE3728" w:rsidRPr="007E0BFF">
        <w:t>recorded</w:t>
      </w:r>
      <w:r w:rsidR="0046477B" w:rsidRPr="007E0BFF">
        <w:t>).</w:t>
      </w:r>
    </w:p>
    <w:p w14:paraId="342085DC" w14:textId="77777777" w:rsidR="00F17F1B" w:rsidRPr="007E0BFF" w:rsidRDefault="0072002D" w:rsidP="0037540E">
      <w:pPr>
        <w:autoSpaceDE w:val="0"/>
        <w:autoSpaceDN w:val="0"/>
        <w:adjustRightInd w:val="0"/>
        <w:spacing w:after="120"/>
      </w:pPr>
      <w:r w:rsidRPr="007E0BFF">
        <w:t xml:space="preserve">The difference between </w:t>
      </w:r>
      <w:r w:rsidR="00817000" w:rsidRPr="007E0BFF">
        <w:t xml:space="preserve">the </w:t>
      </w:r>
      <w:r w:rsidRPr="007E0BFF">
        <w:t xml:space="preserve">economic result and </w:t>
      </w:r>
      <w:r w:rsidR="00817000" w:rsidRPr="007E0BFF">
        <w:t xml:space="preserve">the </w:t>
      </w:r>
      <w:r w:rsidRPr="007E0BFF">
        <w:t>budget</w:t>
      </w:r>
      <w:r w:rsidR="00817000" w:rsidRPr="007E0BFF">
        <w:t>ary</w:t>
      </w:r>
      <w:r w:rsidRPr="007E0BFF">
        <w:t xml:space="preserve"> result can be explained</w:t>
      </w:r>
      <w:r w:rsidR="007003C1" w:rsidRPr="007E0BFF">
        <w:t xml:space="preserve"> and reconciled</w:t>
      </w:r>
      <w:r w:rsidRPr="007E0BFF">
        <w:t xml:space="preserve"> </w:t>
      </w:r>
      <w:r w:rsidR="00AF7E02" w:rsidRPr="007E0BFF">
        <w:t xml:space="preserve">inter alia </w:t>
      </w:r>
      <w:r w:rsidRPr="007E0BFF">
        <w:t>by the following elements:</w:t>
      </w:r>
    </w:p>
    <w:p w14:paraId="5EBC2635" w14:textId="77777777" w:rsidR="00F17F1B" w:rsidRPr="007E0BFF" w:rsidRDefault="00F17F1B" w:rsidP="00DE7CF7">
      <w:pPr>
        <w:pStyle w:val="ListParagraph"/>
        <w:numPr>
          <w:ilvl w:val="0"/>
          <w:numId w:val="19"/>
        </w:numPr>
        <w:ind w:left="284" w:hanging="284"/>
        <w:contextualSpacing w:val="0"/>
        <w:jc w:val="both"/>
      </w:pPr>
      <w:r w:rsidRPr="007E0BFF">
        <w:t xml:space="preserve">The economic result takes into account accrued charges via cut off correction entries. Expenses </w:t>
      </w:r>
      <w:r w:rsidRPr="007E0BFF">
        <w:rPr>
          <w:bCs/>
          <w:color w:val="000000"/>
        </w:rPr>
        <w:t>related</w:t>
      </w:r>
      <w:r w:rsidRPr="007E0BFF">
        <w:t xml:space="preserve"> to services provided or goods delivered in the current year but not paid at 31/12/N are charged in the financial year while the budgetary result takes also into account amounts of invoices received and paid at 31/12/N relating to services still to be provided or goods still to be delivered in the next financial year.</w:t>
      </w:r>
    </w:p>
    <w:p w14:paraId="73129E8F" w14:textId="221B103C" w:rsidR="003C7859" w:rsidRPr="007E0BFF" w:rsidRDefault="00F17F1B" w:rsidP="00DE7CF7">
      <w:pPr>
        <w:pStyle w:val="ListParagraph"/>
        <w:numPr>
          <w:ilvl w:val="0"/>
          <w:numId w:val="19"/>
        </w:numPr>
        <w:ind w:left="284" w:hanging="284"/>
        <w:contextualSpacing w:val="0"/>
        <w:jc w:val="both"/>
      </w:pPr>
      <w:r w:rsidRPr="007E0BFF">
        <w:t xml:space="preserve">The movement in provisions linked to the end-of-year estimates following </w:t>
      </w:r>
      <w:r w:rsidR="0030078D">
        <w:t>the</w:t>
      </w:r>
      <w:r w:rsidR="00235DC0">
        <w:t xml:space="preserve"> </w:t>
      </w:r>
      <w:r w:rsidRPr="007E0BFF">
        <w:t xml:space="preserve">accrual based </w:t>
      </w:r>
      <w:r w:rsidRPr="007E0BFF">
        <w:rPr>
          <w:bCs/>
          <w:color w:val="000000"/>
        </w:rPr>
        <w:t>principle</w:t>
      </w:r>
      <w:r w:rsidRPr="007E0BFF">
        <w:t xml:space="preserve"> (e.g. untaken holidays) only impact the economic result. The budget result is not impacted as long as these provisions are not paid.</w:t>
      </w:r>
    </w:p>
    <w:p w14:paraId="2C59D5F4" w14:textId="77777777" w:rsidR="00F17F1B" w:rsidRPr="007E0BFF" w:rsidRDefault="00F17F1B" w:rsidP="00DE7CF7">
      <w:pPr>
        <w:pStyle w:val="ListParagraph"/>
        <w:numPr>
          <w:ilvl w:val="0"/>
          <w:numId w:val="19"/>
        </w:numPr>
        <w:ind w:left="284" w:hanging="284"/>
        <w:contextualSpacing w:val="0"/>
        <w:jc w:val="both"/>
      </w:pPr>
      <w:r w:rsidRPr="007E0BFF">
        <w:t xml:space="preserve">The </w:t>
      </w:r>
      <w:r w:rsidRPr="007E0BFF">
        <w:rPr>
          <w:bCs/>
          <w:color w:val="000000"/>
        </w:rPr>
        <w:t>economic</w:t>
      </w:r>
      <w:r w:rsidRPr="007E0BFF">
        <w:t xml:space="preserve"> result only takes into account the depreciation expense of the fixed assets while the budgetary result takes into account the purchase cost of the fixed asset in the financial year it is paid.</w:t>
      </w:r>
    </w:p>
    <w:p w14:paraId="0D71AAD0" w14:textId="77777777" w:rsidR="00C75FB3" w:rsidRPr="007E0BFF" w:rsidRDefault="00E11FDB" w:rsidP="00DE7CF7">
      <w:pPr>
        <w:pStyle w:val="ListParagraph"/>
        <w:numPr>
          <w:ilvl w:val="0"/>
          <w:numId w:val="19"/>
        </w:numPr>
        <w:ind w:left="284" w:hanging="284"/>
        <w:contextualSpacing w:val="0"/>
        <w:jc w:val="both"/>
      </w:pPr>
      <w:r w:rsidRPr="007E0BFF">
        <w:t>The economic result comprise</w:t>
      </w:r>
      <w:r w:rsidR="00817000" w:rsidRPr="007E0BFF">
        <w:t>s</w:t>
      </w:r>
      <w:r w:rsidRPr="007E0BFF">
        <w:t xml:space="preserve"> al the revenues generated during the financial year </w:t>
      </w:r>
      <w:r w:rsidR="00DA681D" w:rsidRPr="007E0BFF">
        <w:t xml:space="preserve">even if </w:t>
      </w:r>
      <w:r w:rsidR="0075761E" w:rsidRPr="007E0BFF">
        <w:rPr>
          <w:bCs/>
          <w:color w:val="000000"/>
        </w:rPr>
        <w:t>entitlements</w:t>
      </w:r>
      <w:r w:rsidR="00DA681D" w:rsidRPr="007E0BFF">
        <w:t xml:space="preserve"> </w:t>
      </w:r>
      <w:r w:rsidR="000F3187" w:rsidRPr="007E0BFF">
        <w:t xml:space="preserve">established were not collected. </w:t>
      </w:r>
      <w:r w:rsidR="00CE3728" w:rsidRPr="007E0BFF">
        <w:t xml:space="preserve">The </w:t>
      </w:r>
      <w:r w:rsidR="00AF7E02" w:rsidRPr="007E0BFF">
        <w:t>budget</w:t>
      </w:r>
      <w:r w:rsidR="00817000" w:rsidRPr="007E0BFF">
        <w:t>ary</w:t>
      </w:r>
      <w:r w:rsidR="00AF7E02" w:rsidRPr="007E0BFF">
        <w:t xml:space="preserve"> result</w:t>
      </w:r>
      <w:r w:rsidR="00CE3728" w:rsidRPr="007E0BFF">
        <w:t xml:space="preserve"> </w:t>
      </w:r>
      <w:r w:rsidRPr="007E0BFF">
        <w:t xml:space="preserve">takes into account </w:t>
      </w:r>
      <w:r w:rsidR="0072002D" w:rsidRPr="007E0BFF">
        <w:t>the</w:t>
      </w:r>
      <w:r w:rsidR="00CE3728" w:rsidRPr="007E0BFF">
        <w:t xml:space="preserve"> revenue collected from</w:t>
      </w:r>
      <w:r w:rsidRPr="007E0BFF">
        <w:t xml:space="preserve"> entitlement </w:t>
      </w:r>
      <w:r w:rsidR="0072002D" w:rsidRPr="007E0BFF">
        <w:t xml:space="preserve">established in the </w:t>
      </w:r>
      <w:r w:rsidR="00CE3728" w:rsidRPr="007E0BFF">
        <w:t>course of the year a</w:t>
      </w:r>
      <w:r w:rsidRPr="007E0BFF">
        <w:t xml:space="preserve">nd amounts </w:t>
      </w:r>
      <w:r w:rsidRPr="007E0BFF">
        <w:lastRenderedPageBreak/>
        <w:t>collected from entitle</w:t>
      </w:r>
      <w:r w:rsidR="00CE3728" w:rsidRPr="007E0BFF">
        <w:t>ments established i</w:t>
      </w:r>
      <w:r w:rsidRPr="007E0BFF">
        <w:t>n previous years. The e</w:t>
      </w:r>
      <w:r w:rsidR="0072002D" w:rsidRPr="007E0BFF">
        <w:t>ntitlements established in the</w:t>
      </w:r>
      <w:r w:rsidR="00CE3728" w:rsidRPr="007E0BFF">
        <w:t xml:space="preserve"> current year but not yet collected are</w:t>
      </w:r>
      <w:r w:rsidR="005E0E5A" w:rsidRPr="007E0BFF">
        <w:t xml:space="preserve"> </w:t>
      </w:r>
      <w:r w:rsidRPr="007E0BFF">
        <w:t>not comprised in the budget</w:t>
      </w:r>
      <w:r w:rsidR="00817000" w:rsidRPr="007E0BFF">
        <w:t>ary</w:t>
      </w:r>
      <w:r w:rsidRPr="007E0BFF">
        <w:t xml:space="preserve"> result.</w:t>
      </w:r>
    </w:p>
    <w:p w14:paraId="5CB2B7BD" w14:textId="5D086946" w:rsidR="000F3187" w:rsidRPr="007E0BFF" w:rsidRDefault="000F3187" w:rsidP="00DE7CF7">
      <w:pPr>
        <w:pStyle w:val="ListParagraph"/>
        <w:numPr>
          <w:ilvl w:val="0"/>
          <w:numId w:val="19"/>
        </w:numPr>
        <w:ind w:left="284" w:hanging="284"/>
        <w:contextualSpacing w:val="0"/>
        <w:jc w:val="both"/>
      </w:pPr>
      <w:r w:rsidRPr="007E0BFF">
        <w:t xml:space="preserve">The </w:t>
      </w:r>
      <w:r w:rsidRPr="007E0BFF">
        <w:rPr>
          <w:bCs/>
          <w:color w:val="000000"/>
        </w:rPr>
        <w:t>economic</w:t>
      </w:r>
      <w:r w:rsidRPr="007E0BFF">
        <w:t xml:space="preserve"> result takes into account expenses on carried over appropriations from the previous year </w:t>
      </w:r>
      <w:r w:rsidR="002416BE" w:rsidRPr="007E0BFF">
        <w:t>when</w:t>
      </w:r>
      <w:r w:rsidRPr="007E0BFF">
        <w:t xml:space="preserve"> they are related to services provided or good</w:t>
      </w:r>
      <w:r w:rsidR="0030078D">
        <w:t>s</w:t>
      </w:r>
      <w:r w:rsidRPr="007E0BFF">
        <w:t xml:space="preserve"> delivered in </w:t>
      </w:r>
      <w:r w:rsidR="002416BE" w:rsidRPr="007E0BFF">
        <w:t xml:space="preserve">the </w:t>
      </w:r>
      <w:r w:rsidR="00241A3E" w:rsidRPr="007E0BFF">
        <w:t>current financial year while the budget</w:t>
      </w:r>
      <w:r w:rsidR="009530F1" w:rsidRPr="007E0BFF">
        <w:t>ary</w:t>
      </w:r>
      <w:r w:rsidR="00241A3E" w:rsidRPr="007E0BFF">
        <w:t xml:space="preserve"> result</w:t>
      </w:r>
      <w:r w:rsidR="002416BE" w:rsidRPr="007E0BFF">
        <w:t xml:space="preserve"> is not impacted by the payment</w:t>
      </w:r>
      <w:r w:rsidR="009530F1" w:rsidRPr="007E0BFF">
        <w:t>s</w:t>
      </w:r>
      <w:r w:rsidR="002416BE" w:rsidRPr="007E0BFF">
        <w:t xml:space="preserve"> done on carried over appropriations</w:t>
      </w:r>
      <w:r w:rsidR="00727343" w:rsidRPr="007E0BFF">
        <w:t xml:space="preserve"> from </w:t>
      </w:r>
      <w:r w:rsidR="0030078D">
        <w:t xml:space="preserve">the </w:t>
      </w:r>
      <w:r w:rsidR="00727343" w:rsidRPr="007E0BFF">
        <w:t>previous year</w:t>
      </w:r>
      <w:r w:rsidR="00241A3E" w:rsidRPr="007E0BFF">
        <w:t>.</w:t>
      </w:r>
      <w:r w:rsidR="00727343" w:rsidRPr="007E0BFF">
        <w:t xml:space="preserve"> On the contrary, the cancellation of unused </w:t>
      </w:r>
      <w:r w:rsidR="009530F1" w:rsidRPr="007E0BFF">
        <w:t xml:space="preserve">appropriations </w:t>
      </w:r>
      <w:r w:rsidR="00727343" w:rsidRPr="007E0BFF">
        <w:t xml:space="preserve">carried over from </w:t>
      </w:r>
      <w:r w:rsidR="009530F1" w:rsidRPr="007E0BFF">
        <w:t xml:space="preserve">the </w:t>
      </w:r>
      <w:r w:rsidR="00727343" w:rsidRPr="007E0BFF">
        <w:t xml:space="preserve">previous year </w:t>
      </w:r>
      <w:r w:rsidR="009530F1" w:rsidRPr="007E0BFF">
        <w:t>increases</w:t>
      </w:r>
      <w:r w:rsidR="00727343" w:rsidRPr="007E0BFF">
        <w:t xml:space="preserve"> the budget</w:t>
      </w:r>
      <w:r w:rsidR="009530F1" w:rsidRPr="007E0BFF">
        <w:t>ary</w:t>
      </w:r>
      <w:r w:rsidR="00727343" w:rsidRPr="007E0BFF">
        <w:t xml:space="preserve"> resul</w:t>
      </w:r>
      <w:r w:rsidR="00AF49A3" w:rsidRPr="007E0BFF">
        <w:t>t</w:t>
      </w:r>
      <w:r w:rsidR="009530F1" w:rsidRPr="007E0BFF">
        <w:rPr>
          <w:vanish/>
        </w:rPr>
        <w:t xml:space="preserve"> by increasing it</w:t>
      </w:r>
      <w:r w:rsidR="00AF49A3" w:rsidRPr="007E0BFF">
        <w:rPr>
          <w:vanish/>
        </w:rPr>
        <w:t>.</w:t>
      </w:r>
      <w:r w:rsidR="00925B3D" w:rsidRPr="007E0BFF">
        <w:t>.</w:t>
      </w:r>
    </w:p>
    <w:p w14:paraId="4F3FC71E" w14:textId="1218447F" w:rsidR="00847A3B" w:rsidRPr="007E0BFF" w:rsidRDefault="0075761E" w:rsidP="007E0BFF">
      <w:pPr>
        <w:pStyle w:val="ListParagraph"/>
        <w:numPr>
          <w:ilvl w:val="0"/>
          <w:numId w:val="19"/>
        </w:numPr>
        <w:spacing w:after="240"/>
        <w:ind w:left="284" w:hanging="284"/>
        <w:contextualSpacing w:val="0"/>
        <w:jc w:val="both"/>
      </w:pPr>
      <w:r w:rsidRPr="007E0BFF">
        <w:t xml:space="preserve">The </w:t>
      </w:r>
      <w:r w:rsidRPr="007E0BFF">
        <w:rPr>
          <w:bCs/>
          <w:color w:val="000000"/>
        </w:rPr>
        <w:t>economic</w:t>
      </w:r>
      <w:r w:rsidRPr="007E0BFF">
        <w:t xml:space="preserve"> result</w:t>
      </w:r>
      <w:r w:rsidR="00954996" w:rsidRPr="007E0BFF">
        <w:t xml:space="preserve"> does not take into account </w:t>
      </w:r>
      <w:r w:rsidRPr="007E0BFF">
        <w:t>deferred</w:t>
      </w:r>
      <w:r w:rsidR="00954996" w:rsidRPr="007E0BFF">
        <w:t xml:space="preserve"> </w:t>
      </w:r>
      <w:r w:rsidR="003C7859" w:rsidRPr="007E0BFF">
        <w:t>charges</w:t>
      </w:r>
      <w:r w:rsidR="00954996" w:rsidRPr="007E0BFF">
        <w:t>. Expenses that are prepaid in the current financial year but related to services to be provided in subsequent years are not charged in the current financial year</w:t>
      </w:r>
      <w:r w:rsidR="00A94973" w:rsidRPr="007E0BFF">
        <w:t xml:space="preserve"> but in the year to which </w:t>
      </w:r>
      <w:r w:rsidR="0030078D">
        <w:t>they</w:t>
      </w:r>
      <w:r w:rsidR="00A94973" w:rsidRPr="007E0BFF">
        <w:t xml:space="preserve"> relate</w:t>
      </w:r>
      <w:r w:rsidR="00954996" w:rsidRPr="007E0BFF">
        <w:t>. The budg</w:t>
      </w:r>
      <w:r w:rsidR="00A94973" w:rsidRPr="007E0BFF">
        <w:t>et</w:t>
      </w:r>
      <w:r w:rsidR="00CB01CD" w:rsidRPr="007E0BFF">
        <w:t>ary</w:t>
      </w:r>
      <w:r w:rsidR="00A94973" w:rsidRPr="007E0BFF">
        <w:t xml:space="preserve"> result is however impacted when</w:t>
      </w:r>
      <w:r w:rsidR="00954996" w:rsidRPr="007E0BFF">
        <w:t xml:space="preserve"> the amount has been paid in the current financial year.</w:t>
      </w:r>
    </w:p>
    <w:p w14:paraId="4E0B1E3C" w14:textId="77777777" w:rsidR="000C3465" w:rsidRPr="000C3465" w:rsidRDefault="005A2601" w:rsidP="000C3465">
      <w:pPr>
        <w:pStyle w:val="Heading2"/>
        <w:tabs>
          <w:tab w:val="num" w:pos="540"/>
        </w:tabs>
        <w:spacing w:before="240" w:after="120"/>
        <w:ind w:left="540" w:hanging="540"/>
        <w:rPr>
          <w:szCs w:val="24"/>
        </w:rPr>
      </w:pPr>
      <w:bookmarkStart w:id="102" w:name="_Toc31821710"/>
      <w:bookmarkEnd w:id="95"/>
      <w:r w:rsidRPr="00F26E5B">
        <w:rPr>
          <w:szCs w:val="24"/>
        </w:rPr>
        <w:t>Budget Revenue</w:t>
      </w:r>
      <w:bookmarkEnd w:id="102"/>
    </w:p>
    <w:p w14:paraId="1B93B6AC" w14:textId="77777777" w:rsidR="00F351FE" w:rsidRPr="00F351FE" w:rsidRDefault="00E83534" w:rsidP="0037540E">
      <w:pPr>
        <w:pStyle w:val="Text2"/>
        <w:spacing w:after="0"/>
        <w:ind w:left="0"/>
      </w:pPr>
      <w:r w:rsidRPr="00E83534">
        <w:rPr>
          <w:noProof/>
          <w:lang w:eastAsia="en-GB"/>
        </w:rPr>
        <w:drawing>
          <wp:inline distT="0" distB="0" distL="0" distR="0" wp14:anchorId="391A5E1F" wp14:editId="43998E19">
            <wp:extent cx="5731510" cy="1004721"/>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1004721"/>
                    </a:xfrm>
                    <a:prstGeom prst="rect">
                      <a:avLst/>
                    </a:prstGeom>
                    <a:noFill/>
                    <a:ln>
                      <a:noFill/>
                    </a:ln>
                  </pic:spPr>
                </pic:pic>
              </a:graphicData>
            </a:graphic>
          </wp:inline>
        </w:drawing>
      </w:r>
    </w:p>
    <w:p w14:paraId="0CD393EB" w14:textId="77777777" w:rsidR="005816A4" w:rsidRPr="007E0BFF" w:rsidRDefault="005816A4" w:rsidP="0037540E">
      <w:pPr>
        <w:pStyle w:val="Text2"/>
        <w:spacing w:before="240" w:after="120"/>
        <w:ind w:left="0"/>
        <w:rPr>
          <w:szCs w:val="24"/>
        </w:rPr>
      </w:pPr>
      <w:r w:rsidRPr="007E0BFF">
        <w:rPr>
          <w:szCs w:val="24"/>
        </w:rPr>
        <w:t>In accordance with Article 5 of the Standard Financial regulation for Executiv</w:t>
      </w:r>
      <w:r w:rsidR="007E3880" w:rsidRPr="007E0BFF">
        <w:rPr>
          <w:szCs w:val="24"/>
        </w:rPr>
        <w:t>e Agencies, the revenue of the A</w:t>
      </w:r>
      <w:r w:rsidRPr="007E0BFF">
        <w:rPr>
          <w:szCs w:val="24"/>
        </w:rPr>
        <w:t>gency shall comprise the grant awarded by the Commission and any other revenue, including assigned revenue within the meaning of Article 15 thereof.</w:t>
      </w:r>
    </w:p>
    <w:p w14:paraId="2BDE5106" w14:textId="26BFF044" w:rsidR="005816A4" w:rsidRPr="007E0BFF" w:rsidRDefault="00B11390" w:rsidP="0037540E">
      <w:pPr>
        <w:pStyle w:val="Text2"/>
        <w:spacing w:after="120"/>
        <w:ind w:left="0"/>
        <w:rPr>
          <w:szCs w:val="24"/>
        </w:rPr>
      </w:pPr>
      <w:r w:rsidRPr="007E0BFF">
        <w:rPr>
          <w:szCs w:val="24"/>
        </w:rPr>
        <w:t xml:space="preserve">The balancing </w:t>
      </w:r>
      <w:r w:rsidR="005816A4" w:rsidRPr="007E0BFF">
        <w:rPr>
          <w:szCs w:val="24"/>
        </w:rPr>
        <w:t xml:space="preserve">subsidy </w:t>
      </w:r>
      <w:r w:rsidRPr="007E0BFF">
        <w:rPr>
          <w:szCs w:val="24"/>
        </w:rPr>
        <w:t xml:space="preserve">paid by </w:t>
      </w:r>
      <w:r w:rsidR="0030078D">
        <w:rPr>
          <w:szCs w:val="24"/>
        </w:rPr>
        <w:t xml:space="preserve">DG </w:t>
      </w:r>
      <w:r w:rsidRPr="007E0BFF">
        <w:rPr>
          <w:szCs w:val="24"/>
        </w:rPr>
        <w:t xml:space="preserve">RTD in 2019 </w:t>
      </w:r>
      <w:r w:rsidR="005816A4" w:rsidRPr="007E0BFF">
        <w:rPr>
          <w:szCs w:val="24"/>
        </w:rPr>
        <w:t xml:space="preserve">amounts to </w:t>
      </w:r>
      <w:r w:rsidR="00565462" w:rsidRPr="007E0BFF">
        <w:rPr>
          <w:szCs w:val="24"/>
        </w:rPr>
        <w:t>€</w:t>
      </w:r>
      <w:r w:rsidR="004F3F34" w:rsidRPr="007E0BFF">
        <w:rPr>
          <w:szCs w:val="24"/>
        </w:rPr>
        <w:t xml:space="preserve"> </w:t>
      </w:r>
      <w:r w:rsidR="00E83534" w:rsidRPr="007E0BFF">
        <w:rPr>
          <w:szCs w:val="24"/>
        </w:rPr>
        <w:t>75,681,525</w:t>
      </w:r>
      <w:r w:rsidR="005816A4" w:rsidRPr="007E0BFF">
        <w:rPr>
          <w:szCs w:val="24"/>
        </w:rPr>
        <w:t xml:space="preserve"> out of which:</w:t>
      </w:r>
    </w:p>
    <w:p w14:paraId="0AD724EE" w14:textId="77777777" w:rsidR="005816A4" w:rsidRPr="007E0BFF" w:rsidRDefault="00565462" w:rsidP="00DE7CF7">
      <w:pPr>
        <w:pStyle w:val="ListParagraph"/>
        <w:numPr>
          <w:ilvl w:val="0"/>
          <w:numId w:val="19"/>
        </w:numPr>
        <w:ind w:left="284" w:hanging="284"/>
        <w:contextualSpacing w:val="0"/>
        <w:jc w:val="both"/>
      </w:pPr>
      <w:r w:rsidRPr="007E0BFF">
        <w:t xml:space="preserve">€ </w:t>
      </w:r>
      <w:r w:rsidR="00D44FBA" w:rsidRPr="007E0BFF">
        <w:t>71,394,652</w:t>
      </w:r>
      <w:r w:rsidR="005816A4" w:rsidRPr="007E0BFF">
        <w:t xml:space="preserve"> </w:t>
      </w:r>
      <w:r w:rsidR="005816A4" w:rsidRPr="007E0BFF">
        <w:tab/>
        <w:t>from EU28 appropriations,</w:t>
      </w:r>
    </w:p>
    <w:p w14:paraId="7AB07874" w14:textId="4CE53FE0" w:rsidR="005816A4" w:rsidRPr="007E0BFF" w:rsidRDefault="00565462" w:rsidP="00DE7CF7">
      <w:pPr>
        <w:pStyle w:val="ListParagraph"/>
        <w:numPr>
          <w:ilvl w:val="0"/>
          <w:numId w:val="19"/>
        </w:numPr>
        <w:ind w:left="284" w:hanging="284"/>
        <w:contextualSpacing w:val="0"/>
        <w:jc w:val="both"/>
      </w:pPr>
      <w:r w:rsidRPr="007E0BFF">
        <w:t xml:space="preserve">€ </w:t>
      </w:r>
      <w:r w:rsidR="00283E96" w:rsidRPr="007E0BFF">
        <w:t xml:space="preserve">  </w:t>
      </w:r>
      <w:r w:rsidR="00D44FBA" w:rsidRPr="007E0BFF">
        <w:t>1,652,426</w:t>
      </w:r>
      <w:r w:rsidR="005816A4" w:rsidRPr="007E0BFF">
        <w:tab/>
        <w:t>from EFTA/EEA appropriations</w:t>
      </w:r>
    </w:p>
    <w:p w14:paraId="5F09EA9B" w14:textId="77777777" w:rsidR="005816A4" w:rsidRPr="007E0BFF" w:rsidRDefault="00565462" w:rsidP="00DE7CF7">
      <w:pPr>
        <w:pStyle w:val="ListParagraph"/>
        <w:numPr>
          <w:ilvl w:val="0"/>
          <w:numId w:val="19"/>
        </w:numPr>
        <w:spacing w:after="120"/>
        <w:ind w:left="284" w:hanging="284"/>
        <w:contextualSpacing w:val="0"/>
        <w:jc w:val="both"/>
      </w:pPr>
      <w:r w:rsidRPr="007E0BFF">
        <w:t>€</w:t>
      </w:r>
      <w:r w:rsidR="005816A4" w:rsidRPr="007E0BFF">
        <w:t xml:space="preserve"> </w:t>
      </w:r>
      <w:r w:rsidRPr="007E0BFF">
        <w:t xml:space="preserve"> </w:t>
      </w:r>
      <w:r w:rsidR="00283E96" w:rsidRPr="007E0BFF">
        <w:t xml:space="preserve"> </w:t>
      </w:r>
      <w:r w:rsidR="00D44FBA" w:rsidRPr="007E0BFF">
        <w:t>2,</w:t>
      </w:r>
      <w:r w:rsidR="00815A22" w:rsidRPr="007E0BFF">
        <w:t>634,447</w:t>
      </w:r>
      <w:r w:rsidR="00D44FBA" w:rsidRPr="007E0BFF">
        <w:t xml:space="preserve"> </w:t>
      </w:r>
      <w:r w:rsidR="005816A4" w:rsidRPr="007E0BFF">
        <w:tab/>
        <w:t>from third countr</w:t>
      </w:r>
      <w:r w:rsidR="009C4D27" w:rsidRPr="007E0BFF">
        <w:t>y</w:t>
      </w:r>
      <w:r w:rsidR="005816A4" w:rsidRPr="007E0BFF">
        <w:t xml:space="preserve"> appropriations</w:t>
      </w:r>
    </w:p>
    <w:p w14:paraId="1A7A2EE0" w14:textId="2D7C84D9" w:rsidR="007E3880" w:rsidRPr="007E0BFF" w:rsidRDefault="007E3880" w:rsidP="002A57E8">
      <w:pPr>
        <w:pStyle w:val="Text2"/>
        <w:spacing w:after="120"/>
        <w:ind w:left="0"/>
        <w:rPr>
          <w:szCs w:val="24"/>
        </w:rPr>
      </w:pPr>
      <w:r w:rsidRPr="007E0BFF">
        <w:rPr>
          <w:szCs w:val="24"/>
        </w:rPr>
        <w:t>The revenue</w:t>
      </w:r>
      <w:r w:rsidR="005816A4" w:rsidRPr="007E0BFF">
        <w:rPr>
          <w:szCs w:val="24"/>
        </w:rPr>
        <w:t xml:space="preserve"> </w:t>
      </w:r>
      <w:r w:rsidR="002A57E8" w:rsidRPr="007E0BFF">
        <w:rPr>
          <w:szCs w:val="24"/>
        </w:rPr>
        <w:t xml:space="preserve">accruing from other EU Bodies </w:t>
      </w:r>
      <w:r w:rsidRPr="007E0BFF">
        <w:rPr>
          <w:szCs w:val="24"/>
        </w:rPr>
        <w:t>concerns</w:t>
      </w:r>
      <w:r w:rsidR="002A57E8" w:rsidRPr="007E0BFF">
        <w:rPr>
          <w:szCs w:val="24"/>
        </w:rPr>
        <w:t xml:space="preserve"> the amount of </w:t>
      </w:r>
      <w:r w:rsidR="00CB242B" w:rsidRPr="007E0BFF">
        <w:rPr>
          <w:szCs w:val="24"/>
        </w:rPr>
        <w:t xml:space="preserve">the rent </w:t>
      </w:r>
      <w:r w:rsidR="002A57E8" w:rsidRPr="007E0BFF">
        <w:rPr>
          <w:szCs w:val="24"/>
        </w:rPr>
        <w:t xml:space="preserve">that REA </w:t>
      </w:r>
      <w:r w:rsidRPr="007E0BFF">
        <w:rPr>
          <w:szCs w:val="24"/>
        </w:rPr>
        <w:t xml:space="preserve">has </w:t>
      </w:r>
      <w:r w:rsidR="002A57E8" w:rsidRPr="007E0BFF">
        <w:rPr>
          <w:szCs w:val="24"/>
        </w:rPr>
        <w:t>re-invoiced to ERCEA following an agreement between the two agencies</w:t>
      </w:r>
      <w:r w:rsidRPr="007E0BFF">
        <w:rPr>
          <w:szCs w:val="24"/>
        </w:rPr>
        <w:t xml:space="preserve">. </w:t>
      </w:r>
      <w:r w:rsidR="009F111A">
        <w:rPr>
          <w:szCs w:val="24"/>
        </w:rPr>
        <w:t>It</w:t>
      </w:r>
      <w:r w:rsidRPr="007E0BFF">
        <w:rPr>
          <w:szCs w:val="24"/>
        </w:rPr>
        <w:t xml:space="preserve"> correspond</w:t>
      </w:r>
      <w:r w:rsidR="009F111A">
        <w:rPr>
          <w:szCs w:val="24"/>
        </w:rPr>
        <w:t>s</w:t>
      </w:r>
      <w:r w:rsidRPr="007E0BFF">
        <w:rPr>
          <w:szCs w:val="24"/>
        </w:rPr>
        <w:t xml:space="preserve"> to</w:t>
      </w:r>
      <w:r w:rsidR="00CB242B" w:rsidRPr="007E0BFF">
        <w:rPr>
          <w:szCs w:val="24"/>
        </w:rPr>
        <w:t xml:space="preserve"> the surface</w:t>
      </w:r>
      <w:r w:rsidR="002A57E8" w:rsidRPr="007E0BFF">
        <w:rPr>
          <w:szCs w:val="24"/>
        </w:rPr>
        <w:t xml:space="preserve"> </w:t>
      </w:r>
      <w:r w:rsidRPr="007E0BFF">
        <w:rPr>
          <w:szCs w:val="24"/>
        </w:rPr>
        <w:t xml:space="preserve">put at </w:t>
      </w:r>
      <w:r w:rsidR="009F111A">
        <w:rPr>
          <w:szCs w:val="24"/>
        </w:rPr>
        <w:t xml:space="preserve">the disposal of </w:t>
      </w:r>
      <w:r w:rsidRPr="007E0BFF">
        <w:rPr>
          <w:szCs w:val="24"/>
        </w:rPr>
        <w:t>ERCEA for the period</w:t>
      </w:r>
      <w:r w:rsidR="0086305B" w:rsidRPr="007E0BFF">
        <w:rPr>
          <w:szCs w:val="24"/>
        </w:rPr>
        <w:t xml:space="preserve"> </w:t>
      </w:r>
      <w:r w:rsidR="009F111A">
        <w:rPr>
          <w:szCs w:val="24"/>
        </w:rPr>
        <w:t>from 19/11/2019 to 23/09/2020</w:t>
      </w:r>
      <w:r w:rsidR="0086305B" w:rsidRPr="007E0BFF">
        <w:rPr>
          <w:szCs w:val="24"/>
        </w:rPr>
        <w:t>.</w:t>
      </w:r>
      <w:r w:rsidRPr="007E0BFF">
        <w:rPr>
          <w:szCs w:val="24"/>
        </w:rPr>
        <w:t xml:space="preserve"> </w:t>
      </w:r>
      <w:r w:rsidR="0086305B" w:rsidRPr="007E0BFF">
        <w:rPr>
          <w:szCs w:val="24"/>
        </w:rPr>
        <w:t>The debit note was not yet settled at the end of December.</w:t>
      </w:r>
    </w:p>
    <w:p w14:paraId="5C6516CC" w14:textId="77777777" w:rsidR="007E3880" w:rsidRPr="007E0BFF" w:rsidRDefault="007E3880" w:rsidP="002A57E8">
      <w:pPr>
        <w:pStyle w:val="Text2"/>
        <w:spacing w:after="120"/>
        <w:ind w:left="0"/>
        <w:rPr>
          <w:szCs w:val="24"/>
        </w:rPr>
      </w:pPr>
      <w:r w:rsidRPr="007E0BFF">
        <w:rPr>
          <w:szCs w:val="24"/>
        </w:rPr>
        <w:t xml:space="preserve">The miscellaneous revenue </w:t>
      </w:r>
      <w:r w:rsidR="0086305B" w:rsidRPr="007E0BFF">
        <w:rPr>
          <w:szCs w:val="24"/>
        </w:rPr>
        <w:t>relates</w:t>
      </w:r>
      <w:r w:rsidRPr="007E0BFF">
        <w:rPr>
          <w:szCs w:val="24"/>
        </w:rPr>
        <w:t xml:space="preserve"> to</w:t>
      </w:r>
      <w:r w:rsidR="00405A03" w:rsidRPr="007E0BFF">
        <w:rPr>
          <w:szCs w:val="24"/>
        </w:rPr>
        <w:t xml:space="preserve"> the recovery of</w:t>
      </w:r>
      <w:r w:rsidRPr="007E0BFF">
        <w:rPr>
          <w:szCs w:val="24"/>
        </w:rPr>
        <w:t>:</w:t>
      </w:r>
    </w:p>
    <w:p w14:paraId="2D287EA1" w14:textId="77777777" w:rsidR="005E161E" w:rsidRPr="007E0BFF" w:rsidRDefault="00405A03" w:rsidP="00DE7CF7">
      <w:pPr>
        <w:pStyle w:val="Text2"/>
        <w:numPr>
          <w:ilvl w:val="0"/>
          <w:numId w:val="24"/>
        </w:numPr>
        <w:spacing w:after="0"/>
        <w:rPr>
          <w:szCs w:val="24"/>
        </w:rPr>
      </w:pPr>
      <w:r w:rsidRPr="007E0BFF">
        <w:rPr>
          <w:szCs w:val="24"/>
        </w:rPr>
        <w:t>amounts overpaid to the OIB under the SLA for the year 2018: €</w:t>
      </w:r>
      <w:r w:rsidR="00AF565D" w:rsidRPr="007E0BFF">
        <w:rPr>
          <w:szCs w:val="24"/>
        </w:rPr>
        <w:t xml:space="preserve"> </w:t>
      </w:r>
      <w:r w:rsidRPr="007E0BFF">
        <w:rPr>
          <w:szCs w:val="24"/>
        </w:rPr>
        <w:t>177,927</w:t>
      </w:r>
    </w:p>
    <w:p w14:paraId="058EBD42" w14:textId="1D01354D" w:rsidR="005E161E" w:rsidRPr="007E0BFF" w:rsidRDefault="005E161E" w:rsidP="00DE7CF7">
      <w:pPr>
        <w:pStyle w:val="ListParagraph"/>
        <w:numPr>
          <w:ilvl w:val="0"/>
          <w:numId w:val="24"/>
        </w:numPr>
        <w:contextualSpacing w:val="0"/>
        <w:jc w:val="both"/>
      </w:pPr>
      <w:r w:rsidRPr="007E0BFF">
        <w:t xml:space="preserve">legal costs incurred by the agency in the context of a legal proceeding against beneficiaries of a grant granted on the </w:t>
      </w:r>
      <w:r w:rsidR="00235DC0">
        <w:t>operational</w:t>
      </w:r>
      <w:r w:rsidR="00235DC0" w:rsidRPr="007E0BFF">
        <w:t xml:space="preserve"> </w:t>
      </w:r>
      <w:r w:rsidRPr="007E0BFF">
        <w:t>budget</w:t>
      </w:r>
      <w:r w:rsidR="00235DC0">
        <w:t xml:space="preserve"> and recovered from these beneficiaries</w:t>
      </w:r>
      <w:r w:rsidRPr="007E0BFF">
        <w:t>: € 29,750</w:t>
      </w:r>
    </w:p>
    <w:p w14:paraId="4FFF4D7D" w14:textId="33634D48" w:rsidR="00405A03" w:rsidRPr="007E0BFF" w:rsidRDefault="00C45904" w:rsidP="00DE7CF7">
      <w:pPr>
        <w:pStyle w:val="ListParagraph"/>
        <w:numPr>
          <w:ilvl w:val="0"/>
          <w:numId w:val="24"/>
        </w:numPr>
        <w:contextualSpacing w:val="0"/>
        <w:jc w:val="both"/>
      </w:pPr>
      <w:r>
        <w:t xml:space="preserve">recovery of </w:t>
      </w:r>
      <w:r w:rsidR="009C7C11" w:rsidRPr="007E0BFF">
        <w:t xml:space="preserve">amounts overpaid to contractors: </w:t>
      </w:r>
      <w:r w:rsidR="00405A03" w:rsidRPr="007E0BFF">
        <w:t>€</w:t>
      </w:r>
      <w:r w:rsidR="00235DC0">
        <w:t xml:space="preserve"> </w:t>
      </w:r>
      <w:r w:rsidR="00405A03" w:rsidRPr="007E0BFF">
        <w:t>2,</w:t>
      </w:r>
      <w:r w:rsidR="00235DC0" w:rsidRPr="007E0BFF">
        <w:t>9</w:t>
      </w:r>
      <w:r w:rsidR="00C96AA8">
        <w:t>8</w:t>
      </w:r>
      <w:r w:rsidR="00235DC0" w:rsidRPr="007E0BFF">
        <w:t>4</w:t>
      </w:r>
    </w:p>
    <w:p w14:paraId="104C9D50" w14:textId="77777777" w:rsidR="005E161E" w:rsidRPr="007E0BFF" w:rsidRDefault="005E161E" w:rsidP="00DE7CF7">
      <w:pPr>
        <w:pStyle w:val="Text2"/>
        <w:numPr>
          <w:ilvl w:val="0"/>
          <w:numId w:val="19"/>
        </w:numPr>
        <w:spacing w:after="0"/>
        <w:ind w:left="357" w:hanging="357"/>
        <w:rPr>
          <w:szCs w:val="24"/>
        </w:rPr>
      </w:pPr>
      <w:r w:rsidRPr="007E0BFF">
        <w:rPr>
          <w:szCs w:val="24"/>
        </w:rPr>
        <w:t>penalties against a contractor: € 1,143</w:t>
      </w:r>
    </w:p>
    <w:p w14:paraId="663BC4ED" w14:textId="77777777" w:rsidR="005816A4" w:rsidRPr="007E0BFF" w:rsidRDefault="005816A4" w:rsidP="002A57E8">
      <w:pPr>
        <w:jc w:val="both"/>
      </w:pPr>
    </w:p>
    <w:p w14:paraId="1DFEA126" w14:textId="5992FCC3" w:rsidR="009C7C11" w:rsidRDefault="009C7C11" w:rsidP="002A57E8">
      <w:pPr>
        <w:jc w:val="both"/>
      </w:pPr>
      <w:r w:rsidRPr="007E0BFF">
        <w:t>A part of this revenue (€ 32,724) wa</w:t>
      </w:r>
      <w:r w:rsidR="00663454">
        <w:t>s not cashed at the end of Decem</w:t>
      </w:r>
      <w:r w:rsidRPr="007E0BFF">
        <w:t>ber.</w:t>
      </w:r>
    </w:p>
    <w:p w14:paraId="7D8D4928" w14:textId="273BA1F7" w:rsidR="00663454" w:rsidRDefault="00663454" w:rsidP="002A57E8">
      <w:pPr>
        <w:jc w:val="both"/>
      </w:pPr>
    </w:p>
    <w:p w14:paraId="35C1357B" w14:textId="7E4B2C00" w:rsidR="00663454" w:rsidRDefault="00663454" w:rsidP="002A57E8">
      <w:pPr>
        <w:jc w:val="both"/>
      </w:pPr>
    </w:p>
    <w:p w14:paraId="24E3E593" w14:textId="77777777" w:rsidR="00663454" w:rsidRPr="007E0BFF" w:rsidRDefault="00663454" w:rsidP="002A57E8">
      <w:pPr>
        <w:jc w:val="both"/>
      </w:pPr>
    </w:p>
    <w:p w14:paraId="4C78FB9B" w14:textId="77777777" w:rsidR="00084D91" w:rsidRPr="007E0BFF" w:rsidRDefault="00084D91" w:rsidP="009C4D27">
      <w:pPr>
        <w:pStyle w:val="Heading2"/>
        <w:tabs>
          <w:tab w:val="num" w:pos="540"/>
        </w:tabs>
        <w:spacing w:before="240" w:after="120"/>
        <w:ind w:left="540" w:hanging="540"/>
        <w:rPr>
          <w:szCs w:val="24"/>
        </w:rPr>
      </w:pPr>
      <w:bookmarkStart w:id="103" w:name="_Toc31821711"/>
      <w:r w:rsidRPr="007E0BFF">
        <w:rPr>
          <w:szCs w:val="24"/>
        </w:rPr>
        <w:lastRenderedPageBreak/>
        <w:t>Budget Expenditure</w:t>
      </w:r>
      <w:bookmarkEnd w:id="103"/>
    </w:p>
    <w:p w14:paraId="58594A1D" w14:textId="77777777" w:rsidR="00B55FE4" w:rsidRPr="007E0BFF" w:rsidRDefault="00AF5EF1" w:rsidP="00383DBF">
      <w:pPr>
        <w:pStyle w:val="Heading3"/>
        <w:tabs>
          <w:tab w:val="clear" w:pos="840"/>
        </w:tabs>
        <w:spacing w:after="120"/>
        <w:ind w:left="720" w:hanging="720"/>
        <w:rPr>
          <w:b/>
          <w:szCs w:val="24"/>
        </w:rPr>
      </w:pPr>
      <w:bookmarkStart w:id="104" w:name="_Toc31821712"/>
      <w:r w:rsidRPr="007E0BFF">
        <w:rPr>
          <w:b/>
          <w:szCs w:val="24"/>
        </w:rPr>
        <w:t>Overview 2019</w:t>
      </w:r>
      <w:r w:rsidR="00084D91" w:rsidRPr="007E0BFF">
        <w:rPr>
          <w:b/>
          <w:szCs w:val="24"/>
        </w:rPr>
        <w:t xml:space="preserve"> budget and transfers</w:t>
      </w:r>
      <w:bookmarkEnd w:id="104"/>
    </w:p>
    <w:p w14:paraId="747D2E72" w14:textId="77777777" w:rsidR="00B55FE4" w:rsidRPr="007E0BFF" w:rsidRDefault="00B55FE4" w:rsidP="0037540E">
      <w:pPr>
        <w:tabs>
          <w:tab w:val="left" w:pos="1440"/>
        </w:tabs>
        <w:suppressAutoHyphens/>
        <w:spacing w:after="120"/>
        <w:jc w:val="both"/>
        <w:rPr>
          <w:b/>
          <w:bCs/>
          <w:i/>
        </w:rPr>
      </w:pPr>
      <w:r w:rsidRPr="007E0BFF">
        <w:rPr>
          <w:b/>
          <w:bCs/>
          <w:i/>
        </w:rPr>
        <w:t>Initial budget</w:t>
      </w:r>
    </w:p>
    <w:p w14:paraId="016BCB8C" w14:textId="44694CC8" w:rsidR="00D44FBA" w:rsidRPr="007E0BFF" w:rsidRDefault="00B55FE4" w:rsidP="0037540E">
      <w:pPr>
        <w:tabs>
          <w:tab w:val="left" w:pos="1440"/>
        </w:tabs>
        <w:suppressAutoHyphens/>
        <w:spacing w:after="120"/>
        <w:jc w:val="both"/>
        <w:rPr>
          <w:bCs/>
        </w:rPr>
      </w:pPr>
      <w:r w:rsidRPr="007E0BFF">
        <w:rPr>
          <w:bCs/>
        </w:rPr>
        <w:t xml:space="preserve">The REA Steering Committee </w:t>
      </w:r>
      <w:r w:rsidR="00985E86" w:rsidRPr="007E0BFF">
        <w:rPr>
          <w:bCs/>
        </w:rPr>
        <w:t xml:space="preserve">adopted the </w:t>
      </w:r>
      <w:r w:rsidR="0010149C" w:rsidRPr="007E0BFF">
        <w:rPr>
          <w:bCs/>
        </w:rPr>
        <w:t xml:space="preserve">2019 </w:t>
      </w:r>
      <w:r w:rsidRPr="007E0BFF">
        <w:rPr>
          <w:bCs/>
        </w:rPr>
        <w:t xml:space="preserve">administrative budget </w:t>
      </w:r>
      <w:r w:rsidR="00D44FBA" w:rsidRPr="007E0BFF">
        <w:rPr>
          <w:bCs/>
        </w:rPr>
        <w:t>on 7</w:t>
      </w:r>
      <w:r w:rsidR="00F105FD" w:rsidRPr="007E0BFF">
        <w:rPr>
          <w:bCs/>
        </w:rPr>
        <w:t xml:space="preserve"> </w:t>
      </w:r>
      <w:r w:rsidRPr="007E0BFF">
        <w:rPr>
          <w:bCs/>
        </w:rPr>
        <w:t>December</w:t>
      </w:r>
      <w:r w:rsidR="00F105FD" w:rsidRPr="007E0BFF">
        <w:rPr>
          <w:bCs/>
        </w:rPr>
        <w:t xml:space="preserve"> </w:t>
      </w:r>
      <w:r w:rsidR="00D44FBA" w:rsidRPr="007E0BFF">
        <w:rPr>
          <w:bCs/>
        </w:rPr>
        <w:t>2018</w:t>
      </w:r>
      <w:r w:rsidR="009C4D27" w:rsidRPr="007E0BFF">
        <w:rPr>
          <w:bCs/>
        </w:rPr>
        <w:t xml:space="preserve"> </w:t>
      </w:r>
      <w:r w:rsidRPr="007E0BFF">
        <w:rPr>
          <w:bCs/>
        </w:rPr>
        <w:t xml:space="preserve">for a total amount of </w:t>
      </w:r>
      <w:r w:rsidR="00565462" w:rsidRPr="007E0BFF">
        <w:rPr>
          <w:bCs/>
        </w:rPr>
        <w:t xml:space="preserve">€ </w:t>
      </w:r>
      <w:r w:rsidR="00D44FBA" w:rsidRPr="007E0BFF">
        <w:rPr>
          <w:bCs/>
        </w:rPr>
        <w:t>75,802,085</w:t>
      </w:r>
      <w:r w:rsidRPr="007E0BFF">
        <w:rPr>
          <w:bCs/>
        </w:rPr>
        <w:t xml:space="preserve"> (EU28: </w:t>
      </w:r>
      <w:r w:rsidR="00565462" w:rsidRPr="007E0BFF">
        <w:rPr>
          <w:bCs/>
        </w:rPr>
        <w:t xml:space="preserve">€ </w:t>
      </w:r>
      <w:r w:rsidR="00D44FBA" w:rsidRPr="007E0BFF">
        <w:rPr>
          <w:bCs/>
        </w:rPr>
        <w:t>71,394,652</w:t>
      </w:r>
      <w:r w:rsidR="00565462" w:rsidRPr="007E0BFF">
        <w:rPr>
          <w:bCs/>
        </w:rPr>
        <w:t xml:space="preserve"> </w:t>
      </w:r>
      <w:r w:rsidRPr="007E0BFF">
        <w:rPr>
          <w:bCs/>
        </w:rPr>
        <w:t xml:space="preserve">+ EFTA/EEA contribution: </w:t>
      </w:r>
      <w:r w:rsidR="00565462" w:rsidRPr="007E0BFF">
        <w:rPr>
          <w:bCs/>
        </w:rPr>
        <w:t>€</w:t>
      </w:r>
      <w:r w:rsidR="00235DC0">
        <w:rPr>
          <w:bCs/>
        </w:rPr>
        <w:t> </w:t>
      </w:r>
      <w:r w:rsidR="00D44FBA" w:rsidRPr="007E0BFF">
        <w:rPr>
          <w:bCs/>
        </w:rPr>
        <w:t>1,652,426</w:t>
      </w:r>
      <w:r w:rsidRPr="007E0BFF">
        <w:rPr>
          <w:bCs/>
        </w:rPr>
        <w:t xml:space="preserve"> + </w:t>
      </w:r>
      <w:r w:rsidR="007E0BFF">
        <w:rPr>
          <w:bCs/>
        </w:rPr>
        <w:t>t</w:t>
      </w:r>
      <w:r w:rsidRPr="007E0BFF">
        <w:rPr>
          <w:bCs/>
        </w:rPr>
        <w:t>hird countr</w:t>
      </w:r>
      <w:r w:rsidR="00AF565D" w:rsidRPr="007E0BFF">
        <w:rPr>
          <w:bCs/>
        </w:rPr>
        <w:t>y</w:t>
      </w:r>
      <w:r w:rsidRPr="007E0BFF">
        <w:rPr>
          <w:bCs/>
        </w:rPr>
        <w:t xml:space="preserve"> contribution: </w:t>
      </w:r>
      <w:r w:rsidR="00565462" w:rsidRPr="007E0BFF">
        <w:rPr>
          <w:bCs/>
        </w:rPr>
        <w:t xml:space="preserve">€ </w:t>
      </w:r>
      <w:r w:rsidR="00D44FBA" w:rsidRPr="007E0BFF">
        <w:rPr>
          <w:bCs/>
        </w:rPr>
        <w:t>2,755,007</w:t>
      </w:r>
      <w:r w:rsidRPr="007E0BFF">
        <w:rPr>
          <w:bCs/>
        </w:rPr>
        <w:t>) in line with the draft budget.</w:t>
      </w:r>
    </w:p>
    <w:p w14:paraId="1F6C5E5A" w14:textId="16B3697A" w:rsidR="00B55FE4" w:rsidRPr="007E0BFF" w:rsidRDefault="00ED10EF" w:rsidP="0037540E">
      <w:pPr>
        <w:tabs>
          <w:tab w:val="left" w:pos="1440"/>
        </w:tabs>
        <w:suppressAutoHyphens/>
        <w:spacing w:after="120"/>
        <w:jc w:val="both"/>
        <w:rPr>
          <w:bCs/>
        </w:rPr>
      </w:pPr>
      <w:r w:rsidRPr="007E0BFF">
        <w:rPr>
          <w:bCs/>
        </w:rPr>
        <w:t xml:space="preserve">Compared to </w:t>
      </w:r>
      <w:r w:rsidR="00217077" w:rsidRPr="007E0BFF">
        <w:rPr>
          <w:bCs/>
        </w:rPr>
        <w:t xml:space="preserve">the final budget </w:t>
      </w:r>
      <w:r w:rsidRPr="007E0BFF">
        <w:rPr>
          <w:bCs/>
        </w:rPr>
        <w:t xml:space="preserve">2018, the </w:t>
      </w:r>
      <w:r w:rsidR="00217077" w:rsidRPr="007E0BFF">
        <w:rPr>
          <w:bCs/>
        </w:rPr>
        <w:t xml:space="preserve">initial budget 2019 </w:t>
      </w:r>
      <w:r w:rsidR="00B55FE4" w:rsidRPr="007E0BFF">
        <w:rPr>
          <w:bCs/>
        </w:rPr>
        <w:t xml:space="preserve">is increased with </w:t>
      </w:r>
      <w:r w:rsidR="00565462" w:rsidRPr="007E0BFF">
        <w:rPr>
          <w:bCs/>
        </w:rPr>
        <w:t xml:space="preserve">€ </w:t>
      </w:r>
      <w:r w:rsidR="00560E43" w:rsidRPr="007E0BFF">
        <w:rPr>
          <w:bCs/>
        </w:rPr>
        <w:t>6,226,245</w:t>
      </w:r>
      <w:r w:rsidR="00B55FE4" w:rsidRPr="007E0BFF">
        <w:rPr>
          <w:bCs/>
        </w:rPr>
        <w:t>, equi</w:t>
      </w:r>
      <w:r w:rsidR="00560E43" w:rsidRPr="007E0BFF">
        <w:rPr>
          <w:bCs/>
        </w:rPr>
        <w:t>valent to 9</w:t>
      </w:r>
      <w:r w:rsidRPr="007E0BFF">
        <w:rPr>
          <w:bCs/>
        </w:rPr>
        <w:t>%</w:t>
      </w:r>
      <w:r w:rsidR="00B55FE4" w:rsidRPr="007E0BFF">
        <w:rPr>
          <w:bCs/>
        </w:rPr>
        <w:t>.</w:t>
      </w:r>
      <w:r w:rsidR="00FA786C" w:rsidRPr="007E0BFF">
        <w:rPr>
          <w:bCs/>
        </w:rPr>
        <w:t xml:space="preserve"> </w:t>
      </w:r>
      <w:r w:rsidRPr="007E0BFF">
        <w:rPr>
          <w:bCs/>
        </w:rPr>
        <w:t xml:space="preserve">The change stems mainly from </w:t>
      </w:r>
      <w:r w:rsidR="00B55FE4" w:rsidRPr="007E0BFF">
        <w:rPr>
          <w:bCs/>
        </w:rPr>
        <w:t>increase</w:t>
      </w:r>
      <w:r w:rsidRPr="007E0BFF">
        <w:rPr>
          <w:bCs/>
        </w:rPr>
        <w:t xml:space="preserve">s </w:t>
      </w:r>
      <w:r w:rsidR="00CB01CD" w:rsidRPr="007E0BFF">
        <w:rPr>
          <w:bCs/>
        </w:rPr>
        <w:t xml:space="preserve">in </w:t>
      </w:r>
      <w:r w:rsidR="00B55FE4" w:rsidRPr="007E0BFF">
        <w:rPr>
          <w:bCs/>
        </w:rPr>
        <w:t>title 1 (</w:t>
      </w:r>
      <w:r w:rsidR="003C1512" w:rsidRPr="007E0BFF">
        <w:rPr>
          <w:bCs/>
        </w:rPr>
        <w:t xml:space="preserve">€ </w:t>
      </w:r>
      <w:r w:rsidR="00560E43" w:rsidRPr="007E0BFF">
        <w:rPr>
          <w:bCs/>
        </w:rPr>
        <w:t>4,987,555</w:t>
      </w:r>
      <w:r w:rsidR="00B55FE4" w:rsidRPr="007E0BFF">
        <w:rPr>
          <w:bCs/>
        </w:rPr>
        <w:t xml:space="preserve">) </w:t>
      </w:r>
      <w:r w:rsidR="00B52DAE" w:rsidRPr="007E0BFF">
        <w:rPr>
          <w:bCs/>
        </w:rPr>
        <w:t xml:space="preserve">and in </w:t>
      </w:r>
      <w:r w:rsidR="00B55FE4" w:rsidRPr="007E0BFF">
        <w:rPr>
          <w:bCs/>
        </w:rPr>
        <w:t>title</w:t>
      </w:r>
      <w:r w:rsidR="00235DC0">
        <w:rPr>
          <w:bCs/>
        </w:rPr>
        <w:t> </w:t>
      </w:r>
      <w:r w:rsidR="00B55FE4" w:rsidRPr="007E0BFF">
        <w:rPr>
          <w:bCs/>
        </w:rPr>
        <w:t>2 (</w:t>
      </w:r>
      <w:r w:rsidR="00565462" w:rsidRPr="007E0BFF">
        <w:rPr>
          <w:bCs/>
        </w:rPr>
        <w:t>€</w:t>
      </w:r>
      <w:r w:rsidR="003C1512" w:rsidRPr="007E0BFF">
        <w:rPr>
          <w:bCs/>
        </w:rPr>
        <w:t xml:space="preserve"> </w:t>
      </w:r>
      <w:r w:rsidRPr="007E0BFF">
        <w:rPr>
          <w:bCs/>
        </w:rPr>
        <w:t>1,763,605</w:t>
      </w:r>
      <w:r w:rsidR="00B55FE4" w:rsidRPr="007E0BFF">
        <w:rPr>
          <w:bCs/>
        </w:rPr>
        <w:t xml:space="preserve">) </w:t>
      </w:r>
      <w:r w:rsidR="00B52DAE" w:rsidRPr="007E0BFF">
        <w:rPr>
          <w:bCs/>
        </w:rPr>
        <w:t>partial</w:t>
      </w:r>
      <w:r w:rsidR="008415A8" w:rsidRPr="007E0BFF">
        <w:rPr>
          <w:bCs/>
        </w:rPr>
        <w:t xml:space="preserve">ly compensated by a </w:t>
      </w:r>
      <w:r w:rsidR="00B52DAE" w:rsidRPr="007E0BFF">
        <w:rPr>
          <w:bCs/>
        </w:rPr>
        <w:t xml:space="preserve">decrease in </w:t>
      </w:r>
      <w:r w:rsidR="00B55FE4" w:rsidRPr="007E0BFF">
        <w:rPr>
          <w:bCs/>
        </w:rPr>
        <w:t>title 3 (</w:t>
      </w:r>
      <w:r w:rsidR="00565462" w:rsidRPr="007E0BFF">
        <w:rPr>
          <w:bCs/>
        </w:rPr>
        <w:t>€</w:t>
      </w:r>
      <w:r w:rsidRPr="007E0BFF">
        <w:rPr>
          <w:bCs/>
        </w:rPr>
        <w:t xml:space="preserve"> -524,915</w:t>
      </w:r>
      <w:r w:rsidR="00B55FE4" w:rsidRPr="007E0BFF">
        <w:rPr>
          <w:bCs/>
        </w:rPr>
        <w:t>).</w:t>
      </w:r>
    </w:p>
    <w:p w14:paraId="1B6C67C8" w14:textId="1FB59EA6" w:rsidR="000C304B" w:rsidRPr="007E0BFF" w:rsidRDefault="00BF3069" w:rsidP="0037540E">
      <w:pPr>
        <w:tabs>
          <w:tab w:val="left" w:pos="1440"/>
        </w:tabs>
        <w:suppressAutoHyphens/>
        <w:spacing w:after="120"/>
        <w:jc w:val="both"/>
        <w:rPr>
          <w:bCs/>
        </w:rPr>
      </w:pPr>
      <w:r w:rsidRPr="007E0BFF">
        <w:rPr>
          <w:bCs/>
        </w:rPr>
        <w:t xml:space="preserve">On Title 1, the increase results </w:t>
      </w:r>
      <w:r w:rsidR="00B55FE4" w:rsidRPr="007E0BFF">
        <w:rPr>
          <w:bCs/>
        </w:rPr>
        <w:t xml:space="preserve">from </w:t>
      </w:r>
      <w:r w:rsidR="003E79E8" w:rsidRPr="007E0BFF">
        <w:rPr>
          <w:bCs/>
        </w:rPr>
        <w:t>a better</w:t>
      </w:r>
      <w:r w:rsidR="00C83C06" w:rsidRPr="007E0BFF">
        <w:rPr>
          <w:bCs/>
        </w:rPr>
        <w:t xml:space="preserve"> average </w:t>
      </w:r>
      <w:r w:rsidR="003E79E8" w:rsidRPr="007E0BFF">
        <w:rPr>
          <w:bCs/>
        </w:rPr>
        <w:t>occupancy</w:t>
      </w:r>
      <w:r w:rsidR="00C83C06" w:rsidRPr="007E0BFF">
        <w:rPr>
          <w:bCs/>
        </w:rPr>
        <w:t xml:space="preserve"> rate compared to 2018, </w:t>
      </w:r>
      <w:r w:rsidR="00B55FE4" w:rsidRPr="007E0BFF">
        <w:rPr>
          <w:bCs/>
        </w:rPr>
        <w:t>new recruitment</w:t>
      </w:r>
      <w:r w:rsidR="00CB01CD" w:rsidRPr="007E0BFF">
        <w:rPr>
          <w:bCs/>
        </w:rPr>
        <w:t>s</w:t>
      </w:r>
      <w:r w:rsidR="00C83C06" w:rsidRPr="007E0BFF">
        <w:rPr>
          <w:bCs/>
        </w:rPr>
        <w:t xml:space="preserve"> </w:t>
      </w:r>
      <w:r w:rsidR="003E79E8" w:rsidRPr="007E0BFF">
        <w:rPr>
          <w:bCs/>
        </w:rPr>
        <w:t xml:space="preserve">in relation to the </w:t>
      </w:r>
      <w:r w:rsidR="00C83C06" w:rsidRPr="007E0BFF">
        <w:rPr>
          <w:bCs/>
        </w:rPr>
        <w:t>18</w:t>
      </w:r>
      <w:r w:rsidRPr="007E0BFF">
        <w:rPr>
          <w:bCs/>
        </w:rPr>
        <w:t xml:space="preserve"> </w:t>
      </w:r>
      <w:r w:rsidR="00B55FE4" w:rsidRPr="007E0BFF">
        <w:rPr>
          <w:bCs/>
        </w:rPr>
        <w:t>new</w:t>
      </w:r>
      <w:r w:rsidR="00CB01CD" w:rsidRPr="007E0BFF">
        <w:rPr>
          <w:bCs/>
        </w:rPr>
        <w:t>ly</w:t>
      </w:r>
      <w:r w:rsidR="00B55FE4" w:rsidRPr="007E0BFF">
        <w:rPr>
          <w:bCs/>
        </w:rPr>
        <w:t xml:space="preserve"> authorised </w:t>
      </w:r>
      <w:r w:rsidR="00235DC0">
        <w:rPr>
          <w:bCs/>
        </w:rPr>
        <w:t>positions</w:t>
      </w:r>
      <w:r w:rsidR="00235DC0" w:rsidRPr="007E0BFF">
        <w:rPr>
          <w:bCs/>
        </w:rPr>
        <w:t xml:space="preserve"> </w:t>
      </w:r>
      <w:r w:rsidR="003E79E8" w:rsidRPr="007E0BFF">
        <w:rPr>
          <w:bCs/>
        </w:rPr>
        <w:t>for</w:t>
      </w:r>
      <w:r w:rsidR="00C83C06" w:rsidRPr="007E0BFF">
        <w:rPr>
          <w:bCs/>
        </w:rPr>
        <w:t xml:space="preserve"> 2019</w:t>
      </w:r>
      <w:r w:rsidR="00F0281A" w:rsidRPr="007E0BFF">
        <w:rPr>
          <w:bCs/>
        </w:rPr>
        <w:t xml:space="preserve">, </w:t>
      </w:r>
      <w:r w:rsidR="00B55FE4" w:rsidRPr="007E0BFF">
        <w:rPr>
          <w:bCs/>
        </w:rPr>
        <w:t>the salary indexation</w:t>
      </w:r>
      <w:r w:rsidR="003E79E8" w:rsidRPr="007E0BFF">
        <w:rPr>
          <w:bCs/>
        </w:rPr>
        <w:t xml:space="preserve">, </w:t>
      </w:r>
      <w:r w:rsidR="006F041A" w:rsidRPr="007E0BFF">
        <w:rPr>
          <w:bCs/>
        </w:rPr>
        <w:t xml:space="preserve">the impact of </w:t>
      </w:r>
      <w:r w:rsidR="00235DC0">
        <w:rPr>
          <w:bCs/>
        </w:rPr>
        <w:t>reclassifications</w:t>
      </w:r>
      <w:r w:rsidR="00235DC0" w:rsidRPr="007E0BFF">
        <w:rPr>
          <w:bCs/>
        </w:rPr>
        <w:t xml:space="preserve"> </w:t>
      </w:r>
      <w:r w:rsidR="006F041A" w:rsidRPr="007E0BFF">
        <w:rPr>
          <w:bCs/>
        </w:rPr>
        <w:t>and career progression linked to seniority and successful selection in higher function groups</w:t>
      </w:r>
      <w:r w:rsidR="00B55FE4" w:rsidRPr="007E0BFF">
        <w:rPr>
          <w:bCs/>
        </w:rPr>
        <w:t>.</w:t>
      </w:r>
    </w:p>
    <w:p w14:paraId="28D634C5" w14:textId="2F8CE082" w:rsidR="000851C7" w:rsidRPr="007E0BFF" w:rsidRDefault="00B55FE4" w:rsidP="0037540E">
      <w:pPr>
        <w:tabs>
          <w:tab w:val="left" w:pos="1440"/>
        </w:tabs>
        <w:suppressAutoHyphens/>
        <w:spacing w:after="120"/>
        <w:jc w:val="both"/>
        <w:rPr>
          <w:bCs/>
        </w:rPr>
      </w:pPr>
      <w:r w:rsidRPr="007E0BFF">
        <w:rPr>
          <w:bCs/>
        </w:rPr>
        <w:t xml:space="preserve">On </w:t>
      </w:r>
      <w:r w:rsidR="009C4D27" w:rsidRPr="007E0BFF">
        <w:rPr>
          <w:bCs/>
        </w:rPr>
        <w:t>T</w:t>
      </w:r>
      <w:r w:rsidRPr="007E0BFF">
        <w:rPr>
          <w:bCs/>
        </w:rPr>
        <w:t>itle 2</w:t>
      </w:r>
      <w:r w:rsidR="00BF3069" w:rsidRPr="007E0BFF">
        <w:rPr>
          <w:bCs/>
        </w:rPr>
        <w:t xml:space="preserve">, </w:t>
      </w:r>
      <w:r w:rsidR="00CF5BD3" w:rsidRPr="007E0BFF">
        <w:rPr>
          <w:bCs/>
        </w:rPr>
        <w:t>appropriations are incresead</w:t>
      </w:r>
      <w:r w:rsidR="0087281C" w:rsidRPr="007E0BFF">
        <w:rPr>
          <w:bCs/>
        </w:rPr>
        <w:t xml:space="preserve"> mainly</w:t>
      </w:r>
      <w:r w:rsidR="00CF5BD3" w:rsidRPr="007E0BFF">
        <w:rPr>
          <w:bCs/>
        </w:rPr>
        <w:t xml:space="preserve"> to </w:t>
      </w:r>
      <w:r w:rsidR="004008A5" w:rsidRPr="007E0BFF">
        <w:rPr>
          <w:bCs/>
        </w:rPr>
        <w:t xml:space="preserve">cover the cost of </w:t>
      </w:r>
      <w:r w:rsidR="00B83C49" w:rsidRPr="007E0BFF">
        <w:rPr>
          <w:bCs/>
        </w:rPr>
        <w:t xml:space="preserve">the </w:t>
      </w:r>
      <w:r w:rsidR="0020116C" w:rsidRPr="007E0BFF">
        <w:rPr>
          <w:bCs/>
        </w:rPr>
        <w:t xml:space="preserve">2 </w:t>
      </w:r>
      <w:r w:rsidR="00B83C49" w:rsidRPr="007E0BFF">
        <w:rPr>
          <w:bCs/>
        </w:rPr>
        <w:t xml:space="preserve">additional </w:t>
      </w:r>
      <w:r w:rsidR="0020116C" w:rsidRPr="007E0BFF">
        <w:rPr>
          <w:bCs/>
        </w:rPr>
        <w:t xml:space="preserve">floors of </w:t>
      </w:r>
      <w:r w:rsidR="00B83C49" w:rsidRPr="007E0BFF">
        <w:rPr>
          <w:bCs/>
        </w:rPr>
        <w:t xml:space="preserve">office space </w:t>
      </w:r>
      <w:r w:rsidR="0020116C" w:rsidRPr="007E0BFF">
        <w:rPr>
          <w:bCs/>
        </w:rPr>
        <w:t xml:space="preserve">made available to REA in 2019 </w:t>
      </w:r>
      <w:r w:rsidR="00B83C49" w:rsidRPr="007E0BFF">
        <w:rPr>
          <w:bCs/>
        </w:rPr>
        <w:t xml:space="preserve">and </w:t>
      </w:r>
      <w:r w:rsidR="00AB1A76" w:rsidRPr="007E0BFF">
        <w:rPr>
          <w:bCs/>
        </w:rPr>
        <w:t xml:space="preserve">also </w:t>
      </w:r>
      <w:r w:rsidR="00B83C49" w:rsidRPr="007E0BFF">
        <w:rPr>
          <w:bCs/>
        </w:rPr>
        <w:t xml:space="preserve">the indexation of the </w:t>
      </w:r>
      <w:r w:rsidR="0087281C" w:rsidRPr="007E0BFF">
        <w:rPr>
          <w:bCs/>
        </w:rPr>
        <w:t>usufruct instalments.</w:t>
      </w:r>
      <w:r w:rsidR="00B83C49" w:rsidRPr="007E0BFF">
        <w:rPr>
          <w:bCs/>
        </w:rPr>
        <w:t xml:space="preserve"> </w:t>
      </w:r>
      <w:r w:rsidR="000851C7" w:rsidRPr="007E0BFF">
        <w:rPr>
          <w:bCs/>
        </w:rPr>
        <w:t xml:space="preserve">In addition, this initial budget provides for the charge-back, announced by the Commission, related to the costs incurred for the development of </w:t>
      </w:r>
      <w:r w:rsidR="00217077" w:rsidRPr="007E0BFF">
        <w:rPr>
          <w:bCs/>
        </w:rPr>
        <w:t>SUMMA</w:t>
      </w:r>
      <w:r w:rsidR="00235DC0">
        <w:rPr>
          <w:bCs/>
        </w:rPr>
        <w:t xml:space="preserve"> (the new budgetary accounting system)</w:t>
      </w:r>
      <w:r w:rsidR="000851C7" w:rsidRPr="007E0BFF">
        <w:rPr>
          <w:bCs/>
        </w:rPr>
        <w:t>.</w:t>
      </w:r>
    </w:p>
    <w:p w14:paraId="3CB321E0" w14:textId="77777777" w:rsidR="00AB1A76" w:rsidRPr="007E0BFF" w:rsidRDefault="007C0A91" w:rsidP="0037540E">
      <w:pPr>
        <w:tabs>
          <w:tab w:val="left" w:pos="1440"/>
        </w:tabs>
        <w:suppressAutoHyphens/>
        <w:spacing w:after="120"/>
        <w:jc w:val="both"/>
        <w:rPr>
          <w:bCs/>
        </w:rPr>
      </w:pPr>
      <w:r w:rsidRPr="007E0BFF">
        <w:rPr>
          <w:bCs/>
        </w:rPr>
        <w:t xml:space="preserve">On the contrary, </w:t>
      </w:r>
      <w:r w:rsidR="00B55FE4" w:rsidRPr="007E0BFF">
        <w:rPr>
          <w:bCs/>
        </w:rPr>
        <w:t xml:space="preserve">expenses </w:t>
      </w:r>
      <w:r w:rsidRPr="007E0BFF">
        <w:rPr>
          <w:bCs/>
        </w:rPr>
        <w:t xml:space="preserve">on </w:t>
      </w:r>
      <w:r w:rsidR="009C4D27" w:rsidRPr="007E0BFF">
        <w:rPr>
          <w:bCs/>
        </w:rPr>
        <w:t>T</w:t>
      </w:r>
      <w:r w:rsidRPr="007E0BFF">
        <w:rPr>
          <w:bCs/>
        </w:rPr>
        <w:t xml:space="preserve">itle 3 </w:t>
      </w:r>
      <w:r w:rsidR="00B55FE4" w:rsidRPr="007E0BFF">
        <w:rPr>
          <w:bCs/>
        </w:rPr>
        <w:t xml:space="preserve">are </w:t>
      </w:r>
      <w:r w:rsidR="0087281C" w:rsidRPr="007E0BFF">
        <w:rPr>
          <w:bCs/>
        </w:rPr>
        <w:t xml:space="preserve">decreasing </w:t>
      </w:r>
      <w:r w:rsidR="000851C7" w:rsidRPr="007E0BFF">
        <w:rPr>
          <w:bCs/>
        </w:rPr>
        <w:t>in 2019</w:t>
      </w:r>
      <w:r w:rsidR="009C4D27" w:rsidRPr="007E0BFF">
        <w:rPr>
          <w:bCs/>
        </w:rPr>
        <w:t xml:space="preserve"> </w:t>
      </w:r>
      <w:r w:rsidR="005E7A88" w:rsidRPr="007E0BFF">
        <w:rPr>
          <w:bCs/>
        </w:rPr>
        <w:t xml:space="preserve">given that </w:t>
      </w:r>
      <w:r w:rsidR="00AB1A76" w:rsidRPr="007E0BFF">
        <w:rPr>
          <w:bCs/>
        </w:rPr>
        <w:t>the Agency made significant investments in 2017</w:t>
      </w:r>
      <w:r w:rsidR="000851C7" w:rsidRPr="007E0BFF">
        <w:rPr>
          <w:bCs/>
        </w:rPr>
        <w:t xml:space="preserve"> and 2018</w:t>
      </w:r>
      <w:r w:rsidR="00AB1A76" w:rsidRPr="007E0BFF">
        <w:rPr>
          <w:bCs/>
        </w:rPr>
        <w:t xml:space="preserve"> to renew </w:t>
      </w:r>
      <w:r w:rsidR="009C4D27" w:rsidRPr="007E0BFF">
        <w:rPr>
          <w:bCs/>
        </w:rPr>
        <w:t xml:space="preserve">and replace </w:t>
      </w:r>
      <w:r w:rsidR="00AB1A76" w:rsidRPr="007E0BFF">
        <w:rPr>
          <w:bCs/>
        </w:rPr>
        <w:t>equipment</w:t>
      </w:r>
      <w:r w:rsidR="009C4D27" w:rsidRPr="007E0BFF">
        <w:rPr>
          <w:bCs/>
        </w:rPr>
        <w:t xml:space="preserve"> in</w:t>
      </w:r>
      <w:r w:rsidR="005E7A88" w:rsidRPr="007E0BFF">
        <w:rPr>
          <w:bCs/>
        </w:rPr>
        <w:t xml:space="preserve"> the evaluation platform.</w:t>
      </w:r>
    </w:p>
    <w:p w14:paraId="3F276854" w14:textId="77777777" w:rsidR="00B55FE4" w:rsidRPr="007E0BFF" w:rsidRDefault="00B55FE4" w:rsidP="0037540E">
      <w:pPr>
        <w:tabs>
          <w:tab w:val="left" w:pos="1440"/>
        </w:tabs>
        <w:suppressAutoHyphens/>
        <w:spacing w:before="240" w:after="120"/>
        <w:jc w:val="both"/>
        <w:rPr>
          <w:b/>
          <w:i/>
        </w:rPr>
      </w:pPr>
      <w:r w:rsidRPr="007E0BFF">
        <w:rPr>
          <w:b/>
          <w:i/>
        </w:rPr>
        <w:t xml:space="preserve">Budget </w:t>
      </w:r>
      <w:r w:rsidR="00116094" w:rsidRPr="007E0BFF">
        <w:rPr>
          <w:b/>
          <w:i/>
        </w:rPr>
        <w:t>transfers</w:t>
      </w:r>
    </w:p>
    <w:p w14:paraId="65DA277E" w14:textId="77777777" w:rsidR="00F140CD" w:rsidRPr="007E0BFF" w:rsidRDefault="00F140CD" w:rsidP="00AF565D">
      <w:pPr>
        <w:tabs>
          <w:tab w:val="left" w:pos="5580"/>
        </w:tabs>
        <w:spacing w:after="120"/>
        <w:jc w:val="both"/>
      </w:pPr>
      <w:r w:rsidRPr="007E0BFF">
        <w:t>In August, a transfer of € 5,340 inside chapter 12 was authorised by the Director to cover a small increase in the number of missions related to the professional and personal development of staff (budget line 1222) and to allow the purchase of commemorative medals for the staff in the context of REA's 10</w:t>
      </w:r>
      <w:r w:rsidRPr="007E0BFF">
        <w:rPr>
          <w:vertAlign w:val="superscript"/>
        </w:rPr>
        <w:t>th</w:t>
      </w:r>
      <w:r w:rsidRPr="007E0BFF">
        <w:t xml:space="preserve"> Anniversary celebration (budget line 1231). </w:t>
      </w:r>
      <w:r w:rsidR="00E82107" w:rsidRPr="007E0BFF">
        <w:t xml:space="preserve">The corresponding deduction was made on the budget line 1211 "Specific staff related charges, support services for the management of staff rights and payroll, charges relating to recruitment and change of personnel". </w:t>
      </w:r>
    </w:p>
    <w:p w14:paraId="7D2A09D3" w14:textId="77777777" w:rsidR="009F35C8" w:rsidRPr="007E0BFF" w:rsidRDefault="00B55FE4" w:rsidP="009F35C8">
      <w:pPr>
        <w:spacing w:after="120"/>
        <w:jc w:val="both"/>
      </w:pPr>
      <w:r w:rsidRPr="007E0BFF">
        <w:t xml:space="preserve">In </w:t>
      </w:r>
      <w:r w:rsidR="00E82107" w:rsidRPr="007E0BFF">
        <w:t>October 2019</w:t>
      </w:r>
      <w:r w:rsidRPr="007E0BFF">
        <w:t xml:space="preserve">, </w:t>
      </w:r>
      <w:r w:rsidR="00116094" w:rsidRPr="007E0BFF">
        <w:t xml:space="preserve">the Steering Committee adopted a </w:t>
      </w:r>
      <w:r w:rsidR="00FF0816" w:rsidRPr="007E0BFF">
        <w:t xml:space="preserve">first budget </w:t>
      </w:r>
      <w:r w:rsidR="00E82107" w:rsidRPr="007E0BFF">
        <w:t>transfer of € 1,051,905</w:t>
      </w:r>
      <w:r w:rsidR="00FF0816" w:rsidRPr="007E0BFF">
        <w:t xml:space="preserve"> (1</w:t>
      </w:r>
      <w:r w:rsidR="004F3F34" w:rsidRPr="007E0BFF">
        <w:t>.</w:t>
      </w:r>
      <w:r w:rsidR="00E82107" w:rsidRPr="007E0BFF">
        <w:t>4</w:t>
      </w:r>
      <w:r w:rsidR="00FF0816" w:rsidRPr="007E0BFF">
        <w:t>% of the total budget)</w:t>
      </w:r>
      <w:r w:rsidR="00116094" w:rsidRPr="007E0BFF">
        <w:t>.</w:t>
      </w:r>
    </w:p>
    <w:p w14:paraId="50C7E9EC" w14:textId="1593FF67" w:rsidR="007A1B27" w:rsidRPr="007E0BFF" w:rsidRDefault="00D50A91" w:rsidP="009F35C8">
      <w:pPr>
        <w:spacing w:after="120"/>
        <w:jc w:val="both"/>
      </w:pPr>
      <w:r w:rsidRPr="007E0BFF">
        <w:t xml:space="preserve">On the one hand, the following </w:t>
      </w:r>
      <w:r w:rsidR="00F27FE8" w:rsidRPr="007E0BFF">
        <w:t xml:space="preserve">budget </w:t>
      </w:r>
      <w:r w:rsidRPr="007E0BFF">
        <w:t xml:space="preserve">lines have been reinforced to cover expenses </w:t>
      </w:r>
      <w:r w:rsidR="00235DC0" w:rsidRPr="007E0BFF">
        <w:t xml:space="preserve">higher </w:t>
      </w:r>
      <w:r w:rsidRPr="007E0BFF">
        <w:t>than expected:</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85" w:type="dxa"/>
          <w:right w:w="85" w:type="dxa"/>
        </w:tblCellMar>
        <w:tblLook w:val="04A0" w:firstRow="1" w:lastRow="0" w:firstColumn="1" w:lastColumn="0" w:noHBand="0" w:noVBand="1"/>
      </w:tblPr>
      <w:tblGrid>
        <w:gridCol w:w="804"/>
        <w:gridCol w:w="2520"/>
        <w:gridCol w:w="1297"/>
        <w:gridCol w:w="4575"/>
      </w:tblGrid>
      <w:tr w:rsidR="00493518" w:rsidRPr="009F0DD3" w14:paraId="53F3FD2D" w14:textId="77777777" w:rsidTr="00493518">
        <w:trPr>
          <w:trHeight w:val="20"/>
          <w:tblHeader/>
        </w:trPr>
        <w:tc>
          <w:tcPr>
            <w:tcW w:w="804" w:type="dxa"/>
            <w:shd w:val="clear" w:color="auto" w:fill="D9D9D9" w:themeFill="background1" w:themeFillShade="D9"/>
            <w:vAlign w:val="center"/>
          </w:tcPr>
          <w:p w14:paraId="2065EFC2" w14:textId="77777777" w:rsidR="00F826D4" w:rsidRPr="00493518" w:rsidRDefault="00F826D4" w:rsidP="00D12FEE">
            <w:pPr>
              <w:pStyle w:val="Text2"/>
              <w:spacing w:after="0"/>
              <w:ind w:left="0"/>
              <w:jc w:val="center"/>
              <w:rPr>
                <w:rFonts w:asciiTheme="minorHAnsi" w:hAnsiTheme="minorHAnsi"/>
                <w:b/>
                <w:sz w:val="18"/>
                <w:szCs w:val="18"/>
              </w:rPr>
            </w:pPr>
            <w:r w:rsidRPr="00493518">
              <w:rPr>
                <w:rFonts w:asciiTheme="minorHAnsi" w:hAnsiTheme="minorHAnsi"/>
                <w:b/>
                <w:sz w:val="18"/>
                <w:szCs w:val="18"/>
              </w:rPr>
              <w:t>Budget Line</w:t>
            </w:r>
          </w:p>
        </w:tc>
        <w:tc>
          <w:tcPr>
            <w:tcW w:w="2520" w:type="dxa"/>
            <w:shd w:val="clear" w:color="auto" w:fill="D9D9D9" w:themeFill="background1" w:themeFillShade="D9"/>
            <w:vAlign w:val="center"/>
          </w:tcPr>
          <w:p w14:paraId="01ABA3F9" w14:textId="77777777" w:rsidR="00F826D4" w:rsidRPr="00493518" w:rsidRDefault="00F826D4" w:rsidP="00493518">
            <w:pPr>
              <w:pStyle w:val="Text2"/>
              <w:spacing w:after="0"/>
              <w:ind w:left="0"/>
              <w:jc w:val="center"/>
              <w:rPr>
                <w:rFonts w:asciiTheme="minorHAnsi" w:hAnsiTheme="minorHAnsi"/>
                <w:b/>
                <w:sz w:val="18"/>
                <w:szCs w:val="18"/>
              </w:rPr>
            </w:pPr>
            <w:r w:rsidRPr="00493518">
              <w:rPr>
                <w:rFonts w:asciiTheme="minorHAnsi" w:hAnsiTheme="minorHAnsi"/>
                <w:b/>
                <w:sz w:val="18"/>
                <w:szCs w:val="18"/>
              </w:rPr>
              <w:t>Description</w:t>
            </w:r>
          </w:p>
        </w:tc>
        <w:tc>
          <w:tcPr>
            <w:tcW w:w="1297" w:type="dxa"/>
            <w:shd w:val="clear" w:color="auto" w:fill="D9D9D9" w:themeFill="background1" w:themeFillShade="D9"/>
            <w:vAlign w:val="center"/>
          </w:tcPr>
          <w:p w14:paraId="30BE274E" w14:textId="77777777" w:rsidR="00F826D4" w:rsidRPr="00493518" w:rsidRDefault="00F826D4" w:rsidP="00D12FEE">
            <w:pPr>
              <w:pStyle w:val="Text2"/>
              <w:spacing w:after="0"/>
              <w:ind w:left="0"/>
              <w:jc w:val="center"/>
              <w:rPr>
                <w:rFonts w:asciiTheme="minorHAnsi" w:hAnsiTheme="minorHAnsi"/>
                <w:b/>
                <w:sz w:val="18"/>
                <w:szCs w:val="18"/>
              </w:rPr>
            </w:pPr>
            <w:r w:rsidRPr="00493518">
              <w:rPr>
                <w:rFonts w:asciiTheme="minorHAnsi" w:hAnsiTheme="minorHAnsi"/>
                <w:b/>
                <w:sz w:val="18"/>
                <w:szCs w:val="18"/>
              </w:rPr>
              <w:t>Amount (EUR)</w:t>
            </w:r>
          </w:p>
        </w:tc>
        <w:tc>
          <w:tcPr>
            <w:tcW w:w="4575" w:type="dxa"/>
            <w:shd w:val="clear" w:color="auto" w:fill="D9D9D9" w:themeFill="background1" w:themeFillShade="D9"/>
            <w:vAlign w:val="center"/>
          </w:tcPr>
          <w:p w14:paraId="09F69663" w14:textId="77777777" w:rsidR="00F826D4" w:rsidRPr="00493518" w:rsidRDefault="00F826D4" w:rsidP="00D12FEE">
            <w:pPr>
              <w:pStyle w:val="Text2"/>
              <w:spacing w:before="120" w:after="120"/>
              <w:ind w:left="0"/>
              <w:jc w:val="center"/>
              <w:rPr>
                <w:rFonts w:asciiTheme="minorHAnsi" w:hAnsiTheme="minorHAnsi"/>
                <w:b/>
                <w:sz w:val="18"/>
                <w:szCs w:val="18"/>
              </w:rPr>
            </w:pPr>
            <w:r w:rsidRPr="00493518">
              <w:rPr>
                <w:rFonts w:asciiTheme="minorHAnsi" w:hAnsiTheme="minorHAnsi"/>
                <w:b/>
                <w:sz w:val="18"/>
                <w:szCs w:val="18"/>
              </w:rPr>
              <w:t>Reason</w:t>
            </w:r>
          </w:p>
        </w:tc>
      </w:tr>
      <w:tr w:rsidR="00493518" w:rsidRPr="00877742" w14:paraId="4CD2066F" w14:textId="77777777" w:rsidTr="00493518">
        <w:trPr>
          <w:trHeight w:val="20"/>
        </w:trPr>
        <w:tc>
          <w:tcPr>
            <w:tcW w:w="804" w:type="dxa"/>
            <w:vAlign w:val="center"/>
          </w:tcPr>
          <w:p w14:paraId="52447D71" w14:textId="77777777" w:rsidR="00F826D4" w:rsidRPr="00493518" w:rsidRDefault="00F826D4" w:rsidP="00493518">
            <w:pPr>
              <w:jc w:val="center"/>
              <w:rPr>
                <w:rFonts w:asciiTheme="minorHAnsi" w:hAnsiTheme="minorHAnsi"/>
                <w:b/>
                <w:bCs/>
                <w:i/>
                <w:sz w:val="18"/>
                <w:szCs w:val="18"/>
              </w:rPr>
            </w:pPr>
            <w:r w:rsidRPr="00493518">
              <w:rPr>
                <w:rFonts w:asciiTheme="minorHAnsi" w:hAnsiTheme="minorHAnsi"/>
                <w:b/>
                <w:bCs/>
                <w:i/>
                <w:sz w:val="18"/>
                <w:szCs w:val="18"/>
              </w:rPr>
              <w:t>1111</w:t>
            </w:r>
          </w:p>
        </w:tc>
        <w:tc>
          <w:tcPr>
            <w:tcW w:w="2520" w:type="dxa"/>
          </w:tcPr>
          <w:p w14:paraId="288D2694" w14:textId="77777777" w:rsidR="00F826D4" w:rsidRPr="00493518" w:rsidRDefault="00F826D4" w:rsidP="00493518">
            <w:pPr>
              <w:ind w:right="61"/>
              <w:rPr>
                <w:rFonts w:asciiTheme="minorHAnsi" w:hAnsiTheme="minorHAnsi"/>
                <w:bCs/>
                <w:i/>
                <w:sz w:val="18"/>
                <w:szCs w:val="18"/>
              </w:rPr>
            </w:pPr>
            <w:r w:rsidRPr="00493518">
              <w:rPr>
                <w:rFonts w:asciiTheme="minorHAnsi" w:hAnsiTheme="minorHAnsi"/>
                <w:bCs/>
                <w:i/>
                <w:sz w:val="18"/>
                <w:szCs w:val="18"/>
              </w:rPr>
              <w:t>Temporary Agents - Remuneration, Allowances and Charges</w:t>
            </w:r>
          </w:p>
        </w:tc>
        <w:tc>
          <w:tcPr>
            <w:tcW w:w="1297" w:type="dxa"/>
            <w:vAlign w:val="center"/>
          </w:tcPr>
          <w:p w14:paraId="4A0DBD07" w14:textId="77777777" w:rsidR="00F826D4" w:rsidRPr="00493518" w:rsidRDefault="00F826D4" w:rsidP="00493518">
            <w:pPr>
              <w:ind w:right="61"/>
              <w:jc w:val="right"/>
              <w:rPr>
                <w:rFonts w:asciiTheme="minorHAnsi" w:hAnsiTheme="minorHAnsi"/>
                <w:b/>
                <w:bCs/>
                <w:sz w:val="18"/>
                <w:szCs w:val="18"/>
              </w:rPr>
            </w:pPr>
            <w:r w:rsidRPr="00493518">
              <w:rPr>
                <w:rFonts w:asciiTheme="minorHAnsi" w:hAnsiTheme="minorHAnsi"/>
                <w:b/>
                <w:bCs/>
                <w:sz w:val="18"/>
                <w:szCs w:val="18"/>
              </w:rPr>
              <w:t>+</w:t>
            </w:r>
            <w:r w:rsidR="00493518">
              <w:rPr>
                <w:rFonts w:asciiTheme="minorHAnsi" w:hAnsiTheme="minorHAnsi"/>
                <w:b/>
                <w:bCs/>
                <w:sz w:val="18"/>
                <w:szCs w:val="18"/>
              </w:rPr>
              <w:t xml:space="preserve"> </w:t>
            </w:r>
            <w:r w:rsidRPr="00493518">
              <w:rPr>
                <w:rFonts w:asciiTheme="minorHAnsi" w:hAnsiTheme="minorHAnsi"/>
                <w:b/>
                <w:bCs/>
                <w:sz w:val="18"/>
                <w:szCs w:val="18"/>
              </w:rPr>
              <w:t xml:space="preserve">84,450 </w:t>
            </w:r>
          </w:p>
        </w:tc>
        <w:tc>
          <w:tcPr>
            <w:tcW w:w="4575" w:type="dxa"/>
            <w:vAlign w:val="center"/>
          </w:tcPr>
          <w:p w14:paraId="0C199767" w14:textId="77777777" w:rsidR="00F826D4" w:rsidRPr="00493518" w:rsidRDefault="00F826D4" w:rsidP="000045CD">
            <w:pPr>
              <w:pStyle w:val="Text2"/>
              <w:spacing w:after="0"/>
              <w:ind w:left="0"/>
              <w:jc w:val="left"/>
              <w:rPr>
                <w:rFonts w:asciiTheme="minorHAnsi" w:hAnsiTheme="minorHAnsi"/>
                <w:sz w:val="18"/>
                <w:szCs w:val="18"/>
              </w:rPr>
            </w:pPr>
            <w:r w:rsidRPr="00493518">
              <w:rPr>
                <w:rFonts w:asciiTheme="minorHAnsi" w:hAnsiTheme="minorHAnsi"/>
                <w:sz w:val="18"/>
                <w:szCs w:val="18"/>
              </w:rPr>
              <w:t>Average salaries and indexation higher than estimates.</w:t>
            </w:r>
          </w:p>
        </w:tc>
      </w:tr>
      <w:tr w:rsidR="00493518" w:rsidRPr="00877742" w14:paraId="2667F958" w14:textId="77777777" w:rsidTr="00493518">
        <w:trPr>
          <w:trHeight w:val="20"/>
        </w:trPr>
        <w:tc>
          <w:tcPr>
            <w:tcW w:w="804" w:type="dxa"/>
            <w:vAlign w:val="center"/>
          </w:tcPr>
          <w:p w14:paraId="304DBD1F" w14:textId="77777777" w:rsidR="00F826D4" w:rsidRPr="00493518" w:rsidRDefault="00F826D4" w:rsidP="00493518">
            <w:pPr>
              <w:jc w:val="center"/>
              <w:rPr>
                <w:rFonts w:asciiTheme="minorHAnsi" w:hAnsiTheme="minorHAnsi"/>
                <w:b/>
                <w:bCs/>
                <w:i/>
                <w:sz w:val="18"/>
                <w:szCs w:val="18"/>
              </w:rPr>
            </w:pPr>
            <w:r w:rsidRPr="00493518">
              <w:rPr>
                <w:rFonts w:asciiTheme="minorHAnsi" w:hAnsiTheme="minorHAnsi"/>
                <w:b/>
                <w:bCs/>
                <w:i/>
                <w:sz w:val="18"/>
                <w:szCs w:val="18"/>
              </w:rPr>
              <w:t>1121</w:t>
            </w:r>
          </w:p>
        </w:tc>
        <w:tc>
          <w:tcPr>
            <w:tcW w:w="2520" w:type="dxa"/>
          </w:tcPr>
          <w:p w14:paraId="315D1E36" w14:textId="77777777" w:rsidR="00F826D4" w:rsidRPr="00493518" w:rsidRDefault="00F826D4" w:rsidP="00493518">
            <w:pPr>
              <w:ind w:right="61"/>
              <w:rPr>
                <w:rFonts w:asciiTheme="minorHAnsi" w:hAnsiTheme="minorHAnsi"/>
                <w:bCs/>
                <w:i/>
                <w:sz w:val="18"/>
                <w:szCs w:val="18"/>
              </w:rPr>
            </w:pPr>
            <w:r w:rsidRPr="00493518">
              <w:rPr>
                <w:rFonts w:asciiTheme="minorHAnsi" w:hAnsiTheme="minorHAnsi"/>
                <w:bCs/>
                <w:i/>
                <w:sz w:val="18"/>
                <w:szCs w:val="18"/>
              </w:rPr>
              <w:t>Contract Agents - Remuneration, Allowances and Charges</w:t>
            </w:r>
          </w:p>
        </w:tc>
        <w:tc>
          <w:tcPr>
            <w:tcW w:w="1297" w:type="dxa"/>
            <w:vAlign w:val="center"/>
          </w:tcPr>
          <w:p w14:paraId="5C5CD030" w14:textId="77777777" w:rsidR="00F826D4" w:rsidRPr="00493518" w:rsidRDefault="00493518" w:rsidP="00493518">
            <w:pPr>
              <w:ind w:right="61"/>
              <w:jc w:val="right"/>
              <w:rPr>
                <w:rFonts w:asciiTheme="minorHAnsi" w:hAnsiTheme="minorHAnsi"/>
                <w:b/>
                <w:bCs/>
                <w:sz w:val="18"/>
                <w:szCs w:val="18"/>
              </w:rPr>
            </w:pPr>
            <w:r>
              <w:rPr>
                <w:rFonts w:asciiTheme="minorHAnsi" w:hAnsiTheme="minorHAnsi"/>
                <w:b/>
                <w:bCs/>
                <w:sz w:val="18"/>
                <w:szCs w:val="18"/>
              </w:rPr>
              <w:t xml:space="preserve"> </w:t>
            </w:r>
            <w:r w:rsidR="00F826D4" w:rsidRPr="00493518">
              <w:rPr>
                <w:rFonts w:asciiTheme="minorHAnsi" w:hAnsiTheme="minorHAnsi"/>
                <w:b/>
                <w:bCs/>
                <w:sz w:val="18"/>
                <w:szCs w:val="18"/>
              </w:rPr>
              <w:t>+</w:t>
            </w:r>
            <w:r>
              <w:rPr>
                <w:rFonts w:asciiTheme="minorHAnsi" w:hAnsiTheme="minorHAnsi"/>
                <w:b/>
                <w:bCs/>
                <w:sz w:val="18"/>
                <w:szCs w:val="18"/>
              </w:rPr>
              <w:t xml:space="preserve"> </w:t>
            </w:r>
            <w:r w:rsidR="00F826D4" w:rsidRPr="00493518">
              <w:rPr>
                <w:rFonts w:asciiTheme="minorHAnsi" w:hAnsiTheme="minorHAnsi"/>
                <w:b/>
                <w:bCs/>
                <w:sz w:val="18"/>
                <w:szCs w:val="18"/>
              </w:rPr>
              <w:t xml:space="preserve">511,860 </w:t>
            </w:r>
          </w:p>
        </w:tc>
        <w:tc>
          <w:tcPr>
            <w:tcW w:w="4575" w:type="dxa"/>
            <w:vAlign w:val="center"/>
          </w:tcPr>
          <w:p w14:paraId="6FABA1B8" w14:textId="77777777" w:rsidR="00F826D4" w:rsidRPr="00493518" w:rsidRDefault="00F826D4" w:rsidP="000045CD">
            <w:pPr>
              <w:pStyle w:val="Text2"/>
              <w:spacing w:after="0"/>
              <w:ind w:left="0"/>
              <w:jc w:val="left"/>
              <w:rPr>
                <w:rFonts w:asciiTheme="minorHAnsi" w:hAnsiTheme="minorHAnsi"/>
                <w:sz w:val="18"/>
                <w:szCs w:val="18"/>
              </w:rPr>
            </w:pPr>
            <w:r w:rsidRPr="00493518">
              <w:rPr>
                <w:rFonts w:asciiTheme="minorHAnsi" w:hAnsiTheme="minorHAnsi"/>
                <w:sz w:val="18"/>
                <w:szCs w:val="18"/>
              </w:rPr>
              <w:t>Some recruitments took place earlier than expected. Average salaries and indexation were slightly higher than the estimates.</w:t>
            </w:r>
          </w:p>
        </w:tc>
      </w:tr>
      <w:tr w:rsidR="00493518" w:rsidRPr="00877742" w14:paraId="77274EB4" w14:textId="77777777" w:rsidTr="00493518">
        <w:trPr>
          <w:trHeight w:val="20"/>
        </w:trPr>
        <w:tc>
          <w:tcPr>
            <w:tcW w:w="804" w:type="dxa"/>
            <w:vAlign w:val="center"/>
          </w:tcPr>
          <w:p w14:paraId="7DD57537" w14:textId="77777777" w:rsidR="00F826D4" w:rsidRPr="00493518" w:rsidRDefault="00F826D4" w:rsidP="00493518">
            <w:pPr>
              <w:jc w:val="center"/>
              <w:rPr>
                <w:rFonts w:asciiTheme="minorHAnsi" w:hAnsiTheme="minorHAnsi"/>
                <w:b/>
                <w:bCs/>
                <w:i/>
                <w:sz w:val="18"/>
                <w:szCs w:val="18"/>
              </w:rPr>
            </w:pPr>
            <w:r w:rsidRPr="00493518">
              <w:rPr>
                <w:rFonts w:asciiTheme="minorHAnsi" w:hAnsiTheme="minorHAnsi"/>
                <w:b/>
                <w:bCs/>
                <w:i/>
                <w:sz w:val="18"/>
                <w:szCs w:val="18"/>
              </w:rPr>
              <w:t>1222</w:t>
            </w:r>
          </w:p>
        </w:tc>
        <w:tc>
          <w:tcPr>
            <w:tcW w:w="2520" w:type="dxa"/>
          </w:tcPr>
          <w:p w14:paraId="00FEAD6E" w14:textId="77777777" w:rsidR="00F826D4" w:rsidRPr="00493518" w:rsidRDefault="00493518" w:rsidP="00493518">
            <w:pPr>
              <w:ind w:right="61"/>
              <w:rPr>
                <w:rFonts w:asciiTheme="minorHAnsi" w:hAnsiTheme="minorHAnsi"/>
                <w:bCs/>
                <w:i/>
                <w:sz w:val="18"/>
                <w:szCs w:val="18"/>
              </w:rPr>
            </w:pPr>
            <w:r w:rsidRPr="00493518">
              <w:rPr>
                <w:rFonts w:asciiTheme="minorHAnsi" w:hAnsiTheme="minorHAnsi"/>
                <w:bCs/>
                <w:i/>
                <w:sz w:val="18"/>
                <w:szCs w:val="18"/>
              </w:rPr>
              <w:t>Missions related to the Professional and Personal Development of Staff</w:t>
            </w:r>
          </w:p>
        </w:tc>
        <w:tc>
          <w:tcPr>
            <w:tcW w:w="1297" w:type="dxa"/>
            <w:vAlign w:val="center"/>
          </w:tcPr>
          <w:p w14:paraId="454FFE8C" w14:textId="77777777" w:rsidR="00F826D4" w:rsidRPr="00493518" w:rsidRDefault="00F826D4" w:rsidP="00493518">
            <w:pPr>
              <w:ind w:right="61"/>
              <w:jc w:val="right"/>
              <w:rPr>
                <w:rFonts w:asciiTheme="minorHAnsi" w:hAnsiTheme="minorHAnsi"/>
                <w:b/>
                <w:bCs/>
                <w:sz w:val="18"/>
                <w:szCs w:val="18"/>
              </w:rPr>
            </w:pPr>
            <w:r w:rsidRPr="00493518">
              <w:rPr>
                <w:rFonts w:asciiTheme="minorHAnsi" w:hAnsiTheme="minorHAnsi"/>
                <w:b/>
                <w:bCs/>
                <w:sz w:val="18"/>
                <w:szCs w:val="18"/>
              </w:rPr>
              <w:t xml:space="preserve">+4,190 </w:t>
            </w:r>
          </w:p>
        </w:tc>
        <w:tc>
          <w:tcPr>
            <w:tcW w:w="4575" w:type="dxa"/>
            <w:vAlign w:val="center"/>
          </w:tcPr>
          <w:p w14:paraId="28E5136F" w14:textId="77777777" w:rsidR="00F826D4" w:rsidRPr="00493518" w:rsidRDefault="00F826D4" w:rsidP="00493518">
            <w:pPr>
              <w:pStyle w:val="Text2"/>
              <w:spacing w:after="0"/>
              <w:ind w:left="0"/>
              <w:jc w:val="left"/>
              <w:rPr>
                <w:rFonts w:asciiTheme="minorHAnsi" w:hAnsiTheme="minorHAnsi"/>
                <w:sz w:val="18"/>
                <w:szCs w:val="18"/>
              </w:rPr>
            </w:pPr>
            <w:r w:rsidRPr="00493518">
              <w:rPr>
                <w:rFonts w:asciiTheme="minorHAnsi" w:hAnsiTheme="minorHAnsi"/>
                <w:sz w:val="18"/>
                <w:szCs w:val="18"/>
              </w:rPr>
              <w:t>Increase</w:t>
            </w:r>
            <w:r w:rsidR="000045CD">
              <w:rPr>
                <w:rFonts w:asciiTheme="minorHAnsi" w:hAnsiTheme="minorHAnsi"/>
                <w:sz w:val="18"/>
                <w:szCs w:val="18"/>
              </w:rPr>
              <w:t xml:space="preserve">d </w:t>
            </w:r>
            <w:r w:rsidRPr="00493518">
              <w:rPr>
                <w:rFonts w:asciiTheme="minorHAnsi" w:hAnsiTheme="minorHAnsi"/>
                <w:sz w:val="18"/>
                <w:szCs w:val="18"/>
              </w:rPr>
              <w:t>number of missions related to the Professional and Personal Development of Staff.</w:t>
            </w:r>
          </w:p>
        </w:tc>
      </w:tr>
      <w:tr w:rsidR="00493518" w:rsidRPr="00877742" w14:paraId="787091A1" w14:textId="77777777" w:rsidTr="00493518">
        <w:trPr>
          <w:trHeight w:val="20"/>
        </w:trPr>
        <w:tc>
          <w:tcPr>
            <w:tcW w:w="804" w:type="dxa"/>
            <w:vAlign w:val="center"/>
          </w:tcPr>
          <w:p w14:paraId="3A03573C" w14:textId="77777777" w:rsidR="00F826D4" w:rsidRPr="00493518" w:rsidRDefault="00F826D4" w:rsidP="00493518">
            <w:pPr>
              <w:jc w:val="center"/>
              <w:rPr>
                <w:rFonts w:asciiTheme="minorHAnsi" w:hAnsiTheme="minorHAnsi"/>
                <w:b/>
                <w:bCs/>
                <w:i/>
                <w:sz w:val="18"/>
                <w:szCs w:val="18"/>
              </w:rPr>
            </w:pPr>
            <w:r w:rsidRPr="00493518">
              <w:rPr>
                <w:rFonts w:asciiTheme="minorHAnsi" w:hAnsiTheme="minorHAnsi"/>
                <w:b/>
                <w:bCs/>
                <w:i/>
                <w:sz w:val="18"/>
                <w:szCs w:val="18"/>
              </w:rPr>
              <w:t>1224</w:t>
            </w:r>
          </w:p>
        </w:tc>
        <w:tc>
          <w:tcPr>
            <w:tcW w:w="2520" w:type="dxa"/>
          </w:tcPr>
          <w:p w14:paraId="2D367EC7" w14:textId="77777777" w:rsidR="00F826D4" w:rsidRPr="00493518" w:rsidRDefault="00493518" w:rsidP="00493518">
            <w:pPr>
              <w:ind w:right="61"/>
              <w:rPr>
                <w:rFonts w:asciiTheme="minorHAnsi" w:hAnsiTheme="minorHAnsi"/>
                <w:bCs/>
                <w:i/>
                <w:sz w:val="18"/>
                <w:szCs w:val="18"/>
              </w:rPr>
            </w:pPr>
            <w:r w:rsidRPr="00493518">
              <w:rPr>
                <w:rFonts w:asciiTheme="minorHAnsi" w:hAnsiTheme="minorHAnsi"/>
                <w:bCs/>
                <w:i/>
                <w:sz w:val="18"/>
                <w:szCs w:val="18"/>
              </w:rPr>
              <w:t>Mobility and Other Social expenses</w:t>
            </w:r>
          </w:p>
        </w:tc>
        <w:tc>
          <w:tcPr>
            <w:tcW w:w="1297" w:type="dxa"/>
            <w:vAlign w:val="center"/>
          </w:tcPr>
          <w:p w14:paraId="1EAA53F0" w14:textId="77777777" w:rsidR="00F826D4" w:rsidRPr="00493518" w:rsidRDefault="00F826D4" w:rsidP="00493518">
            <w:pPr>
              <w:ind w:right="61"/>
              <w:jc w:val="right"/>
              <w:rPr>
                <w:rFonts w:asciiTheme="minorHAnsi" w:hAnsiTheme="minorHAnsi"/>
                <w:b/>
                <w:bCs/>
                <w:sz w:val="18"/>
                <w:szCs w:val="18"/>
              </w:rPr>
            </w:pPr>
            <w:r w:rsidRPr="00493518">
              <w:rPr>
                <w:rFonts w:asciiTheme="minorHAnsi" w:hAnsiTheme="minorHAnsi"/>
                <w:b/>
                <w:bCs/>
                <w:sz w:val="18"/>
                <w:szCs w:val="18"/>
              </w:rPr>
              <w:t xml:space="preserve">+10,190 </w:t>
            </w:r>
          </w:p>
        </w:tc>
        <w:tc>
          <w:tcPr>
            <w:tcW w:w="4575" w:type="dxa"/>
            <w:vAlign w:val="center"/>
          </w:tcPr>
          <w:p w14:paraId="0762E825" w14:textId="3C3874C7" w:rsidR="00F826D4" w:rsidRPr="00493518" w:rsidRDefault="00F826D4" w:rsidP="00C45904">
            <w:pPr>
              <w:pStyle w:val="Text2"/>
              <w:spacing w:after="0"/>
              <w:ind w:left="0"/>
              <w:jc w:val="left"/>
              <w:rPr>
                <w:rFonts w:asciiTheme="minorHAnsi" w:hAnsiTheme="minorHAnsi"/>
                <w:sz w:val="18"/>
                <w:szCs w:val="18"/>
              </w:rPr>
            </w:pPr>
            <w:r w:rsidRPr="00493518">
              <w:rPr>
                <w:rFonts w:asciiTheme="minorHAnsi" w:hAnsiTheme="minorHAnsi"/>
                <w:sz w:val="18"/>
                <w:szCs w:val="18"/>
              </w:rPr>
              <w:t>Increase</w:t>
            </w:r>
            <w:r w:rsidR="000045CD">
              <w:rPr>
                <w:rFonts w:asciiTheme="minorHAnsi" w:hAnsiTheme="minorHAnsi"/>
                <w:sz w:val="18"/>
                <w:szCs w:val="18"/>
              </w:rPr>
              <w:t xml:space="preserve">d </w:t>
            </w:r>
            <w:r w:rsidRPr="00493518">
              <w:rPr>
                <w:rFonts w:asciiTheme="minorHAnsi" w:hAnsiTheme="minorHAnsi"/>
                <w:sz w:val="18"/>
                <w:szCs w:val="18"/>
              </w:rPr>
              <w:t>budgetary needs for reimbursement</w:t>
            </w:r>
            <w:r w:rsidR="00235DC0">
              <w:rPr>
                <w:rFonts w:asciiTheme="minorHAnsi" w:hAnsiTheme="minorHAnsi"/>
                <w:sz w:val="18"/>
                <w:szCs w:val="18"/>
              </w:rPr>
              <w:t xml:space="preserve"> </w:t>
            </w:r>
            <w:r w:rsidR="00C45904">
              <w:rPr>
                <w:rFonts w:asciiTheme="minorHAnsi" w:hAnsiTheme="minorHAnsi"/>
                <w:sz w:val="18"/>
                <w:szCs w:val="18"/>
              </w:rPr>
              <w:t xml:space="preserve">to staff </w:t>
            </w:r>
            <w:r w:rsidR="00235DC0">
              <w:rPr>
                <w:rFonts w:asciiTheme="minorHAnsi" w:hAnsiTheme="minorHAnsi"/>
                <w:sz w:val="18"/>
                <w:szCs w:val="18"/>
              </w:rPr>
              <w:t xml:space="preserve">of </w:t>
            </w:r>
            <w:r w:rsidR="00C45904">
              <w:rPr>
                <w:rFonts w:asciiTheme="minorHAnsi" w:hAnsiTheme="minorHAnsi"/>
                <w:sz w:val="18"/>
                <w:szCs w:val="18"/>
              </w:rPr>
              <w:t xml:space="preserve">their costs for </w:t>
            </w:r>
            <w:r w:rsidR="00235DC0" w:rsidRPr="00493518">
              <w:rPr>
                <w:rFonts w:asciiTheme="minorHAnsi" w:hAnsiTheme="minorHAnsi"/>
                <w:sz w:val="18"/>
                <w:szCs w:val="18"/>
              </w:rPr>
              <w:t>public transport</w:t>
            </w:r>
            <w:r w:rsidRPr="00493518">
              <w:rPr>
                <w:rFonts w:asciiTheme="minorHAnsi" w:hAnsiTheme="minorHAnsi"/>
                <w:sz w:val="18"/>
                <w:szCs w:val="18"/>
              </w:rPr>
              <w:t>.</w:t>
            </w:r>
          </w:p>
        </w:tc>
      </w:tr>
      <w:tr w:rsidR="00493518" w:rsidRPr="00877742" w14:paraId="53C32063" w14:textId="77777777" w:rsidTr="00493518">
        <w:trPr>
          <w:trHeight w:val="20"/>
        </w:trPr>
        <w:tc>
          <w:tcPr>
            <w:tcW w:w="804" w:type="dxa"/>
            <w:vAlign w:val="center"/>
          </w:tcPr>
          <w:p w14:paraId="118FC48D" w14:textId="77777777" w:rsidR="00F826D4" w:rsidRPr="00493518" w:rsidRDefault="00F826D4" w:rsidP="00493518">
            <w:pPr>
              <w:jc w:val="center"/>
              <w:rPr>
                <w:rFonts w:asciiTheme="minorHAnsi" w:hAnsiTheme="minorHAnsi"/>
                <w:b/>
                <w:bCs/>
                <w:i/>
                <w:sz w:val="18"/>
                <w:szCs w:val="18"/>
              </w:rPr>
            </w:pPr>
            <w:r w:rsidRPr="00493518">
              <w:rPr>
                <w:rFonts w:asciiTheme="minorHAnsi" w:hAnsiTheme="minorHAnsi"/>
                <w:b/>
                <w:bCs/>
                <w:i/>
                <w:sz w:val="18"/>
                <w:szCs w:val="18"/>
              </w:rPr>
              <w:t>1231</w:t>
            </w:r>
          </w:p>
        </w:tc>
        <w:tc>
          <w:tcPr>
            <w:tcW w:w="2520" w:type="dxa"/>
          </w:tcPr>
          <w:p w14:paraId="537420D3" w14:textId="77777777" w:rsidR="00F826D4" w:rsidRPr="00493518" w:rsidRDefault="00493518" w:rsidP="00493518">
            <w:pPr>
              <w:ind w:right="61"/>
              <w:rPr>
                <w:rFonts w:asciiTheme="minorHAnsi" w:hAnsiTheme="minorHAnsi"/>
                <w:bCs/>
                <w:i/>
                <w:sz w:val="18"/>
                <w:szCs w:val="18"/>
              </w:rPr>
            </w:pPr>
            <w:r w:rsidRPr="00493518">
              <w:rPr>
                <w:rFonts w:asciiTheme="minorHAnsi" w:hAnsiTheme="minorHAnsi"/>
                <w:bCs/>
                <w:i/>
                <w:sz w:val="18"/>
                <w:szCs w:val="18"/>
              </w:rPr>
              <w:t xml:space="preserve">Representation expenses, </w:t>
            </w:r>
            <w:r w:rsidRPr="00493518">
              <w:rPr>
                <w:rFonts w:asciiTheme="minorHAnsi" w:hAnsiTheme="minorHAnsi"/>
                <w:bCs/>
                <w:i/>
                <w:sz w:val="18"/>
                <w:szCs w:val="18"/>
              </w:rPr>
              <w:lastRenderedPageBreak/>
              <w:t>Events and Internal meetings</w:t>
            </w:r>
          </w:p>
        </w:tc>
        <w:tc>
          <w:tcPr>
            <w:tcW w:w="1297" w:type="dxa"/>
            <w:vAlign w:val="center"/>
          </w:tcPr>
          <w:p w14:paraId="291C230F" w14:textId="77777777" w:rsidR="00F826D4" w:rsidRPr="00493518" w:rsidRDefault="00F826D4" w:rsidP="00493518">
            <w:pPr>
              <w:ind w:right="61"/>
              <w:jc w:val="right"/>
              <w:rPr>
                <w:rFonts w:asciiTheme="minorHAnsi" w:hAnsiTheme="minorHAnsi"/>
                <w:b/>
                <w:bCs/>
                <w:sz w:val="18"/>
                <w:szCs w:val="18"/>
              </w:rPr>
            </w:pPr>
            <w:r w:rsidRPr="00493518">
              <w:rPr>
                <w:rFonts w:asciiTheme="minorHAnsi" w:hAnsiTheme="minorHAnsi"/>
                <w:b/>
                <w:bCs/>
                <w:sz w:val="18"/>
                <w:szCs w:val="18"/>
              </w:rPr>
              <w:lastRenderedPageBreak/>
              <w:t xml:space="preserve">+6,700 </w:t>
            </w:r>
          </w:p>
        </w:tc>
        <w:tc>
          <w:tcPr>
            <w:tcW w:w="4575" w:type="dxa"/>
            <w:vAlign w:val="center"/>
          </w:tcPr>
          <w:p w14:paraId="3779B936" w14:textId="77777777" w:rsidR="00F826D4" w:rsidRPr="00493518" w:rsidRDefault="00F826D4" w:rsidP="00493518">
            <w:pPr>
              <w:pStyle w:val="Text2"/>
              <w:spacing w:after="0"/>
              <w:ind w:left="0"/>
              <w:jc w:val="left"/>
              <w:rPr>
                <w:rFonts w:asciiTheme="minorHAnsi" w:hAnsiTheme="minorHAnsi"/>
                <w:sz w:val="18"/>
                <w:szCs w:val="18"/>
              </w:rPr>
            </w:pPr>
            <w:r w:rsidRPr="00493518">
              <w:rPr>
                <w:rFonts w:asciiTheme="minorHAnsi" w:hAnsiTheme="minorHAnsi"/>
                <w:sz w:val="18"/>
                <w:szCs w:val="18"/>
              </w:rPr>
              <w:t xml:space="preserve">The costs of REA's 10-years anniversary event were slightly </w:t>
            </w:r>
            <w:r w:rsidRPr="00493518">
              <w:rPr>
                <w:rFonts w:asciiTheme="minorHAnsi" w:hAnsiTheme="minorHAnsi"/>
                <w:sz w:val="18"/>
                <w:szCs w:val="18"/>
              </w:rPr>
              <w:lastRenderedPageBreak/>
              <w:t>higher than expected.</w:t>
            </w:r>
          </w:p>
        </w:tc>
      </w:tr>
      <w:tr w:rsidR="00493518" w:rsidRPr="00877742" w14:paraId="296F4FE7" w14:textId="77777777" w:rsidTr="00493518">
        <w:trPr>
          <w:trHeight w:val="20"/>
        </w:trPr>
        <w:tc>
          <w:tcPr>
            <w:tcW w:w="804" w:type="dxa"/>
            <w:vAlign w:val="center"/>
          </w:tcPr>
          <w:p w14:paraId="7FBE52A6" w14:textId="77777777" w:rsidR="00F826D4" w:rsidRPr="00493518" w:rsidRDefault="00F826D4" w:rsidP="00493518">
            <w:pPr>
              <w:jc w:val="center"/>
              <w:rPr>
                <w:rFonts w:asciiTheme="minorHAnsi" w:hAnsiTheme="minorHAnsi"/>
                <w:b/>
                <w:bCs/>
                <w:i/>
                <w:sz w:val="18"/>
                <w:szCs w:val="18"/>
              </w:rPr>
            </w:pPr>
            <w:r w:rsidRPr="00493518">
              <w:rPr>
                <w:rFonts w:asciiTheme="minorHAnsi" w:hAnsiTheme="minorHAnsi"/>
                <w:b/>
                <w:bCs/>
                <w:i/>
                <w:sz w:val="18"/>
                <w:szCs w:val="18"/>
              </w:rPr>
              <w:lastRenderedPageBreak/>
              <w:t>2111</w:t>
            </w:r>
          </w:p>
        </w:tc>
        <w:tc>
          <w:tcPr>
            <w:tcW w:w="2520" w:type="dxa"/>
          </w:tcPr>
          <w:p w14:paraId="43759E98" w14:textId="77777777" w:rsidR="00F826D4" w:rsidRPr="00493518" w:rsidRDefault="00493518" w:rsidP="00493518">
            <w:pPr>
              <w:ind w:right="61"/>
              <w:rPr>
                <w:rFonts w:asciiTheme="minorHAnsi" w:hAnsiTheme="minorHAnsi"/>
                <w:bCs/>
                <w:i/>
                <w:sz w:val="18"/>
                <w:szCs w:val="18"/>
              </w:rPr>
            </w:pPr>
            <w:r w:rsidRPr="00493518">
              <w:rPr>
                <w:rFonts w:asciiTheme="minorHAnsi" w:hAnsiTheme="minorHAnsi"/>
                <w:bCs/>
                <w:i/>
                <w:sz w:val="18"/>
                <w:szCs w:val="18"/>
              </w:rPr>
              <w:t>Rent / Usufruct instalments, Building Charges and associated expenses</w:t>
            </w:r>
          </w:p>
        </w:tc>
        <w:tc>
          <w:tcPr>
            <w:tcW w:w="1297" w:type="dxa"/>
            <w:vAlign w:val="center"/>
          </w:tcPr>
          <w:p w14:paraId="12520377" w14:textId="77777777" w:rsidR="00F826D4" w:rsidRPr="00493518" w:rsidRDefault="00F826D4" w:rsidP="00493518">
            <w:pPr>
              <w:ind w:right="61"/>
              <w:jc w:val="right"/>
              <w:rPr>
                <w:rFonts w:asciiTheme="minorHAnsi" w:hAnsiTheme="minorHAnsi"/>
                <w:b/>
                <w:bCs/>
                <w:sz w:val="18"/>
                <w:szCs w:val="18"/>
              </w:rPr>
            </w:pPr>
            <w:r w:rsidRPr="00493518">
              <w:rPr>
                <w:rFonts w:asciiTheme="minorHAnsi" w:hAnsiTheme="minorHAnsi"/>
                <w:b/>
                <w:bCs/>
                <w:sz w:val="18"/>
                <w:szCs w:val="18"/>
              </w:rPr>
              <w:t>+399,815</w:t>
            </w:r>
          </w:p>
        </w:tc>
        <w:tc>
          <w:tcPr>
            <w:tcW w:w="4575" w:type="dxa"/>
            <w:vAlign w:val="center"/>
          </w:tcPr>
          <w:p w14:paraId="6F5BA253" w14:textId="77777777" w:rsidR="00F826D4" w:rsidRPr="00493518" w:rsidRDefault="00F826D4" w:rsidP="000045CD">
            <w:pPr>
              <w:pStyle w:val="Text2"/>
              <w:spacing w:after="0"/>
              <w:ind w:left="0"/>
              <w:jc w:val="left"/>
              <w:rPr>
                <w:rFonts w:asciiTheme="minorHAnsi" w:hAnsiTheme="minorHAnsi"/>
                <w:sz w:val="18"/>
                <w:szCs w:val="18"/>
              </w:rPr>
            </w:pPr>
            <w:r w:rsidRPr="00493518">
              <w:rPr>
                <w:rFonts w:asciiTheme="minorHAnsi" w:hAnsiTheme="minorHAnsi"/>
                <w:sz w:val="18"/>
                <w:szCs w:val="18"/>
              </w:rPr>
              <w:t xml:space="preserve">Expenses related to the SLA with OIB for building management </w:t>
            </w:r>
            <w:r w:rsidR="000045CD">
              <w:rPr>
                <w:rFonts w:asciiTheme="minorHAnsi" w:hAnsiTheme="minorHAnsi"/>
                <w:sz w:val="18"/>
                <w:szCs w:val="18"/>
              </w:rPr>
              <w:t>higher than expected</w:t>
            </w:r>
            <w:r w:rsidRPr="00493518">
              <w:rPr>
                <w:rFonts w:asciiTheme="minorHAnsi" w:hAnsiTheme="minorHAnsi"/>
                <w:sz w:val="18"/>
                <w:szCs w:val="18"/>
              </w:rPr>
              <w:t xml:space="preserve"> due to an increase in office surface occupied by REA and an increase of prices of the services provided by OIB.</w:t>
            </w:r>
          </w:p>
        </w:tc>
      </w:tr>
      <w:tr w:rsidR="00493518" w:rsidRPr="00877742" w14:paraId="0D08CDB3" w14:textId="77777777" w:rsidTr="00493518">
        <w:trPr>
          <w:trHeight w:val="20"/>
        </w:trPr>
        <w:tc>
          <w:tcPr>
            <w:tcW w:w="804" w:type="dxa"/>
            <w:vAlign w:val="center"/>
          </w:tcPr>
          <w:p w14:paraId="2E590D3D" w14:textId="77777777" w:rsidR="00F826D4" w:rsidRPr="00493518" w:rsidRDefault="00F826D4" w:rsidP="00493518">
            <w:pPr>
              <w:jc w:val="center"/>
              <w:rPr>
                <w:rFonts w:asciiTheme="minorHAnsi" w:hAnsiTheme="minorHAnsi"/>
                <w:b/>
                <w:bCs/>
                <w:i/>
                <w:sz w:val="18"/>
                <w:szCs w:val="18"/>
              </w:rPr>
            </w:pPr>
            <w:r w:rsidRPr="00493518">
              <w:rPr>
                <w:rFonts w:asciiTheme="minorHAnsi" w:hAnsiTheme="minorHAnsi"/>
                <w:b/>
                <w:bCs/>
                <w:i/>
                <w:sz w:val="18"/>
                <w:szCs w:val="18"/>
              </w:rPr>
              <w:t>3231</w:t>
            </w:r>
          </w:p>
        </w:tc>
        <w:tc>
          <w:tcPr>
            <w:tcW w:w="2520" w:type="dxa"/>
          </w:tcPr>
          <w:p w14:paraId="295D991B" w14:textId="77777777" w:rsidR="00F826D4" w:rsidRPr="00493518" w:rsidRDefault="00493518" w:rsidP="00493518">
            <w:pPr>
              <w:ind w:right="61"/>
              <w:rPr>
                <w:rFonts w:asciiTheme="minorHAnsi" w:hAnsiTheme="minorHAnsi"/>
                <w:bCs/>
                <w:i/>
                <w:sz w:val="18"/>
                <w:szCs w:val="18"/>
              </w:rPr>
            </w:pPr>
            <w:r w:rsidRPr="00493518">
              <w:rPr>
                <w:rFonts w:asciiTheme="minorHAnsi" w:hAnsiTheme="minorHAnsi"/>
                <w:bCs/>
                <w:i/>
                <w:sz w:val="18"/>
                <w:szCs w:val="18"/>
              </w:rPr>
              <w:t>Meetings of Experts and associated costs</w:t>
            </w:r>
          </w:p>
        </w:tc>
        <w:tc>
          <w:tcPr>
            <w:tcW w:w="1297" w:type="dxa"/>
            <w:vAlign w:val="center"/>
          </w:tcPr>
          <w:p w14:paraId="06C76047" w14:textId="77777777" w:rsidR="00F826D4" w:rsidRPr="00493518" w:rsidRDefault="00F826D4" w:rsidP="00493518">
            <w:pPr>
              <w:ind w:right="61"/>
              <w:jc w:val="right"/>
              <w:rPr>
                <w:rFonts w:asciiTheme="minorHAnsi" w:hAnsiTheme="minorHAnsi"/>
                <w:b/>
                <w:bCs/>
                <w:sz w:val="18"/>
                <w:szCs w:val="18"/>
              </w:rPr>
            </w:pPr>
            <w:r w:rsidRPr="00493518">
              <w:rPr>
                <w:rFonts w:asciiTheme="minorHAnsi" w:hAnsiTheme="minorHAnsi"/>
                <w:b/>
                <w:bCs/>
                <w:sz w:val="18"/>
                <w:szCs w:val="18"/>
              </w:rPr>
              <w:t xml:space="preserve">+34,700 </w:t>
            </w:r>
          </w:p>
        </w:tc>
        <w:tc>
          <w:tcPr>
            <w:tcW w:w="4575" w:type="dxa"/>
            <w:vAlign w:val="center"/>
          </w:tcPr>
          <w:p w14:paraId="29C53180" w14:textId="77777777" w:rsidR="00F826D4" w:rsidRPr="00493518" w:rsidRDefault="00F826D4" w:rsidP="00493518">
            <w:pPr>
              <w:pStyle w:val="Text2"/>
              <w:spacing w:after="0"/>
              <w:ind w:left="0"/>
              <w:jc w:val="left"/>
              <w:rPr>
                <w:rFonts w:asciiTheme="minorHAnsi" w:hAnsiTheme="minorHAnsi"/>
                <w:sz w:val="18"/>
                <w:szCs w:val="18"/>
              </w:rPr>
            </w:pPr>
            <w:r w:rsidRPr="00493518">
              <w:rPr>
                <w:rFonts w:asciiTheme="minorHAnsi" w:hAnsiTheme="minorHAnsi"/>
                <w:sz w:val="18"/>
                <w:szCs w:val="18"/>
              </w:rPr>
              <w:t>Increase</w:t>
            </w:r>
            <w:r w:rsidR="000045CD">
              <w:rPr>
                <w:rFonts w:asciiTheme="minorHAnsi" w:hAnsiTheme="minorHAnsi"/>
                <w:sz w:val="18"/>
                <w:szCs w:val="18"/>
              </w:rPr>
              <w:t xml:space="preserve">d </w:t>
            </w:r>
            <w:r w:rsidRPr="00493518">
              <w:rPr>
                <w:rFonts w:asciiTheme="minorHAnsi" w:hAnsiTheme="minorHAnsi"/>
                <w:sz w:val="18"/>
                <w:szCs w:val="18"/>
              </w:rPr>
              <w:t>budget needs for meetings with expert evaluators and associated costs, including beverages and snacks served during evaluations.</w:t>
            </w:r>
          </w:p>
        </w:tc>
      </w:tr>
    </w:tbl>
    <w:p w14:paraId="25C80978" w14:textId="77777777" w:rsidR="001210A0" w:rsidRPr="00E926A4" w:rsidRDefault="001210A0" w:rsidP="00C45904">
      <w:pPr>
        <w:jc w:val="both"/>
        <w:rPr>
          <w:sz w:val="22"/>
          <w:szCs w:val="22"/>
          <w:u w:val="single"/>
        </w:rPr>
      </w:pPr>
    </w:p>
    <w:p w14:paraId="06201857" w14:textId="77777777" w:rsidR="001210A0" w:rsidRPr="007E0BFF" w:rsidRDefault="00EA761B" w:rsidP="00A64D26">
      <w:pPr>
        <w:pStyle w:val="Text2"/>
        <w:spacing w:after="120"/>
        <w:ind w:left="0"/>
        <w:rPr>
          <w:szCs w:val="24"/>
        </w:rPr>
      </w:pPr>
      <w:r w:rsidRPr="007E0BFF">
        <w:rPr>
          <w:szCs w:val="24"/>
        </w:rPr>
        <w:t xml:space="preserve">On the other hand, the following </w:t>
      </w:r>
      <w:r w:rsidR="001210A0" w:rsidRPr="007E0BFF">
        <w:rPr>
          <w:szCs w:val="24"/>
        </w:rPr>
        <w:t xml:space="preserve">surpluses </w:t>
      </w:r>
      <w:r w:rsidRPr="007E0BFF">
        <w:rPr>
          <w:szCs w:val="24"/>
        </w:rPr>
        <w:t xml:space="preserve">have been </w:t>
      </w:r>
      <w:r w:rsidR="001210A0" w:rsidRPr="007E0BFF">
        <w:rPr>
          <w:szCs w:val="24"/>
        </w:rPr>
        <w:t xml:space="preserve">identified enabling to fund the above-mentioned </w:t>
      </w:r>
      <w:r w:rsidRPr="007E0BFF">
        <w:rPr>
          <w:szCs w:val="24"/>
        </w:rPr>
        <w:t>needs</w:t>
      </w:r>
      <w:r w:rsidR="00E926A4" w:rsidRPr="007E0BFF">
        <w:rPr>
          <w:szCs w:val="24"/>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48"/>
        <w:gridCol w:w="3088"/>
        <w:gridCol w:w="850"/>
        <w:gridCol w:w="4456"/>
      </w:tblGrid>
      <w:tr w:rsidR="00EE0BC5" w:rsidRPr="00FA030E" w14:paraId="57C0A063" w14:textId="77777777" w:rsidTr="007E0BFF">
        <w:trPr>
          <w:tblHeader/>
        </w:trPr>
        <w:tc>
          <w:tcPr>
            <w:tcW w:w="848" w:type="dxa"/>
            <w:shd w:val="clear" w:color="auto" w:fill="D9D9D9" w:themeFill="background1" w:themeFillShade="D9"/>
          </w:tcPr>
          <w:p w14:paraId="1852699F" w14:textId="77777777" w:rsidR="00EE0BC5" w:rsidRPr="00EE0BC5" w:rsidRDefault="00EE0BC5"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Budget Line</w:t>
            </w:r>
          </w:p>
        </w:tc>
        <w:tc>
          <w:tcPr>
            <w:tcW w:w="3088" w:type="dxa"/>
            <w:shd w:val="clear" w:color="auto" w:fill="D9D9D9" w:themeFill="background1" w:themeFillShade="D9"/>
          </w:tcPr>
          <w:p w14:paraId="2CAAAC17" w14:textId="77777777" w:rsidR="00EE0BC5" w:rsidRPr="00EE0BC5" w:rsidRDefault="00EE0BC5"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Description</w:t>
            </w:r>
          </w:p>
        </w:tc>
        <w:tc>
          <w:tcPr>
            <w:tcW w:w="850" w:type="dxa"/>
            <w:shd w:val="clear" w:color="auto" w:fill="D9D9D9" w:themeFill="background1" w:themeFillShade="D9"/>
          </w:tcPr>
          <w:p w14:paraId="2A98B218" w14:textId="77777777" w:rsidR="00EE0BC5" w:rsidRPr="00EE0BC5" w:rsidRDefault="00EE0BC5"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Amount (EUR)</w:t>
            </w:r>
          </w:p>
        </w:tc>
        <w:tc>
          <w:tcPr>
            <w:tcW w:w="4456" w:type="dxa"/>
            <w:shd w:val="clear" w:color="auto" w:fill="D9D9D9" w:themeFill="background1" w:themeFillShade="D9"/>
            <w:vAlign w:val="center"/>
          </w:tcPr>
          <w:p w14:paraId="3EF4FDFD" w14:textId="77777777" w:rsidR="00EE0BC5" w:rsidRPr="00EE0BC5" w:rsidRDefault="00EE0BC5"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Reason</w:t>
            </w:r>
          </w:p>
        </w:tc>
      </w:tr>
      <w:tr w:rsidR="00EE0BC5" w:rsidRPr="00FA030E" w14:paraId="1A2FC332" w14:textId="77777777" w:rsidTr="007E0BFF">
        <w:tc>
          <w:tcPr>
            <w:tcW w:w="848" w:type="dxa"/>
          </w:tcPr>
          <w:p w14:paraId="13D5C8C3"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1132</w:t>
            </w:r>
          </w:p>
        </w:tc>
        <w:tc>
          <w:tcPr>
            <w:tcW w:w="3088" w:type="dxa"/>
          </w:tcPr>
          <w:p w14:paraId="0B83AFAB" w14:textId="77777777" w:rsidR="00EE0BC5" w:rsidRPr="00EE0BC5" w:rsidRDefault="00EE0BC5" w:rsidP="00EE0BC5">
            <w:pPr>
              <w:rPr>
                <w:rFonts w:asciiTheme="minorHAnsi" w:hAnsiTheme="minorHAnsi"/>
                <w:bCs/>
                <w:i/>
                <w:sz w:val="18"/>
                <w:szCs w:val="18"/>
              </w:rPr>
            </w:pPr>
            <w:r w:rsidRPr="00EE0BC5">
              <w:rPr>
                <w:rFonts w:asciiTheme="minorHAnsi" w:hAnsiTheme="minorHAnsi"/>
                <w:bCs/>
                <w:i/>
                <w:sz w:val="18"/>
                <w:szCs w:val="18"/>
              </w:rPr>
              <w:t>Interim supportive agents and Trainees</w:t>
            </w:r>
          </w:p>
        </w:tc>
        <w:tc>
          <w:tcPr>
            <w:tcW w:w="850" w:type="dxa"/>
            <w:vAlign w:val="center"/>
          </w:tcPr>
          <w:p w14:paraId="55F6E9E5"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- 65,085</w:t>
            </w:r>
          </w:p>
        </w:tc>
        <w:tc>
          <w:tcPr>
            <w:tcW w:w="4456" w:type="dxa"/>
            <w:vAlign w:val="center"/>
          </w:tcPr>
          <w:p w14:paraId="7C77C78F"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Reduction of the number of interim staff contracted.</w:t>
            </w:r>
          </w:p>
        </w:tc>
      </w:tr>
      <w:tr w:rsidR="00EE0BC5" w:rsidRPr="00FA030E" w14:paraId="4D8613DC" w14:textId="77777777" w:rsidTr="007E0BFF">
        <w:tc>
          <w:tcPr>
            <w:tcW w:w="848" w:type="dxa"/>
          </w:tcPr>
          <w:p w14:paraId="35600D96"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1211</w:t>
            </w:r>
          </w:p>
        </w:tc>
        <w:tc>
          <w:tcPr>
            <w:tcW w:w="3088" w:type="dxa"/>
          </w:tcPr>
          <w:p w14:paraId="40F604B7" w14:textId="77777777" w:rsidR="00EE0BC5" w:rsidRPr="00EE0BC5" w:rsidRDefault="00EE0BC5" w:rsidP="00EE0BC5">
            <w:pPr>
              <w:rPr>
                <w:rFonts w:asciiTheme="minorHAnsi" w:hAnsiTheme="minorHAnsi"/>
                <w:bCs/>
                <w:i/>
                <w:sz w:val="18"/>
                <w:szCs w:val="18"/>
              </w:rPr>
            </w:pPr>
            <w:r w:rsidRPr="00EE0BC5">
              <w:rPr>
                <w:rFonts w:asciiTheme="minorHAnsi" w:hAnsiTheme="minorHAnsi"/>
                <w:bCs/>
                <w:i/>
                <w:sz w:val="18"/>
                <w:szCs w:val="18"/>
              </w:rPr>
              <w:t>Specific Staff-related Charges, Support Services for the management of Staff Rights and Payroll, Charges relating to Recruitment and Change of Personnel</w:t>
            </w:r>
          </w:p>
        </w:tc>
        <w:tc>
          <w:tcPr>
            <w:tcW w:w="850" w:type="dxa"/>
            <w:vAlign w:val="center"/>
          </w:tcPr>
          <w:p w14:paraId="391FB66D"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- 136,585</w:t>
            </w:r>
          </w:p>
        </w:tc>
        <w:tc>
          <w:tcPr>
            <w:tcW w:w="4456" w:type="dxa"/>
            <w:vAlign w:val="center"/>
          </w:tcPr>
          <w:p w14:paraId="10A63430"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Decrease of the budgetary needs for:</w:t>
            </w:r>
          </w:p>
          <w:p w14:paraId="532CDEF1" w14:textId="77777777" w:rsidR="00EE0BC5" w:rsidRPr="00EE0BC5" w:rsidRDefault="00EE0BC5" w:rsidP="00DE7CF7">
            <w:pPr>
              <w:pStyle w:val="Text2"/>
              <w:numPr>
                <w:ilvl w:val="0"/>
                <w:numId w:val="25"/>
              </w:numPr>
              <w:spacing w:after="0"/>
              <w:jc w:val="left"/>
              <w:rPr>
                <w:rFonts w:asciiTheme="minorHAnsi" w:hAnsiTheme="minorHAnsi"/>
                <w:sz w:val="18"/>
                <w:szCs w:val="18"/>
              </w:rPr>
            </w:pPr>
            <w:r w:rsidRPr="00EE0BC5">
              <w:rPr>
                <w:rFonts w:asciiTheme="minorHAnsi" w:hAnsiTheme="minorHAnsi"/>
                <w:sz w:val="18"/>
                <w:szCs w:val="18"/>
              </w:rPr>
              <w:t>the contribution from REA to the “</w:t>
            </w:r>
            <w:r w:rsidRPr="00EE0BC5">
              <w:rPr>
                <w:rFonts w:asciiTheme="minorHAnsi" w:hAnsiTheme="minorHAnsi"/>
                <w:i/>
                <w:sz w:val="18"/>
                <w:szCs w:val="18"/>
              </w:rPr>
              <w:t>Centre de la petite enfance</w:t>
            </w:r>
            <w:r w:rsidRPr="00EE0BC5">
              <w:rPr>
                <w:rFonts w:asciiTheme="minorHAnsi" w:hAnsiTheme="minorHAnsi"/>
                <w:sz w:val="18"/>
                <w:szCs w:val="18"/>
              </w:rPr>
              <w:t>” (CPE),</w:t>
            </w:r>
          </w:p>
          <w:p w14:paraId="7B71A4A8" w14:textId="77777777" w:rsidR="00EE0BC5" w:rsidRPr="00EE0BC5" w:rsidRDefault="00EE0BC5" w:rsidP="00DE7CF7">
            <w:pPr>
              <w:pStyle w:val="Text2"/>
              <w:numPr>
                <w:ilvl w:val="0"/>
                <w:numId w:val="25"/>
              </w:numPr>
              <w:spacing w:after="0"/>
              <w:jc w:val="left"/>
              <w:rPr>
                <w:rFonts w:asciiTheme="minorHAnsi" w:hAnsiTheme="minorHAnsi"/>
                <w:sz w:val="18"/>
                <w:szCs w:val="18"/>
              </w:rPr>
            </w:pPr>
            <w:r w:rsidRPr="00EE0BC5">
              <w:rPr>
                <w:rFonts w:asciiTheme="minorHAnsi" w:hAnsiTheme="minorHAnsi"/>
                <w:sz w:val="18"/>
                <w:szCs w:val="18"/>
              </w:rPr>
              <w:t>the SLA with PMO and</w:t>
            </w:r>
          </w:p>
          <w:p w14:paraId="51C6AA74" w14:textId="77777777" w:rsidR="00EE0BC5" w:rsidRPr="00EE0BC5" w:rsidRDefault="00EE0BC5" w:rsidP="00DE7CF7">
            <w:pPr>
              <w:pStyle w:val="Text2"/>
              <w:numPr>
                <w:ilvl w:val="0"/>
                <w:numId w:val="25"/>
              </w:numPr>
              <w:spacing w:after="0"/>
              <w:jc w:val="left"/>
              <w:rPr>
                <w:rFonts w:asciiTheme="minorHAnsi" w:hAnsiTheme="minorHAnsi"/>
                <w:sz w:val="18"/>
                <w:szCs w:val="18"/>
              </w:rPr>
            </w:pPr>
            <w:r w:rsidRPr="00EE0BC5">
              <w:rPr>
                <w:rFonts w:asciiTheme="minorHAnsi" w:hAnsiTheme="minorHAnsi"/>
                <w:sz w:val="18"/>
                <w:szCs w:val="18"/>
              </w:rPr>
              <w:t>the reimbursement of costs related to recruitment.</w:t>
            </w:r>
          </w:p>
        </w:tc>
      </w:tr>
      <w:tr w:rsidR="00EE0BC5" w:rsidRPr="00FA030E" w14:paraId="792ABB0E" w14:textId="77777777" w:rsidTr="007E0BFF">
        <w:tc>
          <w:tcPr>
            <w:tcW w:w="848" w:type="dxa"/>
          </w:tcPr>
          <w:p w14:paraId="2BB4B218"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1221</w:t>
            </w:r>
          </w:p>
        </w:tc>
        <w:tc>
          <w:tcPr>
            <w:tcW w:w="3088" w:type="dxa"/>
          </w:tcPr>
          <w:p w14:paraId="4E210E05" w14:textId="77777777" w:rsidR="00EE0BC5" w:rsidRPr="00EE0BC5" w:rsidRDefault="00EE0BC5" w:rsidP="00EE0BC5">
            <w:pPr>
              <w:rPr>
                <w:rFonts w:asciiTheme="minorHAnsi" w:hAnsiTheme="minorHAnsi"/>
                <w:bCs/>
                <w:i/>
                <w:sz w:val="18"/>
                <w:szCs w:val="18"/>
              </w:rPr>
            </w:pPr>
            <w:r w:rsidRPr="00EE0BC5">
              <w:rPr>
                <w:rFonts w:asciiTheme="minorHAnsi" w:hAnsiTheme="minorHAnsi"/>
                <w:bCs/>
                <w:i/>
                <w:sz w:val="18"/>
                <w:szCs w:val="18"/>
              </w:rPr>
              <w:t>Training Courses for the Professional and Personal Development of Staff</w:t>
            </w:r>
          </w:p>
        </w:tc>
        <w:tc>
          <w:tcPr>
            <w:tcW w:w="850" w:type="dxa"/>
            <w:vAlign w:val="center"/>
          </w:tcPr>
          <w:p w14:paraId="6523C4B5"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- 2,955</w:t>
            </w:r>
          </w:p>
        </w:tc>
        <w:tc>
          <w:tcPr>
            <w:tcW w:w="4456" w:type="dxa"/>
            <w:vAlign w:val="center"/>
          </w:tcPr>
          <w:p w14:paraId="283E4D5D" w14:textId="194558B5" w:rsidR="00EE0BC5" w:rsidRPr="00EE0BC5" w:rsidRDefault="00EE0BC5" w:rsidP="00235DC0">
            <w:pPr>
              <w:pStyle w:val="Text2"/>
              <w:spacing w:after="0"/>
              <w:ind w:left="0"/>
              <w:jc w:val="left"/>
              <w:rPr>
                <w:rFonts w:asciiTheme="minorHAnsi" w:hAnsiTheme="minorHAnsi"/>
                <w:sz w:val="18"/>
                <w:szCs w:val="18"/>
              </w:rPr>
            </w:pPr>
            <w:r w:rsidRPr="00EE0BC5">
              <w:rPr>
                <w:rFonts w:asciiTheme="minorHAnsi" w:hAnsiTheme="minorHAnsi"/>
                <w:sz w:val="18"/>
                <w:szCs w:val="18"/>
              </w:rPr>
              <w:t xml:space="preserve">Slight </w:t>
            </w:r>
            <w:r w:rsidR="00235DC0">
              <w:rPr>
                <w:rFonts w:asciiTheme="minorHAnsi" w:hAnsiTheme="minorHAnsi"/>
                <w:sz w:val="18"/>
                <w:szCs w:val="18"/>
              </w:rPr>
              <w:t>decrease in the</w:t>
            </w:r>
            <w:r w:rsidRPr="00EE0BC5">
              <w:rPr>
                <w:rFonts w:asciiTheme="minorHAnsi" w:hAnsiTheme="minorHAnsi"/>
                <w:sz w:val="18"/>
                <w:szCs w:val="18"/>
              </w:rPr>
              <w:t xml:space="preserve"> budgetary needs for Training.</w:t>
            </w:r>
          </w:p>
        </w:tc>
      </w:tr>
      <w:tr w:rsidR="00EE0BC5" w:rsidRPr="00FA030E" w14:paraId="56FF61D7" w14:textId="77777777" w:rsidTr="007E0BFF">
        <w:tc>
          <w:tcPr>
            <w:tcW w:w="848" w:type="dxa"/>
          </w:tcPr>
          <w:p w14:paraId="7756F2DB"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2211</w:t>
            </w:r>
          </w:p>
        </w:tc>
        <w:tc>
          <w:tcPr>
            <w:tcW w:w="3088" w:type="dxa"/>
          </w:tcPr>
          <w:p w14:paraId="5DAFB59E"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ICT Environment (Infrastructure, Systems and Services)</w:t>
            </w:r>
          </w:p>
        </w:tc>
        <w:tc>
          <w:tcPr>
            <w:tcW w:w="850" w:type="dxa"/>
            <w:vAlign w:val="center"/>
          </w:tcPr>
          <w:p w14:paraId="38D74431"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- 471,835</w:t>
            </w:r>
          </w:p>
        </w:tc>
        <w:tc>
          <w:tcPr>
            <w:tcW w:w="4456" w:type="dxa"/>
            <w:vAlign w:val="center"/>
          </w:tcPr>
          <w:p w14:paraId="355FE4D1"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Following guidance from the central services, DG RTD cover</w:t>
            </w:r>
            <w:r w:rsidR="00131E9D">
              <w:rPr>
                <w:rFonts w:asciiTheme="minorHAnsi" w:hAnsiTheme="minorHAnsi"/>
                <w:sz w:val="18"/>
                <w:szCs w:val="18"/>
              </w:rPr>
              <w:t>s</w:t>
            </w:r>
            <w:r w:rsidRPr="00EE0BC5">
              <w:rPr>
                <w:rFonts w:asciiTheme="minorHAnsi" w:hAnsiTheme="minorHAnsi"/>
                <w:sz w:val="18"/>
                <w:szCs w:val="18"/>
              </w:rPr>
              <w:t xml:space="preserve"> the development costs for the SUMMA project (initially budgeted for an amount of EUR 585,000).</w:t>
            </w:r>
          </w:p>
          <w:p w14:paraId="3AD9F7AC"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 xml:space="preserve">This decrease is partially offset by increasing the budget for replacing </w:t>
            </w:r>
            <w:r w:rsidR="00522EAC">
              <w:rPr>
                <w:rFonts w:asciiTheme="minorHAnsi" w:hAnsiTheme="minorHAnsi"/>
                <w:sz w:val="18"/>
                <w:szCs w:val="18"/>
              </w:rPr>
              <w:t>obsolete</w:t>
            </w:r>
            <w:r w:rsidRPr="00EE0BC5">
              <w:rPr>
                <w:rFonts w:asciiTheme="minorHAnsi" w:hAnsiTheme="minorHAnsi"/>
                <w:sz w:val="18"/>
                <w:szCs w:val="18"/>
              </w:rPr>
              <w:t xml:space="preserve"> desktop PCs by laptops and docking stations.</w:t>
            </w:r>
          </w:p>
        </w:tc>
      </w:tr>
      <w:tr w:rsidR="00EE0BC5" w:rsidRPr="00FA030E" w14:paraId="2EFF31B5" w14:textId="77777777" w:rsidTr="007E0BFF">
        <w:tc>
          <w:tcPr>
            <w:tcW w:w="848" w:type="dxa"/>
          </w:tcPr>
          <w:p w14:paraId="1E596593"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2221</w:t>
            </w:r>
          </w:p>
        </w:tc>
        <w:tc>
          <w:tcPr>
            <w:tcW w:w="3088" w:type="dxa"/>
          </w:tcPr>
          <w:p w14:paraId="669A8487"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Data Processing and application development and associated expenditure</w:t>
            </w:r>
          </w:p>
        </w:tc>
        <w:tc>
          <w:tcPr>
            <w:tcW w:w="850" w:type="dxa"/>
            <w:vAlign w:val="center"/>
          </w:tcPr>
          <w:p w14:paraId="50DB1DDC"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- 4,385</w:t>
            </w:r>
          </w:p>
        </w:tc>
        <w:tc>
          <w:tcPr>
            <w:tcW w:w="4456" w:type="dxa"/>
            <w:vAlign w:val="center"/>
          </w:tcPr>
          <w:p w14:paraId="01157391" w14:textId="1468DBB8" w:rsidR="00EE0BC5" w:rsidRPr="00EE0BC5" w:rsidRDefault="00EE0BC5" w:rsidP="00235DC0">
            <w:pPr>
              <w:pStyle w:val="Text2"/>
              <w:spacing w:after="0"/>
              <w:ind w:left="0"/>
              <w:jc w:val="left"/>
              <w:rPr>
                <w:rFonts w:asciiTheme="minorHAnsi" w:hAnsiTheme="minorHAnsi"/>
                <w:sz w:val="18"/>
                <w:szCs w:val="18"/>
              </w:rPr>
            </w:pPr>
            <w:r w:rsidRPr="00EE0BC5">
              <w:rPr>
                <w:rFonts w:asciiTheme="minorHAnsi" w:hAnsiTheme="minorHAnsi"/>
                <w:sz w:val="18"/>
                <w:szCs w:val="18"/>
              </w:rPr>
              <w:t xml:space="preserve">Slight </w:t>
            </w:r>
            <w:r w:rsidR="00235DC0">
              <w:rPr>
                <w:rFonts w:asciiTheme="minorHAnsi" w:hAnsiTheme="minorHAnsi"/>
                <w:sz w:val="18"/>
                <w:szCs w:val="18"/>
              </w:rPr>
              <w:t>decrease of</w:t>
            </w:r>
            <w:r w:rsidRPr="00EE0BC5">
              <w:rPr>
                <w:rFonts w:asciiTheme="minorHAnsi" w:hAnsiTheme="minorHAnsi"/>
                <w:sz w:val="18"/>
                <w:szCs w:val="18"/>
              </w:rPr>
              <w:t xml:space="preserve"> the overall budget for ICT intra-muros developers.</w:t>
            </w:r>
          </w:p>
        </w:tc>
      </w:tr>
      <w:tr w:rsidR="00EE0BC5" w:rsidRPr="00FA030E" w14:paraId="0A0B6F9B" w14:textId="77777777" w:rsidTr="007E0BFF">
        <w:tc>
          <w:tcPr>
            <w:tcW w:w="848" w:type="dxa"/>
          </w:tcPr>
          <w:p w14:paraId="0F22B0CB"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2311</w:t>
            </w:r>
          </w:p>
        </w:tc>
        <w:tc>
          <w:tcPr>
            <w:tcW w:w="3088" w:type="dxa"/>
          </w:tcPr>
          <w:p w14:paraId="40E51807" w14:textId="77777777" w:rsidR="00EE0BC5" w:rsidRPr="00EE0BC5" w:rsidRDefault="002B2904" w:rsidP="00EE0BC5">
            <w:pPr>
              <w:rPr>
                <w:rFonts w:asciiTheme="minorHAnsi" w:hAnsiTheme="minorHAnsi"/>
                <w:bCs/>
                <w:i/>
                <w:sz w:val="18"/>
                <w:szCs w:val="18"/>
              </w:rPr>
            </w:pPr>
            <w:r w:rsidRPr="002B2904">
              <w:rPr>
                <w:rFonts w:asciiTheme="minorHAnsi" w:hAnsiTheme="minorHAnsi"/>
                <w:bCs/>
                <w:i/>
                <w:sz w:val="18"/>
                <w:szCs w:val="18"/>
              </w:rPr>
              <w:t>Furniture, Materials and Technical Installations and associated expenditure</w:t>
            </w:r>
          </w:p>
        </w:tc>
        <w:tc>
          <w:tcPr>
            <w:tcW w:w="850" w:type="dxa"/>
            <w:vAlign w:val="center"/>
          </w:tcPr>
          <w:p w14:paraId="2FD7902F"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- 34,200</w:t>
            </w:r>
          </w:p>
        </w:tc>
        <w:tc>
          <w:tcPr>
            <w:tcW w:w="4456" w:type="dxa"/>
            <w:vAlign w:val="center"/>
          </w:tcPr>
          <w:p w14:paraId="7BC32FBD" w14:textId="11BAA79D"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 xml:space="preserve">Decrease of the budgetary needs for the SLA with OIB for inventory </w:t>
            </w:r>
            <w:r w:rsidR="00522EAC">
              <w:rPr>
                <w:rFonts w:asciiTheme="minorHAnsi" w:hAnsiTheme="minorHAnsi"/>
                <w:sz w:val="18"/>
                <w:szCs w:val="18"/>
              </w:rPr>
              <w:t xml:space="preserve">management </w:t>
            </w:r>
            <w:r w:rsidRPr="00EE0BC5">
              <w:rPr>
                <w:rFonts w:asciiTheme="minorHAnsi" w:hAnsiTheme="minorHAnsi"/>
                <w:sz w:val="18"/>
                <w:szCs w:val="18"/>
              </w:rPr>
              <w:t>and</w:t>
            </w:r>
            <w:r w:rsidR="00235DC0">
              <w:rPr>
                <w:rFonts w:asciiTheme="minorHAnsi" w:hAnsiTheme="minorHAnsi"/>
                <w:sz w:val="18"/>
                <w:szCs w:val="18"/>
              </w:rPr>
              <w:t xml:space="preserve"> the</w:t>
            </w:r>
            <w:r w:rsidRPr="00EE0BC5">
              <w:rPr>
                <w:rFonts w:asciiTheme="minorHAnsi" w:hAnsiTheme="minorHAnsi"/>
                <w:sz w:val="18"/>
                <w:szCs w:val="18"/>
              </w:rPr>
              <w:t xml:space="preserve"> disposal of office furniture.</w:t>
            </w:r>
          </w:p>
        </w:tc>
      </w:tr>
      <w:tr w:rsidR="00EE0BC5" w:rsidRPr="00FA030E" w14:paraId="2C7F3FAE" w14:textId="77777777" w:rsidTr="007E0BFF">
        <w:tc>
          <w:tcPr>
            <w:tcW w:w="848" w:type="dxa"/>
          </w:tcPr>
          <w:p w14:paraId="73C55037"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2321</w:t>
            </w:r>
          </w:p>
        </w:tc>
        <w:tc>
          <w:tcPr>
            <w:tcW w:w="3088" w:type="dxa"/>
          </w:tcPr>
          <w:p w14:paraId="73A3560C"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Office Supplies and Other Current Operating expenditure</w:t>
            </w:r>
          </w:p>
        </w:tc>
        <w:tc>
          <w:tcPr>
            <w:tcW w:w="850" w:type="dxa"/>
            <w:vAlign w:val="center"/>
          </w:tcPr>
          <w:p w14:paraId="5C29052A"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- 14,900</w:t>
            </w:r>
          </w:p>
        </w:tc>
        <w:tc>
          <w:tcPr>
            <w:tcW w:w="4456" w:type="dxa"/>
            <w:vAlign w:val="center"/>
          </w:tcPr>
          <w:p w14:paraId="2CB8115F"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Decrease of the budget for legal assistance, charges and damages for staff-related legal affairs.</w:t>
            </w:r>
          </w:p>
        </w:tc>
      </w:tr>
      <w:tr w:rsidR="00EE0BC5" w:rsidRPr="00FA030E" w14:paraId="4A3C98E9" w14:textId="77777777" w:rsidTr="007E0BFF">
        <w:tc>
          <w:tcPr>
            <w:tcW w:w="848" w:type="dxa"/>
          </w:tcPr>
          <w:p w14:paraId="28BACBB5"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3111</w:t>
            </w:r>
          </w:p>
        </w:tc>
        <w:tc>
          <w:tcPr>
            <w:tcW w:w="3088" w:type="dxa"/>
          </w:tcPr>
          <w:p w14:paraId="21259BE6"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Communication, Information, Publications, Linguistic Services and Training Courses for the Management of Programmes and associated expenses</w:t>
            </w:r>
          </w:p>
        </w:tc>
        <w:tc>
          <w:tcPr>
            <w:tcW w:w="850" w:type="dxa"/>
            <w:vAlign w:val="center"/>
          </w:tcPr>
          <w:p w14:paraId="3ADA826C"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- 84,590</w:t>
            </w:r>
          </w:p>
        </w:tc>
        <w:tc>
          <w:tcPr>
            <w:tcW w:w="4456" w:type="dxa"/>
            <w:vAlign w:val="center"/>
          </w:tcPr>
          <w:p w14:paraId="6BCA4817"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 xml:space="preserve">Cancellation of expenses related to video productions. Decrease in the expenses for promotion materials </w:t>
            </w:r>
          </w:p>
        </w:tc>
      </w:tr>
      <w:tr w:rsidR="00EE0BC5" w:rsidRPr="00FA030E" w14:paraId="430406B1" w14:textId="77777777" w:rsidTr="007E0BFF">
        <w:tc>
          <w:tcPr>
            <w:tcW w:w="848" w:type="dxa"/>
          </w:tcPr>
          <w:p w14:paraId="11C2F48B"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3112</w:t>
            </w:r>
          </w:p>
        </w:tc>
        <w:tc>
          <w:tcPr>
            <w:tcW w:w="3088" w:type="dxa"/>
          </w:tcPr>
          <w:p w14:paraId="7F2C406C"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ICT Infrastructure, Environment and Systems related to the Programme Management and associated expenses</w:t>
            </w:r>
          </w:p>
        </w:tc>
        <w:tc>
          <w:tcPr>
            <w:tcW w:w="850" w:type="dxa"/>
            <w:vAlign w:val="center"/>
          </w:tcPr>
          <w:p w14:paraId="5FB07DD2"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- 56,630</w:t>
            </w:r>
          </w:p>
        </w:tc>
        <w:tc>
          <w:tcPr>
            <w:tcW w:w="4456" w:type="dxa"/>
            <w:vAlign w:val="center"/>
          </w:tcPr>
          <w:p w14:paraId="10D7D49B"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Fewer days contracted for an ICT intra-muros developer of IT tools used in programme management.</w:t>
            </w:r>
          </w:p>
        </w:tc>
      </w:tr>
      <w:tr w:rsidR="00EE0BC5" w:rsidRPr="00FA030E" w14:paraId="14A352FD" w14:textId="77777777" w:rsidTr="007E0BFF">
        <w:tc>
          <w:tcPr>
            <w:tcW w:w="848" w:type="dxa"/>
          </w:tcPr>
          <w:p w14:paraId="0C81799D"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3121</w:t>
            </w:r>
          </w:p>
        </w:tc>
        <w:tc>
          <w:tcPr>
            <w:tcW w:w="3088" w:type="dxa"/>
          </w:tcPr>
          <w:p w14:paraId="5E23302F"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External Audits</w:t>
            </w:r>
          </w:p>
        </w:tc>
        <w:tc>
          <w:tcPr>
            <w:tcW w:w="850" w:type="dxa"/>
            <w:vAlign w:val="center"/>
          </w:tcPr>
          <w:p w14:paraId="06FC651A"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- 60,535</w:t>
            </w:r>
          </w:p>
        </w:tc>
        <w:tc>
          <w:tcPr>
            <w:tcW w:w="4456" w:type="dxa"/>
            <w:vAlign w:val="center"/>
          </w:tcPr>
          <w:p w14:paraId="1BBF4ABF"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Cancelation of one audit from a previous year’s batch of outsourced external audits and reduction of the budget initially estimated for this year’s batch.</w:t>
            </w:r>
          </w:p>
        </w:tc>
      </w:tr>
      <w:tr w:rsidR="00EE0BC5" w:rsidRPr="00FA030E" w14:paraId="0F1701BC" w14:textId="77777777" w:rsidTr="007E0BFF">
        <w:tc>
          <w:tcPr>
            <w:tcW w:w="848" w:type="dxa"/>
          </w:tcPr>
          <w:p w14:paraId="58B35FF8"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3122</w:t>
            </w:r>
          </w:p>
        </w:tc>
        <w:tc>
          <w:tcPr>
            <w:tcW w:w="3088" w:type="dxa"/>
          </w:tcPr>
          <w:p w14:paraId="74757F70"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Missions and Other expenses related to the Administrative Management of Programmes</w:t>
            </w:r>
          </w:p>
        </w:tc>
        <w:tc>
          <w:tcPr>
            <w:tcW w:w="850" w:type="dxa"/>
            <w:vAlign w:val="center"/>
          </w:tcPr>
          <w:p w14:paraId="5AA6DD6D"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- 3,245</w:t>
            </w:r>
          </w:p>
        </w:tc>
        <w:tc>
          <w:tcPr>
            <w:tcW w:w="4456" w:type="dxa"/>
            <w:vAlign w:val="center"/>
          </w:tcPr>
          <w:p w14:paraId="4E89949C" w14:textId="77777777" w:rsidR="00EE0BC5" w:rsidRPr="00EE0BC5" w:rsidRDefault="00EE0BC5" w:rsidP="00EE0BC5">
            <w:pPr>
              <w:pStyle w:val="Text2"/>
              <w:spacing w:after="0"/>
              <w:ind w:left="0"/>
              <w:jc w:val="left"/>
              <w:rPr>
                <w:rFonts w:asciiTheme="minorHAnsi" w:hAnsiTheme="minorHAnsi"/>
                <w:sz w:val="18"/>
                <w:szCs w:val="18"/>
              </w:rPr>
            </w:pPr>
            <w:r w:rsidRPr="00EE0BC5">
              <w:rPr>
                <w:rFonts w:asciiTheme="minorHAnsi" w:hAnsiTheme="minorHAnsi"/>
                <w:sz w:val="18"/>
                <w:szCs w:val="18"/>
              </w:rPr>
              <w:t>Decrease of the budget for legal assistance, charges and damages for programme management related legal affairs. This is partially offset by an increase of the budget for missions due to more projects being subject to intermediary reviews than expected.</w:t>
            </w:r>
          </w:p>
        </w:tc>
      </w:tr>
      <w:tr w:rsidR="00EE0BC5" w:rsidRPr="00FA030E" w14:paraId="237E4169" w14:textId="77777777" w:rsidTr="007E0BFF">
        <w:tc>
          <w:tcPr>
            <w:tcW w:w="848" w:type="dxa"/>
          </w:tcPr>
          <w:p w14:paraId="00AA53B4"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3211</w:t>
            </w:r>
          </w:p>
        </w:tc>
        <w:tc>
          <w:tcPr>
            <w:tcW w:w="3088" w:type="dxa"/>
          </w:tcPr>
          <w:p w14:paraId="2159E208"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Building Rent / Usufruct instalments, Building charges and associated expenses for the Common Support Services and Evaluation Platform</w:t>
            </w:r>
          </w:p>
        </w:tc>
        <w:tc>
          <w:tcPr>
            <w:tcW w:w="850" w:type="dxa"/>
            <w:vAlign w:val="center"/>
          </w:tcPr>
          <w:p w14:paraId="104104E2"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- 112,980</w:t>
            </w:r>
          </w:p>
        </w:tc>
        <w:tc>
          <w:tcPr>
            <w:tcW w:w="4456" w:type="dxa"/>
            <w:vAlign w:val="center"/>
          </w:tcPr>
          <w:p w14:paraId="29650504" w14:textId="15C1CBA8" w:rsidR="00EE0BC5" w:rsidRPr="00EE0BC5" w:rsidRDefault="00EE0BC5" w:rsidP="00235DC0">
            <w:pPr>
              <w:pStyle w:val="Text2"/>
              <w:spacing w:after="0"/>
              <w:ind w:left="0"/>
              <w:jc w:val="left"/>
              <w:rPr>
                <w:rFonts w:asciiTheme="minorHAnsi" w:hAnsiTheme="minorHAnsi"/>
                <w:sz w:val="18"/>
                <w:szCs w:val="18"/>
              </w:rPr>
            </w:pPr>
            <w:r w:rsidRPr="00EE0BC5">
              <w:rPr>
                <w:rFonts w:asciiTheme="minorHAnsi" w:hAnsiTheme="minorHAnsi"/>
                <w:sz w:val="18"/>
                <w:szCs w:val="18"/>
              </w:rPr>
              <w:t xml:space="preserve">Postponement of the installation of security scanners at the entrance of the building and related expenses with security </w:t>
            </w:r>
            <w:r w:rsidR="00235DC0">
              <w:rPr>
                <w:rFonts w:asciiTheme="minorHAnsi" w:hAnsiTheme="minorHAnsi"/>
                <w:sz w:val="18"/>
                <w:szCs w:val="18"/>
              </w:rPr>
              <w:t>guards</w:t>
            </w:r>
            <w:r w:rsidRPr="00EE0BC5">
              <w:rPr>
                <w:rFonts w:asciiTheme="minorHAnsi" w:hAnsiTheme="minorHAnsi"/>
                <w:sz w:val="18"/>
                <w:szCs w:val="18"/>
              </w:rPr>
              <w:t>. Decrease of the budget for the SLA with OIB for the charges of the building of the evaluation platform.</w:t>
            </w:r>
          </w:p>
        </w:tc>
      </w:tr>
      <w:tr w:rsidR="00EE0BC5" w:rsidRPr="00FA030E" w14:paraId="3D24677C" w14:textId="77777777" w:rsidTr="007E0BFF">
        <w:tc>
          <w:tcPr>
            <w:tcW w:w="848" w:type="dxa"/>
          </w:tcPr>
          <w:p w14:paraId="3DA017E6" w14:textId="77777777" w:rsidR="00EE0BC5" w:rsidRPr="00EE0BC5" w:rsidRDefault="00EE0BC5" w:rsidP="00EE0BC5">
            <w:pPr>
              <w:jc w:val="center"/>
              <w:rPr>
                <w:rFonts w:asciiTheme="minorHAnsi" w:hAnsiTheme="minorHAnsi"/>
                <w:b/>
                <w:bCs/>
                <w:i/>
                <w:sz w:val="18"/>
                <w:szCs w:val="18"/>
              </w:rPr>
            </w:pPr>
            <w:r w:rsidRPr="00EE0BC5">
              <w:rPr>
                <w:rFonts w:asciiTheme="minorHAnsi" w:hAnsiTheme="minorHAnsi"/>
                <w:b/>
                <w:bCs/>
                <w:i/>
                <w:sz w:val="18"/>
                <w:szCs w:val="18"/>
              </w:rPr>
              <w:t>3221</w:t>
            </w:r>
          </w:p>
        </w:tc>
        <w:tc>
          <w:tcPr>
            <w:tcW w:w="3088" w:type="dxa"/>
          </w:tcPr>
          <w:p w14:paraId="41C19DF8" w14:textId="77777777" w:rsidR="00EE0BC5" w:rsidRPr="00EE0BC5" w:rsidRDefault="00522EAC" w:rsidP="00EE0BC5">
            <w:pPr>
              <w:rPr>
                <w:rFonts w:asciiTheme="minorHAnsi" w:hAnsiTheme="minorHAnsi"/>
                <w:bCs/>
                <w:i/>
                <w:sz w:val="18"/>
                <w:szCs w:val="18"/>
              </w:rPr>
            </w:pPr>
            <w:r w:rsidRPr="00522EAC">
              <w:rPr>
                <w:rFonts w:asciiTheme="minorHAnsi" w:hAnsiTheme="minorHAnsi"/>
                <w:bCs/>
                <w:i/>
                <w:sz w:val="18"/>
                <w:szCs w:val="18"/>
              </w:rPr>
              <w:t>ICT, Logistics, Acquisition and Provision of Information, Current Operating expenditure and associated costs</w:t>
            </w:r>
          </w:p>
        </w:tc>
        <w:tc>
          <w:tcPr>
            <w:tcW w:w="850" w:type="dxa"/>
            <w:vAlign w:val="center"/>
          </w:tcPr>
          <w:p w14:paraId="3BD6194C" w14:textId="77777777" w:rsidR="00EE0BC5" w:rsidRPr="00EE0BC5" w:rsidRDefault="00EE0BC5" w:rsidP="00EE0BC5">
            <w:pPr>
              <w:jc w:val="right"/>
              <w:rPr>
                <w:rFonts w:asciiTheme="minorHAnsi" w:hAnsiTheme="minorHAnsi"/>
                <w:b/>
                <w:bCs/>
                <w:sz w:val="18"/>
                <w:szCs w:val="18"/>
              </w:rPr>
            </w:pPr>
            <w:r w:rsidRPr="00EE0BC5">
              <w:rPr>
                <w:rFonts w:asciiTheme="minorHAnsi" w:hAnsiTheme="minorHAnsi"/>
                <w:b/>
                <w:bCs/>
                <w:sz w:val="18"/>
                <w:szCs w:val="18"/>
              </w:rPr>
              <w:t>- 3,980</w:t>
            </w:r>
          </w:p>
        </w:tc>
        <w:tc>
          <w:tcPr>
            <w:tcW w:w="4456" w:type="dxa"/>
            <w:vAlign w:val="center"/>
          </w:tcPr>
          <w:p w14:paraId="1F954929" w14:textId="46AEAD25" w:rsidR="00EE0BC5" w:rsidRPr="00EE0BC5" w:rsidRDefault="00EE0BC5" w:rsidP="00235DC0">
            <w:pPr>
              <w:pStyle w:val="Text2"/>
              <w:spacing w:after="0"/>
              <w:ind w:left="0"/>
              <w:jc w:val="left"/>
              <w:rPr>
                <w:rFonts w:asciiTheme="minorHAnsi" w:hAnsiTheme="minorHAnsi"/>
                <w:sz w:val="18"/>
                <w:szCs w:val="18"/>
              </w:rPr>
            </w:pPr>
            <w:r w:rsidRPr="00EE0BC5">
              <w:rPr>
                <w:rFonts w:asciiTheme="minorHAnsi" w:hAnsiTheme="minorHAnsi"/>
                <w:sz w:val="18"/>
                <w:szCs w:val="18"/>
              </w:rPr>
              <w:t xml:space="preserve">Decrease of the budget for photocopiers and for the SLA with SCIC, partially compensated by </w:t>
            </w:r>
            <w:r w:rsidR="00F10FA9">
              <w:rPr>
                <w:rFonts w:asciiTheme="minorHAnsi" w:hAnsiTheme="minorHAnsi"/>
                <w:sz w:val="18"/>
                <w:szCs w:val="18"/>
              </w:rPr>
              <w:t>additional</w:t>
            </w:r>
            <w:r w:rsidRPr="00EE0BC5">
              <w:rPr>
                <w:rFonts w:asciiTheme="minorHAnsi" w:hAnsiTheme="minorHAnsi"/>
                <w:sz w:val="18"/>
                <w:szCs w:val="18"/>
              </w:rPr>
              <w:t xml:space="preserve"> expenses for furniture, ICT materials and </w:t>
            </w:r>
            <w:r w:rsidR="00235DC0">
              <w:rPr>
                <w:rFonts w:asciiTheme="minorHAnsi" w:hAnsiTheme="minorHAnsi"/>
                <w:sz w:val="18"/>
                <w:szCs w:val="18"/>
              </w:rPr>
              <w:t xml:space="preserve">waste </w:t>
            </w:r>
            <w:r w:rsidRPr="00EE0BC5">
              <w:rPr>
                <w:rFonts w:asciiTheme="minorHAnsi" w:hAnsiTheme="minorHAnsi"/>
                <w:sz w:val="18"/>
                <w:szCs w:val="18"/>
              </w:rPr>
              <w:t>sorting stations.</w:t>
            </w:r>
          </w:p>
        </w:tc>
      </w:tr>
    </w:tbl>
    <w:p w14:paraId="38A2E5BA" w14:textId="77777777" w:rsidR="00817E86" w:rsidRPr="00575112" w:rsidRDefault="00817E86" w:rsidP="00E926A4">
      <w:pPr>
        <w:pStyle w:val="ListParagraph"/>
        <w:spacing w:after="120"/>
        <w:ind w:left="284"/>
        <w:contextualSpacing w:val="0"/>
        <w:jc w:val="both"/>
        <w:rPr>
          <w:sz w:val="22"/>
          <w:szCs w:val="22"/>
        </w:rPr>
      </w:pPr>
    </w:p>
    <w:p w14:paraId="5C53D6B4" w14:textId="77777777" w:rsidR="00C53330" w:rsidRPr="007E0BFF" w:rsidRDefault="00817E86" w:rsidP="000432AA">
      <w:pPr>
        <w:spacing w:after="120"/>
        <w:jc w:val="both"/>
      </w:pPr>
      <w:r w:rsidRPr="007E0BFF">
        <w:t>In Nov</w:t>
      </w:r>
      <w:r w:rsidR="00201904" w:rsidRPr="007E0BFF">
        <w:t xml:space="preserve">ember, </w:t>
      </w:r>
      <w:r w:rsidR="000432AA" w:rsidRPr="007E0BFF">
        <w:t>a</w:t>
      </w:r>
      <w:r w:rsidR="00C53330" w:rsidRPr="007E0BFF">
        <w:t xml:space="preserve"> transfer </w:t>
      </w:r>
      <w:r w:rsidR="000432AA" w:rsidRPr="007E0BFF">
        <w:t xml:space="preserve">inside chapter 12 was authorised by the Director. The appropriations on the budget line 1221 "training courses </w:t>
      </w:r>
      <w:r w:rsidR="00C53330" w:rsidRPr="007E0BFF">
        <w:t xml:space="preserve">for the professional and personal development of staff were reduced by € 27,500 as several training actions have been cancelled </w:t>
      </w:r>
      <w:r w:rsidR="002C2BE3" w:rsidRPr="007E0BFF">
        <w:t xml:space="preserve">and postponed to 2020 </w:t>
      </w:r>
      <w:r w:rsidR="00C53330" w:rsidRPr="007E0BFF">
        <w:t>allowing the following</w:t>
      </w:r>
      <w:r w:rsidR="000432AA" w:rsidRPr="007E0BFF">
        <w:t xml:space="preserve"> </w:t>
      </w:r>
      <w:r w:rsidR="00C53330" w:rsidRPr="007E0BFF">
        <w:t xml:space="preserve">budget lines to be </w:t>
      </w:r>
      <w:r w:rsidR="000432AA" w:rsidRPr="007E0BFF">
        <w:t>reinfo</w:t>
      </w:r>
      <w:r w:rsidR="00C53330" w:rsidRPr="007E0BFF">
        <w:t>rced:</w:t>
      </w:r>
    </w:p>
    <w:p w14:paraId="176091D5" w14:textId="77777777" w:rsidR="00201904" w:rsidRPr="007E0BFF" w:rsidRDefault="00C53330" w:rsidP="00DE7CF7">
      <w:pPr>
        <w:pStyle w:val="ListParagraph"/>
        <w:numPr>
          <w:ilvl w:val="0"/>
          <w:numId w:val="26"/>
        </w:numPr>
        <w:spacing w:after="120"/>
        <w:jc w:val="both"/>
      </w:pPr>
      <w:r w:rsidRPr="007E0BFF">
        <w:t xml:space="preserve">€ 18,500 on </w:t>
      </w:r>
      <w:r w:rsidR="000432AA" w:rsidRPr="007E0BFF">
        <w:t>line 1211 "Specific staff related charges, support services for the management of staff rights and payroll, charges relating to recruitment and change of personnel"</w:t>
      </w:r>
      <w:r w:rsidRPr="007E0BFF">
        <w:t xml:space="preserve"> </w:t>
      </w:r>
      <w:r w:rsidR="000432AA" w:rsidRPr="007E0BFF">
        <w:t>to cope with unexpected expenses related to travel cost for installation and move of staff as well as to cover higher expenses related to school bus</w:t>
      </w:r>
      <w:r w:rsidRPr="007E0BFF">
        <w:t>es;</w:t>
      </w:r>
    </w:p>
    <w:p w14:paraId="6EC75511" w14:textId="3635385D" w:rsidR="000432AA" w:rsidRPr="007E0BFF" w:rsidRDefault="00C53330" w:rsidP="00DE7CF7">
      <w:pPr>
        <w:pStyle w:val="ListParagraph"/>
        <w:numPr>
          <w:ilvl w:val="0"/>
          <w:numId w:val="26"/>
        </w:numPr>
        <w:spacing w:after="120"/>
        <w:jc w:val="both"/>
      </w:pPr>
      <w:r w:rsidRPr="007E0BFF">
        <w:t xml:space="preserve">€ 9,000 on line 1224 "Mobility and other social expenses" </w:t>
      </w:r>
      <w:r w:rsidR="002C2BE3" w:rsidRPr="007E0BFF">
        <w:t xml:space="preserve">to cover increased expenses related to reimbursement </w:t>
      </w:r>
      <w:r w:rsidR="00235DC0">
        <w:t xml:space="preserve">for staff </w:t>
      </w:r>
      <w:r w:rsidR="002C2BE3" w:rsidRPr="007E0BFF">
        <w:t>of public transport subscription and complementary assistance to disabled staff members.</w:t>
      </w:r>
    </w:p>
    <w:p w14:paraId="70177252" w14:textId="1650BCCF" w:rsidR="00B05C39" w:rsidRPr="007E0BFF" w:rsidRDefault="008F0B17" w:rsidP="00A64D26">
      <w:pPr>
        <w:spacing w:after="120"/>
        <w:jc w:val="both"/>
      </w:pPr>
      <w:r w:rsidRPr="007E0BFF">
        <w:t>In D</w:t>
      </w:r>
      <w:r w:rsidR="00BF1889" w:rsidRPr="007E0BFF">
        <w:t xml:space="preserve">ecember, </w:t>
      </w:r>
      <w:r w:rsidR="00F96285" w:rsidRPr="007E0BFF">
        <w:t xml:space="preserve">the Agency performed a last review of its budget to </w:t>
      </w:r>
      <w:r w:rsidR="002C2BE3" w:rsidRPr="007E0BFF">
        <w:t>identify</w:t>
      </w:r>
      <w:r w:rsidR="00F96285" w:rsidRPr="007E0BFF">
        <w:t xml:space="preserve"> any need</w:t>
      </w:r>
      <w:r w:rsidR="002C2BE3" w:rsidRPr="007E0BFF">
        <w:t>s</w:t>
      </w:r>
      <w:r w:rsidR="00F96285" w:rsidRPr="007E0BFF">
        <w:t xml:space="preserve"> for adjustment </w:t>
      </w:r>
      <w:r w:rsidR="00145340" w:rsidRPr="007E0BFF">
        <w:t xml:space="preserve">and </w:t>
      </w:r>
      <w:r w:rsidR="00F96285" w:rsidRPr="007E0BFF">
        <w:rPr>
          <w:bCs/>
        </w:rPr>
        <w:t xml:space="preserve">to optimise the budget execution. </w:t>
      </w:r>
      <w:r w:rsidR="00145340" w:rsidRPr="007E0BFF">
        <w:t>T</w:t>
      </w:r>
      <w:r w:rsidR="00B05C39" w:rsidRPr="007E0BFF">
        <w:t>he Steering Committee a</w:t>
      </w:r>
      <w:r w:rsidR="00A43050" w:rsidRPr="007E0BFF">
        <w:t>pproved</w:t>
      </w:r>
      <w:r w:rsidR="00145340" w:rsidRPr="007E0BFF">
        <w:t xml:space="preserve">, consequently, </w:t>
      </w:r>
      <w:r w:rsidR="00B728D7" w:rsidRPr="007E0BFF">
        <w:t xml:space="preserve">on 13 December </w:t>
      </w:r>
      <w:r w:rsidR="00235DC0">
        <w:t xml:space="preserve">2019 </w:t>
      </w:r>
      <w:r w:rsidR="00B05C39" w:rsidRPr="007E0BFF">
        <w:t>a budget transfer of €</w:t>
      </w:r>
      <w:r w:rsidR="004F3F34" w:rsidRPr="007E0BFF">
        <w:t xml:space="preserve"> </w:t>
      </w:r>
      <w:r w:rsidR="002C2BE3" w:rsidRPr="007E0BFF">
        <w:t>225,340</w:t>
      </w:r>
      <w:r w:rsidR="00145340" w:rsidRPr="007E0BFF">
        <w:rPr>
          <w:bCs/>
        </w:rPr>
        <w:t>.</w:t>
      </w:r>
    </w:p>
    <w:p w14:paraId="4E89AB73" w14:textId="77777777" w:rsidR="00B86441" w:rsidRPr="007E0BFF" w:rsidRDefault="00B86441" w:rsidP="001D6D10">
      <w:pPr>
        <w:spacing w:before="240" w:after="120"/>
        <w:jc w:val="both"/>
      </w:pPr>
      <w:r w:rsidRPr="007E0BFF">
        <w:t>On the one hand, the following budget lines have been reinforced to cover needs identified by the end of the year: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85" w:type="dxa"/>
          <w:right w:w="85" w:type="dxa"/>
        </w:tblCellMar>
        <w:tblLook w:val="04A0" w:firstRow="1" w:lastRow="0" w:firstColumn="1" w:lastColumn="0" w:noHBand="0" w:noVBand="1"/>
      </w:tblPr>
      <w:tblGrid>
        <w:gridCol w:w="804"/>
        <w:gridCol w:w="2967"/>
        <w:gridCol w:w="992"/>
        <w:gridCol w:w="4433"/>
      </w:tblGrid>
      <w:tr w:rsidR="00C950A3" w:rsidRPr="009F0DD3" w14:paraId="50C12B30" w14:textId="77777777" w:rsidTr="00042844">
        <w:trPr>
          <w:trHeight w:val="20"/>
          <w:tblHeader/>
        </w:trPr>
        <w:tc>
          <w:tcPr>
            <w:tcW w:w="804" w:type="dxa"/>
            <w:shd w:val="clear" w:color="auto" w:fill="D9D9D9" w:themeFill="background1" w:themeFillShade="D9"/>
            <w:vAlign w:val="center"/>
          </w:tcPr>
          <w:p w14:paraId="128337C4" w14:textId="77777777" w:rsidR="00C950A3" w:rsidRPr="00493518" w:rsidRDefault="00C950A3" w:rsidP="00D12FEE">
            <w:pPr>
              <w:pStyle w:val="Text2"/>
              <w:spacing w:after="0"/>
              <w:ind w:left="0"/>
              <w:jc w:val="center"/>
              <w:rPr>
                <w:rFonts w:asciiTheme="minorHAnsi" w:hAnsiTheme="minorHAnsi"/>
                <w:b/>
                <w:sz w:val="18"/>
                <w:szCs w:val="18"/>
              </w:rPr>
            </w:pPr>
            <w:r w:rsidRPr="00493518">
              <w:rPr>
                <w:rFonts w:asciiTheme="minorHAnsi" w:hAnsiTheme="minorHAnsi"/>
                <w:b/>
                <w:sz w:val="18"/>
                <w:szCs w:val="18"/>
              </w:rPr>
              <w:t>Budget Line</w:t>
            </w:r>
          </w:p>
        </w:tc>
        <w:tc>
          <w:tcPr>
            <w:tcW w:w="2967" w:type="dxa"/>
            <w:shd w:val="clear" w:color="auto" w:fill="D9D9D9" w:themeFill="background1" w:themeFillShade="D9"/>
            <w:vAlign w:val="center"/>
          </w:tcPr>
          <w:p w14:paraId="4EFF1DA3" w14:textId="77777777" w:rsidR="00C950A3" w:rsidRPr="00493518" w:rsidRDefault="00C950A3" w:rsidP="00D12FEE">
            <w:pPr>
              <w:pStyle w:val="Text2"/>
              <w:spacing w:after="0"/>
              <w:ind w:left="0"/>
              <w:jc w:val="center"/>
              <w:rPr>
                <w:rFonts w:asciiTheme="minorHAnsi" w:hAnsiTheme="minorHAnsi"/>
                <w:b/>
                <w:sz w:val="18"/>
                <w:szCs w:val="18"/>
              </w:rPr>
            </w:pPr>
            <w:r w:rsidRPr="00493518">
              <w:rPr>
                <w:rFonts w:asciiTheme="minorHAnsi" w:hAnsiTheme="minorHAnsi"/>
                <w:b/>
                <w:sz w:val="18"/>
                <w:szCs w:val="18"/>
              </w:rPr>
              <w:t>Description</w:t>
            </w:r>
          </w:p>
        </w:tc>
        <w:tc>
          <w:tcPr>
            <w:tcW w:w="992" w:type="dxa"/>
            <w:shd w:val="clear" w:color="auto" w:fill="D9D9D9" w:themeFill="background1" w:themeFillShade="D9"/>
            <w:vAlign w:val="center"/>
          </w:tcPr>
          <w:p w14:paraId="2C20E257" w14:textId="77777777" w:rsidR="00C950A3" w:rsidRPr="00493518" w:rsidRDefault="00C950A3" w:rsidP="00D12FEE">
            <w:pPr>
              <w:pStyle w:val="Text2"/>
              <w:spacing w:after="0"/>
              <w:ind w:left="0"/>
              <w:jc w:val="center"/>
              <w:rPr>
                <w:rFonts w:asciiTheme="minorHAnsi" w:hAnsiTheme="minorHAnsi"/>
                <w:b/>
                <w:sz w:val="18"/>
                <w:szCs w:val="18"/>
              </w:rPr>
            </w:pPr>
            <w:r w:rsidRPr="00493518">
              <w:rPr>
                <w:rFonts w:asciiTheme="minorHAnsi" w:hAnsiTheme="minorHAnsi"/>
                <w:b/>
                <w:sz w:val="18"/>
                <w:szCs w:val="18"/>
              </w:rPr>
              <w:t>Amount (EUR)</w:t>
            </w:r>
          </w:p>
        </w:tc>
        <w:tc>
          <w:tcPr>
            <w:tcW w:w="4433" w:type="dxa"/>
            <w:shd w:val="clear" w:color="auto" w:fill="D9D9D9" w:themeFill="background1" w:themeFillShade="D9"/>
            <w:vAlign w:val="center"/>
          </w:tcPr>
          <w:p w14:paraId="0497DB35" w14:textId="77777777" w:rsidR="00C950A3" w:rsidRPr="00493518" w:rsidRDefault="00C950A3" w:rsidP="00D12FEE">
            <w:pPr>
              <w:pStyle w:val="Text2"/>
              <w:spacing w:before="120" w:after="120"/>
              <w:ind w:left="0"/>
              <w:jc w:val="center"/>
              <w:rPr>
                <w:rFonts w:asciiTheme="minorHAnsi" w:hAnsiTheme="minorHAnsi"/>
                <w:b/>
                <w:sz w:val="18"/>
                <w:szCs w:val="18"/>
              </w:rPr>
            </w:pPr>
            <w:r w:rsidRPr="00493518">
              <w:rPr>
                <w:rFonts w:asciiTheme="minorHAnsi" w:hAnsiTheme="minorHAnsi"/>
                <w:b/>
                <w:sz w:val="18"/>
                <w:szCs w:val="18"/>
              </w:rPr>
              <w:t>Reason</w:t>
            </w:r>
          </w:p>
        </w:tc>
      </w:tr>
      <w:tr w:rsidR="00C950A3" w:rsidRPr="00877742" w14:paraId="68C661CA" w14:textId="77777777" w:rsidTr="00042844">
        <w:trPr>
          <w:trHeight w:val="20"/>
        </w:trPr>
        <w:tc>
          <w:tcPr>
            <w:tcW w:w="804" w:type="dxa"/>
            <w:vAlign w:val="center"/>
          </w:tcPr>
          <w:p w14:paraId="1DA2AD5A" w14:textId="77777777" w:rsidR="00C950A3" w:rsidRPr="00493518" w:rsidRDefault="00C950A3" w:rsidP="00D12FEE">
            <w:pPr>
              <w:jc w:val="center"/>
              <w:rPr>
                <w:rFonts w:asciiTheme="minorHAnsi" w:hAnsiTheme="minorHAnsi"/>
                <w:b/>
                <w:bCs/>
                <w:i/>
                <w:sz w:val="18"/>
                <w:szCs w:val="18"/>
              </w:rPr>
            </w:pPr>
            <w:r>
              <w:rPr>
                <w:rFonts w:asciiTheme="minorHAnsi" w:hAnsiTheme="minorHAnsi"/>
                <w:b/>
                <w:bCs/>
                <w:i/>
                <w:sz w:val="18"/>
                <w:szCs w:val="18"/>
              </w:rPr>
              <w:t>12</w:t>
            </w:r>
            <w:r w:rsidRPr="00493518">
              <w:rPr>
                <w:rFonts w:asciiTheme="minorHAnsi" w:hAnsiTheme="minorHAnsi"/>
                <w:b/>
                <w:bCs/>
                <w:i/>
                <w:sz w:val="18"/>
                <w:szCs w:val="18"/>
              </w:rPr>
              <w:t>11</w:t>
            </w:r>
          </w:p>
        </w:tc>
        <w:tc>
          <w:tcPr>
            <w:tcW w:w="2967" w:type="dxa"/>
          </w:tcPr>
          <w:p w14:paraId="04E1122B" w14:textId="77777777" w:rsidR="00C950A3" w:rsidRPr="00493518" w:rsidRDefault="00C950A3" w:rsidP="00D12FEE">
            <w:pPr>
              <w:ind w:right="61"/>
              <w:rPr>
                <w:rFonts w:asciiTheme="minorHAnsi" w:hAnsiTheme="minorHAnsi"/>
                <w:bCs/>
                <w:i/>
                <w:sz w:val="18"/>
                <w:szCs w:val="18"/>
              </w:rPr>
            </w:pPr>
            <w:r w:rsidRPr="00C950A3">
              <w:rPr>
                <w:rFonts w:asciiTheme="minorHAnsi" w:hAnsiTheme="minorHAnsi"/>
                <w:bCs/>
                <w:i/>
                <w:sz w:val="18"/>
                <w:szCs w:val="18"/>
              </w:rPr>
              <w:t>Specific Staff-related Charges, Support Services for the management of Staff Rights and Payroll, Charges relating to Recruitment and Change of Personnel</w:t>
            </w:r>
          </w:p>
        </w:tc>
        <w:tc>
          <w:tcPr>
            <w:tcW w:w="992" w:type="dxa"/>
            <w:vAlign w:val="center"/>
          </w:tcPr>
          <w:p w14:paraId="49829F23" w14:textId="77777777" w:rsidR="00C950A3" w:rsidRPr="00493518" w:rsidRDefault="00C950A3" w:rsidP="00C950A3">
            <w:pPr>
              <w:ind w:right="61"/>
              <w:jc w:val="right"/>
              <w:rPr>
                <w:rFonts w:asciiTheme="minorHAnsi" w:hAnsiTheme="minorHAnsi"/>
                <w:b/>
                <w:bCs/>
                <w:sz w:val="18"/>
                <w:szCs w:val="18"/>
              </w:rPr>
            </w:pPr>
            <w:r w:rsidRPr="00493518">
              <w:rPr>
                <w:rFonts w:asciiTheme="minorHAnsi" w:hAnsiTheme="minorHAnsi"/>
                <w:b/>
                <w:bCs/>
                <w:sz w:val="18"/>
                <w:szCs w:val="18"/>
              </w:rPr>
              <w:t>+</w:t>
            </w:r>
            <w:r>
              <w:rPr>
                <w:rFonts w:asciiTheme="minorHAnsi" w:hAnsiTheme="minorHAnsi"/>
                <w:b/>
                <w:bCs/>
                <w:sz w:val="18"/>
                <w:szCs w:val="18"/>
              </w:rPr>
              <w:t xml:space="preserve"> 7,780</w:t>
            </w:r>
            <w:r w:rsidRPr="00493518">
              <w:rPr>
                <w:rFonts w:asciiTheme="minorHAnsi" w:hAnsiTheme="minorHAnsi"/>
                <w:b/>
                <w:bCs/>
                <w:sz w:val="18"/>
                <w:szCs w:val="18"/>
              </w:rPr>
              <w:t xml:space="preserve"> </w:t>
            </w:r>
          </w:p>
        </w:tc>
        <w:tc>
          <w:tcPr>
            <w:tcW w:w="4433" w:type="dxa"/>
            <w:vAlign w:val="center"/>
          </w:tcPr>
          <w:p w14:paraId="331FDF4D" w14:textId="77777777" w:rsidR="00C950A3" w:rsidRPr="00493518" w:rsidRDefault="00C950A3" w:rsidP="00D12FEE">
            <w:pPr>
              <w:pStyle w:val="Text2"/>
              <w:spacing w:after="0"/>
              <w:ind w:left="0"/>
              <w:jc w:val="left"/>
              <w:rPr>
                <w:rFonts w:asciiTheme="minorHAnsi" w:hAnsiTheme="minorHAnsi"/>
                <w:sz w:val="18"/>
                <w:szCs w:val="18"/>
              </w:rPr>
            </w:pPr>
            <w:r>
              <w:rPr>
                <w:rFonts w:asciiTheme="minorHAnsi" w:hAnsiTheme="minorHAnsi"/>
                <w:sz w:val="18"/>
                <w:szCs w:val="18"/>
              </w:rPr>
              <w:t>Increase of the budgetary needs for the SLA with DG HR</w:t>
            </w:r>
            <w:r w:rsidRPr="00493518">
              <w:rPr>
                <w:rFonts w:asciiTheme="minorHAnsi" w:hAnsiTheme="minorHAnsi"/>
                <w:sz w:val="18"/>
                <w:szCs w:val="18"/>
              </w:rPr>
              <w:t>.</w:t>
            </w:r>
          </w:p>
        </w:tc>
      </w:tr>
      <w:tr w:rsidR="00C950A3" w:rsidRPr="00877742" w14:paraId="4F2940B5" w14:textId="77777777" w:rsidTr="00042844">
        <w:trPr>
          <w:trHeight w:val="20"/>
        </w:trPr>
        <w:tc>
          <w:tcPr>
            <w:tcW w:w="804" w:type="dxa"/>
            <w:vAlign w:val="center"/>
          </w:tcPr>
          <w:p w14:paraId="1DA273E7" w14:textId="77777777" w:rsidR="00C950A3" w:rsidRPr="00493518" w:rsidRDefault="00C950A3" w:rsidP="00D12FEE">
            <w:pPr>
              <w:jc w:val="center"/>
              <w:rPr>
                <w:rFonts w:asciiTheme="minorHAnsi" w:hAnsiTheme="minorHAnsi"/>
                <w:b/>
                <w:bCs/>
                <w:i/>
                <w:sz w:val="18"/>
                <w:szCs w:val="18"/>
              </w:rPr>
            </w:pPr>
            <w:r w:rsidRPr="00493518">
              <w:rPr>
                <w:rFonts w:asciiTheme="minorHAnsi" w:hAnsiTheme="minorHAnsi"/>
                <w:b/>
                <w:bCs/>
                <w:i/>
                <w:sz w:val="18"/>
                <w:szCs w:val="18"/>
              </w:rPr>
              <w:t>1222</w:t>
            </w:r>
          </w:p>
        </w:tc>
        <w:tc>
          <w:tcPr>
            <w:tcW w:w="2967" w:type="dxa"/>
          </w:tcPr>
          <w:p w14:paraId="7C451F82" w14:textId="77777777" w:rsidR="00C950A3" w:rsidRPr="00493518" w:rsidRDefault="00C950A3" w:rsidP="00D12FEE">
            <w:pPr>
              <w:ind w:right="61"/>
              <w:rPr>
                <w:rFonts w:asciiTheme="minorHAnsi" w:hAnsiTheme="minorHAnsi"/>
                <w:bCs/>
                <w:i/>
                <w:sz w:val="18"/>
                <w:szCs w:val="18"/>
              </w:rPr>
            </w:pPr>
            <w:r w:rsidRPr="00493518">
              <w:rPr>
                <w:rFonts w:asciiTheme="minorHAnsi" w:hAnsiTheme="minorHAnsi"/>
                <w:bCs/>
                <w:i/>
                <w:sz w:val="18"/>
                <w:szCs w:val="18"/>
              </w:rPr>
              <w:t>Missions related to the Professional and Personal Development of Staff</w:t>
            </w:r>
          </w:p>
        </w:tc>
        <w:tc>
          <w:tcPr>
            <w:tcW w:w="992" w:type="dxa"/>
            <w:vAlign w:val="center"/>
          </w:tcPr>
          <w:p w14:paraId="02D6C015" w14:textId="77777777" w:rsidR="00C950A3" w:rsidRPr="00493518" w:rsidRDefault="00C950A3" w:rsidP="00C950A3">
            <w:pPr>
              <w:ind w:right="61"/>
              <w:jc w:val="right"/>
              <w:rPr>
                <w:rFonts w:asciiTheme="minorHAnsi" w:hAnsiTheme="minorHAnsi"/>
                <w:b/>
                <w:bCs/>
                <w:sz w:val="18"/>
                <w:szCs w:val="18"/>
              </w:rPr>
            </w:pPr>
            <w:r w:rsidRPr="00493518">
              <w:rPr>
                <w:rFonts w:asciiTheme="minorHAnsi" w:hAnsiTheme="minorHAnsi"/>
                <w:b/>
                <w:bCs/>
                <w:sz w:val="18"/>
                <w:szCs w:val="18"/>
              </w:rPr>
              <w:t>+</w:t>
            </w:r>
            <w:r>
              <w:rPr>
                <w:rFonts w:asciiTheme="minorHAnsi" w:hAnsiTheme="minorHAnsi"/>
                <w:b/>
                <w:bCs/>
                <w:sz w:val="18"/>
                <w:szCs w:val="18"/>
              </w:rPr>
              <w:t>1,955</w:t>
            </w:r>
            <w:r w:rsidRPr="00493518">
              <w:rPr>
                <w:rFonts w:asciiTheme="minorHAnsi" w:hAnsiTheme="minorHAnsi"/>
                <w:b/>
                <w:bCs/>
                <w:sz w:val="18"/>
                <w:szCs w:val="18"/>
              </w:rPr>
              <w:t xml:space="preserve"> </w:t>
            </w:r>
          </w:p>
        </w:tc>
        <w:tc>
          <w:tcPr>
            <w:tcW w:w="4433" w:type="dxa"/>
            <w:vAlign w:val="center"/>
          </w:tcPr>
          <w:p w14:paraId="039390DE" w14:textId="77777777" w:rsidR="00C950A3" w:rsidRPr="00493518" w:rsidRDefault="00C950A3" w:rsidP="00D12FEE">
            <w:pPr>
              <w:pStyle w:val="Text2"/>
              <w:spacing w:after="0"/>
              <w:ind w:left="0"/>
              <w:jc w:val="left"/>
              <w:rPr>
                <w:rFonts w:asciiTheme="minorHAnsi" w:hAnsiTheme="minorHAnsi"/>
                <w:sz w:val="18"/>
                <w:szCs w:val="18"/>
              </w:rPr>
            </w:pPr>
            <w:r w:rsidRPr="00493518">
              <w:rPr>
                <w:rFonts w:asciiTheme="minorHAnsi" w:hAnsiTheme="minorHAnsi"/>
                <w:sz w:val="18"/>
                <w:szCs w:val="18"/>
              </w:rPr>
              <w:t>Increase</w:t>
            </w:r>
            <w:r>
              <w:rPr>
                <w:rFonts w:asciiTheme="minorHAnsi" w:hAnsiTheme="minorHAnsi"/>
                <w:sz w:val="18"/>
                <w:szCs w:val="18"/>
              </w:rPr>
              <w:t xml:space="preserve">d </w:t>
            </w:r>
            <w:r w:rsidRPr="00493518">
              <w:rPr>
                <w:rFonts w:asciiTheme="minorHAnsi" w:hAnsiTheme="minorHAnsi"/>
                <w:sz w:val="18"/>
                <w:szCs w:val="18"/>
              </w:rPr>
              <w:t>number of missions related to the Professional and Personal Development of Staff.</w:t>
            </w:r>
          </w:p>
        </w:tc>
      </w:tr>
      <w:tr w:rsidR="00C950A3" w:rsidRPr="00877742" w14:paraId="2CD75212" w14:textId="77777777" w:rsidTr="00042844">
        <w:trPr>
          <w:trHeight w:val="20"/>
        </w:trPr>
        <w:tc>
          <w:tcPr>
            <w:tcW w:w="804" w:type="dxa"/>
            <w:vAlign w:val="center"/>
          </w:tcPr>
          <w:p w14:paraId="7CA44917" w14:textId="77777777" w:rsidR="00C950A3" w:rsidRPr="00493518" w:rsidRDefault="00C950A3" w:rsidP="00D12FEE">
            <w:pPr>
              <w:jc w:val="center"/>
              <w:rPr>
                <w:rFonts w:asciiTheme="minorHAnsi" w:hAnsiTheme="minorHAnsi"/>
                <w:b/>
                <w:bCs/>
                <w:i/>
                <w:sz w:val="18"/>
                <w:szCs w:val="18"/>
              </w:rPr>
            </w:pPr>
            <w:r w:rsidRPr="00493518">
              <w:rPr>
                <w:rFonts w:asciiTheme="minorHAnsi" w:hAnsiTheme="minorHAnsi"/>
                <w:b/>
                <w:bCs/>
                <w:i/>
                <w:sz w:val="18"/>
                <w:szCs w:val="18"/>
              </w:rPr>
              <w:t>1224</w:t>
            </w:r>
          </w:p>
        </w:tc>
        <w:tc>
          <w:tcPr>
            <w:tcW w:w="2967" w:type="dxa"/>
          </w:tcPr>
          <w:p w14:paraId="4594F71C" w14:textId="77777777" w:rsidR="00C950A3" w:rsidRPr="00493518" w:rsidRDefault="00C950A3" w:rsidP="00D12FEE">
            <w:pPr>
              <w:ind w:right="61"/>
              <w:rPr>
                <w:rFonts w:asciiTheme="minorHAnsi" w:hAnsiTheme="minorHAnsi"/>
                <w:bCs/>
                <w:i/>
                <w:sz w:val="18"/>
                <w:szCs w:val="18"/>
              </w:rPr>
            </w:pPr>
            <w:r w:rsidRPr="00493518">
              <w:rPr>
                <w:rFonts w:asciiTheme="minorHAnsi" w:hAnsiTheme="minorHAnsi"/>
                <w:bCs/>
                <w:i/>
                <w:sz w:val="18"/>
                <w:szCs w:val="18"/>
              </w:rPr>
              <w:t>Mobility and Other Social expenses</w:t>
            </w:r>
          </w:p>
        </w:tc>
        <w:tc>
          <w:tcPr>
            <w:tcW w:w="992" w:type="dxa"/>
            <w:vAlign w:val="center"/>
          </w:tcPr>
          <w:p w14:paraId="7ED8BB78" w14:textId="77777777" w:rsidR="00C950A3" w:rsidRPr="00493518" w:rsidRDefault="00C950A3" w:rsidP="00C950A3">
            <w:pPr>
              <w:ind w:right="61"/>
              <w:jc w:val="right"/>
              <w:rPr>
                <w:rFonts w:asciiTheme="minorHAnsi" w:hAnsiTheme="minorHAnsi"/>
                <w:b/>
                <w:bCs/>
                <w:sz w:val="18"/>
                <w:szCs w:val="18"/>
              </w:rPr>
            </w:pPr>
            <w:r w:rsidRPr="00493518">
              <w:rPr>
                <w:rFonts w:asciiTheme="minorHAnsi" w:hAnsiTheme="minorHAnsi"/>
                <w:b/>
                <w:bCs/>
                <w:sz w:val="18"/>
                <w:szCs w:val="18"/>
              </w:rPr>
              <w:t>+</w:t>
            </w:r>
            <w:r>
              <w:rPr>
                <w:rFonts w:asciiTheme="minorHAnsi" w:hAnsiTheme="minorHAnsi"/>
                <w:b/>
                <w:bCs/>
                <w:sz w:val="18"/>
                <w:szCs w:val="18"/>
              </w:rPr>
              <w:t>6,000</w:t>
            </w:r>
            <w:r w:rsidRPr="00493518">
              <w:rPr>
                <w:rFonts w:asciiTheme="minorHAnsi" w:hAnsiTheme="minorHAnsi"/>
                <w:b/>
                <w:bCs/>
                <w:sz w:val="18"/>
                <w:szCs w:val="18"/>
              </w:rPr>
              <w:t xml:space="preserve"> </w:t>
            </w:r>
          </w:p>
        </w:tc>
        <w:tc>
          <w:tcPr>
            <w:tcW w:w="4433" w:type="dxa"/>
            <w:vAlign w:val="center"/>
          </w:tcPr>
          <w:p w14:paraId="5B9CE3AD" w14:textId="77777777" w:rsidR="00C950A3" w:rsidRPr="00493518" w:rsidRDefault="00C950A3" w:rsidP="00C950A3">
            <w:pPr>
              <w:pStyle w:val="Text2"/>
              <w:spacing w:after="0"/>
              <w:ind w:left="0"/>
              <w:jc w:val="left"/>
              <w:rPr>
                <w:rFonts w:asciiTheme="minorHAnsi" w:hAnsiTheme="minorHAnsi"/>
                <w:sz w:val="18"/>
                <w:szCs w:val="18"/>
              </w:rPr>
            </w:pPr>
            <w:r w:rsidRPr="00493518">
              <w:rPr>
                <w:rFonts w:asciiTheme="minorHAnsi" w:hAnsiTheme="minorHAnsi"/>
                <w:sz w:val="18"/>
                <w:szCs w:val="18"/>
              </w:rPr>
              <w:t>Increase</w:t>
            </w:r>
            <w:r>
              <w:rPr>
                <w:rFonts w:asciiTheme="minorHAnsi" w:hAnsiTheme="minorHAnsi"/>
                <w:sz w:val="18"/>
                <w:szCs w:val="18"/>
              </w:rPr>
              <w:t>d expenses</w:t>
            </w:r>
            <w:r w:rsidRPr="00493518">
              <w:rPr>
                <w:rFonts w:asciiTheme="minorHAnsi" w:hAnsiTheme="minorHAnsi"/>
                <w:sz w:val="18"/>
                <w:szCs w:val="18"/>
              </w:rPr>
              <w:t xml:space="preserve"> for </w:t>
            </w:r>
            <w:r>
              <w:rPr>
                <w:rFonts w:asciiTheme="minorHAnsi" w:hAnsiTheme="minorHAnsi"/>
                <w:sz w:val="18"/>
                <w:szCs w:val="18"/>
              </w:rPr>
              <w:t>complementary assistance to disabled staff members</w:t>
            </w:r>
            <w:r w:rsidRPr="00493518">
              <w:rPr>
                <w:rFonts w:asciiTheme="minorHAnsi" w:hAnsiTheme="minorHAnsi"/>
                <w:sz w:val="18"/>
                <w:szCs w:val="18"/>
              </w:rPr>
              <w:t>.</w:t>
            </w:r>
          </w:p>
        </w:tc>
      </w:tr>
      <w:tr w:rsidR="00C950A3" w:rsidRPr="00877742" w14:paraId="01761865" w14:textId="77777777" w:rsidTr="00042844">
        <w:trPr>
          <w:trHeight w:val="20"/>
        </w:trPr>
        <w:tc>
          <w:tcPr>
            <w:tcW w:w="804" w:type="dxa"/>
            <w:vAlign w:val="center"/>
          </w:tcPr>
          <w:p w14:paraId="5B74376E" w14:textId="77777777" w:rsidR="00C950A3" w:rsidRPr="00493518" w:rsidRDefault="00C950A3" w:rsidP="00D12FEE">
            <w:pPr>
              <w:jc w:val="center"/>
              <w:rPr>
                <w:rFonts w:asciiTheme="minorHAnsi" w:hAnsiTheme="minorHAnsi"/>
                <w:b/>
                <w:bCs/>
                <w:i/>
                <w:sz w:val="18"/>
                <w:szCs w:val="18"/>
              </w:rPr>
            </w:pPr>
            <w:r w:rsidRPr="00493518">
              <w:rPr>
                <w:rFonts w:asciiTheme="minorHAnsi" w:hAnsiTheme="minorHAnsi"/>
                <w:b/>
                <w:bCs/>
                <w:i/>
                <w:sz w:val="18"/>
                <w:szCs w:val="18"/>
              </w:rPr>
              <w:t>2111</w:t>
            </w:r>
          </w:p>
        </w:tc>
        <w:tc>
          <w:tcPr>
            <w:tcW w:w="2967" w:type="dxa"/>
          </w:tcPr>
          <w:p w14:paraId="147F6E53" w14:textId="77777777" w:rsidR="00C950A3" w:rsidRPr="00493518" w:rsidRDefault="00C950A3" w:rsidP="00D12FEE">
            <w:pPr>
              <w:ind w:right="61"/>
              <w:rPr>
                <w:rFonts w:asciiTheme="minorHAnsi" w:hAnsiTheme="minorHAnsi"/>
                <w:bCs/>
                <w:i/>
                <w:sz w:val="18"/>
                <w:szCs w:val="18"/>
              </w:rPr>
            </w:pPr>
            <w:r w:rsidRPr="00493518">
              <w:rPr>
                <w:rFonts w:asciiTheme="minorHAnsi" w:hAnsiTheme="minorHAnsi"/>
                <w:bCs/>
                <w:i/>
                <w:sz w:val="18"/>
                <w:szCs w:val="18"/>
              </w:rPr>
              <w:t>Rent / Usufruct instalments, Building Charges and associated expenses</w:t>
            </w:r>
          </w:p>
        </w:tc>
        <w:tc>
          <w:tcPr>
            <w:tcW w:w="992" w:type="dxa"/>
            <w:vAlign w:val="center"/>
          </w:tcPr>
          <w:p w14:paraId="77B82730" w14:textId="77777777" w:rsidR="00C950A3" w:rsidRPr="00493518" w:rsidRDefault="00C950A3" w:rsidP="00C950A3">
            <w:pPr>
              <w:ind w:right="61"/>
              <w:jc w:val="right"/>
              <w:rPr>
                <w:rFonts w:asciiTheme="minorHAnsi" w:hAnsiTheme="minorHAnsi"/>
                <w:b/>
                <w:bCs/>
                <w:sz w:val="18"/>
                <w:szCs w:val="18"/>
              </w:rPr>
            </w:pPr>
            <w:r w:rsidRPr="00493518">
              <w:rPr>
                <w:rFonts w:asciiTheme="minorHAnsi" w:hAnsiTheme="minorHAnsi"/>
                <w:b/>
                <w:bCs/>
                <w:sz w:val="18"/>
                <w:szCs w:val="18"/>
              </w:rPr>
              <w:t>+</w:t>
            </w:r>
            <w:r>
              <w:rPr>
                <w:rFonts w:asciiTheme="minorHAnsi" w:hAnsiTheme="minorHAnsi"/>
                <w:b/>
                <w:bCs/>
                <w:sz w:val="18"/>
                <w:szCs w:val="18"/>
              </w:rPr>
              <w:t>6</w:t>
            </w:r>
            <w:r w:rsidR="002B2904">
              <w:rPr>
                <w:rFonts w:asciiTheme="minorHAnsi" w:hAnsiTheme="minorHAnsi"/>
                <w:b/>
                <w:bCs/>
                <w:sz w:val="18"/>
                <w:szCs w:val="18"/>
              </w:rPr>
              <w:t>3,8</w:t>
            </w:r>
            <w:r>
              <w:rPr>
                <w:rFonts w:asciiTheme="minorHAnsi" w:hAnsiTheme="minorHAnsi"/>
                <w:b/>
                <w:bCs/>
                <w:sz w:val="18"/>
                <w:szCs w:val="18"/>
              </w:rPr>
              <w:t>80</w:t>
            </w:r>
          </w:p>
        </w:tc>
        <w:tc>
          <w:tcPr>
            <w:tcW w:w="4433" w:type="dxa"/>
            <w:vMerge w:val="restart"/>
            <w:vAlign w:val="center"/>
          </w:tcPr>
          <w:p w14:paraId="6EC44FC0" w14:textId="39C47AD3" w:rsidR="003F5325" w:rsidRPr="003F5325" w:rsidRDefault="00C950A3" w:rsidP="003F5325">
            <w:pPr>
              <w:pStyle w:val="Default"/>
              <w:rPr>
                <w:rFonts w:asciiTheme="minorHAnsi" w:hAnsiTheme="minorHAnsi"/>
                <w:sz w:val="18"/>
                <w:szCs w:val="18"/>
              </w:rPr>
            </w:pPr>
            <w:r>
              <w:rPr>
                <w:rFonts w:asciiTheme="minorHAnsi" w:hAnsiTheme="minorHAnsi"/>
                <w:sz w:val="18"/>
                <w:szCs w:val="18"/>
              </w:rPr>
              <w:t>Increased e</w:t>
            </w:r>
            <w:r w:rsidRPr="00493518">
              <w:rPr>
                <w:rFonts w:asciiTheme="minorHAnsi" w:hAnsiTheme="minorHAnsi" w:cs="Times New Roman"/>
                <w:sz w:val="18"/>
                <w:szCs w:val="18"/>
              </w:rPr>
              <w:t xml:space="preserve">xpenses related to the SLA with OIB for building management </w:t>
            </w:r>
            <w:r>
              <w:rPr>
                <w:rFonts w:asciiTheme="minorHAnsi" w:hAnsiTheme="minorHAnsi"/>
                <w:sz w:val="18"/>
                <w:szCs w:val="18"/>
              </w:rPr>
              <w:t>due to higher unit prices and changes in the method of calculation of the costs</w:t>
            </w:r>
            <w:r w:rsidR="003F5325">
              <w:rPr>
                <w:rFonts w:asciiTheme="minorHAnsi" w:hAnsiTheme="minorHAnsi"/>
                <w:sz w:val="18"/>
                <w:szCs w:val="18"/>
              </w:rPr>
              <w:t xml:space="preserve"> (following the Commission's g</w:t>
            </w:r>
            <w:r w:rsidR="003F5325" w:rsidRPr="003F5325">
              <w:rPr>
                <w:rFonts w:asciiTheme="minorHAnsi" w:hAnsiTheme="minorHAnsi"/>
                <w:sz w:val="18"/>
                <w:szCs w:val="18"/>
              </w:rPr>
              <w:t xml:space="preserve">uidance on the charge-back process </w:t>
            </w:r>
            <w:r w:rsidR="003F5325">
              <w:rPr>
                <w:rFonts w:asciiTheme="minorHAnsi" w:hAnsiTheme="minorHAnsi"/>
                <w:sz w:val="18"/>
                <w:szCs w:val="18"/>
              </w:rPr>
              <w:t>for</w:t>
            </w:r>
            <w:r w:rsidR="003F5325" w:rsidRPr="003F5325">
              <w:rPr>
                <w:rFonts w:asciiTheme="minorHAnsi" w:hAnsiTheme="minorHAnsi"/>
                <w:sz w:val="18"/>
                <w:szCs w:val="18"/>
              </w:rPr>
              <w:t xml:space="preserve"> the provision of services to </w:t>
            </w:r>
            <w:r w:rsidR="003F5325">
              <w:rPr>
                <w:rFonts w:asciiTheme="minorHAnsi" w:hAnsiTheme="minorHAnsi"/>
                <w:sz w:val="18"/>
                <w:szCs w:val="18"/>
              </w:rPr>
              <w:t>Agencies)</w:t>
            </w:r>
            <w:r w:rsidR="00235DC0">
              <w:rPr>
                <w:rFonts w:asciiTheme="minorHAnsi" w:hAnsiTheme="minorHAnsi"/>
                <w:sz w:val="18"/>
                <w:szCs w:val="18"/>
              </w:rPr>
              <w:t>.</w:t>
            </w:r>
          </w:p>
          <w:p w14:paraId="7C346791" w14:textId="77777777" w:rsidR="00C950A3" w:rsidRPr="00493518" w:rsidRDefault="00C950A3" w:rsidP="003F5325">
            <w:pPr>
              <w:pStyle w:val="Text2"/>
              <w:spacing w:after="0"/>
              <w:ind w:left="0"/>
              <w:jc w:val="left"/>
              <w:rPr>
                <w:rFonts w:asciiTheme="minorHAnsi" w:hAnsiTheme="minorHAnsi"/>
                <w:sz w:val="18"/>
                <w:szCs w:val="18"/>
              </w:rPr>
            </w:pPr>
          </w:p>
        </w:tc>
      </w:tr>
      <w:tr w:rsidR="00C950A3" w:rsidRPr="00877742" w14:paraId="196FFCAB" w14:textId="77777777" w:rsidTr="00042844">
        <w:trPr>
          <w:trHeight w:val="20"/>
        </w:trPr>
        <w:tc>
          <w:tcPr>
            <w:tcW w:w="804" w:type="dxa"/>
            <w:vAlign w:val="center"/>
          </w:tcPr>
          <w:p w14:paraId="2A9291C4" w14:textId="77777777" w:rsidR="00C950A3" w:rsidRPr="00493518" w:rsidRDefault="00C950A3" w:rsidP="00D12FEE">
            <w:pPr>
              <w:jc w:val="center"/>
              <w:rPr>
                <w:rFonts w:asciiTheme="minorHAnsi" w:hAnsiTheme="minorHAnsi"/>
                <w:b/>
                <w:bCs/>
                <w:i/>
                <w:sz w:val="18"/>
                <w:szCs w:val="18"/>
              </w:rPr>
            </w:pPr>
            <w:r>
              <w:rPr>
                <w:rFonts w:asciiTheme="minorHAnsi" w:hAnsiTheme="minorHAnsi"/>
                <w:b/>
                <w:bCs/>
                <w:i/>
                <w:sz w:val="18"/>
                <w:szCs w:val="18"/>
              </w:rPr>
              <w:t>321</w:t>
            </w:r>
            <w:r w:rsidRPr="00493518">
              <w:rPr>
                <w:rFonts w:asciiTheme="minorHAnsi" w:hAnsiTheme="minorHAnsi"/>
                <w:b/>
                <w:bCs/>
                <w:i/>
                <w:sz w:val="18"/>
                <w:szCs w:val="18"/>
              </w:rPr>
              <w:t>1</w:t>
            </w:r>
          </w:p>
        </w:tc>
        <w:tc>
          <w:tcPr>
            <w:tcW w:w="2967" w:type="dxa"/>
          </w:tcPr>
          <w:p w14:paraId="53EED316" w14:textId="77777777" w:rsidR="00C950A3" w:rsidRPr="00493518" w:rsidRDefault="00C950A3" w:rsidP="00D12FEE">
            <w:pPr>
              <w:ind w:right="61"/>
              <w:rPr>
                <w:rFonts w:asciiTheme="minorHAnsi" w:hAnsiTheme="minorHAnsi"/>
                <w:bCs/>
                <w:i/>
                <w:sz w:val="18"/>
                <w:szCs w:val="18"/>
              </w:rPr>
            </w:pPr>
            <w:r w:rsidRPr="00C950A3">
              <w:rPr>
                <w:rFonts w:asciiTheme="minorHAnsi" w:hAnsiTheme="minorHAnsi"/>
                <w:bCs/>
                <w:i/>
                <w:sz w:val="18"/>
                <w:szCs w:val="18"/>
              </w:rPr>
              <w:t>Building Rent / Usufruct instalments, Building charges and associated expenses for the Common Support Services and Evaluation Platform</w:t>
            </w:r>
          </w:p>
        </w:tc>
        <w:tc>
          <w:tcPr>
            <w:tcW w:w="992" w:type="dxa"/>
            <w:vAlign w:val="center"/>
          </w:tcPr>
          <w:p w14:paraId="0C24D1E4" w14:textId="77777777" w:rsidR="00C950A3" w:rsidRPr="00493518" w:rsidRDefault="00C950A3" w:rsidP="00C950A3">
            <w:pPr>
              <w:ind w:right="61"/>
              <w:jc w:val="right"/>
              <w:rPr>
                <w:rFonts w:asciiTheme="minorHAnsi" w:hAnsiTheme="minorHAnsi"/>
                <w:b/>
                <w:bCs/>
                <w:sz w:val="18"/>
                <w:szCs w:val="18"/>
              </w:rPr>
            </w:pPr>
            <w:r w:rsidRPr="00493518">
              <w:rPr>
                <w:rFonts w:asciiTheme="minorHAnsi" w:hAnsiTheme="minorHAnsi"/>
                <w:b/>
                <w:bCs/>
                <w:sz w:val="18"/>
                <w:szCs w:val="18"/>
              </w:rPr>
              <w:t>+</w:t>
            </w:r>
            <w:r>
              <w:rPr>
                <w:rFonts w:asciiTheme="minorHAnsi" w:hAnsiTheme="minorHAnsi"/>
                <w:b/>
                <w:bCs/>
                <w:sz w:val="18"/>
                <w:szCs w:val="18"/>
              </w:rPr>
              <w:t>145,725</w:t>
            </w:r>
            <w:r w:rsidRPr="00493518">
              <w:rPr>
                <w:rFonts w:asciiTheme="minorHAnsi" w:hAnsiTheme="minorHAnsi"/>
                <w:b/>
                <w:bCs/>
                <w:sz w:val="18"/>
                <w:szCs w:val="18"/>
              </w:rPr>
              <w:t xml:space="preserve"> </w:t>
            </w:r>
          </w:p>
        </w:tc>
        <w:tc>
          <w:tcPr>
            <w:tcW w:w="4433" w:type="dxa"/>
            <w:vMerge/>
            <w:vAlign w:val="center"/>
          </w:tcPr>
          <w:p w14:paraId="7B94E05B" w14:textId="77777777" w:rsidR="00C950A3" w:rsidRPr="00493518" w:rsidRDefault="00C950A3" w:rsidP="00D12FEE">
            <w:pPr>
              <w:pStyle w:val="Text2"/>
              <w:spacing w:after="0"/>
              <w:ind w:left="0"/>
              <w:jc w:val="left"/>
              <w:rPr>
                <w:rFonts w:asciiTheme="minorHAnsi" w:hAnsiTheme="minorHAnsi"/>
                <w:sz w:val="18"/>
                <w:szCs w:val="18"/>
              </w:rPr>
            </w:pPr>
          </w:p>
        </w:tc>
      </w:tr>
    </w:tbl>
    <w:p w14:paraId="783CFE77" w14:textId="77777777" w:rsidR="00F85D80" w:rsidRDefault="00F85D80" w:rsidP="00A64D26">
      <w:pPr>
        <w:pStyle w:val="Text2"/>
        <w:spacing w:after="120"/>
        <w:ind w:left="0"/>
        <w:rPr>
          <w:sz w:val="22"/>
          <w:szCs w:val="22"/>
        </w:rPr>
      </w:pPr>
    </w:p>
    <w:p w14:paraId="56FB0CF8" w14:textId="77777777" w:rsidR="00B86441" w:rsidRPr="00042844" w:rsidRDefault="00B86441" w:rsidP="00A64D26">
      <w:pPr>
        <w:pStyle w:val="Text2"/>
        <w:spacing w:after="120"/>
        <w:ind w:left="0"/>
        <w:rPr>
          <w:szCs w:val="24"/>
        </w:rPr>
      </w:pPr>
      <w:r w:rsidRPr="00042844">
        <w:rPr>
          <w:szCs w:val="24"/>
        </w:rPr>
        <w:t xml:space="preserve">On the other hand, </w:t>
      </w:r>
      <w:r w:rsidR="003F5325" w:rsidRPr="00042844">
        <w:rPr>
          <w:szCs w:val="24"/>
        </w:rPr>
        <w:t>the following surpluses have bee</w:t>
      </w:r>
      <w:r w:rsidRPr="00042844">
        <w:rPr>
          <w:szCs w:val="24"/>
        </w:rPr>
        <w:t>n identified enabling to fund the above-mentioned needs: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17"/>
        <w:gridCol w:w="2977"/>
        <w:gridCol w:w="850"/>
        <w:gridCol w:w="4598"/>
      </w:tblGrid>
      <w:tr w:rsidR="00D16738" w:rsidRPr="00FA030E" w14:paraId="7521F057" w14:textId="77777777" w:rsidTr="00AF565D">
        <w:trPr>
          <w:tblHeader/>
        </w:trPr>
        <w:tc>
          <w:tcPr>
            <w:tcW w:w="817" w:type="dxa"/>
            <w:shd w:val="clear" w:color="auto" w:fill="D9D9D9" w:themeFill="background1" w:themeFillShade="D9"/>
          </w:tcPr>
          <w:p w14:paraId="782D7C1A" w14:textId="77777777" w:rsidR="00D16738" w:rsidRPr="00EE0BC5" w:rsidRDefault="00D16738"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Budget Line</w:t>
            </w:r>
          </w:p>
        </w:tc>
        <w:tc>
          <w:tcPr>
            <w:tcW w:w="2977" w:type="dxa"/>
            <w:shd w:val="clear" w:color="auto" w:fill="D9D9D9" w:themeFill="background1" w:themeFillShade="D9"/>
          </w:tcPr>
          <w:p w14:paraId="03FEF4E0" w14:textId="77777777" w:rsidR="00D16738" w:rsidRPr="00EE0BC5" w:rsidRDefault="00D16738"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Description</w:t>
            </w:r>
          </w:p>
        </w:tc>
        <w:tc>
          <w:tcPr>
            <w:tcW w:w="850" w:type="dxa"/>
            <w:shd w:val="clear" w:color="auto" w:fill="D9D9D9" w:themeFill="background1" w:themeFillShade="D9"/>
          </w:tcPr>
          <w:p w14:paraId="6704D990" w14:textId="77777777" w:rsidR="00D16738" w:rsidRPr="00EE0BC5" w:rsidRDefault="00D16738"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Amount (EUR)</w:t>
            </w:r>
          </w:p>
        </w:tc>
        <w:tc>
          <w:tcPr>
            <w:tcW w:w="4598" w:type="dxa"/>
            <w:shd w:val="clear" w:color="auto" w:fill="D9D9D9" w:themeFill="background1" w:themeFillShade="D9"/>
            <w:vAlign w:val="center"/>
          </w:tcPr>
          <w:p w14:paraId="401B5F40" w14:textId="77777777" w:rsidR="00D16738" w:rsidRPr="00EE0BC5" w:rsidRDefault="00D16738" w:rsidP="00D12FEE">
            <w:pPr>
              <w:pStyle w:val="Text2"/>
              <w:spacing w:after="0"/>
              <w:ind w:left="0"/>
              <w:jc w:val="center"/>
              <w:rPr>
                <w:rFonts w:asciiTheme="minorHAnsi" w:hAnsiTheme="minorHAnsi"/>
                <w:b/>
                <w:sz w:val="18"/>
                <w:szCs w:val="18"/>
              </w:rPr>
            </w:pPr>
            <w:r w:rsidRPr="00EE0BC5">
              <w:rPr>
                <w:rFonts w:asciiTheme="minorHAnsi" w:hAnsiTheme="minorHAnsi"/>
                <w:b/>
                <w:sz w:val="18"/>
                <w:szCs w:val="18"/>
              </w:rPr>
              <w:t>Reason</w:t>
            </w:r>
          </w:p>
        </w:tc>
      </w:tr>
      <w:tr w:rsidR="00D16738" w:rsidRPr="00FA030E" w14:paraId="57B4C0F9" w14:textId="77777777" w:rsidTr="00AF565D">
        <w:tc>
          <w:tcPr>
            <w:tcW w:w="817" w:type="dxa"/>
          </w:tcPr>
          <w:p w14:paraId="320E2E7F" w14:textId="77777777" w:rsidR="00D16738" w:rsidRPr="00EE0BC5" w:rsidRDefault="00D16738" w:rsidP="00D12FEE">
            <w:pPr>
              <w:jc w:val="center"/>
              <w:rPr>
                <w:rFonts w:asciiTheme="minorHAnsi" w:hAnsiTheme="minorHAnsi"/>
                <w:b/>
                <w:bCs/>
                <w:i/>
                <w:sz w:val="18"/>
                <w:szCs w:val="18"/>
              </w:rPr>
            </w:pPr>
            <w:r w:rsidRPr="00EE0BC5">
              <w:rPr>
                <w:rFonts w:asciiTheme="minorHAnsi" w:hAnsiTheme="minorHAnsi"/>
                <w:b/>
                <w:bCs/>
                <w:i/>
                <w:sz w:val="18"/>
                <w:szCs w:val="18"/>
              </w:rPr>
              <w:t>11</w:t>
            </w:r>
            <w:r>
              <w:rPr>
                <w:rFonts w:asciiTheme="minorHAnsi" w:hAnsiTheme="minorHAnsi"/>
                <w:b/>
                <w:bCs/>
                <w:i/>
                <w:sz w:val="18"/>
                <w:szCs w:val="18"/>
              </w:rPr>
              <w:t>11</w:t>
            </w:r>
          </w:p>
        </w:tc>
        <w:tc>
          <w:tcPr>
            <w:tcW w:w="2977" w:type="dxa"/>
          </w:tcPr>
          <w:p w14:paraId="651A7F66" w14:textId="77777777" w:rsidR="00D16738" w:rsidRPr="00EE0BC5" w:rsidRDefault="00D16738" w:rsidP="00AF565D">
            <w:pPr>
              <w:rPr>
                <w:rFonts w:asciiTheme="minorHAnsi" w:hAnsiTheme="minorHAnsi"/>
                <w:bCs/>
                <w:i/>
                <w:sz w:val="18"/>
                <w:szCs w:val="18"/>
              </w:rPr>
            </w:pPr>
            <w:r w:rsidRPr="00493518">
              <w:rPr>
                <w:rFonts w:asciiTheme="minorHAnsi" w:hAnsiTheme="minorHAnsi"/>
                <w:bCs/>
                <w:i/>
                <w:sz w:val="18"/>
                <w:szCs w:val="18"/>
              </w:rPr>
              <w:t xml:space="preserve">Temporary Agents </w:t>
            </w:r>
            <w:r w:rsidR="00AF565D">
              <w:rPr>
                <w:rFonts w:asciiTheme="minorHAnsi" w:hAnsiTheme="minorHAnsi"/>
                <w:bCs/>
                <w:i/>
                <w:sz w:val="18"/>
                <w:szCs w:val="18"/>
              </w:rPr>
              <w:t>–</w:t>
            </w:r>
            <w:r w:rsidRPr="00493518">
              <w:rPr>
                <w:rFonts w:asciiTheme="minorHAnsi" w:hAnsiTheme="minorHAnsi"/>
                <w:bCs/>
                <w:i/>
                <w:sz w:val="18"/>
                <w:szCs w:val="18"/>
              </w:rPr>
              <w:t xml:space="preserve"> Remuneration, Allowances and Charges</w:t>
            </w:r>
          </w:p>
        </w:tc>
        <w:tc>
          <w:tcPr>
            <w:tcW w:w="850" w:type="dxa"/>
            <w:vAlign w:val="center"/>
          </w:tcPr>
          <w:p w14:paraId="44964DE9" w14:textId="77777777" w:rsidR="00D16738" w:rsidRPr="00EE0BC5" w:rsidRDefault="00D16738" w:rsidP="00D16738">
            <w:pPr>
              <w:jc w:val="right"/>
              <w:rPr>
                <w:rFonts w:asciiTheme="minorHAnsi" w:hAnsiTheme="minorHAnsi"/>
                <w:b/>
                <w:bCs/>
                <w:sz w:val="18"/>
                <w:szCs w:val="18"/>
              </w:rPr>
            </w:pPr>
            <w:r w:rsidRPr="00EE0BC5">
              <w:rPr>
                <w:rFonts w:asciiTheme="minorHAnsi" w:hAnsiTheme="minorHAnsi"/>
                <w:b/>
                <w:bCs/>
                <w:sz w:val="18"/>
                <w:szCs w:val="18"/>
              </w:rPr>
              <w:t xml:space="preserve">- </w:t>
            </w:r>
            <w:r>
              <w:rPr>
                <w:rFonts w:asciiTheme="minorHAnsi" w:hAnsiTheme="minorHAnsi"/>
                <w:b/>
                <w:bCs/>
                <w:sz w:val="18"/>
                <w:szCs w:val="18"/>
              </w:rPr>
              <w:t>50,040</w:t>
            </w:r>
          </w:p>
        </w:tc>
        <w:tc>
          <w:tcPr>
            <w:tcW w:w="4598" w:type="dxa"/>
            <w:vMerge w:val="restart"/>
            <w:vAlign w:val="center"/>
          </w:tcPr>
          <w:p w14:paraId="5537C606" w14:textId="77777777" w:rsidR="00D16738" w:rsidRPr="00EE0BC5" w:rsidRDefault="00D16738" w:rsidP="00D16738">
            <w:pPr>
              <w:pStyle w:val="Text2"/>
              <w:spacing w:after="0"/>
              <w:ind w:left="0"/>
              <w:jc w:val="left"/>
              <w:rPr>
                <w:rFonts w:asciiTheme="minorHAnsi" w:hAnsiTheme="minorHAnsi"/>
                <w:sz w:val="18"/>
                <w:szCs w:val="18"/>
              </w:rPr>
            </w:pPr>
            <w:r>
              <w:rPr>
                <w:rFonts w:asciiTheme="minorHAnsi" w:hAnsiTheme="minorHAnsi"/>
                <w:sz w:val="18"/>
                <w:szCs w:val="18"/>
              </w:rPr>
              <w:t>Minor adjustments taking into account the staff occupied until 31/12/2019.</w:t>
            </w:r>
          </w:p>
        </w:tc>
      </w:tr>
      <w:tr w:rsidR="00D16738" w:rsidRPr="00FA030E" w14:paraId="58E2E677" w14:textId="77777777" w:rsidTr="00AF565D">
        <w:tc>
          <w:tcPr>
            <w:tcW w:w="817" w:type="dxa"/>
          </w:tcPr>
          <w:p w14:paraId="4C5C06C5" w14:textId="77777777" w:rsidR="00D16738" w:rsidRPr="00EE0BC5" w:rsidRDefault="00D16738" w:rsidP="00D16738">
            <w:pPr>
              <w:jc w:val="center"/>
              <w:rPr>
                <w:rFonts w:asciiTheme="minorHAnsi" w:hAnsiTheme="minorHAnsi"/>
                <w:b/>
                <w:bCs/>
                <w:i/>
                <w:sz w:val="18"/>
                <w:szCs w:val="18"/>
              </w:rPr>
            </w:pPr>
            <w:r w:rsidRPr="00EE0BC5">
              <w:rPr>
                <w:rFonts w:asciiTheme="minorHAnsi" w:hAnsiTheme="minorHAnsi"/>
                <w:b/>
                <w:bCs/>
                <w:i/>
                <w:sz w:val="18"/>
                <w:szCs w:val="18"/>
              </w:rPr>
              <w:t>1</w:t>
            </w:r>
            <w:r>
              <w:rPr>
                <w:rFonts w:asciiTheme="minorHAnsi" w:hAnsiTheme="minorHAnsi"/>
                <w:b/>
                <w:bCs/>
                <w:i/>
                <w:sz w:val="18"/>
                <w:szCs w:val="18"/>
              </w:rPr>
              <w:t>12</w:t>
            </w:r>
            <w:r w:rsidRPr="00EE0BC5">
              <w:rPr>
                <w:rFonts w:asciiTheme="minorHAnsi" w:hAnsiTheme="minorHAnsi"/>
                <w:b/>
                <w:bCs/>
                <w:i/>
                <w:sz w:val="18"/>
                <w:szCs w:val="18"/>
              </w:rPr>
              <w:t>1</w:t>
            </w:r>
          </w:p>
        </w:tc>
        <w:tc>
          <w:tcPr>
            <w:tcW w:w="2977" w:type="dxa"/>
          </w:tcPr>
          <w:p w14:paraId="017C8624" w14:textId="77777777" w:rsidR="00D16738" w:rsidRPr="00EE0BC5" w:rsidRDefault="00D16738" w:rsidP="00AF565D">
            <w:pPr>
              <w:rPr>
                <w:rFonts w:asciiTheme="minorHAnsi" w:hAnsiTheme="minorHAnsi"/>
                <w:bCs/>
                <w:i/>
                <w:sz w:val="18"/>
                <w:szCs w:val="18"/>
              </w:rPr>
            </w:pPr>
            <w:r w:rsidRPr="00493518">
              <w:rPr>
                <w:rFonts w:asciiTheme="minorHAnsi" w:hAnsiTheme="minorHAnsi"/>
                <w:bCs/>
                <w:i/>
                <w:sz w:val="18"/>
                <w:szCs w:val="18"/>
              </w:rPr>
              <w:t xml:space="preserve">Contract Agents </w:t>
            </w:r>
            <w:r w:rsidR="00AF565D">
              <w:rPr>
                <w:rFonts w:asciiTheme="minorHAnsi" w:hAnsiTheme="minorHAnsi"/>
                <w:bCs/>
                <w:i/>
                <w:sz w:val="18"/>
                <w:szCs w:val="18"/>
              </w:rPr>
              <w:t xml:space="preserve">– </w:t>
            </w:r>
            <w:r w:rsidRPr="00493518">
              <w:rPr>
                <w:rFonts w:asciiTheme="minorHAnsi" w:hAnsiTheme="minorHAnsi"/>
                <w:bCs/>
                <w:i/>
                <w:sz w:val="18"/>
                <w:szCs w:val="18"/>
              </w:rPr>
              <w:t>Remuneration, Allowances and Charges</w:t>
            </w:r>
          </w:p>
        </w:tc>
        <w:tc>
          <w:tcPr>
            <w:tcW w:w="850" w:type="dxa"/>
            <w:vAlign w:val="center"/>
          </w:tcPr>
          <w:p w14:paraId="2132CD00" w14:textId="77777777" w:rsidR="00D16738" w:rsidRPr="00EE0BC5" w:rsidRDefault="00D16738" w:rsidP="00D16738">
            <w:pPr>
              <w:jc w:val="right"/>
              <w:rPr>
                <w:rFonts w:asciiTheme="minorHAnsi" w:hAnsiTheme="minorHAnsi"/>
                <w:b/>
                <w:bCs/>
                <w:sz w:val="18"/>
                <w:szCs w:val="18"/>
              </w:rPr>
            </w:pPr>
            <w:r w:rsidRPr="00EE0BC5">
              <w:rPr>
                <w:rFonts w:asciiTheme="minorHAnsi" w:hAnsiTheme="minorHAnsi"/>
                <w:b/>
                <w:bCs/>
                <w:sz w:val="18"/>
                <w:szCs w:val="18"/>
              </w:rPr>
              <w:t xml:space="preserve">- </w:t>
            </w:r>
            <w:r>
              <w:rPr>
                <w:rFonts w:asciiTheme="minorHAnsi" w:hAnsiTheme="minorHAnsi"/>
                <w:b/>
                <w:bCs/>
                <w:sz w:val="18"/>
                <w:szCs w:val="18"/>
              </w:rPr>
              <w:t>5,720</w:t>
            </w:r>
          </w:p>
        </w:tc>
        <w:tc>
          <w:tcPr>
            <w:tcW w:w="4598" w:type="dxa"/>
            <w:vMerge/>
            <w:vAlign w:val="center"/>
          </w:tcPr>
          <w:p w14:paraId="34EF3C23" w14:textId="77777777" w:rsidR="00D16738" w:rsidRPr="00EE0BC5" w:rsidRDefault="00D16738" w:rsidP="00D16738">
            <w:pPr>
              <w:pStyle w:val="Text2"/>
              <w:spacing w:after="0"/>
              <w:ind w:left="0"/>
              <w:jc w:val="left"/>
              <w:rPr>
                <w:rFonts w:asciiTheme="minorHAnsi" w:hAnsiTheme="minorHAnsi"/>
                <w:sz w:val="18"/>
                <w:szCs w:val="18"/>
              </w:rPr>
            </w:pPr>
          </w:p>
        </w:tc>
      </w:tr>
      <w:tr w:rsidR="00D16738" w:rsidRPr="00FA030E" w14:paraId="224F567B" w14:textId="77777777" w:rsidTr="00AF565D">
        <w:tc>
          <w:tcPr>
            <w:tcW w:w="817" w:type="dxa"/>
          </w:tcPr>
          <w:p w14:paraId="13B039F7" w14:textId="77777777" w:rsidR="00D16738" w:rsidRPr="00EE0BC5" w:rsidRDefault="00D16738" w:rsidP="00D12FEE">
            <w:pPr>
              <w:jc w:val="center"/>
              <w:rPr>
                <w:rFonts w:asciiTheme="minorHAnsi" w:hAnsiTheme="minorHAnsi"/>
                <w:b/>
                <w:bCs/>
                <w:i/>
                <w:sz w:val="18"/>
                <w:szCs w:val="18"/>
              </w:rPr>
            </w:pPr>
            <w:r>
              <w:rPr>
                <w:rFonts w:asciiTheme="minorHAnsi" w:hAnsiTheme="minorHAnsi"/>
                <w:b/>
                <w:bCs/>
                <w:i/>
                <w:sz w:val="18"/>
                <w:szCs w:val="18"/>
              </w:rPr>
              <w:t>1132</w:t>
            </w:r>
          </w:p>
        </w:tc>
        <w:tc>
          <w:tcPr>
            <w:tcW w:w="2977" w:type="dxa"/>
          </w:tcPr>
          <w:p w14:paraId="6AAC628A" w14:textId="77777777" w:rsidR="00D16738" w:rsidRPr="00EE0BC5" w:rsidRDefault="00D16738" w:rsidP="00D12FEE">
            <w:pPr>
              <w:rPr>
                <w:rFonts w:asciiTheme="minorHAnsi" w:hAnsiTheme="minorHAnsi"/>
                <w:bCs/>
                <w:i/>
                <w:sz w:val="18"/>
                <w:szCs w:val="18"/>
              </w:rPr>
            </w:pPr>
            <w:r w:rsidRPr="00EE0BC5">
              <w:rPr>
                <w:rFonts w:asciiTheme="minorHAnsi" w:hAnsiTheme="minorHAnsi"/>
                <w:bCs/>
                <w:i/>
                <w:sz w:val="18"/>
                <w:szCs w:val="18"/>
              </w:rPr>
              <w:t>Interim supportive agents and Trainees</w:t>
            </w:r>
          </w:p>
        </w:tc>
        <w:tc>
          <w:tcPr>
            <w:tcW w:w="850" w:type="dxa"/>
            <w:vAlign w:val="center"/>
          </w:tcPr>
          <w:p w14:paraId="724D2F9B" w14:textId="77777777" w:rsidR="00D16738" w:rsidRPr="00EE0BC5" w:rsidRDefault="00D16738" w:rsidP="00D16738">
            <w:pPr>
              <w:jc w:val="right"/>
              <w:rPr>
                <w:rFonts w:asciiTheme="minorHAnsi" w:hAnsiTheme="minorHAnsi"/>
                <w:b/>
                <w:bCs/>
                <w:sz w:val="18"/>
                <w:szCs w:val="18"/>
              </w:rPr>
            </w:pPr>
            <w:r w:rsidRPr="00EE0BC5">
              <w:rPr>
                <w:rFonts w:asciiTheme="minorHAnsi" w:hAnsiTheme="minorHAnsi"/>
                <w:b/>
                <w:bCs/>
                <w:sz w:val="18"/>
                <w:szCs w:val="18"/>
              </w:rPr>
              <w:t xml:space="preserve">- </w:t>
            </w:r>
            <w:r>
              <w:rPr>
                <w:rFonts w:asciiTheme="minorHAnsi" w:hAnsiTheme="minorHAnsi"/>
                <w:b/>
                <w:bCs/>
                <w:sz w:val="18"/>
                <w:szCs w:val="18"/>
              </w:rPr>
              <w:t>13,780</w:t>
            </w:r>
          </w:p>
        </w:tc>
        <w:tc>
          <w:tcPr>
            <w:tcW w:w="4598" w:type="dxa"/>
            <w:vAlign w:val="center"/>
          </w:tcPr>
          <w:p w14:paraId="16284798" w14:textId="77777777" w:rsidR="00D16738" w:rsidRPr="00EE0BC5" w:rsidRDefault="00D16738" w:rsidP="00D12FEE">
            <w:pPr>
              <w:pStyle w:val="Text2"/>
              <w:spacing w:after="0"/>
              <w:ind w:left="0"/>
              <w:jc w:val="left"/>
              <w:rPr>
                <w:rFonts w:asciiTheme="minorHAnsi" w:hAnsiTheme="minorHAnsi"/>
                <w:sz w:val="18"/>
                <w:szCs w:val="18"/>
              </w:rPr>
            </w:pPr>
            <w:r>
              <w:rPr>
                <w:rFonts w:asciiTheme="minorHAnsi" w:hAnsiTheme="minorHAnsi"/>
                <w:sz w:val="18"/>
                <w:szCs w:val="18"/>
              </w:rPr>
              <w:t>Decreased number of interim staff (in full time equivalent)</w:t>
            </w:r>
            <w:r w:rsidRPr="00EE0BC5">
              <w:rPr>
                <w:rFonts w:asciiTheme="minorHAnsi" w:hAnsiTheme="minorHAnsi"/>
                <w:sz w:val="18"/>
                <w:szCs w:val="18"/>
              </w:rPr>
              <w:t>.</w:t>
            </w:r>
          </w:p>
        </w:tc>
      </w:tr>
      <w:tr w:rsidR="00D16738" w:rsidRPr="00FA030E" w14:paraId="4264BDD6" w14:textId="77777777" w:rsidTr="00AF565D">
        <w:tc>
          <w:tcPr>
            <w:tcW w:w="817" w:type="dxa"/>
          </w:tcPr>
          <w:p w14:paraId="58B5725E" w14:textId="77777777" w:rsidR="00D16738" w:rsidRDefault="00D16738" w:rsidP="00D12FEE">
            <w:pPr>
              <w:jc w:val="center"/>
              <w:rPr>
                <w:rFonts w:asciiTheme="minorHAnsi" w:hAnsiTheme="minorHAnsi"/>
                <w:b/>
                <w:bCs/>
                <w:i/>
                <w:sz w:val="18"/>
                <w:szCs w:val="18"/>
              </w:rPr>
            </w:pPr>
            <w:r>
              <w:rPr>
                <w:rFonts w:asciiTheme="minorHAnsi" w:hAnsiTheme="minorHAnsi"/>
                <w:b/>
                <w:bCs/>
                <w:i/>
                <w:sz w:val="18"/>
                <w:szCs w:val="18"/>
              </w:rPr>
              <w:t>1221</w:t>
            </w:r>
          </w:p>
        </w:tc>
        <w:tc>
          <w:tcPr>
            <w:tcW w:w="2977" w:type="dxa"/>
          </w:tcPr>
          <w:p w14:paraId="43F15724" w14:textId="77777777" w:rsidR="00D16738" w:rsidRPr="00EE0BC5" w:rsidRDefault="0029003F" w:rsidP="00D12FEE">
            <w:pPr>
              <w:rPr>
                <w:rFonts w:asciiTheme="minorHAnsi" w:hAnsiTheme="minorHAnsi"/>
                <w:bCs/>
                <w:i/>
                <w:sz w:val="18"/>
                <w:szCs w:val="18"/>
              </w:rPr>
            </w:pPr>
            <w:r w:rsidRPr="00EE0BC5">
              <w:rPr>
                <w:rFonts w:asciiTheme="minorHAnsi" w:hAnsiTheme="minorHAnsi"/>
                <w:bCs/>
                <w:i/>
                <w:sz w:val="18"/>
                <w:szCs w:val="18"/>
              </w:rPr>
              <w:t>Training Courses for the Professional and Personal Development of Staff</w:t>
            </w:r>
          </w:p>
        </w:tc>
        <w:tc>
          <w:tcPr>
            <w:tcW w:w="850" w:type="dxa"/>
            <w:vAlign w:val="center"/>
          </w:tcPr>
          <w:p w14:paraId="1CA8D580" w14:textId="77777777" w:rsidR="00D16738" w:rsidRPr="00EE0BC5" w:rsidRDefault="00D12FEE" w:rsidP="00D16738">
            <w:pPr>
              <w:jc w:val="right"/>
              <w:rPr>
                <w:rFonts w:asciiTheme="minorHAnsi" w:hAnsiTheme="minorHAnsi"/>
                <w:b/>
                <w:bCs/>
                <w:sz w:val="18"/>
                <w:szCs w:val="18"/>
              </w:rPr>
            </w:pPr>
            <w:r>
              <w:rPr>
                <w:rFonts w:asciiTheme="minorHAnsi" w:hAnsiTheme="minorHAnsi"/>
                <w:b/>
                <w:bCs/>
                <w:sz w:val="18"/>
                <w:szCs w:val="18"/>
              </w:rPr>
              <w:t>-18,715</w:t>
            </w:r>
          </w:p>
        </w:tc>
        <w:tc>
          <w:tcPr>
            <w:tcW w:w="4598" w:type="dxa"/>
            <w:vAlign w:val="center"/>
          </w:tcPr>
          <w:p w14:paraId="141345AD" w14:textId="77777777" w:rsidR="00D16738" w:rsidRDefault="00D12FEE" w:rsidP="00D12FEE">
            <w:pPr>
              <w:pStyle w:val="Text2"/>
              <w:spacing w:after="0"/>
              <w:ind w:left="0"/>
              <w:jc w:val="left"/>
              <w:rPr>
                <w:rFonts w:asciiTheme="minorHAnsi" w:hAnsiTheme="minorHAnsi"/>
                <w:sz w:val="18"/>
                <w:szCs w:val="18"/>
              </w:rPr>
            </w:pPr>
            <w:r>
              <w:rPr>
                <w:rFonts w:asciiTheme="minorHAnsi" w:hAnsiTheme="minorHAnsi"/>
                <w:sz w:val="18"/>
                <w:szCs w:val="18"/>
              </w:rPr>
              <w:t>Postponement of some training sessions from 2019 to 2020</w:t>
            </w:r>
            <w:r w:rsidR="00715888">
              <w:rPr>
                <w:rFonts w:asciiTheme="minorHAnsi" w:hAnsiTheme="minorHAnsi"/>
                <w:sz w:val="18"/>
                <w:szCs w:val="18"/>
              </w:rPr>
              <w:t>.</w:t>
            </w:r>
          </w:p>
        </w:tc>
      </w:tr>
      <w:tr w:rsidR="00D16738" w:rsidRPr="00FA030E" w14:paraId="1AECB85F" w14:textId="77777777" w:rsidTr="00AF565D">
        <w:tc>
          <w:tcPr>
            <w:tcW w:w="817" w:type="dxa"/>
          </w:tcPr>
          <w:p w14:paraId="2DD3993A" w14:textId="77777777" w:rsidR="00D16738" w:rsidRDefault="00D16738" w:rsidP="00D12FEE">
            <w:pPr>
              <w:jc w:val="center"/>
              <w:rPr>
                <w:rFonts w:asciiTheme="minorHAnsi" w:hAnsiTheme="minorHAnsi"/>
                <w:b/>
                <w:bCs/>
                <w:i/>
                <w:sz w:val="18"/>
                <w:szCs w:val="18"/>
              </w:rPr>
            </w:pPr>
            <w:r>
              <w:rPr>
                <w:rFonts w:asciiTheme="minorHAnsi" w:hAnsiTheme="minorHAnsi"/>
                <w:b/>
                <w:bCs/>
                <w:i/>
                <w:sz w:val="18"/>
                <w:szCs w:val="18"/>
              </w:rPr>
              <w:t>1231</w:t>
            </w:r>
          </w:p>
        </w:tc>
        <w:tc>
          <w:tcPr>
            <w:tcW w:w="2977" w:type="dxa"/>
          </w:tcPr>
          <w:p w14:paraId="29AA21C9" w14:textId="77777777" w:rsidR="00D16738" w:rsidRPr="00EE0BC5" w:rsidRDefault="0029003F" w:rsidP="00D12FEE">
            <w:pPr>
              <w:rPr>
                <w:rFonts w:asciiTheme="minorHAnsi" w:hAnsiTheme="minorHAnsi"/>
                <w:bCs/>
                <w:i/>
                <w:sz w:val="18"/>
                <w:szCs w:val="18"/>
              </w:rPr>
            </w:pPr>
            <w:r w:rsidRPr="00493518">
              <w:rPr>
                <w:rFonts w:asciiTheme="minorHAnsi" w:hAnsiTheme="minorHAnsi"/>
                <w:bCs/>
                <w:i/>
                <w:sz w:val="18"/>
                <w:szCs w:val="18"/>
              </w:rPr>
              <w:t>Representation expenses, Events and Internal meetings</w:t>
            </w:r>
          </w:p>
        </w:tc>
        <w:tc>
          <w:tcPr>
            <w:tcW w:w="850" w:type="dxa"/>
            <w:vAlign w:val="center"/>
          </w:tcPr>
          <w:p w14:paraId="7EDEDC14" w14:textId="77777777" w:rsidR="00D16738" w:rsidRPr="00EE0BC5" w:rsidRDefault="00D12FEE" w:rsidP="00D16738">
            <w:pPr>
              <w:jc w:val="right"/>
              <w:rPr>
                <w:rFonts w:asciiTheme="minorHAnsi" w:hAnsiTheme="minorHAnsi"/>
                <w:b/>
                <w:bCs/>
                <w:sz w:val="18"/>
                <w:szCs w:val="18"/>
              </w:rPr>
            </w:pPr>
            <w:r>
              <w:rPr>
                <w:rFonts w:asciiTheme="minorHAnsi" w:hAnsiTheme="minorHAnsi"/>
                <w:b/>
                <w:bCs/>
                <w:sz w:val="18"/>
                <w:szCs w:val="18"/>
              </w:rPr>
              <w:t>-1,705</w:t>
            </w:r>
          </w:p>
        </w:tc>
        <w:tc>
          <w:tcPr>
            <w:tcW w:w="4598" w:type="dxa"/>
            <w:vAlign w:val="center"/>
          </w:tcPr>
          <w:p w14:paraId="46ADF715" w14:textId="77777777" w:rsidR="00D16738" w:rsidRDefault="00D12FEE" w:rsidP="00D12FEE">
            <w:pPr>
              <w:pStyle w:val="Text2"/>
              <w:spacing w:after="0"/>
              <w:ind w:left="0"/>
              <w:jc w:val="left"/>
              <w:rPr>
                <w:rFonts w:asciiTheme="minorHAnsi" w:hAnsiTheme="minorHAnsi"/>
                <w:sz w:val="18"/>
                <w:szCs w:val="18"/>
              </w:rPr>
            </w:pPr>
            <w:r>
              <w:rPr>
                <w:rFonts w:asciiTheme="minorHAnsi" w:hAnsiTheme="minorHAnsi"/>
                <w:sz w:val="18"/>
                <w:szCs w:val="18"/>
              </w:rPr>
              <w:t>Decreased costs of satellite events related with the celebration of REA's 10</w:t>
            </w:r>
            <w:r w:rsidRPr="00D12FEE">
              <w:rPr>
                <w:rFonts w:asciiTheme="minorHAnsi" w:hAnsiTheme="minorHAnsi"/>
                <w:sz w:val="18"/>
                <w:szCs w:val="18"/>
                <w:vertAlign w:val="superscript"/>
              </w:rPr>
              <w:t>th</w:t>
            </w:r>
            <w:r>
              <w:rPr>
                <w:rFonts w:asciiTheme="minorHAnsi" w:hAnsiTheme="minorHAnsi"/>
                <w:sz w:val="18"/>
                <w:szCs w:val="18"/>
              </w:rPr>
              <w:t xml:space="preserve"> Anniversary</w:t>
            </w:r>
            <w:r w:rsidR="00715888">
              <w:rPr>
                <w:rFonts w:asciiTheme="minorHAnsi" w:hAnsiTheme="minorHAnsi"/>
                <w:sz w:val="18"/>
                <w:szCs w:val="18"/>
              </w:rPr>
              <w:t>.</w:t>
            </w:r>
          </w:p>
        </w:tc>
      </w:tr>
      <w:tr w:rsidR="00D16738" w:rsidRPr="00FA030E" w14:paraId="6DD564B7" w14:textId="77777777" w:rsidTr="00AF565D">
        <w:tc>
          <w:tcPr>
            <w:tcW w:w="817" w:type="dxa"/>
          </w:tcPr>
          <w:p w14:paraId="0669E2E4" w14:textId="77777777" w:rsidR="00D16738" w:rsidRPr="00EE0BC5" w:rsidRDefault="00D16738" w:rsidP="00D12FEE">
            <w:pPr>
              <w:jc w:val="center"/>
              <w:rPr>
                <w:rFonts w:asciiTheme="minorHAnsi" w:hAnsiTheme="minorHAnsi"/>
                <w:b/>
                <w:bCs/>
                <w:i/>
                <w:sz w:val="18"/>
                <w:szCs w:val="18"/>
              </w:rPr>
            </w:pPr>
            <w:r w:rsidRPr="00EE0BC5">
              <w:rPr>
                <w:rFonts w:asciiTheme="minorHAnsi" w:hAnsiTheme="minorHAnsi"/>
                <w:b/>
                <w:bCs/>
                <w:i/>
                <w:sz w:val="18"/>
                <w:szCs w:val="18"/>
              </w:rPr>
              <w:t>2211</w:t>
            </w:r>
          </w:p>
        </w:tc>
        <w:tc>
          <w:tcPr>
            <w:tcW w:w="2977" w:type="dxa"/>
          </w:tcPr>
          <w:p w14:paraId="2731F828" w14:textId="77777777" w:rsidR="00D16738" w:rsidRPr="00EE0BC5" w:rsidRDefault="00D16738" w:rsidP="00D12FEE">
            <w:pPr>
              <w:rPr>
                <w:rFonts w:asciiTheme="minorHAnsi" w:hAnsiTheme="minorHAnsi"/>
                <w:bCs/>
                <w:i/>
                <w:sz w:val="18"/>
                <w:szCs w:val="18"/>
              </w:rPr>
            </w:pPr>
            <w:r w:rsidRPr="00522EAC">
              <w:rPr>
                <w:rFonts w:asciiTheme="minorHAnsi" w:hAnsiTheme="minorHAnsi"/>
                <w:bCs/>
                <w:i/>
                <w:sz w:val="18"/>
                <w:szCs w:val="18"/>
              </w:rPr>
              <w:t>ICT Environment (Infrastructure, Systems and Services)</w:t>
            </w:r>
          </w:p>
        </w:tc>
        <w:tc>
          <w:tcPr>
            <w:tcW w:w="850" w:type="dxa"/>
            <w:vAlign w:val="center"/>
          </w:tcPr>
          <w:p w14:paraId="4309DA44" w14:textId="77777777" w:rsidR="00D16738" w:rsidRPr="00EE0BC5" w:rsidRDefault="00D16738" w:rsidP="00D21A09">
            <w:pPr>
              <w:jc w:val="right"/>
              <w:rPr>
                <w:rFonts w:asciiTheme="minorHAnsi" w:hAnsiTheme="minorHAnsi"/>
                <w:b/>
                <w:bCs/>
                <w:sz w:val="18"/>
                <w:szCs w:val="18"/>
              </w:rPr>
            </w:pPr>
            <w:r w:rsidRPr="00EE0BC5">
              <w:rPr>
                <w:rFonts w:asciiTheme="minorHAnsi" w:hAnsiTheme="minorHAnsi"/>
                <w:b/>
                <w:bCs/>
                <w:sz w:val="18"/>
                <w:szCs w:val="18"/>
              </w:rPr>
              <w:t xml:space="preserve">- </w:t>
            </w:r>
            <w:r w:rsidR="00D12FEE">
              <w:rPr>
                <w:rFonts w:asciiTheme="minorHAnsi" w:hAnsiTheme="minorHAnsi"/>
                <w:b/>
                <w:bCs/>
                <w:sz w:val="18"/>
                <w:szCs w:val="18"/>
              </w:rPr>
              <w:t>30,995</w:t>
            </w:r>
          </w:p>
        </w:tc>
        <w:tc>
          <w:tcPr>
            <w:tcW w:w="4598" w:type="dxa"/>
            <w:vAlign w:val="center"/>
          </w:tcPr>
          <w:p w14:paraId="6C074455" w14:textId="6E38090F" w:rsidR="00D16738" w:rsidRPr="00EE0BC5" w:rsidRDefault="00CD0505" w:rsidP="00042844">
            <w:pPr>
              <w:pStyle w:val="Text2"/>
              <w:spacing w:after="0"/>
              <w:ind w:left="0"/>
              <w:jc w:val="left"/>
              <w:rPr>
                <w:rFonts w:asciiTheme="minorHAnsi" w:hAnsiTheme="minorHAnsi"/>
                <w:sz w:val="18"/>
                <w:szCs w:val="18"/>
              </w:rPr>
            </w:pPr>
            <w:r>
              <w:rPr>
                <w:rFonts w:asciiTheme="minorHAnsi" w:hAnsiTheme="minorHAnsi"/>
                <w:sz w:val="18"/>
                <w:szCs w:val="18"/>
              </w:rPr>
              <w:t>D</w:t>
            </w:r>
            <w:r w:rsidR="00D12FEE">
              <w:rPr>
                <w:rFonts w:asciiTheme="minorHAnsi" w:hAnsiTheme="minorHAnsi"/>
                <w:sz w:val="18"/>
                <w:szCs w:val="18"/>
              </w:rPr>
              <w:t>own</w:t>
            </w:r>
            <w:r>
              <w:rPr>
                <w:rFonts w:asciiTheme="minorHAnsi" w:hAnsiTheme="minorHAnsi"/>
                <w:sz w:val="18"/>
                <w:szCs w:val="18"/>
              </w:rPr>
              <w:t xml:space="preserve">ward revision of the amount </w:t>
            </w:r>
            <w:r w:rsidR="00042844">
              <w:rPr>
                <w:rFonts w:asciiTheme="minorHAnsi" w:hAnsiTheme="minorHAnsi"/>
                <w:sz w:val="18"/>
                <w:szCs w:val="18"/>
              </w:rPr>
              <w:t xml:space="preserve">earmarked </w:t>
            </w:r>
            <w:r>
              <w:rPr>
                <w:rFonts w:asciiTheme="minorHAnsi" w:hAnsiTheme="minorHAnsi"/>
                <w:sz w:val="18"/>
                <w:szCs w:val="18"/>
              </w:rPr>
              <w:t>for the MoU with DG DIGIT but partially offset by the anticipated acquisition of laptops to replace obsolete computers</w:t>
            </w:r>
            <w:r w:rsidR="00715888">
              <w:rPr>
                <w:rFonts w:asciiTheme="minorHAnsi" w:hAnsiTheme="minorHAnsi"/>
                <w:sz w:val="18"/>
                <w:szCs w:val="18"/>
              </w:rPr>
              <w:t>.</w:t>
            </w:r>
          </w:p>
        </w:tc>
      </w:tr>
      <w:tr w:rsidR="00D16738" w:rsidRPr="00FA030E" w14:paraId="62EBF0D3" w14:textId="77777777" w:rsidTr="00AF565D">
        <w:tc>
          <w:tcPr>
            <w:tcW w:w="817" w:type="dxa"/>
          </w:tcPr>
          <w:p w14:paraId="2E85B9CA" w14:textId="77777777" w:rsidR="00D16738" w:rsidRPr="00EE0BC5" w:rsidRDefault="00D16738" w:rsidP="00D12FEE">
            <w:pPr>
              <w:jc w:val="center"/>
              <w:rPr>
                <w:rFonts w:asciiTheme="minorHAnsi" w:hAnsiTheme="minorHAnsi"/>
                <w:b/>
                <w:bCs/>
                <w:i/>
                <w:sz w:val="18"/>
                <w:szCs w:val="18"/>
              </w:rPr>
            </w:pPr>
            <w:r w:rsidRPr="00EE0BC5">
              <w:rPr>
                <w:rFonts w:asciiTheme="minorHAnsi" w:hAnsiTheme="minorHAnsi"/>
                <w:b/>
                <w:bCs/>
                <w:i/>
                <w:sz w:val="18"/>
                <w:szCs w:val="18"/>
              </w:rPr>
              <w:lastRenderedPageBreak/>
              <w:t>2311</w:t>
            </w:r>
          </w:p>
        </w:tc>
        <w:tc>
          <w:tcPr>
            <w:tcW w:w="2977" w:type="dxa"/>
          </w:tcPr>
          <w:p w14:paraId="5B355738" w14:textId="77777777" w:rsidR="002B2904" w:rsidRPr="00EE0BC5" w:rsidRDefault="002B2904" w:rsidP="00D12FEE">
            <w:pPr>
              <w:rPr>
                <w:rFonts w:asciiTheme="minorHAnsi" w:hAnsiTheme="minorHAnsi"/>
                <w:bCs/>
                <w:i/>
                <w:sz w:val="18"/>
                <w:szCs w:val="18"/>
              </w:rPr>
            </w:pPr>
            <w:r w:rsidRPr="002B2904">
              <w:rPr>
                <w:rFonts w:asciiTheme="minorHAnsi" w:hAnsiTheme="minorHAnsi"/>
                <w:bCs/>
                <w:i/>
                <w:sz w:val="18"/>
                <w:szCs w:val="18"/>
              </w:rPr>
              <w:t>Furniture, Materials and Technical Installations and associated expenditure</w:t>
            </w:r>
          </w:p>
        </w:tc>
        <w:tc>
          <w:tcPr>
            <w:tcW w:w="850" w:type="dxa"/>
            <w:vAlign w:val="center"/>
          </w:tcPr>
          <w:p w14:paraId="285FDB35" w14:textId="77777777" w:rsidR="00D16738" w:rsidRPr="00EE0BC5" w:rsidRDefault="00D16738" w:rsidP="00D21A09">
            <w:pPr>
              <w:jc w:val="right"/>
              <w:rPr>
                <w:rFonts w:asciiTheme="minorHAnsi" w:hAnsiTheme="minorHAnsi"/>
                <w:b/>
                <w:bCs/>
                <w:sz w:val="18"/>
                <w:szCs w:val="18"/>
              </w:rPr>
            </w:pPr>
            <w:r w:rsidRPr="00EE0BC5">
              <w:rPr>
                <w:rFonts w:asciiTheme="minorHAnsi" w:hAnsiTheme="minorHAnsi"/>
                <w:b/>
                <w:bCs/>
                <w:sz w:val="18"/>
                <w:szCs w:val="18"/>
              </w:rPr>
              <w:t xml:space="preserve">- </w:t>
            </w:r>
            <w:r w:rsidR="00D12FEE">
              <w:rPr>
                <w:rFonts w:asciiTheme="minorHAnsi" w:hAnsiTheme="minorHAnsi"/>
                <w:b/>
                <w:bCs/>
                <w:sz w:val="18"/>
                <w:szCs w:val="18"/>
              </w:rPr>
              <w:t>1,900</w:t>
            </w:r>
          </w:p>
        </w:tc>
        <w:tc>
          <w:tcPr>
            <w:tcW w:w="4598" w:type="dxa"/>
            <w:vAlign w:val="center"/>
          </w:tcPr>
          <w:p w14:paraId="00694E42" w14:textId="77777777" w:rsidR="00D16738" w:rsidRPr="00EE0BC5" w:rsidRDefault="00CD0505" w:rsidP="00D12FEE">
            <w:pPr>
              <w:pStyle w:val="Text2"/>
              <w:spacing w:after="0"/>
              <w:ind w:left="0"/>
              <w:jc w:val="left"/>
              <w:rPr>
                <w:rFonts w:asciiTheme="minorHAnsi" w:hAnsiTheme="minorHAnsi"/>
                <w:sz w:val="18"/>
                <w:szCs w:val="18"/>
              </w:rPr>
            </w:pPr>
            <w:r>
              <w:rPr>
                <w:rFonts w:asciiTheme="minorHAnsi" w:hAnsiTheme="minorHAnsi"/>
                <w:sz w:val="18"/>
                <w:szCs w:val="18"/>
              </w:rPr>
              <w:t>Reduced expenses related to moves in the SLA with OIB</w:t>
            </w:r>
            <w:r w:rsidR="00715888">
              <w:rPr>
                <w:rFonts w:asciiTheme="minorHAnsi" w:hAnsiTheme="minorHAnsi"/>
                <w:sz w:val="18"/>
                <w:szCs w:val="18"/>
              </w:rPr>
              <w:t>.</w:t>
            </w:r>
          </w:p>
        </w:tc>
      </w:tr>
      <w:tr w:rsidR="002B2904" w:rsidRPr="00FA030E" w14:paraId="4038C2FD" w14:textId="77777777" w:rsidTr="00AF565D">
        <w:tc>
          <w:tcPr>
            <w:tcW w:w="817" w:type="dxa"/>
          </w:tcPr>
          <w:p w14:paraId="1082A6FF" w14:textId="77777777" w:rsidR="002B2904" w:rsidRPr="00EE0BC5" w:rsidRDefault="002B2904" w:rsidP="00D12FEE">
            <w:pPr>
              <w:jc w:val="center"/>
              <w:rPr>
                <w:rFonts w:asciiTheme="minorHAnsi" w:hAnsiTheme="minorHAnsi"/>
                <w:b/>
                <w:bCs/>
                <w:i/>
                <w:sz w:val="18"/>
                <w:szCs w:val="18"/>
              </w:rPr>
            </w:pPr>
            <w:r>
              <w:rPr>
                <w:rFonts w:asciiTheme="minorHAnsi" w:hAnsiTheme="minorHAnsi"/>
                <w:b/>
                <w:bCs/>
                <w:i/>
                <w:sz w:val="18"/>
                <w:szCs w:val="18"/>
              </w:rPr>
              <w:t>2321</w:t>
            </w:r>
          </w:p>
        </w:tc>
        <w:tc>
          <w:tcPr>
            <w:tcW w:w="2977" w:type="dxa"/>
          </w:tcPr>
          <w:p w14:paraId="7F4D4C6A" w14:textId="77777777" w:rsidR="002B2904" w:rsidRPr="00522EAC" w:rsidRDefault="00D12FEE" w:rsidP="00D12FEE">
            <w:pPr>
              <w:rPr>
                <w:rFonts w:asciiTheme="minorHAnsi" w:hAnsiTheme="minorHAnsi"/>
                <w:bCs/>
                <w:i/>
                <w:sz w:val="18"/>
                <w:szCs w:val="18"/>
              </w:rPr>
            </w:pPr>
            <w:r w:rsidRPr="00522EAC">
              <w:rPr>
                <w:rFonts w:asciiTheme="minorHAnsi" w:hAnsiTheme="minorHAnsi"/>
                <w:bCs/>
                <w:i/>
                <w:sz w:val="18"/>
                <w:szCs w:val="18"/>
              </w:rPr>
              <w:t>Office Supplies and Other Current Operating expenditure</w:t>
            </w:r>
          </w:p>
        </w:tc>
        <w:tc>
          <w:tcPr>
            <w:tcW w:w="850" w:type="dxa"/>
            <w:vAlign w:val="center"/>
          </w:tcPr>
          <w:p w14:paraId="53797F29" w14:textId="77777777" w:rsidR="002B2904" w:rsidRPr="00EE0BC5" w:rsidRDefault="00D12FEE" w:rsidP="00D21A09">
            <w:pPr>
              <w:jc w:val="right"/>
              <w:rPr>
                <w:rFonts w:asciiTheme="minorHAnsi" w:hAnsiTheme="minorHAnsi"/>
                <w:b/>
                <w:bCs/>
                <w:sz w:val="18"/>
                <w:szCs w:val="18"/>
              </w:rPr>
            </w:pPr>
            <w:r>
              <w:rPr>
                <w:rFonts w:asciiTheme="minorHAnsi" w:hAnsiTheme="minorHAnsi"/>
                <w:b/>
                <w:bCs/>
                <w:sz w:val="18"/>
                <w:szCs w:val="18"/>
              </w:rPr>
              <w:t>-3,490</w:t>
            </w:r>
          </w:p>
        </w:tc>
        <w:tc>
          <w:tcPr>
            <w:tcW w:w="4598" w:type="dxa"/>
            <w:vAlign w:val="center"/>
          </w:tcPr>
          <w:p w14:paraId="77101D16" w14:textId="27A6B762" w:rsidR="002B2904" w:rsidRPr="00EE0BC5" w:rsidRDefault="00CD0505" w:rsidP="00042844">
            <w:pPr>
              <w:pStyle w:val="Text2"/>
              <w:spacing w:after="0"/>
              <w:ind w:left="0"/>
              <w:jc w:val="left"/>
              <w:rPr>
                <w:rFonts w:asciiTheme="minorHAnsi" w:hAnsiTheme="minorHAnsi"/>
                <w:sz w:val="18"/>
                <w:szCs w:val="18"/>
              </w:rPr>
            </w:pPr>
            <w:r>
              <w:rPr>
                <w:rFonts w:asciiTheme="minorHAnsi" w:hAnsiTheme="minorHAnsi"/>
                <w:sz w:val="18"/>
                <w:szCs w:val="18"/>
              </w:rPr>
              <w:t xml:space="preserve">Cancelation of the budget </w:t>
            </w:r>
            <w:r w:rsidR="00042844">
              <w:rPr>
                <w:rFonts w:asciiTheme="minorHAnsi" w:hAnsiTheme="minorHAnsi"/>
                <w:sz w:val="18"/>
                <w:szCs w:val="18"/>
              </w:rPr>
              <w:t>earmarked</w:t>
            </w:r>
            <w:r>
              <w:rPr>
                <w:rFonts w:asciiTheme="minorHAnsi" w:hAnsiTheme="minorHAnsi"/>
                <w:sz w:val="18"/>
                <w:szCs w:val="18"/>
              </w:rPr>
              <w:t xml:space="preserve"> for legal assistance related to staff matters which is now included in the SLA with DG HR but partially offset by the increased </w:t>
            </w:r>
            <w:r w:rsidR="00D12184">
              <w:rPr>
                <w:rFonts w:asciiTheme="minorHAnsi" w:hAnsiTheme="minorHAnsi"/>
                <w:sz w:val="18"/>
                <w:szCs w:val="18"/>
              </w:rPr>
              <w:t>expenses with OIB for archiving, courier and printing</w:t>
            </w:r>
            <w:r w:rsidR="00715888">
              <w:rPr>
                <w:rFonts w:asciiTheme="minorHAnsi" w:hAnsiTheme="minorHAnsi"/>
                <w:sz w:val="18"/>
                <w:szCs w:val="18"/>
              </w:rPr>
              <w:t>.</w:t>
            </w:r>
          </w:p>
        </w:tc>
      </w:tr>
      <w:tr w:rsidR="00D16738" w:rsidRPr="00FA030E" w14:paraId="6F748A07" w14:textId="77777777" w:rsidTr="00AF565D">
        <w:tc>
          <w:tcPr>
            <w:tcW w:w="817" w:type="dxa"/>
          </w:tcPr>
          <w:p w14:paraId="5C9D3043" w14:textId="77777777" w:rsidR="00D16738" w:rsidRPr="00EE0BC5" w:rsidRDefault="00D16738" w:rsidP="00D12FEE">
            <w:pPr>
              <w:jc w:val="center"/>
              <w:rPr>
                <w:rFonts w:asciiTheme="minorHAnsi" w:hAnsiTheme="minorHAnsi"/>
                <w:b/>
                <w:bCs/>
                <w:i/>
                <w:sz w:val="18"/>
                <w:szCs w:val="18"/>
              </w:rPr>
            </w:pPr>
            <w:r w:rsidRPr="00EE0BC5">
              <w:rPr>
                <w:rFonts w:asciiTheme="minorHAnsi" w:hAnsiTheme="minorHAnsi"/>
                <w:b/>
                <w:bCs/>
                <w:i/>
                <w:sz w:val="18"/>
                <w:szCs w:val="18"/>
              </w:rPr>
              <w:t>3111</w:t>
            </w:r>
          </w:p>
        </w:tc>
        <w:tc>
          <w:tcPr>
            <w:tcW w:w="2977" w:type="dxa"/>
          </w:tcPr>
          <w:p w14:paraId="155157B4" w14:textId="77777777" w:rsidR="00D16738" w:rsidRPr="00EE0BC5" w:rsidRDefault="00D16738" w:rsidP="00D12FEE">
            <w:pPr>
              <w:rPr>
                <w:rFonts w:asciiTheme="minorHAnsi" w:hAnsiTheme="minorHAnsi"/>
                <w:bCs/>
                <w:i/>
                <w:sz w:val="18"/>
                <w:szCs w:val="18"/>
              </w:rPr>
            </w:pPr>
            <w:r w:rsidRPr="00522EAC">
              <w:rPr>
                <w:rFonts w:asciiTheme="minorHAnsi" w:hAnsiTheme="minorHAnsi"/>
                <w:bCs/>
                <w:i/>
                <w:sz w:val="18"/>
                <w:szCs w:val="18"/>
              </w:rPr>
              <w:t>Communication, Information, Publications, Linguistic Services and Training Courses for the Management of Programmes and associated expenses</w:t>
            </w:r>
          </w:p>
        </w:tc>
        <w:tc>
          <w:tcPr>
            <w:tcW w:w="850" w:type="dxa"/>
            <w:vAlign w:val="center"/>
          </w:tcPr>
          <w:p w14:paraId="6C9E544D" w14:textId="77777777" w:rsidR="00D16738" w:rsidRPr="00EE0BC5" w:rsidRDefault="00D16738" w:rsidP="00D21A09">
            <w:pPr>
              <w:jc w:val="right"/>
              <w:rPr>
                <w:rFonts w:asciiTheme="minorHAnsi" w:hAnsiTheme="minorHAnsi"/>
                <w:b/>
                <w:bCs/>
                <w:sz w:val="18"/>
                <w:szCs w:val="18"/>
              </w:rPr>
            </w:pPr>
            <w:r w:rsidRPr="00EE0BC5">
              <w:rPr>
                <w:rFonts w:asciiTheme="minorHAnsi" w:hAnsiTheme="minorHAnsi"/>
                <w:b/>
                <w:bCs/>
                <w:sz w:val="18"/>
                <w:szCs w:val="18"/>
              </w:rPr>
              <w:t>-</w:t>
            </w:r>
            <w:r w:rsidR="00D12FEE">
              <w:rPr>
                <w:rFonts w:asciiTheme="minorHAnsi" w:hAnsiTheme="minorHAnsi"/>
                <w:b/>
                <w:bCs/>
                <w:sz w:val="18"/>
                <w:szCs w:val="18"/>
              </w:rPr>
              <w:t>31,765</w:t>
            </w:r>
            <w:r w:rsidRPr="00EE0BC5">
              <w:rPr>
                <w:rFonts w:asciiTheme="minorHAnsi" w:hAnsiTheme="minorHAnsi"/>
                <w:b/>
                <w:bCs/>
                <w:sz w:val="18"/>
                <w:szCs w:val="18"/>
              </w:rPr>
              <w:t xml:space="preserve"> </w:t>
            </w:r>
          </w:p>
        </w:tc>
        <w:tc>
          <w:tcPr>
            <w:tcW w:w="4598" w:type="dxa"/>
            <w:vAlign w:val="center"/>
          </w:tcPr>
          <w:p w14:paraId="11150BDB" w14:textId="77777777" w:rsidR="00D16738" w:rsidRPr="00EE0BC5" w:rsidRDefault="00715888" w:rsidP="00715888">
            <w:pPr>
              <w:pStyle w:val="Text2"/>
              <w:spacing w:after="0"/>
              <w:ind w:left="0"/>
              <w:jc w:val="left"/>
              <w:rPr>
                <w:rFonts w:asciiTheme="minorHAnsi" w:hAnsiTheme="minorHAnsi"/>
                <w:sz w:val="18"/>
                <w:szCs w:val="18"/>
              </w:rPr>
            </w:pPr>
            <w:r>
              <w:rPr>
                <w:rFonts w:asciiTheme="minorHAnsi" w:hAnsiTheme="minorHAnsi"/>
                <w:sz w:val="18"/>
                <w:szCs w:val="18"/>
              </w:rPr>
              <w:t>Decreased needs for the acquisition of promotional material linked to external communication.</w:t>
            </w:r>
          </w:p>
        </w:tc>
      </w:tr>
      <w:tr w:rsidR="00D16738" w:rsidRPr="00FA030E" w14:paraId="4ADC5642" w14:textId="77777777" w:rsidTr="00AF565D">
        <w:tc>
          <w:tcPr>
            <w:tcW w:w="817" w:type="dxa"/>
          </w:tcPr>
          <w:p w14:paraId="64E01498" w14:textId="77777777" w:rsidR="00D16738" w:rsidRPr="00EE0BC5" w:rsidRDefault="00D16738" w:rsidP="00D12FEE">
            <w:pPr>
              <w:jc w:val="center"/>
              <w:rPr>
                <w:rFonts w:asciiTheme="minorHAnsi" w:hAnsiTheme="minorHAnsi"/>
                <w:b/>
                <w:bCs/>
                <w:i/>
                <w:sz w:val="18"/>
                <w:szCs w:val="18"/>
              </w:rPr>
            </w:pPr>
            <w:r w:rsidRPr="00EE0BC5">
              <w:rPr>
                <w:rFonts w:asciiTheme="minorHAnsi" w:hAnsiTheme="minorHAnsi"/>
                <w:b/>
                <w:bCs/>
                <w:i/>
                <w:sz w:val="18"/>
                <w:szCs w:val="18"/>
              </w:rPr>
              <w:t>3121</w:t>
            </w:r>
          </w:p>
        </w:tc>
        <w:tc>
          <w:tcPr>
            <w:tcW w:w="2977" w:type="dxa"/>
          </w:tcPr>
          <w:p w14:paraId="0382F459" w14:textId="77777777" w:rsidR="00D16738" w:rsidRPr="00EE0BC5" w:rsidRDefault="00D16738" w:rsidP="00D12FEE">
            <w:pPr>
              <w:rPr>
                <w:rFonts w:asciiTheme="minorHAnsi" w:hAnsiTheme="minorHAnsi"/>
                <w:bCs/>
                <w:i/>
                <w:sz w:val="18"/>
                <w:szCs w:val="18"/>
              </w:rPr>
            </w:pPr>
            <w:r w:rsidRPr="00522EAC">
              <w:rPr>
                <w:rFonts w:asciiTheme="minorHAnsi" w:hAnsiTheme="minorHAnsi"/>
                <w:bCs/>
                <w:i/>
                <w:sz w:val="18"/>
                <w:szCs w:val="18"/>
              </w:rPr>
              <w:t>External Audits</w:t>
            </w:r>
          </w:p>
        </w:tc>
        <w:tc>
          <w:tcPr>
            <w:tcW w:w="850" w:type="dxa"/>
            <w:vAlign w:val="center"/>
          </w:tcPr>
          <w:p w14:paraId="51E4A7BD" w14:textId="77777777" w:rsidR="00D16738" w:rsidRPr="00EE0BC5" w:rsidRDefault="00D16738" w:rsidP="00D21A09">
            <w:pPr>
              <w:jc w:val="right"/>
              <w:rPr>
                <w:rFonts w:asciiTheme="minorHAnsi" w:hAnsiTheme="minorHAnsi"/>
                <w:b/>
                <w:bCs/>
                <w:sz w:val="18"/>
                <w:szCs w:val="18"/>
              </w:rPr>
            </w:pPr>
            <w:r w:rsidRPr="00EE0BC5">
              <w:rPr>
                <w:rFonts w:asciiTheme="minorHAnsi" w:hAnsiTheme="minorHAnsi"/>
                <w:b/>
                <w:bCs/>
                <w:sz w:val="18"/>
                <w:szCs w:val="18"/>
              </w:rPr>
              <w:t xml:space="preserve">- </w:t>
            </w:r>
            <w:r w:rsidR="00D12FEE">
              <w:rPr>
                <w:rFonts w:asciiTheme="minorHAnsi" w:hAnsiTheme="minorHAnsi"/>
                <w:b/>
                <w:bCs/>
                <w:sz w:val="18"/>
                <w:szCs w:val="18"/>
              </w:rPr>
              <w:t>27,495</w:t>
            </w:r>
          </w:p>
        </w:tc>
        <w:tc>
          <w:tcPr>
            <w:tcW w:w="4598" w:type="dxa"/>
            <w:vAlign w:val="center"/>
          </w:tcPr>
          <w:p w14:paraId="4C03DA59" w14:textId="2F108EB1" w:rsidR="00D16738" w:rsidRPr="00EE0BC5" w:rsidRDefault="00715888" w:rsidP="00042844">
            <w:pPr>
              <w:pStyle w:val="Text2"/>
              <w:spacing w:after="0"/>
              <w:ind w:left="0"/>
              <w:jc w:val="left"/>
              <w:rPr>
                <w:rFonts w:asciiTheme="minorHAnsi" w:hAnsiTheme="minorHAnsi"/>
                <w:sz w:val="18"/>
                <w:szCs w:val="18"/>
              </w:rPr>
            </w:pPr>
            <w:r>
              <w:rPr>
                <w:rFonts w:asciiTheme="minorHAnsi" w:hAnsiTheme="minorHAnsi"/>
                <w:sz w:val="18"/>
                <w:szCs w:val="18"/>
              </w:rPr>
              <w:t xml:space="preserve">Lower cost than </w:t>
            </w:r>
            <w:r w:rsidR="00042844">
              <w:rPr>
                <w:rFonts w:asciiTheme="minorHAnsi" w:hAnsiTheme="minorHAnsi"/>
                <w:sz w:val="18"/>
                <w:szCs w:val="18"/>
              </w:rPr>
              <w:t xml:space="preserve">earmarked </w:t>
            </w:r>
            <w:r>
              <w:rPr>
                <w:rFonts w:asciiTheme="minorHAnsi" w:hAnsiTheme="minorHAnsi"/>
                <w:sz w:val="18"/>
                <w:szCs w:val="18"/>
              </w:rPr>
              <w:t>of the batch for new external audits and cancellation of one batch of audits previously contracted.</w:t>
            </w:r>
          </w:p>
        </w:tc>
      </w:tr>
      <w:tr w:rsidR="00D16738" w:rsidRPr="00FA030E" w14:paraId="755211E9" w14:textId="77777777" w:rsidTr="00AF565D">
        <w:tc>
          <w:tcPr>
            <w:tcW w:w="817" w:type="dxa"/>
          </w:tcPr>
          <w:p w14:paraId="01E5F839" w14:textId="77777777" w:rsidR="00D16738" w:rsidRPr="00EE0BC5" w:rsidRDefault="00D16738" w:rsidP="00D12FEE">
            <w:pPr>
              <w:jc w:val="center"/>
              <w:rPr>
                <w:rFonts w:asciiTheme="minorHAnsi" w:hAnsiTheme="minorHAnsi"/>
                <w:b/>
                <w:bCs/>
                <w:i/>
                <w:sz w:val="18"/>
                <w:szCs w:val="18"/>
              </w:rPr>
            </w:pPr>
            <w:r w:rsidRPr="00EE0BC5">
              <w:rPr>
                <w:rFonts w:asciiTheme="minorHAnsi" w:hAnsiTheme="minorHAnsi"/>
                <w:b/>
                <w:bCs/>
                <w:i/>
                <w:sz w:val="18"/>
                <w:szCs w:val="18"/>
              </w:rPr>
              <w:t>3221</w:t>
            </w:r>
          </w:p>
        </w:tc>
        <w:tc>
          <w:tcPr>
            <w:tcW w:w="2977" w:type="dxa"/>
          </w:tcPr>
          <w:p w14:paraId="6E7058CE" w14:textId="77777777" w:rsidR="00D16738" w:rsidRPr="00EE0BC5" w:rsidRDefault="00D16738" w:rsidP="00D12FEE">
            <w:pPr>
              <w:rPr>
                <w:rFonts w:asciiTheme="minorHAnsi" w:hAnsiTheme="minorHAnsi"/>
                <w:bCs/>
                <w:i/>
                <w:sz w:val="18"/>
                <w:szCs w:val="18"/>
              </w:rPr>
            </w:pPr>
            <w:r w:rsidRPr="00522EAC">
              <w:rPr>
                <w:rFonts w:asciiTheme="minorHAnsi" w:hAnsiTheme="minorHAnsi"/>
                <w:bCs/>
                <w:i/>
                <w:sz w:val="18"/>
                <w:szCs w:val="18"/>
              </w:rPr>
              <w:t>ICT, Logistics, Acquisition and Provision of Information, Current Operating expenditure and associated costs</w:t>
            </w:r>
          </w:p>
        </w:tc>
        <w:tc>
          <w:tcPr>
            <w:tcW w:w="850" w:type="dxa"/>
            <w:vAlign w:val="center"/>
          </w:tcPr>
          <w:p w14:paraId="670BB638" w14:textId="77777777" w:rsidR="00D16738" w:rsidRPr="00EE0BC5" w:rsidRDefault="00D16738" w:rsidP="00D21A09">
            <w:pPr>
              <w:jc w:val="right"/>
              <w:rPr>
                <w:rFonts w:asciiTheme="minorHAnsi" w:hAnsiTheme="minorHAnsi"/>
                <w:b/>
                <w:bCs/>
                <w:sz w:val="18"/>
                <w:szCs w:val="18"/>
              </w:rPr>
            </w:pPr>
            <w:r w:rsidRPr="00EE0BC5">
              <w:rPr>
                <w:rFonts w:asciiTheme="minorHAnsi" w:hAnsiTheme="minorHAnsi"/>
                <w:b/>
                <w:bCs/>
                <w:sz w:val="18"/>
                <w:szCs w:val="18"/>
              </w:rPr>
              <w:t xml:space="preserve">- </w:t>
            </w:r>
            <w:r w:rsidR="00D12FEE">
              <w:rPr>
                <w:rFonts w:asciiTheme="minorHAnsi" w:hAnsiTheme="minorHAnsi"/>
                <w:b/>
                <w:bCs/>
                <w:sz w:val="18"/>
                <w:szCs w:val="18"/>
              </w:rPr>
              <w:t>13,605</w:t>
            </w:r>
          </w:p>
        </w:tc>
        <w:tc>
          <w:tcPr>
            <w:tcW w:w="4598" w:type="dxa"/>
            <w:vAlign w:val="center"/>
          </w:tcPr>
          <w:p w14:paraId="475A7BF4" w14:textId="32C00C0C" w:rsidR="00D16738" w:rsidRPr="00EE0BC5" w:rsidRDefault="00715888" w:rsidP="00235DC0">
            <w:pPr>
              <w:pStyle w:val="Text2"/>
              <w:spacing w:after="0"/>
              <w:ind w:left="0"/>
              <w:jc w:val="left"/>
              <w:rPr>
                <w:rFonts w:asciiTheme="minorHAnsi" w:hAnsiTheme="minorHAnsi"/>
                <w:sz w:val="18"/>
                <w:szCs w:val="18"/>
              </w:rPr>
            </w:pPr>
            <w:r>
              <w:rPr>
                <w:rFonts w:asciiTheme="minorHAnsi" w:hAnsiTheme="minorHAnsi"/>
                <w:sz w:val="18"/>
                <w:szCs w:val="18"/>
              </w:rPr>
              <w:t xml:space="preserve">Decreased expenses for the MoU with DG DIGIT for the Common Support Services and for the SLA with OIB linked with </w:t>
            </w:r>
            <w:r w:rsidR="00235DC0">
              <w:rPr>
                <w:rFonts w:asciiTheme="minorHAnsi" w:hAnsiTheme="minorHAnsi"/>
                <w:sz w:val="18"/>
                <w:szCs w:val="18"/>
              </w:rPr>
              <w:t xml:space="preserve">waste </w:t>
            </w:r>
            <w:r>
              <w:rPr>
                <w:rFonts w:asciiTheme="minorHAnsi" w:hAnsiTheme="minorHAnsi"/>
                <w:sz w:val="18"/>
                <w:szCs w:val="18"/>
              </w:rPr>
              <w:t>sorting stations but partially offset with an increased need for printshop services included in the SLA with OIB .</w:t>
            </w:r>
          </w:p>
        </w:tc>
      </w:tr>
      <w:tr w:rsidR="00D16738" w:rsidRPr="00FA030E" w14:paraId="44A1CA87" w14:textId="77777777" w:rsidTr="00AF565D">
        <w:tc>
          <w:tcPr>
            <w:tcW w:w="817" w:type="dxa"/>
          </w:tcPr>
          <w:p w14:paraId="6886026A" w14:textId="77777777" w:rsidR="00D16738" w:rsidRPr="00EE0BC5" w:rsidRDefault="00D16738" w:rsidP="00D12FEE">
            <w:pPr>
              <w:jc w:val="center"/>
              <w:rPr>
                <w:rFonts w:asciiTheme="minorHAnsi" w:hAnsiTheme="minorHAnsi"/>
                <w:b/>
                <w:bCs/>
                <w:i/>
                <w:sz w:val="18"/>
                <w:szCs w:val="18"/>
              </w:rPr>
            </w:pPr>
            <w:r>
              <w:rPr>
                <w:rFonts w:asciiTheme="minorHAnsi" w:hAnsiTheme="minorHAnsi"/>
                <w:b/>
                <w:bCs/>
                <w:i/>
                <w:sz w:val="18"/>
                <w:szCs w:val="18"/>
              </w:rPr>
              <w:t>3231</w:t>
            </w:r>
          </w:p>
        </w:tc>
        <w:tc>
          <w:tcPr>
            <w:tcW w:w="2977" w:type="dxa"/>
          </w:tcPr>
          <w:p w14:paraId="78179690" w14:textId="77777777" w:rsidR="00D16738" w:rsidRPr="00522EAC" w:rsidRDefault="0029003F" w:rsidP="00D12FEE">
            <w:pPr>
              <w:rPr>
                <w:rFonts w:asciiTheme="minorHAnsi" w:hAnsiTheme="minorHAnsi"/>
                <w:bCs/>
                <w:i/>
                <w:sz w:val="18"/>
                <w:szCs w:val="18"/>
              </w:rPr>
            </w:pPr>
            <w:r w:rsidRPr="00493518">
              <w:rPr>
                <w:rFonts w:asciiTheme="minorHAnsi" w:hAnsiTheme="minorHAnsi"/>
                <w:bCs/>
                <w:i/>
                <w:sz w:val="18"/>
                <w:szCs w:val="18"/>
              </w:rPr>
              <w:t>Meetings of Experts and associated costs</w:t>
            </w:r>
          </w:p>
        </w:tc>
        <w:tc>
          <w:tcPr>
            <w:tcW w:w="850" w:type="dxa"/>
            <w:vAlign w:val="center"/>
          </w:tcPr>
          <w:p w14:paraId="3BF80E65" w14:textId="77777777" w:rsidR="00D16738" w:rsidRPr="00EE0BC5" w:rsidRDefault="00D12FEE" w:rsidP="00D12FEE">
            <w:pPr>
              <w:jc w:val="right"/>
              <w:rPr>
                <w:rFonts w:asciiTheme="minorHAnsi" w:hAnsiTheme="minorHAnsi"/>
                <w:b/>
                <w:bCs/>
                <w:sz w:val="18"/>
                <w:szCs w:val="18"/>
              </w:rPr>
            </w:pPr>
            <w:r>
              <w:rPr>
                <w:rFonts w:asciiTheme="minorHAnsi" w:hAnsiTheme="minorHAnsi"/>
                <w:b/>
                <w:bCs/>
                <w:sz w:val="18"/>
                <w:szCs w:val="18"/>
              </w:rPr>
              <w:t>-26,130</w:t>
            </w:r>
          </w:p>
        </w:tc>
        <w:tc>
          <w:tcPr>
            <w:tcW w:w="4598" w:type="dxa"/>
            <w:vAlign w:val="center"/>
          </w:tcPr>
          <w:p w14:paraId="364D0ABD" w14:textId="77777777" w:rsidR="00D16738" w:rsidRPr="00EE0BC5" w:rsidRDefault="00715888" w:rsidP="00D12FEE">
            <w:pPr>
              <w:pStyle w:val="Text2"/>
              <w:spacing w:after="0"/>
              <w:ind w:left="0"/>
              <w:jc w:val="left"/>
              <w:rPr>
                <w:rFonts w:asciiTheme="minorHAnsi" w:hAnsiTheme="minorHAnsi"/>
                <w:sz w:val="18"/>
                <w:szCs w:val="18"/>
              </w:rPr>
            </w:pPr>
            <w:r>
              <w:rPr>
                <w:rFonts w:asciiTheme="minorHAnsi" w:hAnsiTheme="minorHAnsi"/>
                <w:sz w:val="18"/>
                <w:szCs w:val="18"/>
              </w:rPr>
              <w:t>Reduced needs for drinks and food served in experts' meetings.</w:t>
            </w:r>
          </w:p>
        </w:tc>
      </w:tr>
    </w:tbl>
    <w:p w14:paraId="0DE37D08" w14:textId="77777777" w:rsidR="00F85D80" w:rsidRPr="008933DE" w:rsidRDefault="00F85D80" w:rsidP="00A64D26">
      <w:pPr>
        <w:pStyle w:val="Text2"/>
        <w:spacing w:after="120"/>
        <w:ind w:left="0"/>
        <w:rPr>
          <w:sz w:val="22"/>
          <w:szCs w:val="22"/>
        </w:rPr>
      </w:pPr>
    </w:p>
    <w:p w14:paraId="6B40432B" w14:textId="06FBFC84" w:rsidR="002D127D" w:rsidRPr="00042844" w:rsidRDefault="00B728D7" w:rsidP="00042844">
      <w:pPr>
        <w:tabs>
          <w:tab w:val="left" w:pos="5580"/>
        </w:tabs>
        <w:spacing w:after="120"/>
        <w:jc w:val="both"/>
      </w:pPr>
      <w:r w:rsidRPr="00042844">
        <w:t>The initial 2019</w:t>
      </w:r>
      <w:r w:rsidR="002D127D" w:rsidRPr="00042844">
        <w:t xml:space="preserve"> budget and the transfers are presented in the table hereafter in EUR.</w:t>
      </w:r>
    </w:p>
    <w:p w14:paraId="1B5DA95B" w14:textId="77777777" w:rsidR="002D127D" w:rsidRPr="00042844" w:rsidRDefault="002D127D" w:rsidP="00042844">
      <w:pPr>
        <w:tabs>
          <w:tab w:val="left" w:pos="5580"/>
        </w:tabs>
        <w:spacing w:after="120"/>
        <w:jc w:val="both"/>
        <w:sectPr w:rsidR="002D127D" w:rsidRPr="00042844" w:rsidSect="00B84F70">
          <w:footnotePr>
            <w:pos w:val="beneathText"/>
          </w:footnotePr>
          <w:type w:val="evenPage"/>
          <w:pgSz w:w="11906" w:h="16838"/>
          <w:pgMar w:top="1440" w:right="1440" w:bottom="1440" w:left="1440" w:header="601" w:footer="85" w:gutter="0"/>
          <w:cols w:space="720"/>
          <w:docGrid w:linePitch="326"/>
        </w:sectPr>
      </w:pPr>
    </w:p>
    <w:p w14:paraId="7336CEB7" w14:textId="77777777" w:rsidR="00BD702A" w:rsidRDefault="00C652B2" w:rsidP="00A64D26">
      <w:pPr>
        <w:pStyle w:val="Text3"/>
        <w:ind w:left="0"/>
      </w:pPr>
      <w:r w:rsidRPr="00C652B2">
        <w:rPr>
          <w:noProof/>
          <w:lang w:eastAsia="en-GB"/>
        </w:rPr>
        <w:lastRenderedPageBreak/>
        <w:drawing>
          <wp:inline distT="0" distB="0" distL="0" distR="0" wp14:anchorId="74ED2FD1" wp14:editId="4A5063DB">
            <wp:extent cx="9414000" cy="402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14000" cy="4024800"/>
                    </a:xfrm>
                    <a:prstGeom prst="rect">
                      <a:avLst/>
                    </a:prstGeom>
                    <a:noFill/>
                    <a:ln>
                      <a:noFill/>
                    </a:ln>
                  </pic:spPr>
                </pic:pic>
              </a:graphicData>
            </a:graphic>
          </wp:inline>
        </w:drawing>
      </w:r>
    </w:p>
    <w:p w14:paraId="18A52756" w14:textId="77777777" w:rsidR="00084D91" w:rsidRDefault="00084D91" w:rsidP="00A64D26">
      <w:pPr>
        <w:pStyle w:val="Text3"/>
        <w:ind w:left="0"/>
      </w:pPr>
    </w:p>
    <w:p w14:paraId="12E2D49A" w14:textId="77777777" w:rsidR="00084D91" w:rsidRDefault="00084D91" w:rsidP="00A64D26">
      <w:pPr>
        <w:pStyle w:val="Text3"/>
        <w:ind w:left="0"/>
      </w:pPr>
    </w:p>
    <w:p w14:paraId="2302E0ED" w14:textId="77777777" w:rsidR="004B0F07" w:rsidRDefault="004B0F07" w:rsidP="00A64D26">
      <w:pPr>
        <w:pStyle w:val="Text3"/>
        <w:ind w:left="0"/>
      </w:pPr>
    </w:p>
    <w:p w14:paraId="407BBACA" w14:textId="77777777" w:rsidR="007461D6" w:rsidRDefault="007461D6" w:rsidP="00A64D26">
      <w:pPr>
        <w:pStyle w:val="Text3"/>
        <w:ind w:left="0"/>
      </w:pPr>
    </w:p>
    <w:p w14:paraId="65B9B74A" w14:textId="77777777" w:rsidR="007461D6" w:rsidRDefault="00C652B2" w:rsidP="00A64D26">
      <w:pPr>
        <w:pStyle w:val="Text3"/>
        <w:ind w:left="0"/>
      </w:pPr>
      <w:r w:rsidRPr="00C652B2">
        <w:rPr>
          <w:noProof/>
          <w:lang w:eastAsia="en-GB"/>
        </w:rPr>
        <w:lastRenderedPageBreak/>
        <w:drawing>
          <wp:inline distT="0" distB="0" distL="0" distR="0" wp14:anchorId="09139703" wp14:editId="4F950862">
            <wp:extent cx="9414000" cy="5641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14000" cy="5641200"/>
                    </a:xfrm>
                    <a:prstGeom prst="rect">
                      <a:avLst/>
                    </a:prstGeom>
                    <a:noFill/>
                    <a:ln>
                      <a:noFill/>
                    </a:ln>
                  </pic:spPr>
                </pic:pic>
              </a:graphicData>
            </a:graphic>
          </wp:inline>
        </w:drawing>
      </w:r>
    </w:p>
    <w:p w14:paraId="20B97EE8" w14:textId="77777777" w:rsidR="00B83C49" w:rsidRDefault="00B83C49" w:rsidP="00A64D26">
      <w:pPr>
        <w:pStyle w:val="Text3"/>
        <w:tabs>
          <w:tab w:val="clear" w:pos="2302"/>
        </w:tabs>
        <w:ind w:left="0"/>
        <w:sectPr w:rsidR="00B83C49" w:rsidSect="00B84F70">
          <w:footnotePr>
            <w:pos w:val="beneathText"/>
          </w:footnotePr>
          <w:type w:val="evenPage"/>
          <w:pgSz w:w="16838" w:h="11906" w:orient="landscape"/>
          <w:pgMar w:top="1418" w:right="1021" w:bottom="1418" w:left="992" w:header="601" w:footer="85" w:gutter="0"/>
          <w:cols w:space="720"/>
          <w:docGrid w:linePitch="326"/>
        </w:sectPr>
      </w:pPr>
    </w:p>
    <w:p w14:paraId="074648C6" w14:textId="77777777" w:rsidR="00F73BEE" w:rsidRPr="00042844" w:rsidRDefault="005A2601" w:rsidP="00383DBF">
      <w:pPr>
        <w:pStyle w:val="Heading3"/>
        <w:tabs>
          <w:tab w:val="clear" w:pos="840"/>
        </w:tabs>
        <w:spacing w:after="120"/>
        <w:ind w:left="720" w:hanging="720"/>
        <w:rPr>
          <w:b/>
          <w:szCs w:val="24"/>
        </w:rPr>
      </w:pPr>
      <w:bookmarkStart w:id="105" w:name="_Toc31821713"/>
      <w:r w:rsidRPr="00042844">
        <w:rPr>
          <w:b/>
          <w:szCs w:val="24"/>
        </w:rPr>
        <w:lastRenderedPageBreak/>
        <w:t xml:space="preserve">Implementation of </w:t>
      </w:r>
      <w:r w:rsidR="0020473C" w:rsidRPr="00042844">
        <w:rPr>
          <w:b/>
          <w:szCs w:val="24"/>
        </w:rPr>
        <w:t>2019</w:t>
      </w:r>
      <w:r w:rsidR="00A14754" w:rsidRPr="00042844">
        <w:rPr>
          <w:b/>
          <w:szCs w:val="24"/>
        </w:rPr>
        <w:t xml:space="preserve"> </w:t>
      </w:r>
      <w:r w:rsidRPr="00042844">
        <w:rPr>
          <w:b/>
          <w:szCs w:val="24"/>
        </w:rPr>
        <w:t>commitment and payment appro</w:t>
      </w:r>
      <w:r w:rsidR="00A14754" w:rsidRPr="00042844">
        <w:rPr>
          <w:b/>
          <w:szCs w:val="24"/>
        </w:rPr>
        <w:t xml:space="preserve">priations </w:t>
      </w:r>
      <w:r w:rsidR="00D65E99" w:rsidRPr="00042844">
        <w:rPr>
          <w:b/>
          <w:szCs w:val="24"/>
        </w:rPr>
        <w:t>– fund source C1</w:t>
      </w:r>
      <w:bookmarkEnd w:id="105"/>
    </w:p>
    <w:p w14:paraId="2E629A24" w14:textId="77777777" w:rsidR="00B259E0" w:rsidRPr="00042844" w:rsidRDefault="005F2EA4" w:rsidP="00A64D26">
      <w:pPr>
        <w:pStyle w:val="Text3"/>
        <w:ind w:left="0"/>
        <w:rPr>
          <w:szCs w:val="24"/>
        </w:rPr>
      </w:pPr>
      <w:r w:rsidRPr="00042844">
        <w:rPr>
          <w:szCs w:val="24"/>
        </w:rPr>
        <w:t xml:space="preserve">The budget execution does not call for any particular comment given the high rate of implementation in both commitment and payment appropriations. Indeed, </w:t>
      </w:r>
      <w:r w:rsidR="003E381D" w:rsidRPr="00042844">
        <w:rPr>
          <w:szCs w:val="24"/>
        </w:rPr>
        <w:t>the</w:t>
      </w:r>
      <w:r w:rsidRPr="00042844">
        <w:rPr>
          <w:szCs w:val="24"/>
        </w:rPr>
        <w:t xml:space="preserve"> overall i</w:t>
      </w:r>
      <w:r w:rsidR="0020473C" w:rsidRPr="00042844">
        <w:rPr>
          <w:szCs w:val="24"/>
        </w:rPr>
        <w:t>mplementation rate reaches 99.95</w:t>
      </w:r>
      <w:r w:rsidRPr="00042844">
        <w:rPr>
          <w:szCs w:val="24"/>
        </w:rPr>
        <w:t>% in commitment appropriations</w:t>
      </w:r>
      <w:r w:rsidR="00B259E0" w:rsidRPr="00042844">
        <w:rPr>
          <w:szCs w:val="24"/>
        </w:rPr>
        <w:t xml:space="preserve"> (wic</w:t>
      </w:r>
      <w:r w:rsidR="0020473C" w:rsidRPr="00042844">
        <w:rPr>
          <w:szCs w:val="24"/>
        </w:rPr>
        <w:t>h is comparable to 2018</w:t>
      </w:r>
      <w:r w:rsidR="00D81A5C" w:rsidRPr="00042844">
        <w:rPr>
          <w:szCs w:val="24"/>
        </w:rPr>
        <w:t>)</w:t>
      </w:r>
      <w:r w:rsidRPr="00042844">
        <w:rPr>
          <w:szCs w:val="24"/>
        </w:rPr>
        <w:t xml:space="preserve"> and </w:t>
      </w:r>
      <w:r w:rsidR="0020473C" w:rsidRPr="00042844">
        <w:rPr>
          <w:szCs w:val="24"/>
        </w:rPr>
        <w:t>90.99</w:t>
      </w:r>
      <w:r w:rsidR="00D81A5C" w:rsidRPr="00042844">
        <w:rPr>
          <w:szCs w:val="24"/>
        </w:rPr>
        <w:t xml:space="preserve">% </w:t>
      </w:r>
      <w:r w:rsidRPr="00042844">
        <w:rPr>
          <w:szCs w:val="24"/>
        </w:rPr>
        <w:t>in payment appropriations</w:t>
      </w:r>
      <w:r w:rsidR="00D81A5C" w:rsidRPr="00042844">
        <w:rPr>
          <w:szCs w:val="24"/>
        </w:rPr>
        <w:t xml:space="preserve"> (</w:t>
      </w:r>
      <w:r w:rsidR="0020473C" w:rsidRPr="00042844">
        <w:rPr>
          <w:szCs w:val="24"/>
        </w:rPr>
        <w:t>wich is also comparable to 2018</w:t>
      </w:r>
      <w:r w:rsidR="00D81A5C" w:rsidRPr="00042844">
        <w:rPr>
          <w:szCs w:val="24"/>
        </w:rPr>
        <w:t>)</w:t>
      </w:r>
      <w:r w:rsidRPr="00042844">
        <w:rPr>
          <w:szCs w:val="24"/>
        </w:rPr>
        <w:t>. Only 0</w:t>
      </w:r>
      <w:r w:rsidR="00565462" w:rsidRPr="00042844">
        <w:rPr>
          <w:szCs w:val="24"/>
        </w:rPr>
        <w:t>.</w:t>
      </w:r>
      <w:r w:rsidR="0020473C" w:rsidRPr="00042844">
        <w:rPr>
          <w:szCs w:val="24"/>
        </w:rPr>
        <w:t>05</w:t>
      </w:r>
      <w:r w:rsidRPr="00042844">
        <w:rPr>
          <w:szCs w:val="24"/>
        </w:rPr>
        <w:t>%</w:t>
      </w:r>
      <w:r w:rsidR="00E06C8A" w:rsidRPr="00042844">
        <w:rPr>
          <w:szCs w:val="24"/>
        </w:rPr>
        <w:t xml:space="preserve"> (</w:t>
      </w:r>
      <w:r w:rsidR="00565462" w:rsidRPr="00042844">
        <w:rPr>
          <w:szCs w:val="24"/>
        </w:rPr>
        <w:t xml:space="preserve">€ </w:t>
      </w:r>
      <w:r w:rsidR="0020473C" w:rsidRPr="00042844">
        <w:rPr>
          <w:szCs w:val="24"/>
        </w:rPr>
        <w:t>36,094</w:t>
      </w:r>
      <w:r w:rsidR="00E06C8A" w:rsidRPr="00042844">
        <w:rPr>
          <w:szCs w:val="24"/>
        </w:rPr>
        <w:t>)</w:t>
      </w:r>
      <w:r w:rsidRPr="00042844">
        <w:rPr>
          <w:szCs w:val="24"/>
        </w:rPr>
        <w:t xml:space="preserve"> of the commitment appropriations remains unused and </w:t>
      </w:r>
      <w:r w:rsidR="0020473C" w:rsidRPr="00042844">
        <w:rPr>
          <w:szCs w:val="24"/>
        </w:rPr>
        <w:t>8.9</w:t>
      </w:r>
      <w:r w:rsidR="00CC30D7" w:rsidRPr="00042844">
        <w:rPr>
          <w:szCs w:val="24"/>
        </w:rPr>
        <w:t>6% (€ 6,</w:t>
      </w:r>
      <w:r w:rsidR="0020473C" w:rsidRPr="00042844">
        <w:rPr>
          <w:szCs w:val="24"/>
        </w:rPr>
        <w:t>790,092</w:t>
      </w:r>
      <w:r w:rsidR="00CC30D7" w:rsidRPr="00042844">
        <w:rPr>
          <w:szCs w:val="24"/>
        </w:rPr>
        <w:t xml:space="preserve">) </w:t>
      </w:r>
      <w:r w:rsidR="00E06C8A" w:rsidRPr="00042844">
        <w:rPr>
          <w:szCs w:val="24"/>
        </w:rPr>
        <w:t xml:space="preserve">of the undifferentiated commitment and payment appropriations are </w:t>
      </w:r>
      <w:r w:rsidR="003A672D" w:rsidRPr="00042844">
        <w:rPr>
          <w:szCs w:val="24"/>
        </w:rPr>
        <w:t xml:space="preserve">carried </w:t>
      </w:r>
      <w:r w:rsidR="0020473C" w:rsidRPr="00042844">
        <w:rPr>
          <w:szCs w:val="24"/>
        </w:rPr>
        <w:t>forward to 2020</w:t>
      </w:r>
      <w:r w:rsidR="00E06C8A" w:rsidRPr="00042844">
        <w:rPr>
          <w:szCs w:val="24"/>
        </w:rPr>
        <w:t xml:space="preserve"> to cover the payment of </w:t>
      </w:r>
      <w:r w:rsidR="0020473C" w:rsidRPr="00042844">
        <w:rPr>
          <w:szCs w:val="24"/>
        </w:rPr>
        <w:t>services/goods delivered in 2019</w:t>
      </w:r>
      <w:r w:rsidR="00E06C8A" w:rsidRPr="00042844">
        <w:rPr>
          <w:szCs w:val="24"/>
        </w:rPr>
        <w:t xml:space="preserve"> but not invoiced at the end of Decemb</w:t>
      </w:r>
      <w:r w:rsidR="0020473C" w:rsidRPr="00042844">
        <w:rPr>
          <w:szCs w:val="24"/>
        </w:rPr>
        <w:t>er or to be delivered early 2020</w:t>
      </w:r>
      <w:r w:rsidR="00E06C8A" w:rsidRPr="00042844">
        <w:rPr>
          <w:szCs w:val="24"/>
        </w:rPr>
        <w:t>.</w:t>
      </w:r>
    </w:p>
    <w:p w14:paraId="17C01220" w14:textId="77777777" w:rsidR="00815A22" w:rsidRPr="00042844" w:rsidRDefault="00815A22" w:rsidP="001D6D10">
      <w:pPr>
        <w:pStyle w:val="Text3"/>
        <w:spacing w:after="120"/>
        <w:ind w:left="0"/>
        <w:rPr>
          <w:szCs w:val="24"/>
        </w:rPr>
      </w:pPr>
      <w:r w:rsidRPr="00042844">
        <w:rPr>
          <w:szCs w:val="24"/>
        </w:rPr>
        <w:t>As last year, t</w:t>
      </w:r>
      <w:r w:rsidR="00B85EE6" w:rsidRPr="00042844">
        <w:rPr>
          <w:szCs w:val="24"/>
        </w:rPr>
        <w:t>he A</w:t>
      </w:r>
      <w:r w:rsidR="00543DC1" w:rsidRPr="00042844">
        <w:rPr>
          <w:szCs w:val="24"/>
        </w:rPr>
        <w:t>gency had to carry forward an amount of</w:t>
      </w:r>
      <w:r w:rsidR="00FA786C" w:rsidRPr="00042844">
        <w:rPr>
          <w:szCs w:val="24"/>
        </w:rPr>
        <w:t xml:space="preserve"> </w:t>
      </w:r>
      <w:r w:rsidR="00BE4112" w:rsidRPr="00042844">
        <w:rPr>
          <w:szCs w:val="24"/>
        </w:rPr>
        <w:t>€ 3,851,020</w:t>
      </w:r>
      <w:r w:rsidR="00543DC1" w:rsidRPr="00042844">
        <w:rPr>
          <w:szCs w:val="24"/>
        </w:rPr>
        <w:t xml:space="preserve"> on the budget line 3211</w:t>
      </w:r>
      <w:r w:rsidR="00BE4112" w:rsidRPr="00042844">
        <w:rPr>
          <w:szCs w:val="24"/>
        </w:rPr>
        <w:t xml:space="preserve"> </w:t>
      </w:r>
      <w:r w:rsidRPr="00042844">
        <w:rPr>
          <w:szCs w:val="24"/>
        </w:rPr>
        <w:t xml:space="preserve">including </w:t>
      </w:r>
      <w:r w:rsidR="00BE4112" w:rsidRPr="00042844">
        <w:rPr>
          <w:szCs w:val="24"/>
        </w:rPr>
        <w:t xml:space="preserve">the rent </w:t>
      </w:r>
      <w:r w:rsidR="00041109" w:rsidRPr="00042844">
        <w:rPr>
          <w:szCs w:val="24"/>
        </w:rPr>
        <w:t xml:space="preserve">(3.4M€) </w:t>
      </w:r>
      <w:r w:rsidR="00BE4112" w:rsidRPr="00042844">
        <w:rPr>
          <w:szCs w:val="24"/>
        </w:rPr>
        <w:t>for the evaluation platform</w:t>
      </w:r>
      <w:r w:rsidRPr="00042844">
        <w:rPr>
          <w:szCs w:val="24"/>
        </w:rPr>
        <w:t xml:space="preserve"> that OIB did not invoice</w:t>
      </w:r>
      <w:r w:rsidR="00131E9D" w:rsidRPr="00042844">
        <w:rPr>
          <w:szCs w:val="24"/>
        </w:rPr>
        <w:t xml:space="preserve"> in 2019</w:t>
      </w:r>
      <w:r w:rsidRPr="00042844">
        <w:rPr>
          <w:szCs w:val="24"/>
        </w:rPr>
        <w:t>.</w:t>
      </w:r>
    </w:p>
    <w:p w14:paraId="3E840E32" w14:textId="77777777" w:rsidR="00BD702A" w:rsidRPr="00042844" w:rsidRDefault="00DD0DEF" w:rsidP="001D6D10">
      <w:pPr>
        <w:pStyle w:val="Text3"/>
        <w:spacing w:after="120"/>
        <w:ind w:left="0"/>
        <w:rPr>
          <w:szCs w:val="24"/>
        </w:rPr>
      </w:pPr>
      <w:r w:rsidRPr="00042844">
        <w:rPr>
          <w:szCs w:val="24"/>
        </w:rPr>
        <w:t xml:space="preserve">The </w:t>
      </w:r>
      <w:r w:rsidR="004D74D5" w:rsidRPr="00042844">
        <w:rPr>
          <w:szCs w:val="24"/>
        </w:rPr>
        <w:t xml:space="preserve">total budget </w:t>
      </w:r>
      <w:r w:rsidRPr="00042844">
        <w:rPr>
          <w:szCs w:val="24"/>
        </w:rPr>
        <w:t xml:space="preserve">amounts to </w:t>
      </w:r>
      <w:r w:rsidR="00565462" w:rsidRPr="00042844">
        <w:rPr>
          <w:szCs w:val="24"/>
        </w:rPr>
        <w:t xml:space="preserve">€ </w:t>
      </w:r>
      <w:r w:rsidR="005C19B3" w:rsidRPr="00042844">
        <w:rPr>
          <w:szCs w:val="24"/>
        </w:rPr>
        <w:t>75,802,085</w:t>
      </w:r>
      <w:r w:rsidR="004D74D5" w:rsidRPr="00042844">
        <w:rPr>
          <w:szCs w:val="24"/>
        </w:rPr>
        <w:t xml:space="preserve"> </w:t>
      </w:r>
      <w:r w:rsidRPr="00042844">
        <w:rPr>
          <w:szCs w:val="24"/>
        </w:rPr>
        <w:t xml:space="preserve">out of which </w:t>
      </w:r>
      <w:r w:rsidR="00565462" w:rsidRPr="00042844">
        <w:rPr>
          <w:szCs w:val="24"/>
        </w:rPr>
        <w:t xml:space="preserve">€ </w:t>
      </w:r>
      <w:r w:rsidR="005C19B3" w:rsidRPr="00042844">
        <w:rPr>
          <w:szCs w:val="24"/>
        </w:rPr>
        <w:t>75</w:t>
      </w:r>
      <w:r w:rsidR="00B259E0" w:rsidRPr="00042844">
        <w:rPr>
          <w:szCs w:val="24"/>
        </w:rPr>
        <w:t>,</w:t>
      </w:r>
      <w:r w:rsidR="005C19B3" w:rsidRPr="00042844">
        <w:rPr>
          <w:szCs w:val="24"/>
        </w:rPr>
        <w:t>765,990</w:t>
      </w:r>
      <w:r w:rsidR="004D74D5" w:rsidRPr="00042844">
        <w:rPr>
          <w:szCs w:val="24"/>
        </w:rPr>
        <w:t xml:space="preserve"> </w:t>
      </w:r>
      <w:r w:rsidRPr="00042844">
        <w:rPr>
          <w:szCs w:val="24"/>
        </w:rPr>
        <w:t>are</w:t>
      </w:r>
      <w:r w:rsidR="00D65E99" w:rsidRPr="00042844">
        <w:rPr>
          <w:szCs w:val="24"/>
        </w:rPr>
        <w:t xml:space="preserve"> committed and </w:t>
      </w:r>
      <w:r w:rsidR="00565462" w:rsidRPr="00042844">
        <w:rPr>
          <w:szCs w:val="24"/>
        </w:rPr>
        <w:t>€</w:t>
      </w:r>
      <w:r w:rsidR="00731639" w:rsidRPr="00042844">
        <w:rPr>
          <w:szCs w:val="24"/>
        </w:rPr>
        <w:t xml:space="preserve"> </w:t>
      </w:r>
      <w:r w:rsidR="005C19B3" w:rsidRPr="00042844">
        <w:rPr>
          <w:szCs w:val="24"/>
        </w:rPr>
        <w:t>68</w:t>
      </w:r>
      <w:r w:rsidR="00D65E99" w:rsidRPr="00042844">
        <w:rPr>
          <w:szCs w:val="24"/>
        </w:rPr>
        <w:t>,</w:t>
      </w:r>
      <w:r w:rsidR="005C19B3" w:rsidRPr="00042844">
        <w:rPr>
          <w:szCs w:val="24"/>
        </w:rPr>
        <w:t>975</w:t>
      </w:r>
      <w:r w:rsidR="00D65E99" w:rsidRPr="00042844">
        <w:rPr>
          <w:szCs w:val="24"/>
        </w:rPr>
        <w:t>,</w:t>
      </w:r>
      <w:r w:rsidR="005C19B3" w:rsidRPr="00042844">
        <w:rPr>
          <w:szCs w:val="24"/>
        </w:rPr>
        <w:t>899</w:t>
      </w:r>
      <w:r w:rsidR="004D74D5" w:rsidRPr="00042844">
        <w:rPr>
          <w:szCs w:val="24"/>
        </w:rPr>
        <w:t xml:space="preserve"> </w:t>
      </w:r>
      <w:r w:rsidRPr="00042844">
        <w:rPr>
          <w:szCs w:val="24"/>
        </w:rPr>
        <w:t>are</w:t>
      </w:r>
      <w:r w:rsidR="004D74D5" w:rsidRPr="00042844">
        <w:rPr>
          <w:szCs w:val="24"/>
        </w:rPr>
        <w:t xml:space="preserve"> paid. A</w:t>
      </w:r>
      <w:r w:rsidR="00BD702A" w:rsidRPr="00042844">
        <w:rPr>
          <w:szCs w:val="24"/>
        </w:rPr>
        <w:t>ppropriations are distributed as follows:</w:t>
      </w:r>
    </w:p>
    <w:p w14:paraId="6B217352" w14:textId="77777777" w:rsidR="00BD702A" w:rsidRPr="00042844" w:rsidRDefault="005321DC" w:rsidP="00DE7CF7">
      <w:pPr>
        <w:pStyle w:val="ListParagraph"/>
        <w:numPr>
          <w:ilvl w:val="0"/>
          <w:numId w:val="19"/>
        </w:numPr>
        <w:ind w:left="284" w:hanging="284"/>
        <w:contextualSpacing w:val="0"/>
        <w:jc w:val="both"/>
      </w:pPr>
      <w:r w:rsidRPr="00042844">
        <w:t>75.</w:t>
      </w:r>
      <w:r w:rsidR="00A63950" w:rsidRPr="00042844">
        <w:t xml:space="preserve">41% </w:t>
      </w:r>
      <w:r w:rsidR="00BD702A" w:rsidRPr="00042844">
        <w:t>on title 1 "Staff expenditure"</w:t>
      </w:r>
      <w:r w:rsidR="00A63950" w:rsidRPr="00042844">
        <w:t xml:space="preserve"> (+0.9% compared to 2018</w:t>
      </w:r>
      <w:r w:rsidR="00B259E0" w:rsidRPr="00042844">
        <w:t>)</w:t>
      </w:r>
      <w:r w:rsidR="00A64D26" w:rsidRPr="00042844">
        <w:t>;</w:t>
      </w:r>
    </w:p>
    <w:p w14:paraId="7D5204D9" w14:textId="77777777" w:rsidR="00BD702A" w:rsidRPr="00042844" w:rsidRDefault="005321DC" w:rsidP="00DE7CF7">
      <w:pPr>
        <w:pStyle w:val="ListParagraph"/>
        <w:numPr>
          <w:ilvl w:val="0"/>
          <w:numId w:val="19"/>
        </w:numPr>
        <w:ind w:left="284" w:hanging="284"/>
        <w:contextualSpacing w:val="0"/>
        <w:jc w:val="both"/>
      </w:pPr>
      <w:r w:rsidRPr="00042844">
        <w:t>15.</w:t>
      </w:r>
      <w:r w:rsidR="00A63950" w:rsidRPr="00042844">
        <w:t xml:space="preserve">18% </w:t>
      </w:r>
      <w:r w:rsidR="00BD702A" w:rsidRPr="00042844">
        <w:t>on title 2 "Infrastructure and operating expenditure"</w:t>
      </w:r>
      <w:r w:rsidR="00A63950" w:rsidRPr="00042844">
        <w:t xml:space="preserve"> (+1</w:t>
      </w:r>
      <w:r w:rsidR="00B259E0" w:rsidRPr="00042844">
        <w:t>% compared to</w:t>
      </w:r>
      <w:r w:rsidR="00A63950" w:rsidRPr="00042844">
        <w:t xml:space="preserve"> 2018</w:t>
      </w:r>
      <w:r w:rsidR="00B259E0" w:rsidRPr="00042844">
        <w:t>)</w:t>
      </w:r>
      <w:r w:rsidR="00A64D26" w:rsidRPr="00042844">
        <w:t>;</w:t>
      </w:r>
    </w:p>
    <w:p w14:paraId="4E9106F8" w14:textId="77777777" w:rsidR="00BD702A" w:rsidRPr="00042844" w:rsidRDefault="005321DC" w:rsidP="00DE7CF7">
      <w:pPr>
        <w:pStyle w:val="ListParagraph"/>
        <w:numPr>
          <w:ilvl w:val="0"/>
          <w:numId w:val="19"/>
        </w:numPr>
        <w:spacing w:after="120"/>
        <w:ind w:left="284" w:hanging="284"/>
        <w:contextualSpacing w:val="0"/>
        <w:jc w:val="both"/>
      </w:pPr>
      <w:r w:rsidRPr="00042844">
        <w:t>9.</w:t>
      </w:r>
      <w:r w:rsidR="00A63950" w:rsidRPr="00042844">
        <w:t xml:space="preserve">41% </w:t>
      </w:r>
      <w:r w:rsidR="000534CA" w:rsidRPr="00042844">
        <w:t>on title 3 "Programme support expenditure"</w:t>
      </w:r>
      <w:r w:rsidR="00A63950" w:rsidRPr="00042844">
        <w:t xml:space="preserve"> (-1.9% compared to 2018</w:t>
      </w:r>
      <w:r w:rsidR="00691650" w:rsidRPr="00042844">
        <w:t>)</w:t>
      </w:r>
      <w:r w:rsidR="00A64D26" w:rsidRPr="00042844">
        <w:t>.</w:t>
      </w:r>
    </w:p>
    <w:p w14:paraId="2CC547F7" w14:textId="77777777" w:rsidR="008B4C7F" w:rsidRPr="00042844" w:rsidRDefault="008B4C7F" w:rsidP="001D6D10">
      <w:pPr>
        <w:pStyle w:val="Text3"/>
        <w:spacing w:after="120"/>
        <w:ind w:left="0"/>
        <w:rPr>
          <w:szCs w:val="24"/>
        </w:rPr>
      </w:pPr>
      <w:r w:rsidRPr="00042844">
        <w:rPr>
          <w:szCs w:val="24"/>
        </w:rPr>
        <w:t xml:space="preserve">As regards title 1, </w:t>
      </w:r>
      <w:r w:rsidR="00FD2F34" w:rsidRPr="00042844">
        <w:rPr>
          <w:szCs w:val="24"/>
        </w:rPr>
        <w:t>93.</w:t>
      </w:r>
      <w:r w:rsidR="006D452A" w:rsidRPr="00042844">
        <w:rPr>
          <w:szCs w:val="24"/>
        </w:rPr>
        <w:t>92</w:t>
      </w:r>
      <w:r w:rsidR="00BE1B76" w:rsidRPr="00042844">
        <w:rPr>
          <w:szCs w:val="24"/>
        </w:rPr>
        <w:t xml:space="preserve">% </w:t>
      </w:r>
      <w:r w:rsidR="00966760" w:rsidRPr="00042844">
        <w:rPr>
          <w:szCs w:val="24"/>
        </w:rPr>
        <w:t xml:space="preserve">of the amount </w:t>
      </w:r>
      <w:r w:rsidR="003E381D" w:rsidRPr="00042844">
        <w:rPr>
          <w:szCs w:val="24"/>
        </w:rPr>
        <w:t>committed</w:t>
      </w:r>
      <w:r w:rsidR="00966760" w:rsidRPr="00042844">
        <w:rPr>
          <w:szCs w:val="24"/>
        </w:rPr>
        <w:t xml:space="preserve"> covers the remuneration, allowances and charges of the staff</w:t>
      </w:r>
      <w:r w:rsidR="00BE1B76" w:rsidRPr="00042844">
        <w:rPr>
          <w:szCs w:val="24"/>
        </w:rPr>
        <w:t xml:space="preserve"> (interim supportive agents and trainees excluded</w:t>
      </w:r>
      <w:r w:rsidR="000C0A93" w:rsidRPr="00042844">
        <w:rPr>
          <w:szCs w:val="24"/>
        </w:rPr>
        <w:t>)</w:t>
      </w:r>
      <w:r w:rsidR="006D452A" w:rsidRPr="00042844">
        <w:rPr>
          <w:szCs w:val="24"/>
        </w:rPr>
        <w:t xml:space="preserve">. </w:t>
      </w:r>
      <w:r w:rsidR="00FD2F34" w:rsidRPr="00042844">
        <w:rPr>
          <w:szCs w:val="24"/>
        </w:rPr>
        <w:t>1</w:t>
      </w:r>
      <w:r w:rsidR="00C652B2" w:rsidRPr="00042844">
        <w:rPr>
          <w:szCs w:val="24"/>
        </w:rPr>
        <w:t>82</w:t>
      </w:r>
      <w:r w:rsidR="00FD2F34" w:rsidRPr="00042844">
        <w:rPr>
          <w:szCs w:val="24"/>
        </w:rPr>
        <w:t xml:space="preserve"> temporary agents and </w:t>
      </w:r>
      <w:r w:rsidR="00C652B2" w:rsidRPr="00042844">
        <w:rPr>
          <w:szCs w:val="24"/>
        </w:rPr>
        <w:t>571</w:t>
      </w:r>
      <w:r w:rsidR="00EC19D9" w:rsidRPr="00042844">
        <w:rPr>
          <w:szCs w:val="24"/>
        </w:rPr>
        <w:t xml:space="preserve"> contract agents were </w:t>
      </w:r>
      <w:r w:rsidR="003A672D" w:rsidRPr="00042844">
        <w:rPr>
          <w:szCs w:val="24"/>
        </w:rPr>
        <w:t xml:space="preserve">employed </w:t>
      </w:r>
      <w:r w:rsidR="00C652B2" w:rsidRPr="00042844">
        <w:rPr>
          <w:szCs w:val="24"/>
        </w:rPr>
        <w:t>at the end of December 2019 equivalent to 96.7</w:t>
      </w:r>
      <w:r w:rsidR="00EC19D9" w:rsidRPr="00042844">
        <w:rPr>
          <w:szCs w:val="24"/>
        </w:rPr>
        <w:t xml:space="preserve">% of the </w:t>
      </w:r>
      <w:r w:rsidR="00565462" w:rsidRPr="00042844">
        <w:rPr>
          <w:szCs w:val="24"/>
        </w:rPr>
        <w:t xml:space="preserve">authorised </w:t>
      </w:r>
      <w:r w:rsidR="003A672D" w:rsidRPr="00042844">
        <w:rPr>
          <w:szCs w:val="24"/>
        </w:rPr>
        <w:t>positions</w:t>
      </w:r>
      <w:r w:rsidR="00EC19D9" w:rsidRPr="00042844">
        <w:rPr>
          <w:szCs w:val="24"/>
        </w:rPr>
        <w:t>.</w:t>
      </w:r>
      <w:r w:rsidR="006D452A" w:rsidRPr="00042844">
        <w:rPr>
          <w:szCs w:val="24"/>
        </w:rPr>
        <w:t xml:space="preserve"> 4</w:t>
      </w:r>
      <w:r w:rsidR="00565462" w:rsidRPr="00042844">
        <w:rPr>
          <w:szCs w:val="24"/>
        </w:rPr>
        <w:t>.</w:t>
      </w:r>
      <w:r w:rsidR="006D452A" w:rsidRPr="00042844">
        <w:rPr>
          <w:szCs w:val="24"/>
        </w:rPr>
        <w:t>58</w:t>
      </w:r>
      <w:r w:rsidR="00DB2750" w:rsidRPr="00042844">
        <w:rPr>
          <w:szCs w:val="24"/>
        </w:rPr>
        <w:t xml:space="preserve">% of the </w:t>
      </w:r>
      <w:r w:rsidR="003E381D" w:rsidRPr="00042844">
        <w:rPr>
          <w:szCs w:val="24"/>
        </w:rPr>
        <w:t>committed</w:t>
      </w:r>
      <w:r w:rsidR="00DB2750" w:rsidRPr="00042844">
        <w:rPr>
          <w:szCs w:val="24"/>
        </w:rPr>
        <w:t xml:space="preserve"> amount is related to professional development and social expenditure. The remaining balance con</w:t>
      </w:r>
      <w:r w:rsidR="00F301D2" w:rsidRPr="00042844">
        <w:rPr>
          <w:szCs w:val="24"/>
        </w:rPr>
        <w:t>cerns the use of "interimaires" to compensate for long term absences, parental leave and part time work.</w:t>
      </w:r>
    </w:p>
    <w:p w14:paraId="2766897A" w14:textId="070D58DD" w:rsidR="00EC19D9" w:rsidRPr="00042844" w:rsidRDefault="000D3369" w:rsidP="001D6D10">
      <w:pPr>
        <w:pStyle w:val="Text3"/>
        <w:spacing w:after="120"/>
        <w:ind w:left="0"/>
        <w:rPr>
          <w:szCs w:val="24"/>
        </w:rPr>
      </w:pPr>
      <w:r w:rsidRPr="00042844">
        <w:rPr>
          <w:szCs w:val="24"/>
        </w:rPr>
        <w:t>With respect to</w:t>
      </w:r>
      <w:r w:rsidR="005E024C" w:rsidRPr="00042844">
        <w:rPr>
          <w:szCs w:val="24"/>
        </w:rPr>
        <w:t xml:space="preserve"> title 2, the building expenditure (rent/usufruct instalments, </w:t>
      </w:r>
      <w:r w:rsidR="003E381D" w:rsidRPr="00042844">
        <w:rPr>
          <w:szCs w:val="24"/>
        </w:rPr>
        <w:t>building</w:t>
      </w:r>
      <w:r w:rsidR="005E024C" w:rsidRPr="00042844">
        <w:rPr>
          <w:szCs w:val="24"/>
        </w:rPr>
        <w:t xml:space="preserve"> charges and associated costs) and the ICT expenditure (IT equipment and services)</w:t>
      </w:r>
      <w:r w:rsidR="000C0A93" w:rsidRPr="00042844">
        <w:rPr>
          <w:szCs w:val="24"/>
        </w:rPr>
        <w:t xml:space="preserve"> represent</w:t>
      </w:r>
      <w:r w:rsidR="00EC19D9" w:rsidRPr="00042844">
        <w:rPr>
          <w:szCs w:val="24"/>
        </w:rPr>
        <w:t xml:space="preserve"> </w:t>
      </w:r>
      <w:r w:rsidR="000C0A93" w:rsidRPr="00042844">
        <w:rPr>
          <w:szCs w:val="24"/>
        </w:rPr>
        <w:t xml:space="preserve">respectively </w:t>
      </w:r>
      <w:r w:rsidR="005321DC" w:rsidRPr="00042844">
        <w:rPr>
          <w:szCs w:val="24"/>
        </w:rPr>
        <w:t>69.</w:t>
      </w:r>
      <w:r w:rsidR="009C16E1" w:rsidRPr="00042844">
        <w:rPr>
          <w:szCs w:val="24"/>
        </w:rPr>
        <w:t>78% (+2</w:t>
      </w:r>
      <w:r w:rsidR="00A83CF5">
        <w:rPr>
          <w:szCs w:val="24"/>
        </w:rPr>
        <w:t>.</w:t>
      </w:r>
      <w:r w:rsidR="009C16E1" w:rsidRPr="00042844">
        <w:rPr>
          <w:szCs w:val="24"/>
        </w:rPr>
        <w:t>4% compared to 2018)</w:t>
      </w:r>
      <w:r w:rsidR="00EC19D9" w:rsidRPr="00042844">
        <w:rPr>
          <w:szCs w:val="24"/>
        </w:rPr>
        <w:t xml:space="preserve"> </w:t>
      </w:r>
      <w:r w:rsidR="005E024C" w:rsidRPr="00042844">
        <w:rPr>
          <w:szCs w:val="24"/>
        </w:rPr>
        <w:t xml:space="preserve">and </w:t>
      </w:r>
      <w:r w:rsidR="009C16E1" w:rsidRPr="00042844">
        <w:rPr>
          <w:szCs w:val="24"/>
        </w:rPr>
        <w:t>26.56% (-2</w:t>
      </w:r>
      <w:r w:rsidR="00A83CF5">
        <w:rPr>
          <w:szCs w:val="24"/>
        </w:rPr>
        <w:t>.</w:t>
      </w:r>
      <w:r w:rsidR="009C16E1" w:rsidRPr="00042844">
        <w:rPr>
          <w:szCs w:val="24"/>
        </w:rPr>
        <w:t xml:space="preserve">1% compared to 2018) </w:t>
      </w:r>
      <w:r w:rsidR="00EC19D9" w:rsidRPr="00042844">
        <w:rPr>
          <w:szCs w:val="24"/>
        </w:rPr>
        <w:t xml:space="preserve">of the amount </w:t>
      </w:r>
      <w:r w:rsidR="003E381D" w:rsidRPr="00042844">
        <w:rPr>
          <w:szCs w:val="24"/>
        </w:rPr>
        <w:t>committed</w:t>
      </w:r>
      <w:r w:rsidR="00EC19D9" w:rsidRPr="00042844">
        <w:rPr>
          <w:szCs w:val="24"/>
        </w:rPr>
        <w:t xml:space="preserve"> </w:t>
      </w:r>
      <w:r w:rsidR="00B030AB" w:rsidRPr="00042844">
        <w:rPr>
          <w:szCs w:val="24"/>
        </w:rPr>
        <w:t>under this title. T</w:t>
      </w:r>
      <w:r w:rsidR="00966760" w:rsidRPr="00042844">
        <w:rPr>
          <w:szCs w:val="24"/>
        </w:rPr>
        <w:t>he remaining amount concerns movable property and current operating expenditure.</w:t>
      </w:r>
      <w:r w:rsidR="00B030AB" w:rsidRPr="00042844">
        <w:rPr>
          <w:szCs w:val="24"/>
        </w:rPr>
        <w:t xml:space="preserve"> The ratios are stables compared to last year.</w:t>
      </w:r>
    </w:p>
    <w:p w14:paraId="23B4D062" w14:textId="69A374A1" w:rsidR="00800D83" w:rsidRPr="00042844" w:rsidRDefault="000C0A93" w:rsidP="001D6D10">
      <w:pPr>
        <w:pStyle w:val="Text3"/>
        <w:spacing w:after="120"/>
        <w:ind w:left="0"/>
        <w:rPr>
          <w:szCs w:val="24"/>
        </w:rPr>
      </w:pPr>
      <w:r w:rsidRPr="00042844">
        <w:rPr>
          <w:szCs w:val="24"/>
        </w:rPr>
        <w:t xml:space="preserve">As regards </w:t>
      </w:r>
      <w:r w:rsidR="00966760" w:rsidRPr="00042844">
        <w:rPr>
          <w:szCs w:val="24"/>
        </w:rPr>
        <w:t xml:space="preserve">title 3, </w:t>
      </w:r>
      <w:r w:rsidR="00B85EE6" w:rsidRPr="00042844">
        <w:rPr>
          <w:szCs w:val="24"/>
        </w:rPr>
        <w:t>81.55</w:t>
      </w:r>
      <w:r w:rsidR="00081046" w:rsidRPr="00042844">
        <w:rPr>
          <w:szCs w:val="24"/>
        </w:rPr>
        <w:t xml:space="preserve">% of the amount </w:t>
      </w:r>
      <w:r w:rsidR="008A68C6" w:rsidRPr="00042844">
        <w:rPr>
          <w:szCs w:val="24"/>
        </w:rPr>
        <w:t xml:space="preserve">is </w:t>
      </w:r>
      <w:r w:rsidR="003E381D" w:rsidRPr="00042844">
        <w:rPr>
          <w:szCs w:val="24"/>
        </w:rPr>
        <w:t>committed</w:t>
      </w:r>
      <w:r w:rsidR="00081046" w:rsidRPr="00042844">
        <w:rPr>
          <w:szCs w:val="24"/>
        </w:rPr>
        <w:t xml:space="preserve"> </w:t>
      </w:r>
      <w:r w:rsidR="005E024C" w:rsidRPr="00042844">
        <w:rPr>
          <w:szCs w:val="24"/>
        </w:rPr>
        <w:t>to cover the expenditure related to</w:t>
      </w:r>
      <w:r w:rsidR="008A68C6" w:rsidRPr="00042844">
        <w:rPr>
          <w:szCs w:val="24"/>
        </w:rPr>
        <w:t xml:space="preserve"> the provision of administrative and logistical support se</w:t>
      </w:r>
      <w:r w:rsidR="009E7973" w:rsidRPr="00042844">
        <w:rPr>
          <w:szCs w:val="24"/>
        </w:rPr>
        <w:t>rvices</w:t>
      </w:r>
      <w:r w:rsidR="008A68C6" w:rsidRPr="00042844">
        <w:rPr>
          <w:szCs w:val="24"/>
        </w:rPr>
        <w:t xml:space="preserve"> to participants, Commission services, other agencies and joint undertaking</w:t>
      </w:r>
      <w:r w:rsidR="003A672D" w:rsidRPr="00042844">
        <w:rPr>
          <w:szCs w:val="24"/>
        </w:rPr>
        <w:t>s</w:t>
      </w:r>
      <w:r w:rsidR="009E7973" w:rsidRPr="00042844">
        <w:rPr>
          <w:szCs w:val="24"/>
        </w:rPr>
        <w:t xml:space="preserve">. The expenditure </w:t>
      </w:r>
      <w:r w:rsidR="003E381D" w:rsidRPr="00042844">
        <w:rPr>
          <w:szCs w:val="24"/>
        </w:rPr>
        <w:t>consists</w:t>
      </w:r>
      <w:r w:rsidR="009E7973" w:rsidRPr="00042844">
        <w:rPr>
          <w:szCs w:val="24"/>
        </w:rPr>
        <w:t xml:space="preserve"> </w:t>
      </w:r>
      <w:r w:rsidR="00B85EE6" w:rsidRPr="00042844">
        <w:rPr>
          <w:szCs w:val="24"/>
        </w:rPr>
        <w:t xml:space="preserve">mainly </w:t>
      </w:r>
      <w:r w:rsidR="009E7973" w:rsidRPr="00042844">
        <w:rPr>
          <w:szCs w:val="24"/>
        </w:rPr>
        <w:t xml:space="preserve">in </w:t>
      </w:r>
      <w:r w:rsidR="00B85EE6" w:rsidRPr="00042844">
        <w:rPr>
          <w:szCs w:val="24"/>
        </w:rPr>
        <w:t xml:space="preserve">building expenses </w:t>
      </w:r>
      <w:r w:rsidR="00A90C85" w:rsidRPr="00042844">
        <w:rPr>
          <w:szCs w:val="24"/>
        </w:rPr>
        <w:t xml:space="preserve">and </w:t>
      </w:r>
      <w:r w:rsidR="005E024C" w:rsidRPr="00042844">
        <w:rPr>
          <w:szCs w:val="24"/>
        </w:rPr>
        <w:t xml:space="preserve">ICT expenses </w:t>
      </w:r>
      <w:r w:rsidR="009E7973" w:rsidRPr="00042844">
        <w:rPr>
          <w:szCs w:val="24"/>
        </w:rPr>
        <w:t xml:space="preserve">incurred </w:t>
      </w:r>
      <w:r w:rsidR="003A672D" w:rsidRPr="00042844">
        <w:rPr>
          <w:szCs w:val="24"/>
        </w:rPr>
        <w:t xml:space="preserve">for </w:t>
      </w:r>
      <w:r w:rsidR="009E7973" w:rsidRPr="00042844">
        <w:rPr>
          <w:szCs w:val="24"/>
        </w:rPr>
        <w:t xml:space="preserve">the </w:t>
      </w:r>
      <w:r w:rsidR="003A672D" w:rsidRPr="00042844">
        <w:rPr>
          <w:szCs w:val="24"/>
        </w:rPr>
        <w:t xml:space="preserve">provision of </w:t>
      </w:r>
      <w:r w:rsidR="009E7973" w:rsidRPr="00042844">
        <w:rPr>
          <w:szCs w:val="24"/>
        </w:rPr>
        <w:t xml:space="preserve">Common Support Services and the </w:t>
      </w:r>
      <w:r w:rsidR="003A672D" w:rsidRPr="00042844">
        <w:rPr>
          <w:szCs w:val="24"/>
        </w:rPr>
        <w:t xml:space="preserve">management of the </w:t>
      </w:r>
      <w:r w:rsidR="009E7973" w:rsidRPr="00042844">
        <w:rPr>
          <w:szCs w:val="24"/>
        </w:rPr>
        <w:t>Evaluation Platform.</w:t>
      </w:r>
    </w:p>
    <w:p w14:paraId="6AAB08E1" w14:textId="77777777" w:rsidR="00966760" w:rsidRPr="00042844" w:rsidRDefault="00940F49" w:rsidP="001D6D10">
      <w:pPr>
        <w:pStyle w:val="Text3"/>
        <w:spacing w:after="120"/>
        <w:ind w:left="0"/>
        <w:rPr>
          <w:szCs w:val="24"/>
        </w:rPr>
      </w:pPr>
      <w:r w:rsidRPr="00042844">
        <w:rPr>
          <w:szCs w:val="24"/>
        </w:rPr>
        <w:t xml:space="preserve">The programme management expenditure represents </w:t>
      </w:r>
      <w:r w:rsidR="00B85EE6" w:rsidRPr="00042844">
        <w:rPr>
          <w:szCs w:val="24"/>
        </w:rPr>
        <w:t>18</w:t>
      </w:r>
      <w:r w:rsidR="00565462" w:rsidRPr="00042844">
        <w:rPr>
          <w:szCs w:val="24"/>
        </w:rPr>
        <w:t>.</w:t>
      </w:r>
      <w:r w:rsidR="00B85EE6" w:rsidRPr="00042844">
        <w:rPr>
          <w:szCs w:val="24"/>
        </w:rPr>
        <w:t>45</w:t>
      </w:r>
      <w:r w:rsidRPr="00042844">
        <w:rPr>
          <w:szCs w:val="24"/>
        </w:rPr>
        <w:t>% of the amount</w:t>
      </w:r>
      <w:r w:rsidR="00A90C85" w:rsidRPr="00042844">
        <w:rPr>
          <w:szCs w:val="24"/>
        </w:rPr>
        <w:t xml:space="preserve"> committed under this title and relates to communication activities, ICT environment, audits of FP7 beneficiaries carried out by external contractors and missions carried out as part of the management of projects subsidised by the Agency.</w:t>
      </w:r>
    </w:p>
    <w:p w14:paraId="3E80924E" w14:textId="77777777" w:rsidR="004B0F07" w:rsidRPr="00042844" w:rsidRDefault="004D74D5" w:rsidP="001D6D10">
      <w:pPr>
        <w:pStyle w:val="Text3"/>
        <w:spacing w:after="120"/>
        <w:ind w:left="0"/>
        <w:jc w:val="left"/>
        <w:rPr>
          <w:szCs w:val="24"/>
        </w:rPr>
        <w:sectPr w:rsidR="004B0F07" w:rsidRPr="00042844" w:rsidSect="004B0F07">
          <w:footnotePr>
            <w:pos w:val="beneathText"/>
          </w:footnotePr>
          <w:type w:val="evenPage"/>
          <w:pgSz w:w="11906" w:h="16838"/>
          <w:pgMar w:top="992" w:right="1418" w:bottom="1021" w:left="1418" w:header="601" w:footer="85" w:gutter="0"/>
          <w:cols w:space="720"/>
          <w:docGrid w:linePitch="326"/>
        </w:sectPr>
      </w:pPr>
      <w:r w:rsidRPr="00042844">
        <w:rPr>
          <w:szCs w:val="24"/>
        </w:rPr>
        <w:t>The detailed budget implementation is</w:t>
      </w:r>
      <w:r w:rsidR="004B6229" w:rsidRPr="00042844">
        <w:rPr>
          <w:szCs w:val="24"/>
        </w:rPr>
        <w:t xml:space="preserve"> provided in the table hereafter</w:t>
      </w:r>
      <w:r w:rsidR="003A672D" w:rsidRPr="00042844">
        <w:rPr>
          <w:szCs w:val="24"/>
        </w:rPr>
        <w:t>.</w:t>
      </w:r>
    </w:p>
    <w:p w14:paraId="657989C2" w14:textId="77777777" w:rsidR="00ED677C" w:rsidRDefault="00F10B18" w:rsidP="00A64D26">
      <w:pPr>
        <w:pStyle w:val="Text3"/>
        <w:spacing w:after="0"/>
        <w:ind w:left="0"/>
        <w:jc w:val="left"/>
      </w:pPr>
      <w:r w:rsidRPr="00F10B18">
        <w:rPr>
          <w:noProof/>
          <w:lang w:eastAsia="en-GB"/>
        </w:rPr>
        <w:lastRenderedPageBreak/>
        <w:drawing>
          <wp:inline distT="0" distB="0" distL="0" distR="0" wp14:anchorId="236F7D95" wp14:editId="073178C7">
            <wp:extent cx="9413875" cy="459432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13875" cy="4594329"/>
                    </a:xfrm>
                    <a:prstGeom prst="rect">
                      <a:avLst/>
                    </a:prstGeom>
                    <a:noFill/>
                    <a:ln>
                      <a:noFill/>
                    </a:ln>
                  </pic:spPr>
                </pic:pic>
              </a:graphicData>
            </a:graphic>
          </wp:inline>
        </w:drawing>
      </w:r>
    </w:p>
    <w:p w14:paraId="02A6C600" w14:textId="77777777" w:rsidR="00ED677C" w:rsidRDefault="00ED677C" w:rsidP="00A64D26">
      <w:pPr>
        <w:pStyle w:val="Text3"/>
        <w:ind w:left="0"/>
        <w:rPr>
          <w:noProof/>
          <w:lang w:val="fr-BE" w:eastAsia="fr-BE"/>
        </w:rPr>
      </w:pPr>
    </w:p>
    <w:p w14:paraId="53069E67" w14:textId="77777777" w:rsidR="00F10B18" w:rsidRDefault="00F10B18" w:rsidP="00A64D26">
      <w:pPr>
        <w:pStyle w:val="Text3"/>
        <w:ind w:left="0"/>
      </w:pPr>
      <w:r w:rsidRPr="00F10B18">
        <w:rPr>
          <w:noProof/>
          <w:lang w:eastAsia="en-GB"/>
        </w:rPr>
        <w:lastRenderedPageBreak/>
        <w:drawing>
          <wp:inline distT="0" distB="0" distL="0" distR="0" wp14:anchorId="0FF30DE3" wp14:editId="7A687BA7">
            <wp:extent cx="9413875" cy="3461283"/>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13875" cy="3461283"/>
                    </a:xfrm>
                    <a:prstGeom prst="rect">
                      <a:avLst/>
                    </a:prstGeom>
                    <a:noFill/>
                    <a:ln>
                      <a:noFill/>
                    </a:ln>
                  </pic:spPr>
                </pic:pic>
              </a:graphicData>
            </a:graphic>
          </wp:inline>
        </w:drawing>
      </w:r>
    </w:p>
    <w:p w14:paraId="3FF7BC4C" w14:textId="77777777" w:rsidR="00ED677C" w:rsidRDefault="00ED677C" w:rsidP="00A64D26">
      <w:pPr>
        <w:pStyle w:val="Text3"/>
        <w:ind w:left="0"/>
      </w:pPr>
    </w:p>
    <w:p w14:paraId="1DFF8927" w14:textId="77777777" w:rsidR="00ED677C" w:rsidRDefault="00F10B18" w:rsidP="00A64D26">
      <w:pPr>
        <w:pStyle w:val="Text3"/>
        <w:ind w:left="0"/>
      </w:pPr>
      <w:r w:rsidRPr="00F10B18">
        <w:rPr>
          <w:noProof/>
          <w:lang w:eastAsia="en-GB"/>
        </w:rPr>
        <w:lastRenderedPageBreak/>
        <w:drawing>
          <wp:inline distT="0" distB="0" distL="0" distR="0" wp14:anchorId="155CACBB" wp14:editId="1F5B4D8A">
            <wp:extent cx="9413875" cy="4131963"/>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13875" cy="4131963"/>
                    </a:xfrm>
                    <a:prstGeom prst="rect">
                      <a:avLst/>
                    </a:prstGeom>
                    <a:noFill/>
                    <a:ln>
                      <a:noFill/>
                    </a:ln>
                  </pic:spPr>
                </pic:pic>
              </a:graphicData>
            </a:graphic>
          </wp:inline>
        </w:drawing>
      </w:r>
    </w:p>
    <w:p w14:paraId="6F3D52F7" w14:textId="77777777" w:rsidR="00ED677C" w:rsidRDefault="00ED677C" w:rsidP="00A64D26">
      <w:pPr>
        <w:pStyle w:val="Text3"/>
        <w:ind w:left="0"/>
      </w:pPr>
    </w:p>
    <w:p w14:paraId="1EA4B79B" w14:textId="77777777" w:rsidR="00ED677C" w:rsidRDefault="00ED677C" w:rsidP="00A64D26">
      <w:pPr>
        <w:pStyle w:val="Text3"/>
        <w:ind w:left="0"/>
      </w:pPr>
    </w:p>
    <w:p w14:paraId="3024821D" w14:textId="77777777" w:rsidR="00ED677C" w:rsidRDefault="00ED677C" w:rsidP="00A64D26">
      <w:pPr>
        <w:pStyle w:val="Text3"/>
        <w:ind w:left="0"/>
      </w:pPr>
    </w:p>
    <w:p w14:paraId="03A04CFC" w14:textId="77777777" w:rsidR="00ED677C" w:rsidRDefault="00ED677C" w:rsidP="00A64D26">
      <w:pPr>
        <w:pStyle w:val="Text3"/>
        <w:ind w:left="0"/>
      </w:pPr>
    </w:p>
    <w:p w14:paraId="37B606BC" w14:textId="77777777" w:rsidR="007E0A72" w:rsidRDefault="007E0A72" w:rsidP="00A64D26">
      <w:pPr>
        <w:pStyle w:val="Text3"/>
        <w:ind w:left="0"/>
        <w:sectPr w:rsidR="007E0A72" w:rsidSect="004B0F07">
          <w:footnotePr>
            <w:pos w:val="beneathText"/>
          </w:footnotePr>
          <w:pgSz w:w="16838" w:h="11906" w:orient="landscape"/>
          <w:pgMar w:top="1418" w:right="1021" w:bottom="1418" w:left="992" w:header="601" w:footer="85" w:gutter="0"/>
          <w:cols w:space="720"/>
          <w:docGrid w:linePitch="326"/>
        </w:sectPr>
      </w:pPr>
    </w:p>
    <w:p w14:paraId="5D2D340F" w14:textId="31299BAD" w:rsidR="00A14754" w:rsidRPr="00042844" w:rsidRDefault="00F10B18" w:rsidP="00383DBF">
      <w:pPr>
        <w:pStyle w:val="Heading3"/>
        <w:tabs>
          <w:tab w:val="clear" w:pos="840"/>
        </w:tabs>
        <w:spacing w:after="120"/>
        <w:ind w:left="720" w:hanging="720"/>
        <w:rPr>
          <w:b/>
          <w:szCs w:val="24"/>
        </w:rPr>
      </w:pPr>
      <w:bookmarkStart w:id="106" w:name="_Toc31821714"/>
      <w:r w:rsidRPr="00042844">
        <w:rPr>
          <w:b/>
          <w:szCs w:val="24"/>
        </w:rPr>
        <w:lastRenderedPageBreak/>
        <w:t xml:space="preserve">Implementation of </w:t>
      </w:r>
      <w:r w:rsidR="00A14754" w:rsidRPr="00042844">
        <w:rPr>
          <w:b/>
          <w:szCs w:val="24"/>
        </w:rPr>
        <w:t xml:space="preserve">commitment and payment appropriations </w:t>
      </w:r>
      <w:r w:rsidR="00C45904">
        <w:rPr>
          <w:b/>
          <w:szCs w:val="24"/>
        </w:rPr>
        <w:t xml:space="preserve">carried over from 2018 </w:t>
      </w:r>
      <w:r w:rsidR="00383DBF" w:rsidRPr="00042844">
        <w:rPr>
          <w:b/>
          <w:szCs w:val="24"/>
        </w:rPr>
        <w:t>–</w:t>
      </w:r>
      <w:r w:rsidR="00A14754" w:rsidRPr="00042844">
        <w:rPr>
          <w:b/>
          <w:szCs w:val="24"/>
        </w:rPr>
        <w:t xml:space="preserve"> Fund source C8</w:t>
      </w:r>
      <w:bookmarkEnd w:id="106"/>
    </w:p>
    <w:p w14:paraId="2A331485" w14:textId="77777777" w:rsidR="00AD2BC2" w:rsidRPr="00042844" w:rsidRDefault="00F10B18" w:rsidP="001D6D10">
      <w:pPr>
        <w:pStyle w:val="Text3"/>
        <w:spacing w:after="120"/>
        <w:ind w:left="0"/>
        <w:rPr>
          <w:szCs w:val="24"/>
        </w:rPr>
      </w:pPr>
      <w:r w:rsidRPr="00042844">
        <w:rPr>
          <w:szCs w:val="24"/>
        </w:rPr>
        <w:t>The 2018</w:t>
      </w:r>
      <w:r w:rsidR="001E6DAF" w:rsidRPr="00042844">
        <w:rPr>
          <w:szCs w:val="24"/>
        </w:rPr>
        <w:t xml:space="preserve"> appropriat</w:t>
      </w:r>
      <w:r w:rsidR="00AD2BC2" w:rsidRPr="00042844">
        <w:rPr>
          <w:szCs w:val="24"/>
        </w:rPr>
        <w:t>ions t</w:t>
      </w:r>
      <w:r w:rsidRPr="00042844">
        <w:rPr>
          <w:szCs w:val="24"/>
        </w:rPr>
        <w:t>hat were carried forward to 2019</w:t>
      </w:r>
      <w:r w:rsidR="001E6DAF" w:rsidRPr="00042844">
        <w:rPr>
          <w:szCs w:val="24"/>
        </w:rPr>
        <w:t xml:space="preserve"> (C8 appropriations</w:t>
      </w:r>
      <w:r w:rsidRPr="00042844">
        <w:rPr>
          <w:szCs w:val="24"/>
        </w:rPr>
        <w:t xml:space="preserve"> in 2019</w:t>
      </w:r>
      <w:r w:rsidR="001E6DAF" w:rsidRPr="00042844">
        <w:rPr>
          <w:szCs w:val="24"/>
        </w:rPr>
        <w:t>) amount to</w:t>
      </w:r>
      <w:r w:rsidR="00BD243B" w:rsidRPr="00042844">
        <w:rPr>
          <w:szCs w:val="24"/>
        </w:rPr>
        <w:t xml:space="preserve"> </w:t>
      </w:r>
      <w:r w:rsidR="001E7FBB" w:rsidRPr="00042844">
        <w:rPr>
          <w:szCs w:val="24"/>
        </w:rPr>
        <w:t xml:space="preserve">€ </w:t>
      </w:r>
      <w:r w:rsidR="005321DC" w:rsidRPr="00042844">
        <w:rPr>
          <w:szCs w:val="24"/>
        </w:rPr>
        <w:t>6,</w:t>
      </w:r>
      <w:r w:rsidR="00BD243B" w:rsidRPr="00042844">
        <w:rPr>
          <w:szCs w:val="24"/>
        </w:rPr>
        <w:t>096</w:t>
      </w:r>
      <w:r w:rsidR="005321DC" w:rsidRPr="00042844">
        <w:rPr>
          <w:szCs w:val="24"/>
        </w:rPr>
        <w:t>,188.</w:t>
      </w:r>
      <w:r w:rsidR="00BD243B" w:rsidRPr="00042844">
        <w:rPr>
          <w:szCs w:val="24"/>
        </w:rPr>
        <w:t>86.</w:t>
      </w:r>
      <w:r w:rsidR="001E6DAF" w:rsidRPr="00042844">
        <w:rPr>
          <w:szCs w:val="24"/>
        </w:rPr>
        <w:t xml:space="preserve"> Out of this amount </w:t>
      </w:r>
      <w:r w:rsidR="001E7FBB" w:rsidRPr="00042844">
        <w:rPr>
          <w:szCs w:val="24"/>
        </w:rPr>
        <w:t xml:space="preserve">€ </w:t>
      </w:r>
      <w:r w:rsidR="00BD243B" w:rsidRPr="00042844">
        <w:rPr>
          <w:szCs w:val="24"/>
        </w:rPr>
        <w:t>5,805,929.59</w:t>
      </w:r>
      <w:r w:rsidR="001E7FBB" w:rsidRPr="00042844">
        <w:rPr>
          <w:szCs w:val="24"/>
        </w:rPr>
        <w:t>,</w:t>
      </w:r>
      <w:r w:rsidR="00AD2BC2" w:rsidRPr="00042844">
        <w:rPr>
          <w:szCs w:val="24"/>
        </w:rPr>
        <w:t xml:space="preserve"> equivalent to </w:t>
      </w:r>
      <w:r w:rsidR="00BD243B" w:rsidRPr="00042844">
        <w:rPr>
          <w:szCs w:val="24"/>
        </w:rPr>
        <w:t>95% (</w:t>
      </w:r>
      <w:r w:rsidR="00AD2BC2" w:rsidRPr="00042844">
        <w:rPr>
          <w:szCs w:val="24"/>
        </w:rPr>
        <w:t>93</w:t>
      </w:r>
      <w:r w:rsidR="001E6DAF" w:rsidRPr="00042844">
        <w:rPr>
          <w:szCs w:val="24"/>
        </w:rPr>
        <w:t>%</w:t>
      </w:r>
      <w:r w:rsidR="00BD243B" w:rsidRPr="00042844">
        <w:rPr>
          <w:szCs w:val="24"/>
        </w:rPr>
        <w:t xml:space="preserve"> in 2018)</w:t>
      </w:r>
      <w:r w:rsidR="001E6DAF" w:rsidRPr="00042844">
        <w:rPr>
          <w:szCs w:val="24"/>
        </w:rPr>
        <w:t xml:space="preserve"> of the carried</w:t>
      </w:r>
      <w:r w:rsidR="001E7FBB" w:rsidRPr="00042844">
        <w:rPr>
          <w:szCs w:val="24"/>
        </w:rPr>
        <w:t xml:space="preserve"> over</w:t>
      </w:r>
      <w:r w:rsidR="001E6DAF" w:rsidRPr="00042844">
        <w:rPr>
          <w:szCs w:val="24"/>
        </w:rPr>
        <w:t xml:space="preserve"> appropriations</w:t>
      </w:r>
      <w:r w:rsidR="001E7FBB" w:rsidRPr="00042844">
        <w:rPr>
          <w:szCs w:val="24"/>
        </w:rPr>
        <w:t>,</w:t>
      </w:r>
      <w:r w:rsidR="001E6DAF" w:rsidRPr="00042844">
        <w:rPr>
          <w:szCs w:val="24"/>
        </w:rPr>
        <w:t xml:space="preserve"> are paid and </w:t>
      </w:r>
      <w:r w:rsidR="001E7FBB" w:rsidRPr="00042844">
        <w:rPr>
          <w:szCs w:val="24"/>
        </w:rPr>
        <w:t xml:space="preserve">€ </w:t>
      </w:r>
      <w:r w:rsidR="005321DC" w:rsidRPr="00042844">
        <w:rPr>
          <w:szCs w:val="24"/>
        </w:rPr>
        <w:t>290,259.</w:t>
      </w:r>
      <w:r w:rsidR="00BD243B" w:rsidRPr="00042844">
        <w:rPr>
          <w:szCs w:val="24"/>
        </w:rPr>
        <w:t xml:space="preserve">27 </w:t>
      </w:r>
      <w:r w:rsidR="001E6DAF" w:rsidRPr="00042844">
        <w:rPr>
          <w:szCs w:val="24"/>
        </w:rPr>
        <w:t>are not us</w:t>
      </w:r>
      <w:r w:rsidR="00AD2BC2" w:rsidRPr="00042844">
        <w:rPr>
          <w:szCs w:val="24"/>
        </w:rPr>
        <w:t>ed and consequently cancelled.</w:t>
      </w:r>
    </w:p>
    <w:p w14:paraId="04A6E978" w14:textId="77777777" w:rsidR="005A2601" w:rsidRPr="00042844" w:rsidRDefault="0098321B" w:rsidP="001D6D10">
      <w:pPr>
        <w:pStyle w:val="Text3"/>
        <w:spacing w:after="120"/>
        <w:ind w:left="0"/>
        <w:rPr>
          <w:szCs w:val="24"/>
        </w:rPr>
      </w:pPr>
      <w:r w:rsidRPr="00042844">
        <w:rPr>
          <w:szCs w:val="24"/>
        </w:rPr>
        <w:t xml:space="preserve">The implementation rate of C8 </w:t>
      </w:r>
      <w:r w:rsidR="001E7FBB" w:rsidRPr="00042844">
        <w:rPr>
          <w:szCs w:val="24"/>
        </w:rPr>
        <w:t xml:space="preserve">appropriations </w:t>
      </w:r>
      <w:r w:rsidRPr="00042844">
        <w:rPr>
          <w:szCs w:val="24"/>
        </w:rPr>
        <w:t xml:space="preserve">carried over </w:t>
      </w:r>
      <w:r w:rsidR="00B924FA" w:rsidRPr="00042844">
        <w:rPr>
          <w:szCs w:val="24"/>
        </w:rPr>
        <w:t>has improved</w:t>
      </w:r>
      <w:r w:rsidR="00AD2BC2" w:rsidRPr="00042844">
        <w:rPr>
          <w:szCs w:val="24"/>
        </w:rPr>
        <w:t xml:space="preserve"> </w:t>
      </w:r>
      <w:r w:rsidR="00BD243B" w:rsidRPr="00042844">
        <w:rPr>
          <w:szCs w:val="24"/>
        </w:rPr>
        <w:t xml:space="preserve">with a further 2% in 2019 </w:t>
      </w:r>
      <w:r w:rsidR="00E2108D" w:rsidRPr="00042844">
        <w:rPr>
          <w:szCs w:val="24"/>
        </w:rPr>
        <w:t xml:space="preserve">compared to </w:t>
      </w:r>
      <w:r w:rsidR="00BD243B" w:rsidRPr="00042844">
        <w:rPr>
          <w:szCs w:val="24"/>
        </w:rPr>
        <w:t>2018. The reinforced monitoring put in place since 2017 has helped to reduce the rate of cancel</w:t>
      </w:r>
      <w:r w:rsidR="00934A3D" w:rsidRPr="00042844">
        <w:rPr>
          <w:szCs w:val="24"/>
        </w:rPr>
        <w:t>l</w:t>
      </w:r>
      <w:r w:rsidR="00BD243B" w:rsidRPr="00042844">
        <w:rPr>
          <w:szCs w:val="24"/>
        </w:rPr>
        <w:t>ed appropriations from 22% in 2016 to 5% in 2019.</w:t>
      </w:r>
    </w:p>
    <w:p w14:paraId="12574816" w14:textId="6C48556D" w:rsidR="00815A22" w:rsidRPr="00042844" w:rsidRDefault="00B924FA" w:rsidP="001D6D10">
      <w:pPr>
        <w:pStyle w:val="Text3"/>
        <w:spacing w:after="120"/>
        <w:ind w:left="0"/>
        <w:rPr>
          <w:szCs w:val="24"/>
        </w:rPr>
      </w:pPr>
      <w:r w:rsidRPr="00042844">
        <w:rPr>
          <w:szCs w:val="24"/>
        </w:rPr>
        <w:t xml:space="preserve">On title 1 "Staff expenditure", the unused </w:t>
      </w:r>
      <w:r w:rsidR="00C45904" w:rsidRPr="00042844">
        <w:rPr>
          <w:szCs w:val="24"/>
        </w:rPr>
        <w:t xml:space="preserve">appropriations </w:t>
      </w:r>
      <w:r w:rsidRPr="00042844">
        <w:rPr>
          <w:szCs w:val="24"/>
        </w:rPr>
        <w:t>carrie</w:t>
      </w:r>
      <w:r w:rsidR="009A3F86" w:rsidRPr="00042844">
        <w:rPr>
          <w:szCs w:val="24"/>
        </w:rPr>
        <w:t>d over represent</w:t>
      </w:r>
      <w:r w:rsidRPr="00042844">
        <w:rPr>
          <w:szCs w:val="24"/>
        </w:rPr>
        <w:t xml:space="preserve"> </w:t>
      </w:r>
      <w:r w:rsidR="009A3F86" w:rsidRPr="00042844">
        <w:rPr>
          <w:szCs w:val="24"/>
        </w:rPr>
        <w:t xml:space="preserve">€ </w:t>
      </w:r>
      <w:r w:rsidR="005321DC" w:rsidRPr="00042844">
        <w:rPr>
          <w:szCs w:val="24"/>
        </w:rPr>
        <w:t>34,997.</w:t>
      </w:r>
      <w:r w:rsidR="004F4D9C" w:rsidRPr="00042844">
        <w:rPr>
          <w:szCs w:val="24"/>
        </w:rPr>
        <w:t>49</w:t>
      </w:r>
      <w:r w:rsidR="009A3F86" w:rsidRPr="00042844">
        <w:rPr>
          <w:szCs w:val="24"/>
        </w:rPr>
        <w:t xml:space="preserve"> (</w:t>
      </w:r>
      <w:r w:rsidR="004F4D9C" w:rsidRPr="00042844">
        <w:rPr>
          <w:szCs w:val="24"/>
        </w:rPr>
        <w:t>9</w:t>
      </w:r>
      <w:r w:rsidRPr="00042844">
        <w:rPr>
          <w:szCs w:val="24"/>
        </w:rPr>
        <w:t>%</w:t>
      </w:r>
      <w:r w:rsidR="009A3F86" w:rsidRPr="00042844">
        <w:rPr>
          <w:szCs w:val="24"/>
        </w:rPr>
        <w:t xml:space="preserve"> of the appropriations carried over on this title)</w:t>
      </w:r>
      <w:r w:rsidR="006A5049" w:rsidRPr="00042844">
        <w:rPr>
          <w:szCs w:val="24"/>
        </w:rPr>
        <w:t>. I</w:t>
      </w:r>
      <w:r w:rsidR="005F15B3" w:rsidRPr="00042844">
        <w:rPr>
          <w:szCs w:val="24"/>
        </w:rPr>
        <w:t xml:space="preserve">t stems </w:t>
      </w:r>
      <w:r w:rsidR="006A5049" w:rsidRPr="00042844">
        <w:rPr>
          <w:szCs w:val="24"/>
        </w:rPr>
        <w:t xml:space="preserve">mainly </w:t>
      </w:r>
      <w:r w:rsidR="005F15B3" w:rsidRPr="00042844">
        <w:rPr>
          <w:szCs w:val="24"/>
        </w:rPr>
        <w:t>from</w:t>
      </w:r>
      <w:r w:rsidR="006A5049" w:rsidRPr="00042844">
        <w:rPr>
          <w:szCs w:val="24"/>
        </w:rPr>
        <w:t xml:space="preserve"> an under </w:t>
      </w:r>
      <w:r w:rsidR="00183168" w:rsidRPr="00042844">
        <w:rPr>
          <w:szCs w:val="24"/>
        </w:rPr>
        <w:t>implementation</w:t>
      </w:r>
      <w:r w:rsidR="006A5049" w:rsidRPr="00042844">
        <w:rPr>
          <w:szCs w:val="24"/>
        </w:rPr>
        <w:t xml:space="preserve"> on the</w:t>
      </w:r>
      <w:r w:rsidR="005F15B3" w:rsidRPr="00042844">
        <w:rPr>
          <w:szCs w:val="24"/>
        </w:rPr>
        <w:t xml:space="preserve"> </w:t>
      </w:r>
      <w:r w:rsidR="006A5049" w:rsidRPr="00042844">
        <w:rPr>
          <w:szCs w:val="24"/>
        </w:rPr>
        <w:t>budget lines</w:t>
      </w:r>
      <w:r w:rsidR="005F15B3" w:rsidRPr="00042844">
        <w:rPr>
          <w:szCs w:val="24"/>
        </w:rPr>
        <w:t xml:space="preserve"> 1</w:t>
      </w:r>
      <w:r w:rsidR="00815A22" w:rsidRPr="00042844">
        <w:rPr>
          <w:szCs w:val="24"/>
        </w:rPr>
        <w:t>132</w:t>
      </w:r>
      <w:r w:rsidR="005F15B3" w:rsidRPr="00042844">
        <w:rPr>
          <w:szCs w:val="24"/>
        </w:rPr>
        <w:t>"</w:t>
      </w:r>
      <w:r w:rsidR="00815A22" w:rsidRPr="00042844">
        <w:rPr>
          <w:szCs w:val="24"/>
        </w:rPr>
        <w:t>Interim supportive agents and trainees</w:t>
      </w:r>
      <w:r w:rsidR="005F15B3" w:rsidRPr="00042844">
        <w:rPr>
          <w:szCs w:val="24"/>
        </w:rPr>
        <w:t>"</w:t>
      </w:r>
      <w:r w:rsidR="00815A22" w:rsidRPr="00042844">
        <w:rPr>
          <w:szCs w:val="24"/>
        </w:rPr>
        <w:t xml:space="preserve"> and 1231</w:t>
      </w:r>
      <w:r w:rsidR="005F15B3" w:rsidRPr="00042844">
        <w:rPr>
          <w:szCs w:val="24"/>
        </w:rPr>
        <w:t xml:space="preserve"> "</w:t>
      </w:r>
      <w:r w:rsidR="00815A22" w:rsidRPr="00042844">
        <w:rPr>
          <w:szCs w:val="24"/>
        </w:rPr>
        <w:t>Representation expenses, events and internal</w:t>
      </w:r>
      <w:r w:rsidR="00131E9D" w:rsidRPr="00042844">
        <w:rPr>
          <w:szCs w:val="24"/>
        </w:rPr>
        <w:t xml:space="preserve"> </w:t>
      </w:r>
      <w:r w:rsidR="00815A22" w:rsidRPr="00042844">
        <w:rPr>
          <w:szCs w:val="24"/>
        </w:rPr>
        <w:t>meetings</w:t>
      </w:r>
      <w:r w:rsidR="005F15B3" w:rsidRPr="00042844">
        <w:rPr>
          <w:szCs w:val="24"/>
        </w:rPr>
        <w:t>"</w:t>
      </w:r>
      <w:r w:rsidR="00815A22" w:rsidRPr="00042844">
        <w:rPr>
          <w:szCs w:val="24"/>
        </w:rPr>
        <w:t>.</w:t>
      </w:r>
    </w:p>
    <w:p w14:paraId="39751CE7" w14:textId="79D4E7EC" w:rsidR="00815A22" w:rsidRPr="00042844" w:rsidRDefault="00815A22" w:rsidP="001D6D10">
      <w:pPr>
        <w:pStyle w:val="Text3"/>
        <w:spacing w:after="120"/>
        <w:ind w:left="0"/>
        <w:rPr>
          <w:szCs w:val="24"/>
        </w:rPr>
      </w:pPr>
      <w:r w:rsidRPr="00042844">
        <w:rPr>
          <w:szCs w:val="24"/>
        </w:rPr>
        <w:t xml:space="preserve">As regards line 1132, not all the appropriations carried forward have been used because the days actually worked </w:t>
      </w:r>
      <w:r w:rsidR="00C45904">
        <w:rPr>
          <w:szCs w:val="24"/>
        </w:rPr>
        <w:t xml:space="preserve">by interim support staff </w:t>
      </w:r>
      <w:r w:rsidRPr="00042844">
        <w:rPr>
          <w:szCs w:val="24"/>
        </w:rPr>
        <w:t>and invoiced are less than the number of working days originally ordered.</w:t>
      </w:r>
    </w:p>
    <w:p w14:paraId="5CE2AA80" w14:textId="77777777" w:rsidR="00815A22" w:rsidRPr="00042844" w:rsidRDefault="00815A22" w:rsidP="001D6D10">
      <w:pPr>
        <w:pStyle w:val="Text3"/>
        <w:spacing w:after="120"/>
        <w:ind w:left="0"/>
        <w:rPr>
          <w:szCs w:val="24"/>
        </w:rPr>
      </w:pPr>
      <w:r w:rsidRPr="00042844">
        <w:rPr>
          <w:szCs w:val="24"/>
        </w:rPr>
        <w:t>As regards line 1231, the contract signed end of 2018 has been amended beginning of 2019 to partially reduce the use of additional services not provided for in the supplier's standard service catalogue.</w:t>
      </w:r>
    </w:p>
    <w:p w14:paraId="7EB3CF81" w14:textId="77777777" w:rsidR="00041109" w:rsidRPr="00042844" w:rsidRDefault="00F73C23" w:rsidP="00041109">
      <w:pPr>
        <w:pStyle w:val="Text3"/>
        <w:spacing w:after="120"/>
        <w:ind w:left="0"/>
        <w:rPr>
          <w:szCs w:val="24"/>
        </w:rPr>
      </w:pPr>
      <w:r w:rsidRPr="00042844">
        <w:rPr>
          <w:szCs w:val="24"/>
        </w:rPr>
        <w:t xml:space="preserve">The cancellation of appropriations on the title 2 "Infrastructure and operating expenditure" represents </w:t>
      </w:r>
      <w:r w:rsidR="004F4D9C" w:rsidRPr="00042844">
        <w:rPr>
          <w:szCs w:val="24"/>
        </w:rPr>
        <w:t xml:space="preserve">11% </w:t>
      </w:r>
      <w:r w:rsidRPr="00042844">
        <w:rPr>
          <w:szCs w:val="24"/>
        </w:rPr>
        <w:t>of the total ca</w:t>
      </w:r>
      <w:r w:rsidR="000C0A93" w:rsidRPr="00042844">
        <w:rPr>
          <w:szCs w:val="24"/>
        </w:rPr>
        <w:t xml:space="preserve">rried over amount and equals </w:t>
      </w:r>
      <w:r w:rsidRPr="00042844">
        <w:rPr>
          <w:szCs w:val="24"/>
        </w:rPr>
        <w:t xml:space="preserve">€ </w:t>
      </w:r>
      <w:r w:rsidR="005321DC" w:rsidRPr="00042844">
        <w:rPr>
          <w:szCs w:val="24"/>
        </w:rPr>
        <w:t>125,600.</w:t>
      </w:r>
      <w:r w:rsidRPr="00042844">
        <w:rPr>
          <w:szCs w:val="24"/>
        </w:rPr>
        <w:t xml:space="preserve"> </w:t>
      </w:r>
      <w:r w:rsidR="00041109" w:rsidRPr="00042844">
        <w:rPr>
          <w:szCs w:val="24"/>
        </w:rPr>
        <w:t>In chapter 21 “Building expenditure”, the under-execution is essentially the result of a combination of 2 factors. The actual costs re-invoiced by the building owner for the common expenses are lower than estimated and some security services have been reduced or eliminated compared to the original planning.</w:t>
      </w:r>
    </w:p>
    <w:p w14:paraId="532C945A" w14:textId="787FB8BC" w:rsidR="00041109" w:rsidRPr="00042844" w:rsidRDefault="00041109" w:rsidP="001D6D10">
      <w:pPr>
        <w:pStyle w:val="Text3"/>
        <w:spacing w:after="120"/>
        <w:ind w:left="0"/>
        <w:rPr>
          <w:szCs w:val="24"/>
        </w:rPr>
      </w:pPr>
      <w:r w:rsidRPr="00042844">
        <w:rPr>
          <w:szCs w:val="24"/>
        </w:rPr>
        <w:t>With regard to chapter 22 “ICT expenditure”</w:t>
      </w:r>
      <w:r w:rsidR="00FF4085" w:rsidRPr="00042844">
        <w:rPr>
          <w:szCs w:val="24"/>
        </w:rPr>
        <w:t xml:space="preserve">, </w:t>
      </w:r>
      <w:r w:rsidRPr="00042844">
        <w:rPr>
          <w:szCs w:val="24"/>
        </w:rPr>
        <w:t xml:space="preserve">not all the appropriations carried over were used </w:t>
      </w:r>
      <w:r w:rsidR="00D7432A" w:rsidRPr="00042844">
        <w:rPr>
          <w:szCs w:val="24"/>
        </w:rPr>
        <w:t xml:space="preserve">due to the fact that the maximum </w:t>
      </w:r>
      <w:r w:rsidR="00FF4085" w:rsidRPr="00042844">
        <w:rPr>
          <w:szCs w:val="24"/>
        </w:rPr>
        <w:t xml:space="preserve">amount </w:t>
      </w:r>
      <w:r w:rsidR="00A64D26" w:rsidRPr="00042844">
        <w:rPr>
          <w:szCs w:val="24"/>
        </w:rPr>
        <w:t xml:space="preserve">provided </w:t>
      </w:r>
      <w:r w:rsidR="00015B83" w:rsidRPr="00042844">
        <w:rPr>
          <w:szCs w:val="24"/>
        </w:rPr>
        <w:t>for</w:t>
      </w:r>
      <w:r w:rsidRPr="00042844">
        <w:rPr>
          <w:szCs w:val="24"/>
        </w:rPr>
        <w:t xml:space="preserve"> in the contract for</w:t>
      </w:r>
      <w:r w:rsidR="00D7432A" w:rsidRPr="00042844">
        <w:rPr>
          <w:szCs w:val="24"/>
        </w:rPr>
        <w:t xml:space="preserve"> </w:t>
      </w:r>
      <w:r w:rsidR="00C45904">
        <w:rPr>
          <w:szCs w:val="24"/>
        </w:rPr>
        <w:t xml:space="preserve">moves of </w:t>
      </w:r>
      <w:r w:rsidRPr="00042844">
        <w:rPr>
          <w:szCs w:val="24"/>
        </w:rPr>
        <w:t xml:space="preserve">ICT material </w:t>
      </w:r>
      <w:r w:rsidR="00FF4085" w:rsidRPr="00042844">
        <w:rPr>
          <w:szCs w:val="24"/>
        </w:rPr>
        <w:t xml:space="preserve">has not been used </w:t>
      </w:r>
      <w:r w:rsidRPr="00042844">
        <w:rPr>
          <w:szCs w:val="24"/>
        </w:rPr>
        <w:t>as some moves have not been implemented</w:t>
      </w:r>
      <w:r w:rsidR="00FF4085" w:rsidRPr="00042844">
        <w:rPr>
          <w:szCs w:val="24"/>
        </w:rPr>
        <w:t xml:space="preserve">. </w:t>
      </w:r>
      <w:r w:rsidR="00131E9D" w:rsidRPr="00042844">
        <w:rPr>
          <w:szCs w:val="24"/>
        </w:rPr>
        <w:t xml:space="preserve">Some working days foreseen </w:t>
      </w:r>
      <w:r w:rsidRPr="00042844">
        <w:rPr>
          <w:szCs w:val="24"/>
        </w:rPr>
        <w:t>for certain IT contracts could not be delivered.</w:t>
      </w:r>
    </w:p>
    <w:p w14:paraId="704430B6" w14:textId="77777777" w:rsidR="00FF4085" w:rsidRPr="00042844" w:rsidRDefault="00FF4085" w:rsidP="001D6D10">
      <w:pPr>
        <w:pStyle w:val="Text3"/>
        <w:spacing w:after="120"/>
        <w:ind w:left="0"/>
        <w:rPr>
          <w:szCs w:val="24"/>
        </w:rPr>
      </w:pPr>
      <w:r w:rsidRPr="00042844">
        <w:rPr>
          <w:szCs w:val="24"/>
        </w:rPr>
        <w:t xml:space="preserve">Concerning chapter 23, </w:t>
      </w:r>
      <w:r w:rsidR="00521777" w:rsidRPr="00042844">
        <w:rPr>
          <w:szCs w:val="24"/>
        </w:rPr>
        <w:t xml:space="preserve">the under implementation mainly concerns the legal assistance services. In some cases, </w:t>
      </w:r>
      <w:r w:rsidR="000C0A93" w:rsidRPr="00042844">
        <w:rPr>
          <w:szCs w:val="24"/>
        </w:rPr>
        <w:t xml:space="preserve">the legal procedures take more than two years and are </w:t>
      </w:r>
      <w:r w:rsidR="00521777" w:rsidRPr="00042844">
        <w:rPr>
          <w:szCs w:val="24"/>
        </w:rPr>
        <w:t>still ongoing</w:t>
      </w:r>
      <w:r w:rsidR="00773646" w:rsidRPr="00042844">
        <w:rPr>
          <w:szCs w:val="24"/>
        </w:rPr>
        <w:t xml:space="preserve">, therefore </w:t>
      </w:r>
      <w:r w:rsidR="00E045D6" w:rsidRPr="00042844">
        <w:rPr>
          <w:szCs w:val="24"/>
        </w:rPr>
        <w:t xml:space="preserve">part of the services covered by </w:t>
      </w:r>
      <w:r w:rsidR="00521777" w:rsidRPr="00042844">
        <w:rPr>
          <w:szCs w:val="24"/>
        </w:rPr>
        <w:t xml:space="preserve">the </w:t>
      </w:r>
      <w:r w:rsidR="00E045D6" w:rsidRPr="00042844">
        <w:rPr>
          <w:szCs w:val="24"/>
        </w:rPr>
        <w:t>contracts could not be fully invoiced</w:t>
      </w:r>
      <w:r w:rsidR="00131E9D" w:rsidRPr="00042844">
        <w:rPr>
          <w:szCs w:val="24"/>
        </w:rPr>
        <w:t xml:space="preserve"> by the end of 2019</w:t>
      </w:r>
      <w:r w:rsidR="00773646" w:rsidRPr="00042844">
        <w:rPr>
          <w:szCs w:val="24"/>
        </w:rPr>
        <w:t>.</w:t>
      </w:r>
    </w:p>
    <w:p w14:paraId="030DA52A" w14:textId="77777777" w:rsidR="00041109" w:rsidRPr="00042844" w:rsidRDefault="000F3AC7" w:rsidP="001D6D10">
      <w:pPr>
        <w:pStyle w:val="Text3"/>
        <w:spacing w:after="120"/>
        <w:ind w:left="0"/>
        <w:rPr>
          <w:szCs w:val="24"/>
        </w:rPr>
      </w:pPr>
      <w:r w:rsidRPr="00042844">
        <w:rPr>
          <w:szCs w:val="24"/>
        </w:rPr>
        <w:t>On title 3 "Programme support expenditure", the unused carrie</w:t>
      </w:r>
      <w:r w:rsidR="000C0A93" w:rsidRPr="00042844">
        <w:rPr>
          <w:szCs w:val="24"/>
        </w:rPr>
        <w:t>d over appropriations amount to</w:t>
      </w:r>
      <w:r w:rsidR="00FA786C" w:rsidRPr="00042844">
        <w:rPr>
          <w:szCs w:val="24"/>
        </w:rPr>
        <w:t xml:space="preserve"> </w:t>
      </w:r>
      <w:r w:rsidRPr="00042844">
        <w:rPr>
          <w:szCs w:val="24"/>
        </w:rPr>
        <w:t xml:space="preserve">€ </w:t>
      </w:r>
      <w:r w:rsidR="00041109" w:rsidRPr="00042844">
        <w:rPr>
          <w:szCs w:val="24"/>
        </w:rPr>
        <w:t>129,661.57</w:t>
      </w:r>
      <w:r w:rsidR="000C0A93" w:rsidRPr="00042844">
        <w:rPr>
          <w:szCs w:val="24"/>
        </w:rPr>
        <w:t xml:space="preserve"> </w:t>
      </w:r>
      <w:r w:rsidRPr="00042844">
        <w:rPr>
          <w:szCs w:val="24"/>
        </w:rPr>
        <w:t>(</w:t>
      </w:r>
      <w:r w:rsidR="00041109" w:rsidRPr="00042844">
        <w:rPr>
          <w:szCs w:val="24"/>
        </w:rPr>
        <w:t>2.8</w:t>
      </w:r>
      <w:r w:rsidRPr="00042844">
        <w:rPr>
          <w:szCs w:val="24"/>
        </w:rPr>
        <w:t xml:space="preserve">% of the appropriations carried over on this title). The cancellation of appropriations </w:t>
      </w:r>
      <w:r w:rsidR="00041109" w:rsidRPr="00042844">
        <w:rPr>
          <w:szCs w:val="24"/>
        </w:rPr>
        <w:t>mainly concerns the following budget lines:</w:t>
      </w:r>
    </w:p>
    <w:p w14:paraId="3D85F73A" w14:textId="77777777" w:rsidR="00ED3BC4" w:rsidRPr="00042844" w:rsidRDefault="00ED3BC4" w:rsidP="00DE7CF7">
      <w:pPr>
        <w:pStyle w:val="Text3"/>
        <w:numPr>
          <w:ilvl w:val="0"/>
          <w:numId w:val="27"/>
        </w:numPr>
        <w:spacing w:after="120"/>
        <w:rPr>
          <w:szCs w:val="24"/>
        </w:rPr>
      </w:pPr>
      <w:r w:rsidRPr="00042844">
        <w:rPr>
          <w:szCs w:val="24"/>
        </w:rPr>
        <w:t>31</w:t>
      </w:r>
      <w:r w:rsidR="00C42F28" w:rsidRPr="00042844">
        <w:rPr>
          <w:szCs w:val="24"/>
        </w:rPr>
        <w:t>21 "external audit expenditure"</w:t>
      </w:r>
      <w:r w:rsidRPr="00042844">
        <w:rPr>
          <w:szCs w:val="24"/>
        </w:rPr>
        <w:t>:</w:t>
      </w:r>
      <w:r w:rsidR="00C42F28" w:rsidRPr="00042844">
        <w:rPr>
          <w:szCs w:val="24"/>
        </w:rPr>
        <w:t xml:space="preserve"> € 3</w:t>
      </w:r>
      <w:r w:rsidR="00041109" w:rsidRPr="00042844">
        <w:rPr>
          <w:szCs w:val="24"/>
        </w:rPr>
        <w:t xml:space="preserve">4,558.69 </w:t>
      </w:r>
      <w:r w:rsidR="00C42F28" w:rsidRPr="00042844">
        <w:rPr>
          <w:szCs w:val="24"/>
        </w:rPr>
        <w:t>have not been used due to delays of</w:t>
      </w:r>
      <w:r w:rsidR="000C0A93" w:rsidRPr="00042844">
        <w:rPr>
          <w:szCs w:val="24"/>
        </w:rPr>
        <w:t xml:space="preserve"> the contractor in closing </w:t>
      </w:r>
      <w:r w:rsidR="00C42F28" w:rsidRPr="00042844">
        <w:rPr>
          <w:szCs w:val="24"/>
        </w:rPr>
        <w:t xml:space="preserve">audits and due to a reduction of payments as a result of imposing liquidated damages. </w:t>
      </w:r>
    </w:p>
    <w:p w14:paraId="576A440A" w14:textId="77777777" w:rsidR="00ED3BC4" w:rsidRPr="00042844" w:rsidRDefault="00C42F28" w:rsidP="00DE7CF7">
      <w:pPr>
        <w:pStyle w:val="Text3"/>
        <w:numPr>
          <w:ilvl w:val="0"/>
          <w:numId w:val="27"/>
        </w:numPr>
        <w:spacing w:after="120"/>
        <w:rPr>
          <w:szCs w:val="24"/>
        </w:rPr>
      </w:pPr>
      <w:r w:rsidRPr="00042844">
        <w:rPr>
          <w:szCs w:val="24"/>
        </w:rPr>
        <w:t>3122 “Missions and Other expenses related to the Administrative Management of Programmes</w:t>
      </w:r>
      <w:r w:rsidR="00ED3BC4" w:rsidRPr="00042844">
        <w:rPr>
          <w:szCs w:val="24"/>
        </w:rPr>
        <w:t xml:space="preserve">”: </w:t>
      </w:r>
      <w:r w:rsidR="000C0A93" w:rsidRPr="00042844">
        <w:rPr>
          <w:szCs w:val="24"/>
        </w:rPr>
        <w:t xml:space="preserve">€ </w:t>
      </w:r>
      <w:r w:rsidR="00041109" w:rsidRPr="00042844">
        <w:rPr>
          <w:szCs w:val="24"/>
        </w:rPr>
        <w:t>40,757.63</w:t>
      </w:r>
      <w:r w:rsidR="000C0A93" w:rsidRPr="00042844">
        <w:rPr>
          <w:szCs w:val="24"/>
        </w:rPr>
        <w:t xml:space="preserve"> </w:t>
      </w:r>
      <w:r w:rsidR="00761EC6" w:rsidRPr="00042844">
        <w:rPr>
          <w:szCs w:val="24"/>
        </w:rPr>
        <w:t xml:space="preserve">were not used because </w:t>
      </w:r>
      <w:r w:rsidRPr="00042844">
        <w:rPr>
          <w:szCs w:val="24"/>
        </w:rPr>
        <w:t xml:space="preserve">part of the services included in some contracts for legal assistance could not be invoiced </w:t>
      </w:r>
      <w:r w:rsidR="00761EC6" w:rsidRPr="00042844">
        <w:rPr>
          <w:szCs w:val="24"/>
        </w:rPr>
        <w:t xml:space="preserve">as </w:t>
      </w:r>
      <w:r w:rsidRPr="00042844">
        <w:rPr>
          <w:szCs w:val="24"/>
        </w:rPr>
        <w:t xml:space="preserve">the </w:t>
      </w:r>
      <w:r w:rsidR="00C373D5" w:rsidRPr="00042844">
        <w:rPr>
          <w:szCs w:val="24"/>
        </w:rPr>
        <w:t xml:space="preserve">procedure is not yet finalised and </w:t>
      </w:r>
      <w:r w:rsidR="00761EC6" w:rsidRPr="00042844">
        <w:rPr>
          <w:szCs w:val="24"/>
        </w:rPr>
        <w:t xml:space="preserve">because </w:t>
      </w:r>
      <w:r w:rsidR="00C373D5" w:rsidRPr="00042844">
        <w:rPr>
          <w:szCs w:val="24"/>
        </w:rPr>
        <w:t xml:space="preserve">the actual cost incurred for some missions is lower than </w:t>
      </w:r>
      <w:r w:rsidR="0073607B" w:rsidRPr="00042844">
        <w:rPr>
          <w:szCs w:val="24"/>
        </w:rPr>
        <w:t>estimate</w:t>
      </w:r>
      <w:r w:rsidR="00C373D5" w:rsidRPr="00042844">
        <w:rPr>
          <w:szCs w:val="24"/>
        </w:rPr>
        <w:t>d.</w:t>
      </w:r>
    </w:p>
    <w:p w14:paraId="22C1078E" w14:textId="546549FE" w:rsidR="00ED3BC4" w:rsidRPr="00042844" w:rsidRDefault="00ED3BC4" w:rsidP="00DE7CF7">
      <w:pPr>
        <w:pStyle w:val="Text3"/>
        <w:numPr>
          <w:ilvl w:val="0"/>
          <w:numId w:val="27"/>
        </w:numPr>
        <w:spacing w:after="120"/>
        <w:rPr>
          <w:szCs w:val="24"/>
        </w:rPr>
      </w:pPr>
      <w:r w:rsidRPr="00042844">
        <w:rPr>
          <w:szCs w:val="24"/>
        </w:rPr>
        <w:t>3211 “Building Rent/Usufruct, building charges and associated expenses”: the €</w:t>
      </w:r>
      <w:r w:rsidR="00C45904">
        <w:rPr>
          <w:szCs w:val="24"/>
        </w:rPr>
        <w:t> </w:t>
      </w:r>
      <w:r w:rsidRPr="00042844">
        <w:rPr>
          <w:szCs w:val="24"/>
        </w:rPr>
        <w:t>37,347.67 left are du</w:t>
      </w:r>
      <w:r w:rsidR="00131E9D" w:rsidRPr="00042844">
        <w:rPr>
          <w:szCs w:val="24"/>
        </w:rPr>
        <w:t>e</w:t>
      </w:r>
      <w:r w:rsidR="000C0A93" w:rsidRPr="00042844">
        <w:rPr>
          <w:szCs w:val="24"/>
        </w:rPr>
        <w:t xml:space="preserve"> </w:t>
      </w:r>
      <w:r w:rsidRPr="00042844">
        <w:rPr>
          <w:szCs w:val="24"/>
        </w:rPr>
        <w:t>to an invoice</w:t>
      </w:r>
      <w:r w:rsidR="00AA2DA7" w:rsidRPr="00042844">
        <w:rPr>
          <w:szCs w:val="24"/>
        </w:rPr>
        <w:t xml:space="preserve"> </w:t>
      </w:r>
      <w:r w:rsidR="000C0A93" w:rsidRPr="00042844">
        <w:rPr>
          <w:szCs w:val="24"/>
        </w:rPr>
        <w:t xml:space="preserve">lower </w:t>
      </w:r>
      <w:r w:rsidR="00AA2DA7" w:rsidRPr="00042844">
        <w:rPr>
          <w:szCs w:val="24"/>
        </w:rPr>
        <w:t xml:space="preserve">than forecasted </w:t>
      </w:r>
      <w:r w:rsidR="00131E9D" w:rsidRPr="00042844">
        <w:rPr>
          <w:szCs w:val="24"/>
        </w:rPr>
        <w:t>for water, gas</w:t>
      </w:r>
      <w:r w:rsidR="00AF565D" w:rsidRPr="00042844">
        <w:rPr>
          <w:szCs w:val="24"/>
        </w:rPr>
        <w:t xml:space="preserve"> and electricity.</w:t>
      </w:r>
    </w:p>
    <w:p w14:paraId="624B96D8" w14:textId="77777777" w:rsidR="001C7B0F" w:rsidRPr="00042844" w:rsidRDefault="001C7B0F" w:rsidP="00ED3BC4">
      <w:pPr>
        <w:pStyle w:val="Text3"/>
        <w:spacing w:after="120"/>
        <w:ind w:left="0"/>
        <w:jc w:val="left"/>
        <w:rPr>
          <w:szCs w:val="24"/>
        </w:rPr>
      </w:pPr>
      <w:r w:rsidRPr="00042844">
        <w:rPr>
          <w:szCs w:val="24"/>
        </w:rPr>
        <w:lastRenderedPageBreak/>
        <w:t>The detailed budget implementation is provided in the table hereafter.</w:t>
      </w:r>
    </w:p>
    <w:p w14:paraId="64598755" w14:textId="77777777" w:rsidR="002A02CA" w:rsidRDefault="00A43503" w:rsidP="00A64D26">
      <w:pPr>
        <w:pStyle w:val="Text3"/>
        <w:spacing w:after="0"/>
        <w:ind w:left="0"/>
        <w:jc w:val="left"/>
        <w:sectPr w:rsidR="002A02CA" w:rsidSect="00BD702A">
          <w:footnotePr>
            <w:pos w:val="beneathText"/>
          </w:footnotePr>
          <w:type w:val="evenPage"/>
          <w:pgSz w:w="11906" w:h="16838"/>
          <w:pgMar w:top="992" w:right="1418" w:bottom="1021" w:left="1418" w:header="601" w:footer="85" w:gutter="0"/>
          <w:cols w:space="720"/>
          <w:docGrid w:linePitch="326"/>
        </w:sectPr>
      </w:pPr>
      <w:r w:rsidRPr="00A43503">
        <w:rPr>
          <w:noProof/>
          <w:lang w:eastAsia="en-GB"/>
        </w:rPr>
        <w:drawing>
          <wp:inline distT="0" distB="0" distL="0" distR="0" wp14:anchorId="0CBA652D" wp14:editId="5FC2BA01">
            <wp:extent cx="6368400" cy="750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68400" cy="7506000"/>
                    </a:xfrm>
                    <a:prstGeom prst="rect">
                      <a:avLst/>
                    </a:prstGeom>
                    <a:noFill/>
                    <a:ln>
                      <a:noFill/>
                    </a:ln>
                  </pic:spPr>
                </pic:pic>
              </a:graphicData>
            </a:graphic>
          </wp:inline>
        </w:drawing>
      </w:r>
    </w:p>
    <w:p w14:paraId="59A9A46A" w14:textId="77777777" w:rsidR="00BC1B23" w:rsidRPr="00042844" w:rsidRDefault="00BC1B23" w:rsidP="001D6D10">
      <w:pPr>
        <w:pStyle w:val="Heading2"/>
        <w:tabs>
          <w:tab w:val="num" w:pos="540"/>
        </w:tabs>
        <w:spacing w:after="120"/>
        <w:ind w:left="540" w:hanging="540"/>
        <w:rPr>
          <w:szCs w:val="24"/>
        </w:rPr>
      </w:pPr>
      <w:bookmarkStart w:id="107" w:name="_Toc381266001"/>
      <w:bookmarkStart w:id="108" w:name="_Toc31821715"/>
      <w:r w:rsidRPr="00042844">
        <w:rPr>
          <w:szCs w:val="24"/>
        </w:rPr>
        <w:lastRenderedPageBreak/>
        <w:t>REA staffing</w:t>
      </w:r>
      <w:bookmarkEnd w:id="107"/>
      <w:bookmarkEnd w:id="108"/>
    </w:p>
    <w:p w14:paraId="5C155CDC" w14:textId="77777777" w:rsidR="00BC1B23" w:rsidRPr="00042844" w:rsidRDefault="00C652B2" w:rsidP="00A64D26">
      <w:pPr>
        <w:tabs>
          <w:tab w:val="left" w:pos="1440"/>
        </w:tabs>
        <w:suppressAutoHyphens/>
        <w:spacing w:after="120"/>
        <w:jc w:val="both"/>
        <w:rPr>
          <w:bCs/>
        </w:rPr>
      </w:pPr>
      <w:r w:rsidRPr="00042844">
        <w:rPr>
          <w:bCs/>
        </w:rPr>
        <w:t xml:space="preserve">The number of occupied posts increased from 736 at the end of 2018 to 753 at the end of 2019 (+2%) </w:t>
      </w:r>
      <w:r w:rsidR="00ED3BC4" w:rsidRPr="00042844">
        <w:rPr>
          <w:bCs/>
        </w:rPr>
        <w:t xml:space="preserve">corresponding to </w:t>
      </w:r>
      <w:r w:rsidRPr="00042844">
        <w:rPr>
          <w:bCs/>
        </w:rPr>
        <w:t>7</w:t>
      </w:r>
      <w:r w:rsidR="00ED3BC4" w:rsidRPr="00042844">
        <w:rPr>
          <w:bCs/>
        </w:rPr>
        <w:t xml:space="preserve"> additio</w:t>
      </w:r>
      <w:r w:rsidR="00DA5DB5" w:rsidRPr="00042844">
        <w:rPr>
          <w:bCs/>
        </w:rPr>
        <w:t xml:space="preserve">nal </w:t>
      </w:r>
      <w:r w:rsidRPr="00042844">
        <w:rPr>
          <w:bCs/>
        </w:rPr>
        <w:t xml:space="preserve">temporary agents </w:t>
      </w:r>
      <w:r w:rsidR="00ED3BC4" w:rsidRPr="00042844">
        <w:rPr>
          <w:bCs/>
        </w:rPr>
        <w:t xml:space="preserve">(including seconded officials) </w:t>
      </w:r>
      <w:r w:rsidRPr="00042844">
        <w:rPr>
          <w:bCs/>
        </w:rPr>
        <w:t>and 10 contractual agents</w:t>
      </w:r>
      <w:r w:rsidR="00BC1B23" w:rsidRPr="00042844">
        <w:rPr>
          <w:bCs/>
        </w:rPr>
        <w:t>.</w:t>
      </w:r>
    </w:p>
    <w:p w14:paraId="3A984268" w14:textId="77777777" w:rsidR="00CC509F" w:rsidRPr="00042844" w:rsidRDefault="00CC509F" w:rsidP="00A64D26">
      <w:pPr>
        <w:tabs>
          <w:tab w:val="left" w:pos="1440"/>
        </w:tabs>
        <w:suppressAutoHyphens/>
        <w:spacing w:after="120"/>
        <w:jc w:val="both"/>
        <w:rPr>
          <w:bCs/>
        </w:rPr>
      </w:pPr>
      <w:r w:rsidRPr="00042844">
        <w:rPr>
          <w:bCs/>
        </w:rPr>
        <w:t>The average occupancy rate of the staff plan increased from 93% in 2018 to 96% in 2019.</w:t>
      </w:r>
    </w:p>
    <w:p w14:paraId="7E386B7D" w14:textId="77777777" w:rsidR="00847717" w:rsidRDefault="00847717" w:rsidP="00A64D26">
      <w:pPr>
        <w:tabs>
          <w:tab w:val="left" w:pos="1440"/>
        </w:tabs>
        <w:suppressAutoHyphens/>
        <w:spacing w:after="120"/>
        <w:jc w:val="both"/>
        <w:rPr>
          <w:bCs/>
          <w:sz w:val="22"/>
          <w:szCs w:val="22"/>
        </w:rPr>
      </w:pPr>
    </w:p>
    <w:p w14:paraId="5580A733" w14:textId="77777777" w:rsidR="007012D7" w:rsidRDefault="00847717" w:rsidP="001D6D10">
      <w:pPr>
        <w:tabs>
          <w:tab w:val="left" w:pos="1440"/>
        </w:tabs>
        <w:suppressAutoHyphens/>
        <w:jc w:val="both"/>
        <w:rPr>
          <w:bCs/>
          <w:sz w:val="22"/>
          <w:szCs w:val="22"/>
        </w:rPr>
      </w:pPr>
      <w:r w:rsidRPr="00847717">
        <w:rPr>
          <w:noProof/>
        </w:rPr>
        <w:drawing>
          <wp:inline distT="0" distB="0" distL="0" distR="0" wp14:anchorId="4C372FF1" wp14:editId="7C370D3C">
            <wp:extent cx="4953600" cy="580680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53600" cy="5806800"/>
                    </a:xfrm>
                    <a:prstGeom prst="rect">
                      <a:avLst/>
                    </a:prstGeom>
                    <a:noFill/>
                    <a:ln>
                      <a:noFill/>
                    </a:ln>
                  </pic:spPr>
                </pic:pic>
              </a:graphicData>
            </a:graphic>
          </wp:inline>
        </w:drawing>
      </w:r>
    </w:p>
    <w:p w14:paraId="439B350E" w14:textId="77777777" w:rsidR="007012D7" w:rsidRPr="00246320" w:rsidRDefault="007012D7" w:rsidP="00A64D26">
      <w:pPr>
        <w:tabs>
          <w:tab w:val="left" w:pos="1440"/>
        </w:tabs>
        <w:suppressAutoHyphens/>
        <w:spacing w:after="120"/>
        <w:jc w:val="both"/>
        <w:rPr>
          <w:bCs/>
          <w:sz w:val="22"/>
          <w:szCs w:val="22"/>
        </w:rPr>
      </w:pPr>
    </w:p>
    <w:p w14:paraId="344F38A5" w14:textId="77777777" w:rsidR="00BF556C" w:rsidRDefault="00BF556C">
      <w:pPr>
        <w:rPr>
          <w:b/>
          <w:lang w:eastAsia="en-US"/>
        </w:rPr>
      </w:pPr>
      <w:r>
        <w:br w:type="page"/>
      </w:r>
    </w:p>
    <w:p w14:paraId="5E3CF49F" w14:textId="77777777" w:rsidR="00BC1B23" w:rsidRDefault="00BC1B23" w:rsidP="009C4D27">
      <w:pPr>
        <w:pStyle w:val="Heading2"/>
        <w:tabs>
          <w:tab w:val="num" w:pos="540"/>
        </w:tabs>
        <w:spacing w:before="240" w:after="120"/>
        <w:ind w:left="540" w:hanging="540"/>
        <w:rPr>
          <w:szCs w:val="24"/>
        </w:rPr>
      </w:pPr>
      <w:bookmarkStart w:id="109" w:name="_Toc31821716"/>
      <w:r w:rsidRPr="007B7775">
        <w:rPr>
          <w:szCs w:val="24"/>
        </w:rPr>
        <w:lastRenderedPageBreak/>
        <w:t>Glossary and Abbreviations</w:t>
      </w:r>
      <w:bookmarkEnd w:id="109"/>
    </w:p>
    <w:tbl>
      <w:tblPr>
        <w:tblW w:w="0" w:type="auto"/>
        <w:tblLayout w:type="fixed"/>
        <w:tblCellMar>
          <w:left w:w="10" w:type="dxa"/>
          <w:right w:w="10" w:type="dxa"/>
        </w:tblCellMar>
        <w:tblLook w:val="0000" w:firstRow="0" w:lastRow="0" w:firstColumn="0" w:lastColumn="0" w:noHBand="0" w:noVBand="0"/>
      </w:tblPr>
      <w:tblGrid>
        <w:gridCol w:w="1949"/>
        <w:gridCol w:w="7027"/>
      </w:tblGrid>
      <w:tr w:rsidR="00BC1B23" w14:paraId="00970E70" w14:textId="77777777" w:rsidTr="009C4D27">
        <w:trPr>
          <w:trHeight w:hRule="exact" w:val="293"/>
          <w:tblHeader/>
        </w:trPr>
        <w:tc>
          <w:tcPr>
            <w:tcW w:w="1949" w:type="dxa"/>
            <w:tcBorders>
              <w:top w:val="single" w:sz="4" w:space="0" w:color="auto"/>
              <w:left w:val="single" w:sz="4" w:space="0" w:color="auto"/>
            </w:tcBorders>
            <w:shd w:val="clear" w:color="auto" w:fill="D9D9D9" w:themeFill="background1" w:themeFillShade="D9"/>
            <w:vAlign w:val="bottom"/>
          </w:tcPr>
          <w:p w14:paraId="63815A11" w14:textId="77777777" w:rsidR="00BC1B23" w:rsidRPr="009C4D27" w:rsidRDefault="00BC1B23" w:rsidP="00A64D26">
            <w:pPr>
              <w:pStyle w:val="Bodytext21"/>
              <w:shd w:val="clear" w:color="auto" w:fill="auto"/>
              <w:spacing w:before="0" w:line="240" w:lineRule="auto"/>
              <w:jc w:val="center"/>
            </w:pPr>
            <w:r w:rsidRPr="009C4D27">
              <w:rPr>
                <w:rStyle w:val="Bodytext212pt"/>
              </w:rPr>
              <w:t>Term</w:t>
            </w:r>
          </w:p>
        </w:tc>
        <w:tc>
          <w:tcPr>
            <w:tcW w:w="7027" w:type="dxa"/>
            <w:tcBorders>
              <w:top w:val="single" w:sz="4" w:space="0" w:color="auto"/>
              <w:left w:val="single" w:sz="4" w:space="0" w:color="auto"/>
              <w:right w:val="single" w:sz="4" w:space="0" w:color="auto"/>
            </w:tcBorders>
            <w:shd w:val="clear" w:color="auto" w:fill="D9D9D9" w:themeFill="background1" w:themeFillShade="D9"/>
            <w:tcMar>
              <w:left w:w="57" w:type="dxa"/>
              <w:right w:w="57" w:type="dxa"/>
            </w:tcMar>
            <w:vAlign w:val="bottom"/>
          </w:tcPr>
          <w:p w14:paraId="74692400" w14:textId="77777777" w:rsidR="00BC1B23" w:rsidRDefault="00BC1B23" w:rsidP="00A64D26">
            <w:pPr>
              <w:pStyle w:val="Bodytext21"/>
              <w:shd w:val="clear" w:color="auto" w:fill="auto"/>
              <w:spacing w:before="0" w:line="240" w:lineRule="auto"/>
              <w:jc w:val="center"/>
            </w:pPr>
            <w:r w:rsidRPr="009C4D27">
              <w:rPr>
                <w:rStyle w:val="Bodytext212pt"/>
              </w:rPr>
              <w:t>Definition</w:t>
            </w:r>
          </w:p>
        </w:tc>
      </w:tr>
      <w:tr w:rsidR="00BC1B23" w14:paraId="565E003F" w14:textId="77777777" w:rsidTr="004E0630">
        <w:trPr>
          <w:trHeight w:hRule="exact" w:val="1852"/>
        </w:trPr>
        <w:tc>
          <w:tcPr>
            <w:tcW w:w="1949" w:type="dxa"/>
            <w:tcBorders>
              <w:top w:val="single" w:sz="4" w:space="0" w:color="auto"/>
              <w:left w:val="single" w:sz="4" w:space="0" w:color="auto"/>
            </w:tcBorders>
            <w:shd w:val="clear" w:color="auto" w:fill="FFFFFF"/>
          </w:tcPr>
          <w:p w14:paraId="3E118AAC"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ABAC</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4201B3DD" w14:textId="77777777" w:rsidR="00BC1B23" w:rsidRPr="0021561D" w:rsidRDefault="00BC1B23" w:rsidP="00A64D26">
            <w:pPr>
              <w:pStyle w:val="Bodytext21"/>
              <w:shd w:val="clear" w:color="auto" w:fill="auto"/>
              <w:spacing w:before="0" w:line="240" w:lineRule="auto"/>
            </w:pPr>
            <w:r w:rsidRPr="0021561D">
              <w:rPr>
                <w:rStyle w:val="Bodytext212ptNotBold"/>
                <w:sz w:val="22"/>
                <w:szCs w:val="22"/>
              </w:rPr>
              <w:t>N</w:t>
            </w:r>
            <w:r w:rsidRPr="0021561D">
              <w:rPr>
                <w:rStyle w:val="Bodytext212ptNotBold"/>
                <w:bCs/>
                <w:sz w:val="22"/>
                <w:szCs w:val="22"/>
              </w:rPr>
              <w:t>ame given to the Commission’s accounting system which</w:t>
            </w:r>
            <w:r w:rsidR="00B7657F">
              <w:rPr>
                <w:rStyle w:val="Bodytext212ptNotBold"/>
                <w:bCs/>
                <w:sz w:val="22"/>
                <w:szCs w:val="22"/>
              </w:rPr>
              <w:t>,</w:t>
            </w:r>
            <w:r w:rsidRPr="0021561D">
              <w:rPr>
                <w:rStyle w:val="Bodytext212ptNotBold"/>
                <w:bCs/>
                <w:sz w:val="22"/>
                <w:szCs w:val="22"/>
              </w:rPr>
              <w:t xml:space="preserve"> since 2005</w:t>
            </w:r>
            <w:r w:rsidR="00B7657F">
              <w:rPr>
                <w:rStyle w:val="Bodytext212ptNotBold"/>
                <w:bCs/>
                <w:sz w:val="22"/>
                <w:szCs w:val="22"/>
              </w:rPr>
              <w:t>,</w:t>
            </w:r>
            <w:r w:rsidRPr="0021561D">
              <w:rPr>
                <w:rStyle w:val="Bodytext212ptNotBold"/>
                <w:bCs/>
                <w:sz w:val="22"/>
                <w:szCs w:val="22"/>
              </w:rPr>
              <w:t xml:space="preserve"> has been enriched by accrual accounting rules. Apart from </w:t>
            </w:r>
            <w:r w:rsidRPr="0021561D">
              <w:rPr>
                <w:rStyle w:val="Bodytext212ptNotBold"/>
                <w:bCs/>
                <w:sz w:val="22"/>
                <w:szCs w:val="22"/>
                <w:lang w:val="en-GB" w:eastAsia="nl-NL" w:bidi="nl-NL"/>
              </w:rPr>
              <w:t xml:space="preserve">the </w:t>
            </w:r>
            <w:r w:rsidRPr="0021561D">
              <w:rPr>
                <w:rStyle w:val="Bodytext212ptNotBold"/>
                <w:bCs/>
                <w:sz w:val="22"/>
                <w:szCs w:val="22"/>
              </w:rPr>
              <w:t>cash-based budget</w:t>
            </w:r>
            <w:r w:rsidR="00B7657F">
              <w:rPr>
                <w:rStyle w:val="Bodytext212ptNotBold"/>
                <w:bCs/>
                <w:sz w:val="22"/>
                <w:szCs w:val="22"/>
              </w:rPr>
              <w:t>ary</w:t>
            </w:r>
            <w:r w:rsidRPr="0021561D">
              <w:rPr>
                <w:rStyle w:val="Bodytext212ptNotBold"/>
                <w:bCs/>
                <w:sz w:val="22"/>
                <w:szCs w:val="22"/>
              </w:rPr>
              <w:t xml:space="preserve"> accounts, </w:t>
            </w:r>
            <w:r w:rsidRPr="0021561D">
              <w:rPr>
                <w:rStyle w:val="Bodytext212ptNotBold"/>
                <w:bCs/>
                <w:sz w:val="22"/>
                <w:szCs w:val="22"/>
                <w:lang w:val="en-GB" w:eastAsia="nl-NL" w:bidi="nl-NL"/>
              </w:rPr>
              <w:t xml:space="preserve">the </w:t>
            </w:r>
            <w:r w:rsidRPr="0021561D">
              <w:rPr>
                <w:rStyle w:val="Bodytext212ptNotBold"/>
                <w:bCs/>
                <w:sz w:val="22"/>
                <w:szCs w:val="22"/>
              </w:rPr>
              <w:t xml:space="preserve">Commission produces accrual- based accounts which recognise revenue when earned, rather than when collected. Expenses are recognised when incurred rather than when paid. This contrasts with cash basis budgetary accounting that recognises transactions and other </w:t>
            </w:r>
            <w:r w:rsidRPr="0021561D">
              <w:rPr>
                <w:rStyle w:val="Bodytext212ptNotBold"/>
                <w:bCs/>
                <w:sz w:val="22"/>
                <w:szCs w:val="22"/>
                <w:lang w:val="en-GB" w:eastAsia="da-DK" w:bidi="da-DK"/>
              </w:rPr>
              <w:t xml:space="preserve">events </w:t>
            </w:r>
            <w:r w:rsidRPr="0021561D">
              <w:rPr>
                <w:rStyle w:val="Bodytext212ptNotBold"/>
                <w:bCs/>
                <w:sz w:val="22"/>
                <w:szCs w:val="22"/>
              </w:rPr>
              <w:t>only when cash is received or paid.</w:t>
            </w:r>
          </w:p>
        </w:tc>
      </w:tr>
      <w:tr w:rsidR="00BC1B23" w14:paraId="6E2CEA44" w14:textId="77777777" w:rsidTr="00B06383">
        <w:trPr>
          <w:trHeight w:hRule="exact" w:val="835"/>
        </w:trPr>
        <w:tc>
          <w:tcPr>
            <w:tcW w:w="1949" w:type="dxa"/>
            <w:tcBorders>
              <w:top w:val="single" w:sz="4" w:space="0" w:color="auto"/>
              <w:left w:val="single" w:sz="4" w:space="0" w:color="auto"/>
            </w:tcBorders>
            <w:shd w:val="clear" w:color="auto" w:fill="FFFFFF"/>
          </w:tcPr>
          <w:p w14:paraId="6F3C5E5B"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Accounting</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vAlign w:val="bottom"/>
          </w:tcPr>
          <w:p w14:paraId="79FCB15B"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 xml:space="preserve">The act of recording and reporting financial </w:t>
            </w:r>
            <w:r w:rsidRPr="0021561D">
              <w:rPr>
                <w:rStyle w:val="Bodytext212ptNotBold"/>
                <w:bCs/>
                <w:sz w:val="22"/>
                <w:szCs w:val="22"/>
                <w:lang w:val="en-GB" w:eastAsia="da-DK" w:bidi="da-DK"/>
              </w:rPr>
              <w:t xml:space="preserve">transactions, </w:t>
            </w:r>
            <w:r w:rsidRPr="0021561D">
              <w:rPr>
                <w:rStyle w:val="Bodytext212ptNotBold"/>
                <w:bCs/>
                <w:sz w:val="22"/>
                <w:szCs w:val="22"/>
              </w:rPr>
              <w:t xml:space="preserve">including </w:t>
            </w:r>
            <w:r w:rsidRPr="0021561D">
              <w:rPr>
                <w:rStyle w:val="Bodytext212ptNotBold"/>
                <w:bCs/>
                <w:sz w:val="22"/>
                <w:szCs w:val="22"/>
                <w:lang w:val="en-GB" w:eastAsia="nl-NL" w:bidi="nl-NL"/>
              </w:rPr>
              <w:t xml:space="preserve">the </w:t>
            </w:r>
            <w:r w:rsidRPr="0021561D">
              <w:rPr>
                <w:rStyle w:val="Bodytext212ptNotBold"/>
                <w:bCs/>
                <w:sz w:val="22"/>
                <w:szCs w:val="22"/>
              </w:rPr>
              <w:t>creation of the transaction, its recognition, processing, and summarisation in the financial statements.</w:t>
            </w:r>
          </w:p>
        </w:tc>
      </w:tr>
      <w:tr w:rsidR="00BC1B23" w14:paraId="2A6B7E73" w14:textId="77777777" w:rsidTr="00B06383">
        <w:trPr>
          <w:trHeight w:hRule="exact" w:val="566"/>
        </w:trPr>
        <w:tc>
          <w:tcPr>
            <w:tcW w:w="1949" w:type="dxa"/>
            <w:tcBorders>
              <w:top w:val="single" w:sz="4" w:space="0" w:color="auto"/>
              <w:left w:val="single" w:sz="4" w:space="0" w:color="auto"/>
            </w:tcBorders>
            <w:shd w:val="clear" w:color="auto" w:fill="FFFFFF"/>
            <w:vAlign w:val="bottom"/>
          </w:tcPr>
          <w:p w14:paraId="4C24166F"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Administrative</w:t>
            </w:r>
            <w:r w:rsidRPr="0021561D">
              <w:t xml:space="preserve"> </w:t>
            </w: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vAlign w:val="bottom"/>
          </w:tcPr>
          <w:p w14:paraId="1F7D712D"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Administrative appropriations cover the running costs of the Institutions and entities (staff, buildings, office equipment).</w:t>
            </w:r>
          </w:p>
        </w:tc>
      </w:tr>
      <w:tr w:rsidR="00BC1B23" w14:paraId="00C6FCB6" w14:textId="77777777" w:rsidTr="00B06383">
        <w:trPr>
          <w:trHeight w:hRule="exact" w:val="283"/>
        </w:trPr>
        <w:tc>
          <w:tcPr>
            <w:tcW w:w="1949" w:type="dxa"/>
            <w:tcBorders>
              <w:top w:val="single" w:sz="4" w:space="0" w:color="auto"/>
              <w:left w:val="single" w:sz="4" w:space="0" w:color="auto"/>
            </w:tcBorders>
            <w:shd w:val="clear" w:color="auto" w:fill="FFFFFF"/>
            <w:vAlign w:val="bottom"/>
          </w:tcPr>
          <w:p w14:paraId="78DED6F8"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Adjustment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vAlign w:val="bottom"/>
          </w:tcPr>
          <w:p w14:paraId="17E9D617"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Amending budget or transfer of funds from one budget item to another</w:t>
            </w:r>
          </w:p>
        </w:tc>
      </w:tr>
      <w:tr w:rsidR="00BC1B23" w14:paraId="3FD3DD21" w14:textId="77777777" w:rsidTr="00F44E0F">
        <w:trPr>
          <w:trHeight w:hRule="exact" w:val="1010"/>
        </w:trPr>
        <w:tc>
          <w:tcPr>
            <w:tcW w:w="1949" w:type="dxa"/>
            <w:tcBorders>
              <w:top w:val="single" w:sz="4" w:space="0" w:color="auto"/>
              <w:left w:val="single" w:sz="4" w:space="0" w:color="auto"/>
            </w:tcBorders>
            <w:shd w:val="clear" w:color="auto" w:fill="FFFFFF"/>
          </w:tcPr>
          <w:p w14:paraId="6CD9891D"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Adopted budget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706E03D0" w14:textId="77777777" w:rsidR="00BC1B23" w:rsidRPr="0021561D" w:rsidRDefault="00B7657F" w:rsidP="00A64D26">
            <w:pPr>
              <w:pStyle w:val="Bodytext21"/>
              <w:shd w:val="clear" w:color="auto" w:fill="auto"/>
              <w:spacing w:before="0" w:line="240" w:lineRule="auto"/>
            </w:pPr>
            <w:r>
              <w:rPr>
                <w:rStyle w:val="Bodytext212ptNotBold"/>
                <w:bCs/>
                <w:sz w:val="22"/>
                <w:szCs w:val="22"/>
              </w:rPr>
              <w:t>T</w:t>
            </w:r>
            <w:r w:rsidR="00BC1B23" w:rsidRPr="0021561D">
              <w:rPr>
                <w:rStyle w:val="Bodytext212ptNotBold"/>
                <w:bCs/>
                <w:sz w:val="22"/>
                <w:szCs w:val="22"/>
                <w:lang w:val="en-GB" w:eastAsia="nl-NL" w:bidi="nl-NL"/>
              </w:rPr>
              <w:t xml:space="preserve">he </w:t>
            </w:r>
            <w:r w:rsidR="00BC1B23" w:rsidRPr="0021561D">
              <w:rPr>
                <w:rStyle w:val="Bodytext212ptNotBold"/>
                <w:bCs/>
                <w:sz w:val="22"/>
                <w:szCs w:val="22"/>
              </w:rPr>
              <w:t xml:space="preserve">adopted budget approved by the </w:t>
            </w:r>
            <w:r>
              <w:rPr>
                <w:rStyle w:val="Bodytext212ptNotBold"/>
                <w:bCs/>
                <w:sz w:val="22"/>
                <w:szCs w:val="22"/>
              </w:rPr>
              <w:t xml:space="preserve">REA Steering Committee (in line with the budget on the budget line in the general EU budget covering the subsidy to the Agency, as approved by the </w:t>
            </w:r>
            <w:r w:rsidR="00BC1B23" w:rsidRPr="0021561D">
              <w:rPr>
                <w:rStyle w:val="Bodytext212ptNotBold"/>
                <w:bCs/>
                <w:sz w:val="22"/>
                <w:szCs w:val="22"/>
              </w:rPr>
              <w:t>Budgetary Authority</w:t>
            </w:r>
            <w:r>
              <w:rPr>
                <w:rStyle w:val="Bodytext212ptNotBold"/>
                <w:bCs/>
                <w:sz w:val="22"/>
                <w:szCs w:val="22"/>
              </w:rPr>
              <w:t>)</w:t>
            </w:r>
            <w:r w:rsidR="00BC1B23" w:rsidRPr="0021561D">
              <w:rPr>
                <w:rStyle w:val="Bodytext212ptNotBold"/>
                <w:bCs/>
                <w:sz w:val="22"/>
                <w:szCs w:val="22"/>
              </w:rPr>
              <w:t>.</w:t>
            </w:r>
          </w:p>
          <w:p w14:paraId="479525B1"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Cf. Budget.</w:t>
            </w:r>
          </w:p>
        </w:tc>
      </w:tr>
      <w:tr w:rsidR="00BC1B23" w14:paraId="311291BF" w14:textId="77777777" w:rsidTr="00B06383">
        <w:trPr>
          <w:trHeight w:hRule="exact" w:val="835"/>
        </w:trPr>
        <w:tc>
          <w:tcPr>
            <w:tcW w:w="1949" w:type="dxa"/>
            <w:tcBorders>
              <w:top w:val="single" w:sz="4" w:space="0" w:color="auto"/>
              <w:left w:val="single" w:sz="4" w:space="0" w:color="auto"/>
            </w:tcBorders>
            <w:shd w:val="clear" w:color="auto" w:fill="FFFFFF"/>
          </w:tcPr>
          <w:p w14:paraId="3DD70F0F"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Agencies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vAlign w:val="bottom"/>
          </w:tcPr>
          <w:p w14:paraId="7E6984A4"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 xml:space="preserve">EU </w:t>
            </w:r>
            <w:r w:rsidRPr="0021561D">
              <w:rPr>
                <w:rStyle w:val="Bodytext212ptNotBold"/>
                <w:bCs/>
                <w:sz w:val="22"/>
                <w:szCs w:val="22"/>
                <w:lang w:val="en-GB" w:eastAsia="da-DK" w:bidi="da-DK"/>
              </w:rPr>
              <w:t xml:space="preserve">bodies </w:t>
            </w:r>
            <w:r w:rsidRPr="0021561D">
              <w:rPr>
                <w:rStyle w:val="Bodytext212ptNotBold"/>
                <w:bCs/>
                <w:sz w:val="22"/>
                <w:szCs w:val="22"/>
              </w:rPr>
              <w:t xml:space="preserve">having a distinct </w:t>
            </w:r>
            <w:r w:rsidRPr="0021561D">
              <w:rPr>
                <w:rStyle w:val="Bodytext212ptNotBold"/>
                <w:bCs/>
                <w:sz w:val="22"/>
                <w:szCs w:val="22"/>
                <w:lang w:val="en-GB" w:eastAsia="da-DK" w:bidi="da-DK"/>
              </w:rPr>
              <w:t xml:space="preserve">legal </w:t>
            </w:r>
            <w:r w:rsidRPr="0021561D">
              <w:rPr>
                <w:rStyle w:val="Bodytext212ptNotBold"/>
                <w:bCs/>
                <w:sz w:val="22"/>
                <w:szCs w:val="22"/>
              </w:rPr>
              <w:t>personality, and to whom budget implementing powers may be delegated under strict conditions. They are subject to a distinct discharge from the discharge authority.</w:t>
            </w:r>
          </w:p>
        </w:tc>
      </w:tr>
      <w:tr w:rsidR="00BC1B23" w14:paraId="461BCD79" w14:textId="77777777" w:rsidTr="00B06383">
        <w:trPr>
          <w:trHeight w:hRule="exact" w:val="562"/>
        </w:trPr>
        <w:tc>
          <w:tcPr>
            <w:tcW w:w="1949" w:type="dxa"/>
            <w:tcBorders>
              <w:top w:val="single" w:sz="4" w:space="0" w:color="auto"/>
              <w:left w:val="single" w:sz="4" w:space="0" w:color="auto"/>
            </w:tcBorders>
            <w:shd w:val="clear" w:color="auto" w:fill="FFFFFF"/>
          </w:tcPr>
          <w:p w14:paraId="306E2421" w14:textId="77777777" w:rsidR="00BC1B23" w:rsidRPr="0021561D" w:rsidRDefault="00BC1B23" w:rsidP="00A64D26">
            <w:pPr>
              <w:pStyle w:val="Bodytext21"/>
              <w:shd w:val="clear" w:color="auto" w:fill="auto"/>
              <w:spacing w:before="0" w:line="240" w:lineRule="auto"/>
            </w:pPr>
            <w:r w:rsidRPr="0021561D">
              <w:rPr>
                <w:rStyle w:val="Bodytext212ptNotBold"/>
                <w:bCs/>
                <w:sz w:val="22"/>
                <w:szCs w:val="22"/>
              </w:rPr>
              <w:t>Amending budget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vAlign w:val="bottom"/>
          </w:tcPr>
          <w:p w14:paraId="0C6CD45E"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Decision adopted during the budget year to amend (increase, decrease, transfer) aspects of the adopted budget of that year.</w:t>
            </w:r>
          </w:p>
        </w:tc>
      </w:tr>
      <w:tr w:rsidR="00BC1B23" w14:paraId="61A49F51" w14:textId="77777777" w:rsidTr="00B06383">
        <w:trPr>
          <w:trHeight w:hRule="exact" w:val="840"/>
        </w:trPr>
        <w:tc>
          <w:tcPr>
            <w:tcW w:w="1949" w:type="dxa"/>
            <w:tcBorders>
              <w:top w:val="single" w:sz="4" w:space="0" w:color="auto"/>
              <w:left w:val="single" w:sz="4" w:space="0" w:color="auto"/>
            </w:tcBorders>
            <w:shd w:val="clear" w:color="auto" w:fill="FFFFFF"/>
          </w:tcPr>
          <w:p w14:paraId="33A6850E"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Annuality</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vAlign w:val="bottom"/>
          </w:tcPr>
          <w:p w14:paraId="164B4BB8"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The budgetary principle according to which expenditure and revenue is programmed and authorised for one year, starting on 1 January and ending on 31 December.</w:t>
            </w:r>
          </w:p>
        </w:tc>
      </w:tr>
      <w:tr w:rsidR="00BC1B23" w14:paraId="79929C8F" w14:textId="77777777" w:rsidTr="00F44E0F">
        <w:trPr>
          <w:trHeight w:hRule="exact" w:val="2446"/>
        </w:trPr>
        <w:tc>
          <w:tcPr>
            <w:tcW w:w="1949" w:type="dxa"/>
            <w:tcBorders>
              <w:top w:val="single" w:sz="4" w:space="0" w:color="auto"/>
              <w:left w:val="single" w:sz="4" w:space="0" w:color="auto"/>
            </w:tcBorders>
            <w:shd w:val="clear" w:color="auto" w:fill="FFFFFF"/>
          </w:tcPr>
          <w:p w14:paraId="0380DF97" w14:textId="77777777" w:rsidR="00BC1B23" w:rsidRPr="0021561D" w:rsidRDefault="00BC1B23" w:rsidP="00A64D26">
            <w:pPr>
              <w:pStyle w:val="Bodytext21"/>
              <w:shd w:val="clear" w:color="auto" w:fill="auto"/>
              <w:spacing w:before="0" w:line="240" w:lineRule="auto"/>
              <w:jc w:val="both"/>
            </w:pP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020E4C52" w14:textId="77777777" w:rsidR="00BC1B23" w:rsidRPr="0021561D" w:rsidRDefault="00BC1B23" w:rsidP="00F44E0F">
            <w:pPr>
              <w:pStyle w:val="Bodytext21"/>
              <w:shd w:val="clear" w:color="auto" w:fill="auto"/>
              <w:spacing w:before="0" w:line="240" w:lineRule="auto"/>
            </w:pPr>
            <w:r w:rsidRPr="0021561D">
              <w:rPr>
                <w:rStyle w:val="Bodytext212ptNotBold"/>
                <w:bCs/>
                <w:sz w:val="22"/>
                <w:szCs w:val="22"/>
              </w:rPr>
              <w:t xml:space="preserve">The budget forecasts both commitments </w:t>
            </w:r>
            <w:r w:rsidRPr="0021561D">
              <w:rPr>
                <w:rStyle w:val="Bodytext212ptNotBold"/>
                <w:bCs/>
                <w:sz w:val="22"/>
                <w:szCs w:val="22"/>
                <w:lang w:val="en-GB" w:eastAsia="da-DK" w:bidi="da-DK"/>
              </w:rPr>
              <w:t xml:space="preserve">(legal </w:t>
            </w:r>
            <w:r w:rsidRPr="0021561D">
              <w:rPr>
                <w:rStyle w:val="Bodytext212ptNotBold"/>
                <w:bCs/>
                <w:sz w:val="22"/>
                <w:szCs w:val="22"/>
              </w:rPr>
              <w:t xml:space="preserve">pledges to provide finance, provided that certain conditions are fulfilled) and payments (cash or </w:t>
            </w:r>
            <w:r w:rsidRPr="0021561D">
              <w:rPr>
                <w:rStyle w:val="Bodytext212ptNotBold"/>
                <w:bCs/>
                <w:sz w:val="22"/>
                <w:szCs w:val="22"/>
                <w:lang w:val="cs-CZ" w:eastAsia="cs-CZ" w:bidi="cs-CZ"/>
              </w:rPr>
              <w:t xml:space="preserve">bank </w:t>
            </w:r>
            <w:r w:rsidRPr="0021561D">
              <w:rPr>
                <w:rStyle w:val="Bodytext212ptNotBold"/>
                <w:bCs/>
                <w:sz w:val="22"/>
                <w:szCs w:val="22"/>
              </w:rPr>
              <w:t xml:space="preserve">transfers to </w:t>
            </w:r>
            <w:r w:rsidRPr="0021561D">
              <w:rPr>
                <w:rStyle w:val="Bodytext212ptNotBold"/>
                <w:bCs/>
                <w:sz w:val="22"/>
                <w:szCs w:val="22"/>
                <w:lang w:val="en-GB" w:eastAsia="nl-NL" w:bidi="nl-NL"/>
              </w:rPr>
              <w:t xml:space="preserve">the </w:t>
            </w:r>
            <w:r w:rsidRPr="0021561D">
              <w:rPr>
                <w:rStyle w:val="Bodytext212ptNotBold"/>
                <w:bCs/>
                <w:sz w:val="22"/>
                <w:szCs w:val="22"/>
              </w:rPr>
              <w:t>beneficiaries). Appropriations for commitments and payments often differ</w:t>
            </w:r>
            <w:r w:rsidR="00F44E0F">
              <w:rPr>
                <w:rStyle w:val="Bodytext212ptNotBold"/>
                <w:bCs/>
                <w:sz w:val="22"/>
                <w:szCs w:val="22"/>
              </w:rPr>
              <w:t xml:space="preserve"> – </w:t>
            </w:r>
            <w:r w:rsidRPr="0021561D">
              <w:rPr>
                <w:rStyle w:val="Bodytext212ptNotBold"/>
                <w:bCs/>
                <w:sz w:val="22"/>
                <w:szCs w:val="22"/>
              </w:rPr>
              <w:t>differentiated appropriations</w:t>
            </w:r>
            <w:r w:rsidR="00F44E0F">
              <w:rPr>
                <w:rStyle w:val="Bodytext212ptNotBold"/>
                <w:bCs/>
                <w:sz w:val="22"/>
                <w:szCs w:val="22"/>
              </w:rPr>
              <w:t xml:space="preserve"> – </w:t>
            </w:r>
            <w:r w:rsidRPr="0021561D">
              <w:rPr>
                <w:rStyle w:val="Bodytext212ptNotBold"/>
                <w:bCs/>
                <w:sz w:val="22"/>
                <w:szCs w:val="22"/>
              </w:rPr>
              <w:t xml:space="preserve">because multiannual programmes and projects are usually fully committed in the year they are decided and are paid over </w:t>
            </w:r>
            <w:r w:rsidRPr="0021561D">
              <w:rPr>
                <w:rStyle w:val="Bodytext212ptNotBold"/>
                <w:bCs/>
                <w:sz w:val="22"/>
                <w:szCs w:val="22"/>
                <w:lang w:val="en-GB" w:eastAsia="nl-NL" w:bidi="nl-NL"/>
              </w:rPr>
              <w:t xml:space="preserve">the </w:t>
            </w:r>
            <w:r w:rsidRPr="0021561D">
              <w:rPr>
                <w:rStyle w:val="Bodytext212ptNotBold"/>
                <w:bCs/>
                <w:sz w:val="22"/>
                <w:szCs w:val="22"/>
              </w:rPr>
              <w:t xml:space="preserve">years as </w:t>
            </w:r>
            <w:r w:rsidRPr="0021561D">
              <w:rPr>
                <w:rStyle w:val="Bodytext212ptNotBold"/>
                <w:bCs/>
                <w:sz w:val="22"/>
                <w:szCs w:val="22"/>
                <w:lang w:val="en-GB" w:eastAsia="nl-NL" w:bidi="nl-NL"/>
              </w:rPr>
              <w:t xml:space="preserve">the </w:t>
            </w:r>
            <w:r w:rsidRPr="0021561D">
              <w:rPr>
                <w:rStyle w:val="Bodytext212ptNotBold"/>
                <w:bCs/>
                <w:sz w:val="22"/>
                <w:szCs w:val="22"/>
              </w:rPr>
              <w:t xml:space="preserve">implementation of </w:t>
            </w:r>
            <w:r w:rsidRPr="0021561D">
              <w:rPr>
                <w:rStyle w:val="Bodytext212ptNotBold"/>
                <w:bCs/>
                <w:sz w:val="22"/>
                <w:szCs w:val="22"/>
                <w:lang w:val="en-GB" w:eastAsia="nl-NL" w:bidi="nl-NL"/>
              </w:rPr>
              <w:t xml:space="preserve">the </w:t>
            </w:r>
            <w:r w:rsidRPr="0021561D">
              <w:rPr>
                <w:rStyle w:val="Bodytext212ptNotBold"/>
                <w:bCs/>
                <w:sz w:val="22"/>
                <w:szCs w:val="22"/>
              </w:rPr>
              <w:t xml:space="preserve">programme and </w:t>
            </w:r>
            <w:r w:rsidRPr="0021561D">
              <w:rPr>
                <w:rStyle w:val="Bodytext212ptNotBold"/>
                <w:bCs/>
                <w:sz w:val="22"/>
                <w:szCs w:val="22"/>
                <w:lang w:val="en-GB" w:eastAsia="da-DK" w:bidi="da-DK"/>
              </w:rPr>
              <w:t xml:space="preserve">project </w:t>
            </w:r>
            <w:r w:rsidRPr="0021561D">
              <w:rPr>
                <w:rStyle w:val="Bodytext212ptNotBold"/>
                <w:bCs/>
                <w:sz w:val="22"/>
                <w:szCs w:val="22"/>
              </w:rPr>
              <w:t xml:space="preserve">progresses. Non-differentiated appropriations apply to administrative expenditure, for agricultural market support and direct payments </w:t>
            </w:r>
            <w:r w:rsidR="00B7657F">
              <w:rPr>
                <w:rStyle w:val="Bodytext212ptNotBold"/>
                <w:bCs/>
                <w:sz w:val="22"/>
                <w:szCs w:val="22"/>
              </w:rPr>
              <w:t xml:space="preserve">for which </w:t>
            </w:r>
            <w:r w:rsidRPr="0021561D">
              <w:rPr>
                <w:rStyle w:val="Bodytext212ptNotBold"/>
                <w:bCs/>
                <w:sz w:val="22"/>
                <w:szCs w:val="22"/>
              </w:rPr>
              <w:t>commitment appropriations equal payment appropriations.</w:t>
            </w:r>
          </w:p>
        </w:tc>
      </w:tr>
      <w:tr w:rsidR="00BC1B23" w14:paraId="6C3DC74A" w14:textId="77777777" w:rsidTr="00F44E0F">
        <w:trPr>
          <w:trHeight w:hRule="exact" w:val="2410"/>
        </w:trPr>
        <w:tc>
          <w:tcPr>
            <w:tcW w:w="1949" w:type="dxa"/>
            <w:tcBorders>
              <w:top w:val="single" w:sz="4" w:space="0" w:color="auto"/>
              <w:left w:val="single" w:sz="4" w:space="0" w:color="auto"/>
              <w:bottom w:val="single" w:sz="4" w:space="0" w:color="auto"/>
            </w:tcBorders>
            <w:shd w:val="clear" w:color="auto" w:fill="FFFFFF"/>
          </w:tcPr>
          <w:p w14:paraId="088D11B1" w14:textId="77777777" w:rsidR="00BC1B23" w:rsidRPr="0021561D" w:rsidRDefault="00BC1B23" w:rsidP="00A64D26">
            <w:pPr>
              <w:pStyle w:val="Bodytext21"/>
              <w:shd w:val="clear" w:color="auto" w:fill="auto"/>
              <w:spacing w:before="0" w:line="240" w:lineRule="auto"/>
              <w:jc w:val="both"/>
              <w:rPr>
                <w:b w:val="0"/>
              </w:rPr>
            </w:pPr>
            <w:r w:rsidRPr="0021561D">
              <w:rPr>
                <w:rStyle w:val="Bodytext212ptNotBold"/>
                <w:bCs/>
                <w:sz w:val="22"/>
                <w:szCs w:val="22"/>
              </w:rPr>
              <w:t>Assigned revenue External/Internal</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6EC6189" w14:textId="77777777" w:rsidR="00BC1B23" w:rsidRPr="0021561D" w:rsidRDefault="00BC1B23" w:rsidP="00A64D26">
            <w:pPr>
              <w:pStyle w:val="Bodytext21"/>
              <w:shd w:val="clear" w:color="auto" w:fill="auto"/>
              <w:spacing w:before="0" w:line="240" w:lineRule="auto"/>
              <w:rPr>
                <w:b w:val="0"/>
              </w:rPr>
            </w:pPr>
            <w:r w:rsidRPr="0021561D">
              <w:rPr>
                <w:rStyle w:val="Bodytext212ptNotBold"/>
                <w:bCs/>
                <w:sz w:val="22"/>
                <w:szCs w:val="22"/>
              </w:rPr>
              <w:t xml:space="preserve">Dedicated revenue received to </w:t>
            </w:r>
            <w:r w:rsidRPr="0021561D">
              <w:rPr>
                <w:rStyle w:val="Bodytext212ptNotBold"/>
                <w:bCs/>
                <w:sz w:val="22"/>
                <w:szCs w:val="22"/>
                <w:lang w:val="cs-CZ" w:eastAsia="cs-CZ" w:bidi="cs-CZ"/>
              </w:rPr>
              <w:t xml:space="preserve">finance </w:t>
            </w:r>
            <w:r w:rsidRPr="0021561D">
              <w:rPr>
                <w:rStyle w:val="Bodytext212ptNotBold"/>
                <w:bCs/>
                <w:sz w:val="22"/>
                <w:szCs w:val="22"/>
              </w:rPr>
              <w:t xml:space="preserve">specific items of expenditure. Main sources of external assigned revenue are </w:t>
            </w:r>
            <w:r w:rsidRPr="0021561D">
              <w:rPr>
                <w:rStyle w:val="Bodytext212ptNotBoldItalic"/>
                <w:bCs/>
                <w:sz w:val="22"/>
                <w:szCs w:val="22"/>
              </w:rPr>
              <w:t>financial contributions from third countries to programmes financed by the Union.</w:t>
            </w:r>
          </w:p>
          <w:p w14:paraId="55667B04" w14:textId="77777777" w:rsidR="00BC1B23" w:rsidRPr="0021561D" w:rsidRDefault="00BC1B23" w:rsidP="00A64D26">
            <w:pPr>
              <w:pStyle w:val="Bodytext21"/>
              <w:shd w:val="clear" w:color="auto" w:fill="auto"/>
              <w:spacing w:before="0" w:line="240" w:lineRule="auto"/>
              <w:rPr>
                <w:b w:val="0"/>
              </w:rPr>
            </w:pPr>
            <w:r w:rsidRPr="0021561D">
              <w:rPr>
                <w:rStyle w:val="Bodytext212ptNotBoldItalic"/>
                <w:bCs/>
                <w:sz w:val="22"/>
                <w:szCs w:val="22"/>
              </w:rPr>
              <w:t>Main sources of internal assigned revenue is revenue from third parties in respect of goods, services or work supplied at their request</w:t>
            </w:r>
            <w:r w:rsidR="00B7657F">
              <w:rPr>
                <w:rStyle w:val="Bodytext212ptNotBoldItalic"/>
                <w:bCs/>
                <w:sz w:val="22"/>
                <w:szCs w:val="22"/>
              </w:rPr>
              <w:t xml:space="preserve"> or</w:t>
            </w:r>
            <w:r w:rsidRPr="0021561D">
              <w:rPr>
                <w:rStyle w:val="Bodytext212ptNotBoldItalic"/>
                <w:bCs/>
                <w:sz w:val="22"/>
                <w:szCs w:val="22"/>
              </w:rPr>
              <w:t xml:space="preserve"> revenue arising from the repayment of amounts wrongly paid and revenue from the sale </w:t>
            </w:r>
            <w:r w:rsidR="003E381D" w:rsidRPr="0021561D">
              <w:rPr>
                <w:rStyle w:val="Bodytext212ptNotBoldItalic"/>
                <w:bCs/>
                <w:sz w:val="22"/>
                <w:szCs w:val="22"/>
              </w:rPr>
              <w:t>of publications</w:t>
            </w:r>
            <w:r w:rsidRPr="0021561D">
              <w:rPr>
                <w:rStyle w:val="Bodytext212ptNotBoldItalic"/>
                <w:bCs/>
                <w:sz w:val="22"/>
                <w:szCs w:val="22"/>
              </w:rPr>
              <w:t xml:space="preserve"> and films, including those on an electronic medium.</w:t>
            </w:r>
          </w:p>
          <w:p w14:paraId="578A35C6" w14:textId="67F51F13" w:rsidR="00BC1B23" w:rsidRPr="0021561D" w:rsidRDefault="00BC1B23" w:rsidP="00042844">
            <w:pPr>
              <w:pStyle w:val="Bodytext21"/>
              <w:shd w:val="clear" w:color="auto" w:fill="auto"/>
              <w:spacing w:before="0" w:line="240" w:lineRule="auto"/>
              <w:rPr>
                <w:b w:val="0"/>
              </w:rPr>
            </w:pPr>
            <w:r w:rsidRPr="0021561D">
              <w:rPr>
                <w:rStyle w:val="Bodytext212ptNotBold"/>
                <w:bCs/>
                <w:sz w:val="22"/>
                <w:szCs w:val="22"/>
              </w:rPr>
              <w:t xml:space="preserve">The </w:t>
            </w:r>
            <w:r w:rsidRPr="0021561D">
              <w:rPr>
                <w:rStyle w:val="Bodytext212ptNotBold"/>
                <w:bCs/>
                <w:sz w:val="22"/>
                <w:szCs w:val="22"/>
                <w:lang w:val="en-GB" w:eastAsia="nl-NL" w:bidi="nl-NL"/>
              </w:rPr>
              <w:t xml:space="preserve">complete </w:t>
            </w:r>
            <w:r w:rsidRPr="0021561D">
              <w:rPr>
                <w:rStyle w:val="Bodytext212ptNotBold"/>
                <w:bCs/>
                <w:sz w:val="22"/>
                <w:szCs w:val="22"/>
                <w:lang w:val="hr-HR" w:eastAsia="hr-HR" w:bidi="hr-HR"/>
              </w:rPr>
              <w:t xml:space="preserve">list </w:t>
            </w:r>
            <w:r w:rsidRPr="0021561D">
              <w:rPr>
                <w:rStyle w:val="Bodytext212ptNotBold"/>
                <w:bCs/>
                <w:sz w:val="22"/>
                <w:szCs w:val="22"/>
              </w:rPr>
              <w:t xml:space="preserve">of items constituting assigned revenue is given in </w:t>
            </w:r>
            <w:r w:rsidR="00042844" w:rsidRPr="0021561D">
              <w:rPr>
                <w:rStyle w:val="Bodytext212ptNotBold"/>
                <w:bCs/>
                <w:sz w:val="22"/>
                <w:szCs w:val="22"/>
              </w:rPr>
              <w:t>Art</w:t>
            </w:r>
            <w:r w:rsidR="00042844">
              <w:rPr>
                <w:rStyle w:val="Bodytext212ptNotBold"/>
                <w:bCs/>
                <w:sz w:val="22"/>
                <w:szCs w:val="22"/>
              </w:rPr>
              <w:t>icle</w:t>
            </w:r>
            <w:r w:rsidR="00042844" w:rsidRPr="0021561D">
              <w:rPr>
                <w:rStyle w:val="Bodytext212ptNotBold"/>
                <w:bCs/>
                <w:sz w:val="22"/>
                <w:szCs w:val="22"/>
              </w:rPr>
              <w:t xml:space="preserve"> 21(2)</w:t>
            </w:r>
            <w:r w:rsidR="00042844">
              <w:rPr>
                <w:rStyle w:val="Bodytext212ptNotBold"/>
                <w:bCs/>
                <w:sz w:val="22"/>
                <w:szCs w:val="22"/>
              </w:rPr>
              <w:t xml:space="preserve"> of </w:t>
            </w:r>
            <w:r w:rsidRPr="0021561D">
              <w:rPr>
                <w:rStyle w:val="Bodytext212ptNotBold"/>
                <w:bCs/>
                <w:sz w:val="22"/>
                <w:szCs w:val="22"/>
              </w:rPr>
              <w:t>the Financial Regulation.</w:t>
            </w:r>
          </w:p>
        </w:tc>
      </w:tr>
      <w:tr w:rsidR="00B06383" w14:paraId="5E2416BC" w14:textId="77777777" w:rsidTr="00F44E0F">
        <w:trPr>
          <w:trHeight w:hRule="exact" w:val="1127"/>
        </w:trPr>
        <w:tc>
          <w:tcPr>
            <w:tcW w:w="1949" w:type="dxa"/>
            <w:tcBorders>
              <w:top w:val="single" w:sz="4" w:space="0" w:color="auto"/>
              <w:left w:val="single" w:sz="4" w:space="0" w:color="auto"/>
            </w:tcBorders>
            <w:shd w:val="clear" w:color="auto" w:fill="FFFFFF"/>
          </w:tcPr>
          <w:p w14:paraId="19136456" w14:textId="77777777" w:rsidR="00B06383" w:rsidRPr="0021561D" w:rsidRDefault="00B06383" w:rsidP="00A64D26">
            <w:pPr>
              <w:pStyle w:val="Bodytext21"/>
              <w:shd w:val="clear" w:color="auto" w:fill="auto"/>
              <w:spacing w:before="0" w:line="240" w:lineRule="auto"/>
              <w:rPr>
                <w:b w:val="0"/>
              </w:rPr>
            </w:pPr>
            <w:r w:rsidRPr="0021561D">
              <w:rPr>
                <w:rStyle w:val="Bodytext212ptNotBold"/>
                <w:sz w:val="22"/>
                <w:szCs w:val="22"/>
                <w:lang w:val="sv-SE" w:eastAsia="sv-SE" w:bidi="sv-SE"/>
              </w:rPr>
              <w:t xml:space="preserve">Authorizing </w:t>
            </w:r>
            <w:r w:rsidRPr="0021561D">
              <w:rPr>
                <w:rStyle w:val="Bodytext212ptNotBold"/>
                <w:bCs/>
                <w:sz w:val="22"/>
                <w:szCs w:val="22"/>
                <w:lang w:val="sv-SE" w:eastAsia="sv-SE" w:bidi="sv-SE"/>
              </w:rPr>
              <w:t xml:space="preserve">Officer </w:t>
            </w:r>
            <w:r w:rsidRPr="0021561D">
              <w:rPr>
                <w:rStyle w:val="Bodytext212ptNotBold"/>
                <w:bCs/>
                <w:sz w:val="22"/>
                <w:szCs w:val="22"/>
                <w:lang w:val="fi-FI" w:eastAsia="fi-FI" w:bidi="fi-FI"/>
              </w:rPr>
              <w:t>(AO)</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17FCF3DD"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The AO is responsible in each institution for authorising revenue and</w:t>
            </w:r>
            <w:r w:rsidRPr="0021561D">
              <w:rPr>
                <w:rStyle w:val="Bodytext212ptNotBold"/>
                <w:sz w:val="22"/>
                <w:szCs w:val="22"/>
              </w:rPr>
              <w:t xml:space="preserve"> </w:t>
            </w:r>
            <w:r w:rsidRPr="0021561D">
              <w:rPr>
                <w:rStyle w:val="Bodytext212ptNotBold"/>
                <w:bCs/>
                <w:sz w:val="22"/>
                <w:szCs w:val="22"/>
              </w:rPr>
              <w:t xml:space="preserve">expenditure operations in accordance with </w:t>
            </w:r>
            <w:r w:rsidRPr="0021561D">
              <w:rPr>
                <w:rStyle w:val="Bodytext212ptNotBold"/>
                <w:bCs/>
                <w:sz w:val="22"/>
                <w:szCs w:val="22"/>
                <w:lang w:val="en-GB" w:eastAsia="nl-NL" w:bidi="nl-NL"/>
              </w:rPr>
              <w:t xml:space="preserve">the </w:t>
            </w:r>
            <w:r w:rsidRPr="0021561D">
              <w:rPr>
                <w:rStyle w:val="Bodytext212ptNotBold"/>
                <w:bCs/>
                <w:sz w:val="22"/>
                <w:szCs w:val="22"/>
              </w:rPr>
              <w:t>principles of sound financial management and for ensuring that the requirements of legality and regularity are complied with.</w:t>
            </w:r>
          </w:p>
        </w:tc>
      </w:tr>
      <w:tr w:rsidR="00B06383" w14:paraId="13E699F0" w14:textId="77777777" w:rsidTr="00B06383">
        <w:trPr>
          <w:trHeight w:hRule="exact" w:val="1142"/>
        </w:trPr>
        <w:tc>
          <w:tcPr>
            <w:tcW w:w="1949" w:type="dxa"/>
            <w:tcBorders>
              <w:top w:val="single" w:sz="4" w:space="0" w:color="auto"/>
              <w:left w:val="single" w:sz="4" w:space="0" w:color="auto"/>
            </w:tcBorders>
            <w:shd w:val="clear" w:color="auto" w:fill="FFFFFF"/>
          </w:tcPr>
          <w:p w14:paraId="29892601"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lang w:val="sv-SE" w:eastAsia="sv-SE" w:bidi="sv-SE"/>
              </w:rPr>
              <w:lastRenderedPageBreak/>
              <w:t>Budget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0D83C9EF" w14:textId="77777777" w:rsidR="00B06383" w:rsidRPr="0021561D" w:rsidRDefault="00B06383" w:rsidP="00A64D26">
            <w:pPr>
              <w:pStyle w:val="Bodytext21"/>
              <w:shd w:val="clear" w:color="auto" w:fill="auto"/>
              <w:spacing w:before="0" w:line="240" w:lineRule="auto"/>
              <w:jc w:val="both"/>
              <w:rPr>
                <w:b w:val="0"/>
              </w:rPr>
            </w:pPr>
            <w:r w:rsidRPr="0021561D">
              <w:rPr>
                <w:rStyle w:val="Bodytext212ptNotBold"/>
                <w:bCs/>
                <w:sz w:val="22"/>
                <w:szCs w:val="22"/>
              </w:rPr>
              <w:t xml:space="preserve">Annual financial </w:t>
            </w:r>
            <w:r w:rsidRPr="0021561D">
              <w:rPr>
                <w:rStyle w:val="Bodytext212ptNotBold"/>
                <w:bCs/>
                <w:sz w:val="22"/>
                <w:szCs w:val="22"/>
                <w:lang w:val="hr-HR" w:eastAsia="hr-HR" w:bidi="hr-HR"/>
              </w:rPr>
              <w:t xml:space="preserve">plan, </w:t>
            </w:r>
            <w:r w:rsidRPr="0021561D">
              <w:rPr>
                <w:rStyle w:val="Bodytext212ptNotBold"/>
                <w:bCs/>
                <w:sz w:val="22"/>
                <w:szCs w:val="22"/>
              </w:rPr>
              <w:t xml:space="preserve">drawn up according to budgetary principles, </w:t>
            </w:r>
            <w:r w:rsidRPr="0021561D">
              <w:rPr>
                <w:rStyle w:val="Bodytext212ptNotBold"/>
                <w:bCs/>
                <w:sz w:val="22"/>
                <w:szCs w:val="22"/>
                <w:lang w:val="en-GB" w:eastAsia="da-DK" w:bidi="da-DK"/>
              </w:rPr>
              <w:t xml:space="preserve">that </w:t>
            </w:r>
            <w:r w:rsidRPr="0021561D">
              <w:rPr>
                <w:rStyle w:val="Bodytext212ptNotBold"/>
                <w:bCs/>
                <w:sz w:val="22"/>
                <w:szCs w:val="22"/>
              </w:rPr>
              <w:t xml:space="preserve">provides forecasts </w:t>
            </w:r>
            <w:r w:rsidRPr="0021561D">
              <w:rPr>
                <w:rStyle w:val="Bodytext212ptNotBold"/>
                <w:bCs/>
                <w:sz w:val="22"/>
                <w:szCs w:val="22"/>
                <w:lang w:val="cs-CZ" w:eastAsia="cs-CZ" w:bidi="cs-CZ"/>
              </w:rPr>
              <w:t xml:space="preserve">and </w:t>
            </w:r>
            <w:r w:rsidRPr="0021561D">
              <w:rPr>
                <w:rStyle w:val="Bodytext212ptNotBold"/>
                <w:bCs/>
                <w:sz w:val="22"/>
                <w:szCs w:val="22"/>
              </w:rPr>
              <w:t xml:space="preserve">authorises, for each financial year, an estimate of future costs and revenue and expenditures and their </w:t>
            </w:r>
            <w:r w:rsidRPr="0021561D">
              <w:rPr>
                <w:rStyle w:val="Bodytext212ptNotBold"/>
                <w:bCs/>
                <w:sz w:val="22"/>
                <w:szCs w:val="22"/>
                <w:lang w:val="en-GB" w:eastAsia="da-DK" w:bidi="da-DK"/>
              </w:rPr>
              <w:t xml:space="preserve">detailed </w:t>
            </w:r>
            <w:r w:rsidRPr="0021561D">
              <w:rPr>
                <w:rStyle w:val="Bodytext212ptNotBold"/>
                <w:bCs/>
                <w:sz w:val="22"/>
                <w:szCs w:val="22"/>
              </w:rPr>
              <w:t xml:space="preserve">description </w:t>
            </w:r>
            <w:r w:rsidRPr="0021561D">
              <w:rPr>
                <w:rStyle w:val="Bodytext212ptNotBold"/>
                <w:bCs/>
                <w:sz w:val="22"/>
                <w:szCs w:val="22"/>
                <w:lang w:val="cs-CZ" w:eastAsia="cs-CZ" w:bidi="cs-CZ"/>
              </w:rPr>
              <w:t xml:space="preserve">and </w:t>
            </w:r>
            <w:r w:rsidRPr="0021561D">
              <w:rPr>
                <w:rStyle w:val="Bodytext212ptNotBold"/>
                <w:bCs/>
                <w:sz w:val="22"/>
                <w:szCs w:val="22"/>
              </w:rPr>
              <w:t xml:space="preserve">justification, the </w:t>
            </w:r>
            <w:r w:rsidRPr="0021561D">
              <w:rPr>
                <w:rStyle w:val="Bodytext212ptNotBold"/>
                <w:bCs/>
                <w:sz w:val="22"/>
                <w:szCs w:val="22"/>
                <w:lang w:val="en-GB" w:eastAsia="da-DK" w:bidi="da-DK"/>
              </w:rPr>
              <w:t xml:space="preserve">latter </w:t>
            </w:r>
            <w:r w:rsidRPr="0021561D">
              <w:rPr>
                <w:rStyle w:val="Bodytext212ptNotBold"/>
                <w:bCs/>
                <w:sz w:val="22"/>
                <w:szCs w:val="22"/>
              </w:rPr>
              <w:t>included in budgetary remarks.</w:t>
            </w:r>
          </w:p>
        </w:tc>
      </w:tr>
      <w:tr w:rsidR="00B06383" w14:paraId="77969F1D" w14:textId="77777777" w:rsidTr="00B06383">
        <w:trPr>
          <w:trHeight w:hRule="exact" w:val="1130"/>
        </w:trPr>
        <w:tc>
          <w:tcPr>
            <w:tcW w:w="1949" w:type="dxa"/>
            <w:tcBorders>
              <w:top w:val="single" w:sz="4" w:space="0" w:color="auto"/>
              <w:left w:val="single" w:sz="4" w:space="0" w:color="auto"/>
            </w:tcBorders>
            <w:shd w:val="clear" w:color="auto" w:fill="FFFFFF"/>
          </w:tcPr>
          <w:p w14:paraId="10AC43F0"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lang w:val="sv-SE" w:eastAsia="sv-SE" w:bidi="sv-SE"/>
              </w:rPr>
              <w:t xml:space="preserve">Budget </w:t>
            </w:r>
            <w:r w:rsidRPr="0021561D">
              <w:rPr>
                <w:rStyle w:val="Bodytext212ptNotBold"/>
                <w:bCs/>
                <w:sz w:val="22"/>
                <w:szCs w:val="22"/>
              </w:rPr>
              <w:t>result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3BB7070F"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The difference between income received </w:t>
            </w:r>
            <w:r w:rsidRPr="0021561D">
              <w:rPr>
                <w:rStyle w:val="Bodytext212ptNotBold"/>
                <w:bCs/>
                <w:sz w:val="22"/>
                <w:szCs w:val="22"/>
                <w:lang w:val="cs-CZ" w:eastAsia="cs-CZ" w:bidi="cs-CZ"/>
              </w:rPr>
              <w:t xml:space="preserve">and </w:t>
            </w:r>
            <w:r w:rsidRPr="0021561D">
              <w:rPr>
                <w:rStyle w:val="Bodytext212ptNotBold"/>
                <w:bCs/>
                <w:sz w:val="22"/>
                <w:szCs w:val="22"/>
              </w:rPr>
              <w:t xml:space="preserve">amounts paid, including adjustments for carry-overs, cancellations </w:t>
            </w:r>
            <w:r w:rsidRPr="0021561D">
              <w:rPr>
                <w:rStyle w:val="Bodytext212ptNotBold"/>
                <w:bCs/>
                <w:sz w:val="22"/>
                <w:szCs w:val="22"/>
                <w:lang w:val="cs-CZ" w:eastAsia="cs-CZ" w:bidi="cs-CZ"/>
              </w:rPr>
              <w:t xml:space="preserve">and </w:t>
            </w:r>
            <w:r w:rsidRPr="0021561D">
              <w:rPr>
                <w:rStyle w:val="Bodytext212ptNotBold"/>
                <w:bCs/>
                <w:sz w:val="22"/>
                <w:szCs w:val="22"/>
              </w:rPr>
              <w:t>exchange rate differences. The resulting amount will have to be reimbursed to the funding authority as provided in the Financial Regulation for Agencies.</w:t>
            </w:r>
          </w:p>
        </w:tc>
      </w:tr>
      <w:tr w:rsidR="00B06383" w14:paraId="59E782ED" w14:textId="77777777" w:rsidTr="00B06383">
        <w:trPr>
          <w:trHeight w:hRule="exact" w:val="565"/>
        </w:trPr>
        <w:tc>
          <w:tcPr>
            <w:tcW w:w="1949" w:type="dxa"/>
            <w:tcBorders>
              <w:top w:val="single" w:sz="4" w:space="0" w:color="auto"/>
              <w:left w:val="single" w:sz="4" w:space="0" w:color="auto"/>
            </w:tcBorders>
            <w:shd w:val="clear" w:color="auto" w:fill="FFFFFF"/>
          </w:tcPr>
          <w:p w14:paraId="6863257A"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lang w:val="sv-SE" w:eastAsia="sv-SE" w:bidi="sv-SE"/>
              </w:rPr>
              <w:t>Budget</w:t>
            </w:r>
            <w:r>
              <w:rPr>
                <w:rStyle w:val="Bodytext212ptNotBold"/>
                <w:bCs/>
                <w:sz w:val="22"/>
                <w:szCs w:val="22"/>
                <w:lang w:val="sv-SE" w:eastAsia="sv-SE" w:bidi="sv-SE"/>
              </w:rPr>
              <w:t xml:space="preserve"> </w:t>
            </w:r>
            <w:r w:rsidRPr="0021561D">
              <w:rPr>
                <w:rStyle w:val="Bodytext212ptNotBold"/>
                <w:bCs/>
                <w:sz w:val="22"/>
                <w:szCs w:val="22"/>
              </w:rPr>
              <w:t>implementation</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3EA1A298"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Consumption of the budget through expenditure and revenue operations.</w:t>
            </w:r>
          </w:p>
        </w:tc>
      </w:tr>
      <w:tr w:rsidR="00B06383" w14:paraId="6B80402E" w14:textId="77777777" w:rsidTr="004E0630">
        <w:trPr>
          <w:trHeight w:hRule="exact" w:val="1277"/>
        </w:trPr>
        <w:tc>
          <w:tcPr>
            <w:tcW w:w="1949" w:type="dxa"/>
            <w:tcBorders>
              <w:top w:val="single" w:sz="4" w:space="0" w:color="auto"/>
              <w:left w:val="single" w:sz="4" w:space="0" w:color="auto"/>
            </w:tcBorders>
            <w:shd w:val="clear" w:color="auto" w:fill="FFFFFF"/>
          </w:tcPr>
          <w:p w14:paraId="2196928B"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lang w:val="sv-SE" w:eastAsia="sv-SE" w:bidi="sv-SE"/>
              </w:rPr>
              <w:t xml:space="preserve">Budget </w:t>
            </w:r>
            <w:r w:rsidRPr="0021561D">
              <w:rPr>
                <w:rStyle w:val="Bodytext212ptNotBold"/>
                <w:bCs/>
                <w:sz w:val="22"/>
                <w:szCs w:val="22"/>
              </w:rPr>
              <w:t xml:space="preserve">item </w:t>
            </w:r>
            <w:r w:rsidRPr="0021561D">
              <w:rPr>
                <w:rStyle w:val="Bodytext212ptNotBold"/>
                <w:bCs/>
                <w:sz w:val="22"/>
                <w:szCs w:val="22"/>
                <w:lang w:val="bg-BG" w:eastAsia="bg-BG" w:bidi="bg-BG"/>
              </w:rPr>
              <w:t xml:space="preserve">/ </w:t>
            </w:r>
            <w:r w:rsidRPr="0021561D">
              <w:rPr>
                <w:rStyle w:val="Bodytext212ptNotBold"/>
                <w:bCs/>
                <w:sz w:val="22"/>
                <w:szCs w:val="22"/>
              </w:rPr>
              <w:t xml:space="preserve">Budget line / </w:t>
            </w:r>
            <w:r w:rsidRPr="0021561D">
              <w:rPr>
                <w:rStyle w:val="Bodytext212ptNotBold"/>
                <w:bCs/>
                <w:sz w:val="22"/>
                <w:szCs w:val="22"/>
                <w:lang w:val="sv-SE" w:eastAsia="sv-SE" w:bidi="sv-SE"/>
              </w:rPr>
              <w:t>Budget position</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2880AD2C"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As far as the budget structure is concerned, revenue </w:t>
            </w:r>
            <w:r w:rsidRPr="0021561D">
              <w:rPr>
                <w:rStyle w:val="Bodytext212ptNotBold"/>
                <w:bCs/>
                <w:sz w:val="22"/>
                <w:szCs w:val="22"/>
                <w:lang w:val="cs-CZ" w:eastAsia="cs-CZ" w:bidi="cs-CZ"/>
              </w:rPr>
              <w:t xml:space="preserve">and </w:t>
            </w:r>
            <w:r w:rsidRPr="0021561D">
              <w:rPr>
                <w:rStyle w:val="Bodytext212ptNotBold"/>
                <w:bCs/>
                <w:sz w:val="22"/>
                <w:szCs w:val="22"/>
              </w:rPr>
              <w:t xml:space="preserve">expenditure are shown in </w:t>
            </w:r>
            <w:r w:rsidRPr="0021561D">
              <w:rPr>
                <w:rStyle w:val="Bodytext212ptNotBold"/>
                <w:bCs/>
                <w:sz w:val="22"/>
                <w:szCs w:val="22"/>
                <w:lang w:val="en-GB" w:eastAsia="nl-NL" w:bidi="nl-NL"/>
              </w:rPr>
              <w:t xml:space="preserve">the </w:t>
            </w:r>
            <w:r w:rsidRPr="0021561D">
              <w:rPr>
                <w:rStyle w:val="Bodytext212ptNotBold"/>
                <w:bCs/>
                <w:sz w:val="22"/>
                <w:szCs w:val="22"/>
              </w:rPr>
              <w:t>budget in accordance with a binding nomenclature which reflects the nature and purpose of each item, as imposed by the budgetary authority. The individual headings (title, chapter, article or item) provide a formal description of the nomenclature.</w:t>
            </w:r>
          </w:p>
        </w:tc>
      </w:tr>
      <w:tr w:rsidR="00B06383" w14:paraId="65B80CED" w14:textId="77777777" w:rsidTr="00B06383">
        <w:trPr>
          <w:trHeight w:hRule="exact" w:val="580"/>
        </w:trPr>
        <w:tc>
          <w:tcPr>
            <w:tcW w:w="1949" w:type="dxa"/>
            <w:tcBorders>
              <w:top w:val="single" w:sz="4" w:space="0" w:color="auto"/>
              <w:left w:val="single" w:sz="4" w:space="0" w:color="auto"/>
            </w:tcBorders>
            <w:shd w:val="clear" w:color="auto" w:fill="FFFFFF"/>
          </w:tcPr>
          <w:p w14:paraId="322B24B1"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Budgetary</w:t>
            </w:r>
            <w:r>
              <w:rPr>
                <w:rStyle w:val="Bodytext212ptNotBold"/>
                <w:bCs/>
                <w:sz w:val="22"/>
                <w:szCs w:val="22"/>
              </w:rPr>
              <w:t xml:space="preserve"> </w:t>
            </w:r>
            <w:r w:rsidRPr="0021561D">
              <w:rPr>
                <w:rStyle w:val="Bodytext212ptNotBold"/>
                <w:bCs/>
                <w:sz w:val="22"/>
                <w:szCs w:val="22"/>
              </w:rPr>
              <w:t>authority</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3C2B5711"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Institutions with decisional powers on budgetary matters: the European Parliament and the Council of Ministers</w:t>
            </w:r>
          </w:p>
        </w:tc>
      </w:tr>
      <w:tr w:rsidR="00B06383" w14:paraId="264230EC" w14:textId="77777777" w:rsidTr="00B06383">
        <w:trPr>
          <w:trHeight w:hRule="exact" w:val="560"/>
        </w:trPr>
        <w:tc>
          <w:tcPr>
            <w:tcW w:w="1949" w:type="dxa"/>
            <w:tcBorders>
              <w:top w:val="single" w:sz="4" w:space="0" w:color="auto"/>
              <w:left w:val="single" w:sz="4" w:space="0" w:color="auto"/>
            </w:tcBorders>
            <w:shd w:val="clear" w:color="auto" w:fill="FFFFFF"/>
          </w:tcPr>
          <w:p w14:paraId="60D4D38F"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Budgetary</w:t>
            </w:r>
            <w:r>
              <w:rPr>
                <w:rStyle w:val="Bodytext212ptNotBold"/>
                <w:bCs/>
                <w:sz w:val="22"/>
                <w:szCs w:val="22"/>
              </w:rPr>
              <w:t xml:space="preserve"> </w:t>
            </w:r>
            <w:r w:rsidRPr="0021561D">
              <w:rPr>
                <w:rStyle w:val="Bodytext212ptNotBold"/>
                <w:bCs/>
                <w:sz w:val="22"/>
                <w:szCs w:val="22"/>
              </w:rPr>
              <w:t>commitment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FC511A1"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A budgetary commitment is a reservation of appropriations to cover for subsequent expenses.</w:t>
            </w:r>
          </w:p>
        </w:tc>
      </w:tr>
      <w:tr w:rsidR="00B06383" w14:paraId="4495BA32" w14:textId="77777777" w:rsidTr="00B06383">
        <w:trPr>
          <w:trHeight w:hRule="exact" w:val="568"/>
        </w:trPr>
        <w:tc>
          <w:tcPr>
            <w:tcW w:w="1949" w:type="dxa"/>
            <w:tcBorders>
              <w:top w:val="single" w:sz="4" w:space="0" w:color="auto"/>
              <w:left w:val="single" w:sz="4" w:space="0" w:color="auto"/>
            </w:tcBorders>
            <w:shd w:val="clear" w:color="auto" w:fill="FFFFFF"/>
          </w:tcPr>
          <w:p w14:paraId="545B82A2"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Cancellation of 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5AF63D5"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Unused appropriations that may no longer be used.</w:t>
            </w:r>
          </w:p>
        </w:tc>
      </w:tr>
      <w:tr w:rsidR="00B06383" w14:paraId="11413339" w14:textId="77777777" w:rsidTr="00B06383">
        <w:trPr>
          <w:trHeight w:hRule="exact" w:val="845"/>
        </w:trPr>
        <w:tc>
          <w:tcPr>
            <w:tcW w:w="1949" w:type="dxa"/>
            <w:tcBorders>
              <w:top w:val="single" w:sz="4" w:space="0" w:color="auto"/>
              <w:left w:val="single" w:sz="4" w:space="0" w:color="auto"/>
            </w:tcBorders>
            <w:shd w:val="clear" w:color="auto" w:fill="FFFFFF"/>
          </w:tcPr>
          <w:p w14:paraId="3F14E582" w14:textId="77777777" w:rsidR="00B06383" w:rsidRPr="0021561D" w:rsidRDefault="00B06383" w:rsidP="00A64D26">
            <w:pPr>
              <w:pStyle w:val="Bodytext21"/>
              <w:shd w:val="clear" w:color="auto" w:fill="auto"/>
              <w:tabs>
                <w:tab w:val="left" w:pos="1531"/>
              </w:tabs>
              <w:spacing w:before="0" w:line="240" w:lineRule="auto"/>
              <w:rPr>
                <w:b w:val="0"/>
              </w:rPr>
            </w:pPr>
            <w:r w:rsidRPr="0021561D">
              <w:rPr>
                <w:rStyle w:val="Bodytext212ptNotBold"/>
                <w:bCs/>
                <w:sz w:val="22"/>
                <w:szCs w:val="22"/>
              </w:rPr>
              <w:t>Carryover</w:t>
            </w:r>
            <w:r w:rsidRPr="0021561D">
              <w:rPr>
                <w:rStyle w:val="Bodytext212ptNotBold"/>
                <w:sz w:val="22"/>
                <w:szCs w:val="22"/>
              </w:rPr>
              <w:t xml:space="preserve"> </w:t>
            </w:r>
            <w:r w:rsidRPr="0021561D">
              <w:rPr>
                <w:rStyle w:val="Bodytext212ptNotBold"/>
                <w:bCs/>
                <w:sz w:val="22"/>
                <w:szCs w:val="22"/>
              </w:rPr>
              <w:t>of</w:t>
            </w:r>
            <w:r>
              <w:rPr>
                <w:rStyle w:val="Bodytext212ptNotBold"/>
                <w:bCs/>
                <w:sz w:val="22"/>
                <w:szCs w:val="22"/>
              </w:rPr>
              <w:t xml:space="preserve"> </w:t>
            </w: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1FB581CC"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Exception to the principle of annuality in so far as appropriations that could not be used in a given budget year may, under strict conditions, be exceptionally carried over for use during the following year.</w:t>
            </w:r>
          </w:p>
        </w:tc>
      </w:tr>
      <w:tr w:rsidR="00B06383" w14:paraId="7547A58B" w14:textId="77777777" w:rsidTr="00F44E0F">
        <w:trPr>
          <w:trHeight w:hRule="exact" w:val="1573"/>
        </w:trPr>
        <w:tc>
          <w:tcPr>
            <w:tcW w:w="1949" w:type="dxa"/>
            <w:tcBorders>
              <w:top w:val="single" w:sz="4" w:space="0" w:color="auto"/>
              <w:left w:val="single" w:sz="4" w:space="0" w:color="auto"/>
            </w:tcBorders>
            <w:shd w:val="clear" w:color="auto" w:fill="FFFFFF"/>
          </w:tcPr>
          <w:p w14:paraId="0D56C975" w14:textId="77777777" w:rsidR="00B06383" w:rsidRPr="0021561D" w:rsidRDefault="00B06383" w:rsidP="00A64D26">
            <w:pPr>
              <w:pStyle w:val="Bodytext21"/>
              <w:shd w:val="clear" w:color="auto" w:fill="auto"/>
              <w:spacing w:before="0" w:line="240" w:lineRule="auto"/>
              <w:jc w:val="both"/>
              <w:rPr>
                <w:b w:val="0"/>
              </w:rPr>
            </w:pPr>
            <w:r w:rsidRPr="0021561D">
              <w:rPr>
                <w:rStyle w:val="Bodytext212ptNotBold"/>
                <w:bCs/>
                <w:sz w:val="22"/>
                <w:szCs w:val="22"/>
              </w:rPr>
              <w:t>Commitment</w:t>
            </w:r>
            <w:r>
              <w:rPr>
                <w:rStyle w:val="Bodytext212ptNotBold"/>
                <w:bCs/>
                <w:sz w:val="22"/>
                <w:szCs w:val="22"/>
              </w:rPr>
              <w:t xml:space="preserve"> </w:t>
            </w: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57B4660" w14:textId="146894B1" w:rsidR="00B06383" w:rsidRPr="0021561D" w:rsidRDefault="00B06383" w:rsidP="00042844">
            <w:pPr>
              <w:pStyle w:val="Bodytext21"/>
              <w:shd w:val="clear" w:color="auto" w:fill="auto"/>
              <w:spacing w:before="0" w:line="240" w:lineRule="auto"/>
              <w:rPr>
                <w:b w:val="0"/>
              </w:rPr>
            </w:pPr>
            <w:r w:rsidRPr="0021561D">
              <w:rPr>
                <w:rStyle w:val="Bodytext212ptNotBold"/>
                <w:bCs/>
                <w:sz w:val="22"/>
                <w:szCs w:val="22"/>
              </w:rPr>
              <w:t xml:space="preserve">Commitment appropriations cover the </w:t>
            </w:r>
            <w:r w:rsidRPr="0021561D">
              <w:rPr>
                <w:rStyle w:val="Bodytext212ptNotBold"/>
                <w:bCs/>
                <w:sz w:val="22"/>
                <w:szCs w:val="22"/>
                <w:lang w:val="hr-HR" w:eastAsia="hr-HR" w:bidi="hr-HR"/>
              </w:rPr>
              <w:t xml:space="preserve">total </w:t>
            </w:r>
            <w:r w:rsidRPr="0021561D">
              <w:rPr>
                <w:rStyle w:val="Bodytext212ptNotBold"/>
                <w:bCs/>
                <w:sz w:val="22"/>
                <w:szCs w:val="22"/>
              </w:rPr>
              <w:t xml:space="preserve">cost of legal </w:t>
            </w:r>
            <w:r w:rsidRPr="0021561D">
              <w:rPr>
                <w:rStyle w:val="Bodytext212ptNotBold"/>
                <w:bCs/>
                <w:sz w:val="22"/>
                <w:szCs w:val="22"/>
                <w:lang w:val="en-GB" w:eastAsia="da-DK" w:bidi="da-DK"/>
              </w:rPr>
              <w:t xml:space="preserve">obligations </w:t>
            </w:r>
            <w:r w:rsidRPr="0021561D">
              <w:rPr>
                <w:rStyle w:val="Bodytext212ptNotBold"/>
                <w:bCs/>
                <w:sz w:val="22"/>
                <w:szCs w:val="22"/>
              </w:rPr>
              <w:t xml:space="preserve">(contracts, grant agreements/decisions) </w:t>
            </w:r>
            <w:r w:rsidRPr="0021561D">
              <w:rPr>
                <w:rStyle w:val="Bodytext212ptNotBold"/>
                <w:bCs/>
                <w:sz w:val="22"/>
                <w:szCs w:val="22"/>
                <w:lang w:val="en-GB" w:eastAsia="da-DK" w:bidi="da-DK"/>
              </w:rPr>
              <w:t xml:space="preserve">that </w:t>
            </w:r>
            <w:r w:rsidRPr="0021561D">
              <w:rPr>
                <w:rStyle w:val="Bodytext212ptNotBold"/>
                <w:bCs/>
                <w:sz w:val="22"/>
                <w:szCs w:val="22"/>
              </w:rPr>
              <w:t>could be signed in the current financial year. Art</w:t>
            </w:r>
            <w:r w:rsidR="00042844">
              <w:rPr>
                <w:rStyle w:val="Bodytext212ptNotBold"/>
                <w:bCs/>
                <w:sz w:val="22"/>
                <w:szCs w:val="22"/>
              </w:rPr>
              <w:t>icle</w:t>
            </w:r>
            <w:r w:rsidRPr="0021561D">
              <w:rPr>
                <w:rStyle w:val="Bodytext212ptNotBold"/>
                <w:bCs/>
                <w:sz w:val="22"/>
                <w:szCs w:val="22"/>
              </w:rPr>
              <w:t xml:space="preserve"> 7 FR: </w:t>
            </w:r>
            <w:r w:rsidRPr="0021561D">
              <w:rPr>
                <w:rStyle w:val="Bodytext212ptNotBoldItalic"/>
                <w:bCs/>
                <w:sz w:val="22"/>
                <w:szCs w:val="22"/>
              </w:rPr>
              <w:t>Commitment appropriations cover the total cost in the current financial year of legal obligations (contracts, grant agreements/decisions) entered into for operations extending over more than one year.</w:t>
            </w:r>
          </w:p>
        </w:tc>
      </w:tr>
      <w:tr w:rsidR="00B06383" w14:paraId="0338CB0F" w14:textId="77777777" w:rsidTr="00B06383">
        <w:trPr>
          <w:trHeight w:hRule="exact" w:val="286"/>
        </w:trPr>
        <w:tc>
          <w:tcPr>
            <w:tcW w:w="1949" w:type="dxa"/>
            <w:tcBorders>
              <w:top w:val="single" w:sz="4" w:space="0" w:color="auto"/>
              <w:left w:val="single" w:sz="4" w:space="0" w:color="auto"/>
            </w:tcBorders>
            <w:shd w:val="clear" w:color="auto" w:fill="FFFFFF"/>
          </w:tcPr>
          <w:p w14:paraId="58A6A913"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De-commitment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0CB1272E"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Cancellation of a reservation of appropriations</w:t>
            </w:r>
          </w:p>
        </w:tc>
      </w:tr>
      <w:tr w:rsidR="00B06383" w14:paraId="39A387D5" w14:textId="77777777" w:rsidTr="00F44E0F">
        <w:trPr>
          <w:trHeight w:hRule="exact" w:val="1544"/>
        </w:trPr>
        <w:tc>
          <w:tcPr>
            <w:tcW w:w="1949" w:type="dxa"/>
            <w:tcBorders>
              <w:top w:val="single" w:sz="4" w:space="0" w:color="auto"/>
              <w:left w:val="single" w:sz="4" w:space="0" w:color="auto"/>
            </w:tcBorders>
            <w:shd w:val="clear" w:color="auto" w:fill="FFFFFF"/>
          </w:tcPr>
          <w:p w14:paraId="34D2AC88"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Differentiated</w:t>
            </w:r>
            <w:r>
              <w:rPr>
                <w:rStyle w:val="Bodytext212ptNotBold"/>
                <w:bCs/>
                <w:sz w:val="22"/>
                <w:szCs w:val="22"/>
              </w:rPr>
              <w:t xml:space="preserve"> </w:t>
            </w: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1131AC16"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Differentiated appropriations are used to </w:t>
            </w:r>
            <w:r w:rsidRPr="0021561D">
              <w:rPr>
                <w:rStyle w:val="Bodytext212ptNotBold"/>
                <w:bCs/>
                <w:sz w:val="22"/>
                <w:szCs w:val="22"/>
                <w:lang w:val="cs-CZ" w:eastAsia="cs-CZ" w:bidi="cs-CZ"/>
              </w:rPr>
              <w:t xml:space="preserve">finance </w:t>
            </w:r>
            <w:r w:rsidRPr="0021561D">
              <w:rPr>
                <w:rStyle w:val="Bodytext212ptNotBold"/>
                <w:bCs/>
                <w:sz w:val="22"/>
                <w:szCs w:val="22"/>
              </w:rPr>
              <w:t xml:space="preserve">multiannual </w:t>
            </w:r>
            <w:r w:rsidRPr="0021561D">
              <w:rPr>
                <w:rStyle w:val="Bodytext212ptNotBold"/>
                <w:bCs/>
                <w:sz w:val="22"/>
                <w:szCs w:val="22"/>
                <w:lang w:val="en-GB" w:eastAsia="da-DK" w:bidi="da-DK"/>
              </w:rPr>
              <w:t xml:space="preserve">operations; </w:t>
            </w:r>
            <w:r w:rsidRPr="0021561D">
              <w:rPr>
                <w:rStyle w:val="Bodytext212ptNotBold"/>
                <w:bCs/>
                <w:sz w:val="22"/>
                <w:szCs w:val="22"/>
              </w:rPr>
              <w:t xml:space="preserve">they cover, for the current financial year, </w:t>
            </w:r>
            <w:r w:rsidRPr="0021561D">
              <w:rPr>
                <w:rStyle w:val="Bodytext212ptNotBold"/>
                <w:bCs/>
                <w:sz w:val="22"/>
                <w:szCs w:val="22"/>
                <w:lang w:val="en-GB" w:eastAsia="nl-NL" w:bidi="nl-NL"/>
              </w:rPr>
              <w:t xml:space="preserve">the </w:t>
            </w:r>
            <w:r w:rsidRPr="0021561D">
              <w:rPr>
                <w:rStyle w:val="Bodytext212ptNotBold"/>
                <w:bCs/>
                <w:sz w:val="22"/>
                <w:szCs w:val="22"/>
                <w:lang w:val="hr-HR" w:eastAsia="hr-HR" w:bidi="hr-HR"/>
              </w:rPr>
              <w:t xml:space="preserve">total </w:t>
            </w:r>
            <w:r w:rsidRPr="0021561D">
              <w:rPr>
                <w:rStyle w:val="Bodytext212ptNotBold"/>
                <w:bCs/>
                <w:sz w:val="22"/>
                <w:szCs w:val="22"/>
              </w:rPr>
              <w:t xml:space="preserve">cost of the legal obligations entered into for operations whose implementation extends over more than one financial year. Art. 7 FR: </w:t>
            </w:r>
            <w:r w:rsidRPr="0021561D">
              <w:rPr>
                <w:rStyle w:val="Bodytext212ptNotBoldItalic"/>
                <w:bCs/>
                <w:sz w:val="22"/>
                <w:szCs w:val="22"/>
              </w:rPr>
              <w:t>Differentiated appropriations are entered for multiannual operations. They consist of commitment appropriations and payment appropriations</w:t>
            </w:r>
            <w:r w:rsidRPr="0021561D">
              <w:rPr>
                <w:rStyle w:val="Bodytext212ptNotBold"/>
                <w:bCs/>
                <w:sz w:val="22"/>
                <w:szCs w:val="22"/>
              </w:rPr>
              <w:t>.</w:t>
            </w:r>
          </w:p>
        </w:tc>
      </w:tr>
      <w:tr w:rsidR="00B06383" w14:paraId="32EC1667" w14:textId="77777777" w:rsidTr="004E0630">
        <w:trPr>
          <w:trHeight w:hRule="exact" w:val="857"/>
        </w:trPr>
        <w:tc>
          <w:tcPr>
            <w:tcW w:w="1949" w:type="dxa"/>
            <w:tcBorders>
              <w:top w:val="single" w:sz="4" w:space="0" w:color="auto"/>
              <w:left w:val="single" w:sz="4" w:space="0" w:color="auto"/>
            </w:tcBorders>
            <w:shd w:val="clear" w:color="auto" w:fill="FFFFFF"/>
          </w:tcPr>
          <w:p w14:paraId="519EC6ED" w14:textId="77777777" w:rsidR="00B06383" w:rsidRPr="0021561D" w:rsidRDefault="00B06383" w:rsidP="00A64D26">
            <w:pPr>
              <w:pStyle w:val="Bodytext21"/>
              <w:shd w:val="clear" w:color="auto" w:fill="auto"/>
              <w:spacing w:before="0" w:line="240" w:lineRule="auto"/>
              <w:jc w:val="both"/>
              <w:rPr>
                <w:b w:val="0"/>
              </w:rPr>
            </w:pPr>
            <w:r w:rsidRPr="0021561D">
              <w:rPr>
                <w:rStyle w:val="Bodytext212ptNotBold"/>
                <w:bCs/>
                <w:sz w:val="22"/>
                <w:szCs w:val="22"/>
              </w:rPr>
              <w:t>Earmarked</w:t>
            </w:r>
            <w:r>
              <w:rPr>
                <w:rStyle w:val="Bodytext212ptNotBold"/>
                <w:bCs/>
                <w:sz w:val="22"/>
                <w:szCs w:val="22"/>
              </w:rPr>
              <w:t xml:space="preserve"> </w:t>
            </w:r>
            <w:r w:rsidRPr="0021561D">
              <w:rPr>
                <w:rStyle w:val="Bodytext212ptNotBold"/>
                <w:bCs/>
                <w:sz w:val="22"/>
                <w:szCs w:val="22"/>
              </w:rPr>
              <w:t>revenue</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342560D"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Revenue earmarked for a specific purpose, such as income from foundations, subsidies, gifts and bequests, including the earmarked revenue specific to each institution. (Cf. Assigned revenue)</w:t>
            </w:r>
          </w:p>
        </w:tc>
      </w:tr>
      <w:tr w:rsidR="00B06383" w14:paraId="3AD37073" w14:textId="77777777" w:rsidTr="00B06383">
        <w:trPr>
          <w:trHeight w:hRule="exact" w:val="539"/>
        </w:trPr>
        <w:tc>
          <w:tcPr>
            <w:tcW w:w="1949" w:type="dxa"/>
            <w:tcBorders>
              <w:top w:val="single" w:sz="4" w:space="0" w:color="auto"/>
              <w:left w:val="single" w:sz="4" w:space="0" w:color="auto"/>
              <w:bottom w:val="single" w:sz="4" w:space="0" w:color="auto"/>
            </w:tcBorders>
            <w:shd w:val="clear" w:color="auto" w:fill="FFFFFF"/>
          </w:tcPr>
          <w:p w14:paraId="2624338E" w14:textId="77777777" w:rsidR="00B06383" w:rsidRPr="0021561D" w:rsidRDefault="00B06383" w:rsidP="00A64D26">
            <w:pPr>
              <w:pStyle w:val="Bodytext21"/>
              <w:shd w:val="clear" w:color="auto" w:fill="auto"/>
              <w:spacing w:before="0" w:line="240" w:lineRule="auto"/>
              <w:jc w:val="both"/>
              <w:rPr>
                <w:b w:val="0"/>
              </w:rPr>
            </w:pPr>
            <w:r w:rsidRPr="0021561D">
              <w:rPr>
                <w:rStyle w:val="Bodytext212ptNotBold"/>
                <w:bCs/>
                <w:sz w:val="22"/>
                <w:szCs w:val="22"/>
              </w:rPr>
              <w:t>Economic result</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5DA82A9"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Impact on the balance sheet of expenditure and revenue based on accrual accounting rules.</w:t>
            </w:r>
          </w:p>
        </w:tc>
      </w:tr>
      <w:tr w:rsidR="00B06383" w14:paraId="2113A8B7" w14:textId="77777777" w:rsidTr="00B06383">
        <w:trPr>
          <w:trHeight w:hRule="exact" w:val="588"/>
        </w:trPr>
        <w:tc>
          <w:tcPr>
            <w:tcW w:w="1949" w:type="dxa"/>
            <w:tcBorders>
              <w:top w:val="single" w:sz="4" w:space="0" w:color="auto"/>
              <w:left w:val="single" w:sz="4" w:space="0" w:color="auto"/>
              <w:bottom w:val="single" w:sz="4" w:space="0" w:color="auto"/>
            </w:tcBorders>
            <w:shd w:val="clear" w:color="auto" w:fill="FFFFFF"/>
          </w:tcPr>
          <w:p w14:paraId="5C8DCA8F"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Entitlements</w:t>
            </w:r>
            <w:r>
              <w:rPr>
                <w:rStyle w:val="Bodytext212ptNotBold"/>
                <w:bCs/>
                <w:sz w:val="22"/>
                <w:szCs w:val="22"/>
              </w:rPr>
              <w:t xml:space="preserve"> </w:t>
            </w:r>
            <w:r w:rsidRPr="0021561D">
              <w:rPr>
                <w:rStyle w:val="Bodytext212ptNotBold"/>
                <w:bCs/>
                <w:sz w:val="22"/>
                <w:szCs w:val="22"/>
              </w:rPr>
              <w:t>established</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6A0C789"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Entitlements are recovery orders that the European Union must establish for collecting income.</w:t>
            </w:r>
          </w:p>
        </w:tc>
      </w:tr>
      <w:tr w:rsidR="00B06383" w14:paraId="437D301A" w14:textId="77777777" w:rsidTr="00B06383">
        <w:trPr>
          <w:trHeight w:hRule="exact" w:val="872"/>
        </w:trPr>
        <w:tc>
          <w:tcPr>
            <w:tcW w:w="1949" w:type="dxa"/>
            <w:tcBorders>
              <w:top w:val="single" w:sz="4" w:space="0" w:color="auto"/>
              <w:left w:val="single" w:sz="4" w:space="0" w:color="auto"/>
              <w:bottom w:val="single" w:sz="4" w:space="0" w:color="auto"/>
            </w:tcBorders>
            <w:shd w:val="clear" w:color="auto" w:fill="FFFFFF"/>
          </w:tcPr>
          <w:p w14:paraId="0A3C3513"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Exchange rate difference</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2CCBD0B"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The difference resulting from currency exchange rates applied to the transactions concerning countries outside the euro area, or from the revaluation of assets and liabilities in foreign currency at the closure.</w:t>
            </w:r>
          </w:p>
        </w:tc>
      </w:tr>
      <w:tr w:rsidR="00B06383" w14:paraId="5FD29B72" w14:textId="77777777" w:rsidTr="00BF556C">
        <w:trPr>
          <w:trHeight w:hRule="exact" w:val="288"/>
        </w:trPr>
        <w:tc>
          <w:tcPr>
            <w:tcW w:w="1949" w:type="dxa"/>
            <w:tcBorders>
              <w:top w:val="single" w:sz="4" w:space="0" w:color="auto"/>
              <w:left w:val="single" w:sz="4" w:space="0" w:color="auto"/>
              <w:bottom w:val="single" w:sz="4" w:space="0" w:color="auto"/>
            </w:tcBorders>
            <w:shd w:val="clear" w:color="auto" w:fill="FFFFFF"/>
          </w:tcPr>
          <w:p w14:paraId="34AB3EDF" w14:textId="77777777" w:rsidR="00B06383" w:rsidRPr="0021561D" w:rsidRDefault="00B06383" w:rsidP="00A64D26">
            <w:pPr>
              <w:pStyle w:val="Bodytext21"/>
              <w:shd w:val="clear" w:color="auto" w:fill="auto"/>
              <w:spacing w:before="0" w:line="240" w:lineRule="auto"/>
              <w:jc w:val="both"/>
              <w:rPr>
                <w:b w:val="0"/>
              </w:rPr>
            </w:pPr>
            <w:r w:rsidRPr="0021561D">
              <w:rPr>
                <w:rStyle w:val="Bodytext212ptNotBold"/>
                <w:bCs/>
                <w:sz w:val="22"/>
                <w:szCs w:val="22"/>
              </w:rPr>
              <w:t>Expenditure</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897BA4B"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Term used to describe spending the budget from all types of funds sources.</w:t>
            </w:r>
          </w:p>
        </w:tc>
      </w:tr>
      <w:tr w:rsidR="00B06383" w14:paraId="5644B420" w14:textId="77777777" w:rsidTr="004E0630">
        <w:trPr>
          <w:trHeight w:hRule="exact" w:val="1087"/>
        </w:trPr>
        <w:tc>
          <w:tcPr>
            <w:tcW w:w="1949" w:type="dxa"/>
            <w:tcBorders>
              <w:top w:val="single" w:sz="4" w:space="0" w:color="auto"/>
              <w:left w:val="single" w:sz="4" w:space="0" w:color="auto"/>
            </w:tcBorders>
            <w:shd w:val="clear" w:color="auto" w:fill="FFFFFF"/>
          </w:tcPr>
          <w:p w14:paraId="2DA25A34" w14:textId="77777777" w:rsidR="00B06383" w:rsidRPr="0021561D" w:rsidRDefault="00B06383" w:rsidP="00BF556C">
            <w:pPr>
              <w:pStyle w:val="Bodytext21"/>
              <w:shd w:val="clear" w:color="auto" w:fill="auto"/>
              <w:spacing w:before="0" w:line="240" w:lineRule="auto"/>
              <w:rPr>
                <w:b w:val="0"/>
              </w:rPr>
            </w:pPr>
            <w:r w:rsidRPr="0021561D">
              <w:rPr>
                <w:rStyle w:val="Bodytext212ptNotBold"/>
                <w:bCs/>
                <w:sz w:val="22"/>
                <w:szCs w:val="22"/>
              </w:rPr>
              <w:t xml:space="preserve">Financial </w:t>
            </w:r>
            <w:r w:rsidR="00BF556C">
              <w:rPr>
                <w:rStyle w:val="Bodytext212ptNotBold"/>
                <w:bCs/>
                <w:sz w:val="22"/>
                <w:szCs w:val="22"/>
              </w:rPr>
              <w:t>R</w:t>
            </w:r>
            <w:r w:rsidRPr="0021561D">
              <w:rPr>
                <w:rStyle w:val="Bodytext212ptNotBold"/>
                <w:bCs/>
                <w:sz w:val="22"/>
                <w:szCs w:val="22"/>
              </w:rPr>
              <w:t>egulation (FR)</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486B450C" w14:textId="77777777" w:rsidR="00B06383" w:rsidRPr="0021561D" w:rsidRDefault="00B06383" w:rsidP="004E0630">
            <w:pPr>
              <w:pStyle w:val="Bodytext21"/>
              <w:shd w:val="clear" w:color="auto" w:fill="auto"/>
              <w:spacing w:before="0" w:line="240" w:lineRule="auto"/>
              <w:jc w:val="both"/>
              <w:rPr>
                <w:b w:val="0"/>
              </w:rPr>
            </w:pPr>
            <w:r w:rsidRPr="0021561D">
              <w:rPr>
                <w:rStyle w:val="Bodytext212ptNotBold"/>
                <w:bCs/>
                <w:sz w:val="22"/>
                <w:szCs w:val="22"/>
              </w:rPr>
              <w:t xml:space="preserve">Adopted through </w:t>
            </w:r>
            <w:r w:rsidRPr="0021561D">
              <w:rPr>
                <w:rStyle w:val="Bodytext212ptNotBold"/>
                <w:bCs/>
                <w:sz w:val="22"/>
                <w:szCs w:val="22"/>
                <w:lang w:val="en-GB" w:eastAsia="nl-NL" w:bidi="nl-NL"/>
              </w:rPr>
              <w:t xml:space="preserve">the </w:t>
            </w:r>
            <w:r w:rsidRPr="0021561D">
              <w:rPr>
                <w:rStyle w:val="Bodytext212ptNotBold"/>
                <w:bCs/>
                <w:sz w:val="22"/>
                <w:szCs w:val="22"/>
              </w:rPr>
              <w:t xml:space="preserve">ordinary </w:t>
            </w:r>
            <w:r w:rsidRPr="0021561D">
              <w:rPr>
                <w:rStyle w:val="Bodytext212ptNotBold"/>
                <w:bCs/>
                <w:sz w:val="22"/>
                <w:szCs w:val="22"/>
                <w:lang w:val="hr-HR" w:eastAsia="hr-HR" w:bidi="hr-HR"/>
              </w:rPr>
              <w:t xml:space="preserve">legislative </w:t>
            </w:r>
            <w:r w:rsidRPr="0021561D">
              <w:rPr>
                <w:rStyle w:val="Bodytext212ptNotBold"/>
                <w:bCs/>
                <w:sz w:val="22"/>
                <w:szCs w:val="22"/>
              </w:rPr>
              <w:t xml:space="preserve">procedure after consulting the European Court of Auditors, this regulation lays down the rules for the establishment and implementation of the general budget of </w:t>
            </w:r>
            <w:r w:rsidRPr="0021561D">
              <w:rPr>
                <w:rStyle w:val="Bodytext212ptNotBold"/>
                <w:bCs/>
                <w:sz w:val="22"/>
                <w:szCs w:val="22"/>
                <w:lang w:val="en-GB" w:eastAsia="nl-NL" w:bidi="nl-NL"/>
              </w:rPr>
              <w:t xml:space="preserve">the </w:t>
            </w:r>
            <w:r w:rsidRPr="0021561D">
              <w:rPr>
                <w:rStyle w:val="Bodytext212ptNotBold"/>
                <w:bCs/>
                <w:sz w:val="22"/>
                <w:szCs w:val="22"/>
              </w:rPr>
              <w:t xml:space="preserve">European Union </w:t>
            </w:r>
            <w:r w:rsidRPr="0021561D">
              <w:rPr>
                <w:rStyle w:val="Bodytext212ptNotBold"/>
                <w:bCs/>
                <w:sz w:val="22"/>
                <w:szCs w:val="22"/>
                <w:lang w:val="sk-SK" w:eastAsia="sk-SK" w:bidi="sk-SK"/>
              </w:rPr>
              <w:t xml:space="preserve">(OJ </w:t>
            </w:r>
            <w:r w:rsidRPr="0021561D">
              <w:rPr>
                <w:rStyle w:val="Bodytext212ptNotBold"/>
                <w:bCs/>
                <w:sz w:val="22"/>
                <w:szCs w:val="22"/>
              </w:rPr>
              <w:t>L 298, 26.10.2012, p.1)</w:t>
            </w:r>
          </w:p>
        </w:tc>
      </w:tr>
      <w:tr w:rsidR="00B06383" w14:paraId="1074CF49" w14:textId="77777777" w:rsidTr="00B06383">
        <w:trPr>
          <w:trHeight w:hRule="exact" w:val="280"/>
        </w:trPr>
        <w:tc>
          <w:tcPr>
            <w:tcW w:w="1949" w:type="dxa"/>
            <w:tcBorders>
              <w:top w:val="single" w:sz="4" w:space="0" w:color="auto"/>
              <w:left w:val="single" w:sz="4" w:space="0" w:color="auto"/>
            </w:tcBorders>
            <w:shd w:val="clear" w:color="auto" w:fill="FFFFFF"/>
          </w:tcPr>
          <w:p w14:paraId="24BF1681"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lastRenderedPageBreak/>
              <w:t>Funds Source</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1CF1566"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Type of appropriations (e.g.: </w:t>
            </w:r>
            <w:r w:rsidRPr="0021561D">
              <w:rPr>
                <w:rStyle w:val="Bodytext212ptNotBold"/>
                <w:sz w:val="22"/>
                <w:szCs w:val="22"/>
              </w:rPr>
              <w:t>C1, C8,…</w:t>
            </w:r>
            <w:r w:rsidRPr="0021561D">
              <w:rPr>
                <w:rStyle w:val="Bodytext212ptNotBold"/>
                <w:bCs/>
                <w:sz w:val="22"/>
                <w:szCs w:val="22"/>
              </w:rPr>
              <w:t>)</w:t>
            </w:r>
          </w:p>
        </w:tc>
      </w:tr>
      <w:tr w:rsidR="00B06383" w14:paraId="088E95F9" w14:textId="77777777" w:rsidTr="007D6512">
        <w:trPr>
          <w:trHeight w:hRule="exact" w:val="1135"/>
        </w:trPr>
        <w:tc>
          <w:tcPr>
            <w:tcW w:w="1949" w:type="dxa"/>
            <w:tcBorders>
              <w:top w:val="single" w:sz="4" w:space="0" w:color="auto"/>
              <w:left w:val="single" w:sz="4" w:space="0" w:color="auto"/>
            </w:tcBorders>
            <w:shd w:val="clear" w:color="auto" w:fill="FFFFFF"/>
          </w:tcPr>
          <w:p w14:paraId="6C40E634"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Grants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10CC4C0F"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Direct financial contributions, by way of donation, from the budget in order to </w:t>
            </w:r>
            <w:r w:rsidRPr="0021561D">
              <w:rPr>
                <w:rStyle w:val="Bodytext212ptNotBold"/>
                <w:bCs/>
                <w:sz w:val="22"/>
                <w:szCs w:val="22"/>
                <w:lang w:val="cs-CZ" w:eastAsia="cs-CZ" w:bidi="cs-CZ"/>
              </w:rPr>
              <w:t xml:space="preserve">finance </w:t>
            </w:r>
            <w:r w:rsidRPr="0021561D">
              <w:rPr>
                <w:rStyle w:val="Bodytext212ptNotBold"/>
                <w:bCs/>
                <w:sz w:val="22"/>
                <w:szCs w:val="22"/>
              </w:rPr>
              <w:t xml:space="preserve">either an </w:t>
            </w:r>
            <w:r w:rsidRPr="0021561D">
              <w:rPr>
                <w:rStyle w:val="Bodytext212ptNotBold"/>
                <w:bCs/>
                <w:sz w:val="22"/>
                <w:szCs w:val="22"/>
                <w:lang w:val="en-GB" w:eastAsia="da-DK" w:bidi="da-DK"/>
              </w:rPr>
              <w:t xml:space="preserve">action </w:t>
            </w:r>
            <w:r w:rsidRPr="0021561D">
              <w:rPr>
                <w:rStyle w:val="Bodytext212ptNotBold"/>
                <w:bCs/>
                <w:sz w:val="22"/>
                <w:szCs w:val="22"/>
              </w:rPr>
              <w:t xml:space="preserve">intended to help achieve an objective </w:t>
            </w:r>
            <w:r w:rsidR="00B77219">
              <w:rPr>
                <w:rStyle w:val="Bodytext212ptNotBold"/>
                <w:bCs/>
                <w:sz w:val="22"/>
                <w:szCs w:val="22"/>
              </w:rPr>
              <w:t xml:space="preserve">that is </w:t>
            </w:r>
            <w:r w:rsidRPr="0021561D">
              <w:rPr>
                <w:rStyle w:val="Bodytext212ptNotBold"/>
                <w:bCs/>
                <w:sz w:val="22"/>
                <w:szCs w:val="22"/>
              </w:rPr>
              <w:t xml:space="preserve">part of an </w:t>
            </w:r>
            <w:r w:rsidRPr="0021561D">
              <w:rPr>
                <w:rStyle w:val="Bodytext212ptNotBold"/>
                <w:bCs/>
                <w:sz w:val="22"/>
                <w:szCs w:val="22"/>
                <w:lang w:val="en-GB" w:eastAsia="fr-FR" w:bidi="fr-FR"/>
              </w:rPr>
              <w:t xml:space="preserve">EU </w:t>
            </w:r>
            <w:r w:rsidRPr="0021561D">
              <w:rPr>
                <w:rStyle w:val="Bodytext212ptNotBold"/>
                <w:bCs/>
                <w:sz w:val="22"/>
                <w:szCs w:val="22"/>
              </w:rPr>
              <w:t xml:space="preserve">policy or the functioning of a body which pursues an aim of general European interest or has an objective forming part of an </w:t>
            </w:r>
            <w:r w:rsidRPr="0021561D">
              <w:rPr>
                <w:rStyle w:val="Bodytext212ptNotBold"/>
                <w:bCs/>
                <w:sz w:val="22"/>
                <w:szCs w:val="22"/>
                <w:lang w:val="en-GB" w:eastAsia="fr-FR" w:bidi="fr-FR"/>
              </w:rPr>
              <w:t xml:space="preserve">EU </w:t>
            </w:r>
            <w:r w:rsidRPr="0021561D">
              <w:rPr>
                <w:rStyle w:val="Bodytext212ptNotBold"/>
                <w:bCs/>
                <w:sz w:val="22"/>
                <w:szCs w:val="22"/>
              </w:rPr>
              <w:t>policy.</w:t>
            </w:r>
          </w:p>
        </w:tc>
      </w:tr>
      <w:tr w:rsidR="00B06383" w14:paraId="7FFBA149" w14:textId="77777777" w:rsidTr="00B06383">
        <w:trPr>
          <w:trHeight w:hRule="exact" w:val="268"/>
        </w:trPr>
        <w:tc>
          <w:tcPr>
            <w:tcW w:w="1949" w:type="dxa"/>
            <w:tcBorders>
              <w:top w:val="single" w:sz="4" w:space="0" w:color="auto"/>
              <w:left w:val="single" w:sz="4" w:space="0" w:color="auto"/>
            </w:tcBorders>
            <w:shd w:val="clear" w:color="auto" w:fill="FFFFFF"/>
          </w:tcPr>
          <w:p w14:paraId="611C1F9C"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Implementation</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0EF59FAE"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Cf. Budget implementation</w:t>
            </w:r>
          </w:p>
        </w:tc>
      </w:tr>
      <w:tr w:rsidR="00B06383" w14:paraId="24A1FBDB" w14:textId="77777777" w:rsidTr="00B06383">
        <w:trPr>
          <w:trHeight w:hRule="exact" w:val="272"/>
        </w:trPr>
        <w:tc>
          <w:tcPr>
            <w:tcW w:w="1949" w:type="dxa"/>
            <w:tcBorders>
              <w:top w:val="single" w:sz="4" w:space="0" w:color="auto"/>
              <w:left w:val="single" w:sz="4" w:space="0" w:color="auto"/>
            </w:tcBorders>
            <w:shd w:val="clear" w:color="auto" w:fill="FFFFFF"/>
          </w:tcPr>
          <w:p w14:paraId="73676DDE"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Income</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61EEE3B2"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Cf. Revenue</w:t>
            </w:r>
          </w:p>
        </w:tc>
      </w:tr>
      <w:tr w:rsidR="00B06383" w14:paraId="502812BC" w14:textId="77777777" w:rsidTr="004E0630">
        <w:trPr>
          <w:trHeight w:hRule="exact" w:val="1297"/>
        </w:trPr>
        <w:tc>
          <w:tcPr>
            <w:tcW w:w="1949" w:type="dxa"/>
            <w:tcBorders>
              <w:top w:val="single" w:sz="4" w:space="0" w:color="auto"/>
              <w:left w:val="single" w:sz="4" w:space="0" w:color="auto"/>
            </w:tcBorders>
            <w:shd w:val="clear" w:color="auto" w:fill="FFFFFF"/>
          </w:tcPr>
          <w:p w14:paraId="7547D261"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Legal base (basic act)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F5EBA90"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The legal base </w:t>
            </w:r>
            <w:r w:rsidRPr="0021561D">
              <w:rPr>
                <w:rStyle w:val="Bodytext212ptNotBold"/>
                <w:bCs/>
                <w:sz w:val="22"/>
                <w:szCs w:val="22"/>
                <w:lang w:val="en-GB" w:eastAsia="da-DK" w:bidi="da-DK"/>
              </w:rPr>
              <w:t xml:space="preserve">is, </w:t>
            </w:r>
            <w:r w:rsidRPr="0021561D">
              <w:rPr>
                <w:rStyle w:val="Bodytext212ptNotBold"/>
                <w:bCs/>
                <w:sz w:val="22"/>
                <w:szCs w:val="22"/>
              </w:rPr>
              <w:t xml:space="preserve">as a general rule, a law based on an </w:t>
            </w:r>
            <w:r w:rsidRPr="0021561D">
              <w:rPr>
                <w:rStyle w:val="Bodytext212ptNotBold"/>
                <w:bCs/>
                <w:sz w:val="22"/>
                <w:szCs w:val="22"/>
                <w:lang w:val="en-GB" w:eastAsia="da-DK" w:bidi="da-DK"/>
              </w:rPr>
              <w:t xml:space="preserve">article </w:t>
            </w:r>
            <w:r w:rsidRPr="0021561D">
              <w:rPr>
                <w:rStyle w:val="Bodytext212ptNotBold"/>
                <w:bCs/>
                <w:sz w:val="22"/>
                <w:szCs w:val="22"/>
              </w:rPr>
              <w:t>in the Treaty giving competence to the Community for a specific policy area and setting out the conditions for fulfilling that competence including budget implementation. Certain Treaty articles authorise the Commission to undertake certain actions, which imply spending, without there being a further legal act.</w:t>
            </w:r>
          </w:p>
        </w:tc>
      </w:tr>
      <w:tr w:rsidR="00B06383" w14:paraId="4D2666A6" w14:textId="77777777" w:rsidTr="00B77219">
        <w:trPr>
          <w:trHeight w:hRule="exact" w:val="274"/>
        </w:trPr>
        <w:tc>
          <w:tcPr>
            <w:tcW w:w="1949" w:type="dxa"/>
            <w:tcBorders>
              <w:top w:val="single" w:sz="4" w:space="0" w:color="auto"/>
              <w:left w:val="single" w:sz="4" w:space="0" w:color="auto"/>
            </w:tcBorders>
            <w:shd w:val="clear" w:color="auto" w:fill="FFFFFF"/>
          </w:tcPr>
          <w:p w14:paraId="2C6389C5"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Legal</w:t>
            </w:r>
            <w:r>
              <w:rPr>
                <w:rStyle w:val="Bodytext212ptNotBold"/>
                <w:bCs/>
                <w:sz w:val="22"/>
                <w:szCs w:val="22"/>
              </w:rPr>
              <w:t xml:space="preserve"> </w:t>
            </w:r>
            <w:r w:rsidRPr="0021561D">
              <w:rPr>
                <w:rStyle w:val="Bodytext212ptNotBold"/>
                <w:bCs/>
                <w:sz w:val="22"/>
                <w:szCs w:val="22"/>
              </w:rPr>
              <w:t>commitment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01A90B62"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A legal commitment establishes a legal obligation towards third parties.</w:t>
            </w:r>
          </w:p>
        </w:tc>
      </w:tr>
      <w:tr w:rsidR="00B06383" w14:paraId="65EFAE92" w14:textId="77777777" w:rsidTr="004841B6">
        <w:trPr>
          <w:trHeight w:hRule="exact" w:val="875"/>
        </w:trPr>
        <w:tc>
          <w:tcPr>
            <w:tcW w:w="1949" w:type="dxa"/>
            <w:tcBorders>
              <w:top w:val="single" w:sz="4" w:space="0" w:color="auto"/>
              <w:left w:val="single" w:sz="4" w:space="0" w:color="auto"/>
            </w:tcBorders>
            <w:shd w:val="clear" w:color="auto" w:fill="FFFFFF"/>
          </w:tcPr>
          <w:p w14:paraId="553CC30C"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Non-differentiated</w:t>
            </w:r>
            <w:r>
              <w:rPr>
                <w:rStyle w:val="Bodytext212ptNotBold"/>
                <w:bCs/>
                <w:sz w:val="22"/>
                <w:szCs w:val="22"/>
              </w:rPr>
              <w:t xml:space="preserve"> </w:t>
            </w: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17139960" w14:textId="5BF96E28" w:rsidR="00B06383" w:rsidRPr="0021561D" w:rsidRDefault="00B06383" w:rsidP="00042844">
            <w:pPr>
              <w:pStyle w:val="Bodytext21"/>
              <w:shd w:val="clear" w:color="auto" w:fill="auto"/>
              <w:spacing w:before="0" w:line="240" w:lineRule="auto"/>
              <w:rPr>
                <w:b w:val="0"/>
              </w:rPr>
            </w:pPr>
            <w:r w:rsidRPr="0021561D">
              <w:rPr>
                <w:rStyle w:val="Bodytext212ptNotBold"/>
                <w:bCs/>
                <w:sz w:val="22"/>
                <w:szCs w:val="22"/>
              </w:rPr>
              <w:t xml:space="preserve">Non-differentiated appropriations are for </w:t>
            </w:r>
            <w:r w:rsidRPr="0021561D">
              <w:rPr>
                <w:rStyle w:val="Bodytext212ptNotBold"/>
                <w:bCs/>
                <w:sz w:val="22"/>
                <w:szCs w:val="22"/>
                <w:lang w:val="en-GB" w:eastAsia="da-DK" w:bidi="da-DK"/>
              </w:rPr>
              <w:t xml:space="preserve">operations </w:t>
            </w:r>
            <w:r>
              <w:rPr>
                <w:rStyle w:val="Bodytext212ptNotBold"/>
                <w:bCs/>
                <w:sz w:val="22"/>
                <w:szCs w:val="22"/>
              </w:rPr>
              <w:t>of an annual nature. (Art</w:t>
            </w:r>
            <w:r w:rsidR="00042844">
              <w:rPr>
                <w:rStyle w:val="Bodytext212ptNotBold"/>
                <w:bCs/>
                <w:sz w:val="22"/>
                <w:szCs w:val="22"/>
              </w:rPr>
              <w:t>icle</w:t>
            </w:r>
            <w:r>
              <w:rPr>
                <w:rStyle w:val="Bodytext212ptNotBold"/>
                <w:bCs/>
                <w:sz w:val="22"/>
                <w:szCs w:val="22"/>
              </w:rPr>
              <w:t xml:space="preserve"> </w:t>
            </w:r>
            <w:r w:rsidR="006D248D">
              <w:rPr>
                <w:rStyle w:val="Bodytext212ptNotBold"/>
                <w:bCs/>
                <w:sz w:val="22"/>
                <w:szCs w:val="22"/>
              </w:rPr>
              <w:t>10</w:t>
            </w:r>
            <w:r>
              <w:rPr>
                <w:rStyle w:val="Bodytext212ptNotBold"/>
                <w:bCs/>
                <w:sz w:val="22"/>
                <w:szCs w:val="22"/>
              </w:rPr>
              <w:t xml:space="preserve"> </w:t>
            </w:r>
            <w:r w:rsidRPr="0021561D">
              <w:rPr>
                <w:rStyle w:val="Bodytext212ptNotBold"/>
                <w:bCs/>
                <w:sz w:val="22"/>
                <w:szCs w:val="22"/>
              </w:rPr>
              <w:t xml:space="preserve">FR). </w:t>
            </w:r>
            <w:r w:rsidR="004841B6">
              <w:rPr>
                <w:rStyle w:val="Bodytext212ptNotBold"/>
                <w:bCs/>
                <w:sz w:val="22"/>
                <w:szCs w:val="22"/>
              </w:rPr>
              <w:t>N</w:t>
            </w:r>
            <w:r w:rsidRPr="0021561D">
              <w:rPr>
                <w:rStyle w:val="Bodytext212ptNotBold"/>
                <w:bCs/>
                <w:sz w:val="22"/>
                <w:szCs w:val="22"/>
              </w:rPr>
              <w:t>on-differentiated appropriations apply to administrative expenditure</w:t>
            </w:r>
            <w:r w:rsidR="004841B6">
              <w:rPr>
                <w:rStyle w:val="Bodytext212ptNotBold"/>
                <w:bCs/>
                <w:sz w:val="22"/>
                <w:szCs w:val="22"/>
              </w:rPr>
              <w:t>.</w:t>
            </w:r>
          </w:p>
        </w:tc>
      </w:tr>
      <w:tr w:rsidR="00B06383" w14:paraId="12B95D14" w14:textId="77777777" w:rsidTr="00B77219">
        <w:trPr>
          <w:trHeight w:hRule="exact" w:val="576"/>
        </w:trPr>
        <w:tc>
          <w:tcPr>
            <w:tcW w:w="1949" w:type="dxa"/>
            <w:tcBorders>
              <w:top w:val="single" w:sz="4" w:space="0" w:color="auto"/>
              <w:left w:val="single" w:sz="4" w:space="0" w:color="auto"/>
            </w:tcBorders>
            <w:shd w:val="clear" w:color="auto" w:fill="FFFFFF"/>
          </w:tcPr>
          <w:p w14:paraId="370907CF"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Operational</w:t>
            </w:r>
            <w:r>
              <w:rPr>
                <w:rStyle w:val="Bodytext212ptNotBold"/>
                <w:bCs/>
                <w:sz w:val="22"/>
                <w:szCs w:val="22"/>
              </w:rPr>
              <w:t xml:space="preserve"> </w:t>
            </w: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707D51D5"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Operational appropriations finance the different policies, mainly in the form of grants or procurement.</w:t>
            </w:r>
          </w:p>
        </w:tc>
      </w:tr>
      <w:tr w:rsidR="00B06383" w14:paraId="33F894B8" w14:textId="77777777" w:rsidTr="00B77219">
        <w:trPr>
          <w:trHeight w:hRule="exact" w:val="570"/>
        </w:trPr>
        <w:tc>
          <w:tcPr>
            <w:tcW w:w="1949" w:type="dxa"/>
            <w:tcBorders>
              <w:top w:val="single" w:sz="4" w:space="0" w:color="auto"/>
              <w:left w:val="single" w:sz="4" w:space="0" w:color="auto"/>
            </w:tcBorders>
            <w:shd w:val="clear" w:color="auto" w:fill="FFFFFF"/>
          </w:tcPr>
          <w:p w14:paraId="6C34961D"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Outstanding</w:t>
            </w:r>
            <w:r>
              <w:rPr>
                <w:rStyle w:val="Bodytext212ptNotBold"/>
                <w:bCs/>
                <w:sz w:val="22"/>
                <w:szCs w:val="22"/>
              </w:rPr>
              <w:t xml:space="preserve"> </w:t>
            </w:r>
            <w:r w:rsidRPr="0021561D">
              <w:rPr>
                <w:rStyle w:val="Bodytext212ptNotBold"/>
                <w:bCs/>
                <w:sz w:val="22"/>
                <w:szCs w:val="22"/>
              </w:rPr>
              <w:t>commitment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386FCC2C" w14:textId="1A959093"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Legal commitments having not fully given rise to liquidation by payments. </w:t>
            </w:r>
            <w:r w:rsidRPr="0021561D">
              <w:rPr>
                <w:rStyle w:val="Bodytext212ptNotBold"/>
                <w:bCs/>
                <w:sz w:val="22"/>
                <w:szCs w:val="22"/>
                <w:lang w:val="nl-NL" w:eastAsia="nl-NL" w:bidi="nl-NL"/>
              </w:rPr>
              <w:t xml:space="preserve">Cf. </w:t>
            </w:r>
            <w:r w:rsidRPr="0021561D">
              <w:rPr>
                <w:rStyle w:val="Bodytext212ptNotBold"/>
                <w:bCs/>
                <w:sz w:val="22"/>
                <w:szCs w:val="22"/>
                <w:lang w:val="es-ES" w:eastAsia="es-ES" w:bidi="es-ES"/>
              </w:rPr>
              <w:t>RAL</w:t>
            </w:r>
          </w:p>
        </w:tc>
      </w:tr>
      <w:tr w:rsidR="00B06383" w14:paraId="012AAB61" w14:textId="77777777" w:rsidTr="00B77219">
        <w:trPr>
          <w:trHeight w:hRule="exact" w:val="280"/>
        </w:trPr>
        <w:tc>
          <w:tcPr>
            <w:tcW w:w="1949" w:type="dxa"/>
            <w:tcBorders>
              <w:top w:val="single" w:sz="4" w:space="0" w:color="auto"/>
              <w:left w:val="single" w:sz="4" w:space="0" w:color="auto"/>
            </w:tcBorders>
            <w:shd w:val="clear" w:color="auto" w:fill="FFFFFF"/>
          </w:tcPr>
          <w:p w14:paraId="626E1D6D"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Outturn</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356BBC7C"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Cf. Budget</w:t>
            </w:r>
            <w:r w:rsidR="00B77219">
              <w:rPr>
                <w:rStyle w:val="Bodytext212ptNotBold"/>
                <w:bCs/>
                <w:sz w:val="22"/>
                <w:szCs w:val="22"/>
              </w:rPr>
              <w:t>ary</w:t>
            </w:r>
            <w:r w:rsidRPr="0021561D">
              <w:rPr>
                <w:rStyle w:val="Bodytext212ptNotBold"/>
                <w:bCs/>
                <w:sz w:val="22"/>
                <w:szCs w:val="22"/>
              </w:rPr>
              <w:t xml:space="preserve"> result</w:t>
            </w:r>
          </w:p>
        </w:tc>
      </w:tr>
      <w:tr w:rsidR="00B06383" w14:paraId="40686B87" w14:textId="77777777" w:rsidTr="00B77219">
        <w:trPr>
          <w:trHeight w:hRule="exact" w:val="284"/>
        </w:trPr>
        <w:tc>
          <w:tcPr>
            <w:tcW w:w="1949" w:type="dxa"/>
            <w:tcBorders>
              <w:top w:val="single" w:sz="4" w:space="0" w:color="auto"/>
              <w:left w:val="single" w:sz="4" w:space="0" w:color="auto"/>
            </w:tcBorders>
            <w:shd w:val="clear" w:color="auto" w:fill="FFFFFF"/>
          </w:tcPr>
          <w:p w14:paraId="5CFD62E8"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Payment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7FC840BC"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A payment is a cash disbursement to honour legal obligations.</w:t>
            </w:r>
          </w:p>
        </w:tc>
      </w:tr>
      <w:tr w:rsidR="00B06383" w14:paraId="4C281B3F" w14:textId="77777777" w:rsidTr="00B06383">
        <w:trPr>
          <w:trHeight w:hRule="exact" w:val="872"/>
        </w:trPr>
        <w:tc>
          <w:tcPr>
            <w:tcW w:w="1949" w:type="dxa"/>
            <w:tcBorders>
              <w:top w:val="single" w:sz="4" w:space="0" w:color="auto"/>
              <w:left w:val="single" w:sz="4" w:space="0" w:color="auto"/>
            </w:tcBorders>
            <w:shd w:val="clear" w:color="auto" w:fill="FFFFFF"/>
          </w:tcPr>
          <w:p w14:paraId="00F1DE02"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Payment</w:t>
            </w:r>
            <w:r>
              <w:rPr>
                <w:rStyle w:val="Bodytext212ptNotBold"/>
                <w:bCs/>
                <w:sz w:val="22"/>
                <w:szCs w:val="22"/>
              </w:rPr>
              <w:t xml:space="preserve"> </w:t>
            </w:r>
            <w:r w:rsidRPr="0021561D">
              <w:rPr>
                <w:rStyle w:val="Bodytext212ptNotBold"/>
                <w:bCs/>
                <w:sz w:val="22"/>
                <w:szCs w:val="22"/>
              </w:rPr>
              <w:t>appropriations</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9DE9C89" w14:textId="77777777" w:rsidR="00B06383" w:rsidRPr="0021561D" w:rsidRDefault="00B06383" w:rsidP="004E0630">
            <w:pPr>
              <w:pStyle w:val="Bodytext21"/>
              <w:shd w:val="clear" w:color="auto" w:fill="auto"/>
              <w:spacing w:before="0" w:line="240" w:lineRule="auto"/>
              <w:rPr>
                <w:b w:val="0"/>
              </w:rPr>
            </w:pPr>
            <w:r w:rsidRPr="0021561D">
              <w:rPr>
                <w:rStyle w:val="Bodytext212ptNotBold"/>
                <w:bCs/>
                <w:sz w:val="22"/>
                <w:szCs w:val="22"/>
              </w:rPr>
              <w:t xml:space="preserve">Payment appropriations cover expenditure due in </w:t>
            </w:r>
            <w:r w:rsidRPr="0021561D">
              <w:rPr>
                <w:rStyle w:val="Bodytext212ptNotBold"/>
                <w:bCs/>
                <w:sz w:val="22"/>
                <w:szCs w:val="22"/>
                <w:lang w:val="en-GB" w:eastAsia="nl-NL" w:bidi="nl-NL"/>
              </w:rPr>
              <w:t xml:space="preserve">the </w:t>
            </w:r>
            <w:r w:rsidRPr="0021561D">
              <w:rPr>
                <w:rStyle w:val="Bodytext212ptNotBold"/>
                <w:bCs/>
                <w:sz w:val="22"/>
                <w:szCs w:val="22"/>
              </w:rPr>
              <w:t>current year, arising from legal commitments entered in the current year and/or earlier years (Art</w:t>
            </w:r>
            <w:r w:rsidR="004E0630">
              <w:rPr>
                <w:rStyle w:val="Bodytext212ptNotBold"/>
                <w:bCs/>
                <w:sz w:val="22"/>
                <w:szCs w:val="22"/>
              </w:rPr>
              <w:t>icle</w:t>
            </w:r>
            <w:r w:rsidRPr="0021561D">
              <w:rPr>
                <w:rStyle w:val="Bodytext212ptNotBold"/>
                <w:bCs/>
                <w:sz w:val="22"/>
                <w:szCs w:val="22"/>
              </w:rPr>
              <w:t xml:space="preserve"> 7 FR).</w:t>
            </w:r>
          </w:p>
        </w:tc>
      </w:tr>
      <w:tr w:rsidR="00B06383" w14:paraId="6581ADD2" w14:textId="77777777" w:rsidTr="004E0630">
        <w:trPr>
          <w:trHeight w:hRule="exact" w:val="1370"/>
        </w:trPr>
        <w:tc>
          <w:tcPr>
            <w:tcW w:w="1949" w:type="dxa"/>
            <w:tcBorders>
              <w:top w:val="single" w:sz="4" w:space="0" w:color="auto"/>
              <w:left w:val="single" w:sz="4" w:space="0" w:color="auto"/>
            </w:tcBorders>
            <w:shd w:val="clear" w:color="auto" w:fill="FFFFFF"/>
          </w:tcPr>
          <w:p w14:paraId="39AA1F45"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lang w:val="es-ES" w:eastAsia="es-ES" w:bidi="es-ES"/>
              </w:rPr>
              <w:t>RAL</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4E7E7CAC"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Sum of outstanding commitments. Outstanding commitments (or </w:t>
            </w:r>
            <w:r w:rsidRPr="0021561D">
              <w:rPr>
                <w:rStyle w:val="Bodytext212ptNotBold"/>
                <w:bCs/>
                <w:sz w:val="22"/>
                <w:szCs w:val="22"/>
                <w:lang w:val="en-GB" w:eastAsia="es-ES" w:bidi="es-ES"/>
              </w:rPr>
              <w:t xml:space="preserve">RAL, </w:t>
            </w:r>
            <w:r w:rsidRPr="0021561D">
              <w:rPr>
                <w:rStyle w:val="Bodytext212ptNotBold"/>
                <w:bCs/>
                <w:sz w:val="22"/>
                <w:szCs w:val="22"/>
              </w:rPr>
              <w:t xml:space="preserve">from the French </w:t>
            </w:r>
            <w:r w:rsidRPr="0021561D">
              <w:rPr>
                <w:rStyle w:val="Bodytext285ptNotBoldItalicSpacing2pt"/>
                <w:bCs/>
                <w:sz w:val="22"/>
                <w:szCs w:val="22"/>
                <w:lang w:val="en-GB" w:eastAsia="fr-FR" w:bidi="fr-FR"/>
              </w:rPr>
              <w:t>‘</w:t>
            </w:r>
            <w:r w:rsidRPr="0021561D">
              <w:rPr>
                <w:rStyle w:val="Bodytext212ptNotBoldItalic"/>
                <w:bCs/>
                <w:sz w:val="22"/>
                <w:szCs w:val="22"/>
                <w:lang w:val="en-GB" w:eastAsia="fr-FR" w:bidi="fr-FR"/>
              </w:rPr>
              <w:t>reste à liquider</w:t>
            </w:r>
            <w:r w:rsidRPr="0021561D">
              <w:rPr>
                <w:rStyle w:val="Bodytext285ptNotBoldItalicSpacing2pt"/>
                <w:bCs/>
                <w:sz w:val="22"/>
                <w:szCs w:val="22"/>
                <w:lang w:val="en-GB" w:eastAsia="fr-FR" w:bidi="fr-FR"/>
              </w:rPr>
              <w:t>')</w:t>
            </w:r>
            <w:r w:rsidRPr="0021561D">
              <w:rPr>
                <w:rStyle w:val="Bodytext212ptNotBold"/>
                <w:bCs/>
                <w:sz w:val="22"/>
                <w:szCs w:val="22"/>
                <w:lang w:val="en-GB" w:eastAsia="fr-FR" w:bidi="fr-FR"/>
              </w:rPr>
              <w:t xml:space="preserve"> </w:t>
            </w:r>
            <w:r w:rsidRPr="0021561D">
              <w:rPr>
                <w:rStyle w:val="Bodytext212ptNotBold"/>
                <w:bCs/>
                <w:sz w:val="22"/>
                <w:szCs w:val="22"/>
              </w:rPr>
              <w:t xml:space="preserve">are defined as the amount of appropriations committed that have not yet been paid. They stem directly from </w:t>
            </w:r>
            <w:r w:rsidRPr="0021561D">
              <w:rPr>
                <w:rStyle w:val="Bodytext212ptNotBold"/>
                <w:bCs/>
                <w:sz w:val="22"/>
                <w:szCs w:val="22"/>
                <w:lang w:val="en-GB" w:eastAsia="nl-NL" w:bidi="nl-NL"/>
              </w:rPr>
              <w:t xml:space="preserve">the </w:t>
            </w:r>
            <w:r w:rsidRPr="0021561D">
              <w:rPr>
                <w:rStyle w:val="Bodytext212ptNotBold"/>
                <w:bCs/>
                <w:sz w:val="22"/>
                <w:szCs w:val="22"/>
                <w:lang w:val="cs-CZ" w:eastAsia="cs-CZ" w:bidi="cs-CZ"/>
              </w:rPr>
              <w:t xml:space="preserve">existence </w:t>
            </w:r>
            <w:r w:rsidRPr="0021561D">
              <w:rPr>
                <w:rStyle w:val="Bodytext212ptNotBold"/>
                <w:bCs/>
                <w:sz w:val="22"/>
                <w:szCs w:val="22"/>
              </w:rPr>
              <w:t xml:space="preserve">of multiannual programmes and the </w:t>
            </w:r>
            <w:r w:rsidRPr="0021561D">
              <w:rPr>
                <w:rStyle w:val="Bodytext212ptNotBold"/>
                <w:bCs/>
                <w:sz w:val="22"/>
                <w:szCs w:val="22"/>
                <w:lang w:val="en-GB" w:eastAsia="da-DK" w:bidi="da-DK"/>
              </w:rPr>
              <w:t xml:space="preserve">dissociation </w:t>
            </w:r>
            <w:r w:rsidRPr="0021561D">
              <w:rPr>
                <w:rStyle w:val="Bodytext212ptNotBold"/>
                <w:bCs/>
                <w:sz w:val="22"/>
                <w:szCs w:val="22"/>
              </w:rPr>
              <w:t xml:space="preserve">between commitment and payment appropriations. </w:t>
            </w:r>
            <w:r w:rsidRPr="0021561D">
              <w:rPr>
                <w:rStyle w:val="Bodytext212ptNotBold"/>
                <w:bCs/>
                <w:sz w:val="22"/>
                <w:szCs w:val="22"/>
                <w:lang w:val="fr-FR" w:eastAsia="fr-FR" w:bidi="fr-FR"/>
              </w:rPr>
              <w:t xml:space="preserve">(Cf. </w:t>
            </w:r>
            <w:r w:rsidRPr="0021561D">
              <w:rPr>
                <w:rStyle w:val="Bodytext212ptNotBoldItalic"/>
                <w:bCs/>
                <w:sz w:val="22"/>
                <w:szCs w:val="22"/>
              </w:rPr>
              <w:t>Outstanding commitments</w:t>
            </w:r>
            <w:r w:rsidRPr="0021561D">
              <w:rPr>
                <w:rStyle w:val="Bodytext285ptNotBoldItalicSpacing2pt"/>
                <w:bCs/>
                <w:sz w:val="22"/>
                <w:szCs w:val="22"/>
              </w:rPr>
              <w:t>)</w:t>
            </w:r>
          </w:p>
        </w:tc>
      </w:tr>
      <w:tr w:rsidR="00B06383" w14:paraId="1904249B" w14:textId="77777777" w:rsidTr="004E0630">
        <w:trPr>
          <w:trHeight w:hRule="exact" w:val="1107"/>
        </w:trPr>
        <w:tc>
          <w:tcPr>
            <w:tcW w:w="1949" w:type="dxa"/>
            <w:tcBorders>
              <w:top w:val="single" w:sz="4" w:space="0" w:color="auto"/>
              <w:left w:val="single" w:sz="4" w:space="0" w:color="auto"/>
              <w:bottom w:val="single" w:sz="4" w:space="0" w:color="auto"/>
            </w:tcBorders>
            <w:shd w:val="clear" w:color="auto" w:fill="FFFFFF"/>
          </w:tcPr>
          <w:p w14:paraId="3AF63B3D"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lang w:val="es-ES" w:eastAsia="es-ES" w:bidi="es-ES"/>
              </w:rPr>
              <w:t>Recovery</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34B66DC" w14:textId="77777777" w:rsidR="00B06383" w:rsidRPr="0021561D" w:rsidRDefault="00B06383" w:rsidP="00A64D26">
            <w:pPr>
              <w:pStyle w:val="Bodytext21"/>
              <w:shd w:val="clear" w:color="auto" w:fill="auto"/>
              <w:spacing w:before="0" w:line="240" w:lineRule="auto"/>
              <w:rPr>
                <w:rStyle w:val="Bodytext212ptNotBold"/>
                <w:sz w:val="22"/>
                <w:szCs w:val="22"/>
              </w:rPr>
            </w:pPr>
            <w:r w:rsidRPr="0021561D">
              <w:rPr>
                <w:rStyle w:val="Bodytext212ptNotBold"/>
                <w:bCs/>
                <w:sz w:val="22"/>
                <w:szCs w:val="22"/>
              </w:rPr>
              <w:t xml:space="preserve">The recovery order is </w:t>
            </w:r>
            <w:r w:rsidRPr="0021561D">
              <w:rPr>
                <w:rStyle w:val="Bodytext212ptNotBold"/>
                <w:bCs/>
                <w:sz w:val="22"/>
                <w:szCs w:val="22"/>
                <w:lang w:val="en-GB" w:eastAsia="nl-NL" w:bidi="nl-NL"/>
              </w:rPr>
              <w:t xml:space="preserve">the </w:t>
            </w:r>
            <w:r w:rsidRPr="0021561D">
              <w:rPr>
                <w:rStyle w:val="Bodytext212ptNotBold"/>
                <w:bCs/>
                <w:sz w:val="22"/>
                <w:szCs w:val="22"/>
              </w:rPr>
              <w:t xml:space="preserve">procedure by which </w:t>
            </w:r>
            <w:r w:rsidRPr="0021561D">
              <w:rPr>
                <w:rStyle w:val="Bodytext212ptNotBold"/>
                <w:bCs/>
                <w:sz w:val="22"/>
                <w:szCs w:val="22"/>
                <w:lang w:val="en-GB" w:eastAsia="nl-NL" w:bidi="nl-NL"/>
              </w:rPr>
              <w:t xml:space="preserve">the </w:t>
            </w:r>
            <w:r w:rsidRPr="0021561D">
              <w:rPr>
                <w:rStyle w:val="Bodytext212ptNotBold"/>
                <w:bCs/>
                <w:sz w:val="22"/>
                <w:szCs w:val="22"/>
              </w:rPr>
              <w:t xml:space="preserve">Authorising </w:t>
            </w:r>
            <w:r w:rsidRPr="0021561D">
              <w:rPr>
                <w:rStyle w:val="Bodytext212ptNotBold"/>
                <w:bCs/>
                <w:sz w:val="22"/>
                <w:szCs w:val="22"/>
                <w:lang w:val="en-GB" w:eastAsia="da-DK" w:bidi="da-DK"/>
              </w:rPr>
              <w:t xml:space="preserve">officer </w:t>
            </w:r>
            <w:r w:rsidRPr="0021561D">
              <w:rPr>
                <w:rStyle w:val="Bodytext212ptNotBold"/>
                <w:bCs/>
                <w:sz w:val="22"/>
                <w:szCs w:val="22"/>
              </w:rPr>
              <w:t xml:space="preserve">(AO) registers an entitlement </w:t>
            </w:r>
            <w:r w:rsidR="00B77219">
              <w:rPr>
                <w:rStyle w:val="Bodytext212ptNotBold"/>
                <w:bCs/>
                <w:sz w:val="22"/>
                <w:szCs w:val="22"/>
              </w:rPr>
              <w:t>for</w:t>
            </w:r>
            <w:r w:rsidR="00B77219" w:rsidRPr="0021561D">
              <w:rPr>
                <w:rStyle w:val="Bodytext212ptNotBold"/>
                <w:bCs/>
                <w:sz w:val="22"/>
                <w:szCs w:val="22"/>
              </w:rPr>
              <w:t xml:space="preserve"> </w:t>
            </w:r>
            <w:r w:rsidRPr="0021561D">
              <w:rPr>
                <w:rStyle w:val="Bodytext212ptNotBold"/>
                <w:bCs/>
                <w:sz w:val="22"/>
                <w:szCs w:val="22"/>
              </w:rPr>
              <w:t>the Commission in order to retrieve the amount which is due. The entitlement is the right that the</w:t>
            </w:r>
            <w:r w:rsidRPr="0021561D">
              <w:rPr>
                <w:rStyle w:val="Bodytext212ptNotBold"/>
                <w:sz w:val="22"/>
                <w:szCs w:val="22"/>
              </w:rPr>
              <w:t xml:space="preserve"> </w:t>
            </w:r>
            <w:r w:rsidRPr="0021561D">
              <w:rPr>
                <w:rStyle w:val="Bodytext212ptNotBold"/>
                <w:bCs/>
                <w:sz w:val="22"/>
                <w:szCs w:val="22"/>
              </w:rPr>
              <w:t>Commission has to claim the sum which is due by a debtor, usually a beneficiary.</w:t>
            </w:r>
          </w:p>
          <w:p w14:paraId="4EB5B547" w14:textId="77777777" w:rsidR="00B06383" w:rsidRPr="0021561D" w:rsidRDefault="00B06383" w:rsidP="00A64D26">
            <w:pPr>
              <w:pStyle w:val="Bodytext21"/>
              <w:shd w:val="clear" w:color="auto" w:fill="auto"/>
              <w:spacing w:before="0" w:line="240" w:lineRule="auto"/>
              <w:rPr>
                <w:rStyle w:val="Bodytext212ptNotBold"/>
                <w:sz w:val="22"/>
                <w:szCs w:val="22"/>
              </w:rPr>
            </w:pPr>
          </w:p>
          <w:p w14:paraId="2BF836D7" w14:textId="77777777" w:rsidR="00B06383" w:rsidRPr="0021561D" w:rsidRDefault="00B06383" w:rsidP="00A64D26">
            <w:pPr>
              <w:pStyle w:val="Bodytext21"/>
              <w:shd w:val="clear" w:color="auto" w:fill="auto"/>
              <w:spacing w:before="0" w:line="240" w:lineRule="auto"/>
              <w:rPr>
                <w:rStyle w:val="Bodytext212ptNotBold"/>
                <w:sz w:val="22"/>
                <w:szCs w:val="22"/>
              </w:rPr>
            </w:pPr>
          </w:p>
          <w:p w14:paraId="6C5CABF9" w14:textId="77777777" w:rsidR="00B06383" w:rsidRPr="0021561D" w:rsidRDefault="00B06383" w:rsidP="00A64D26">
            <w:pPr>
              <w:pStyle w:val="Bodytext21"/>
              <w:shd w:val="clear" w:color="auto" w:fill="auto"/>
              <w:spacing w:before="0" w:line="240" w:lineRule="auto"/>
              <w:rPr>
                <w:rStyle w:val="Bodytext212ptNotBold"/>
                <w:sz w:val="22"/>
                <w:szCs w:val="22"/>
              </w:rPr>
            </w:pPr>
          </w:p>
          <w:p w14:paraId="3A3E4F71" w14:textId="77777777" w:rsidR="00B06383" w:rsidRPr="0021561D" w:rsidRDefault="00B06383" w:rsidP="00A64D26">
            <w:pPr>
              <w:pStyle w:val="Bodytext21"/>
              <w:shd w:val="clear" w:color="auto" w:fill="auto"/>
              <w:spacing w:before="0" w:line="240" w:lineRule="auto"/>
              <w:rPr>
                <w:rStyle w:val="Bodytext212ptNotBold"/>
                <w:sz w:val="22"/>
                <w:szCs w:val="22"/>
              </w:rPr>
            </w:pPr>
          </w:p>
          <w:p w14:paraId="037A6FC1" w14:textId="77777777" w:rsidR="00B06383" w:rsidRPr="0021561D" w:rsidRDefault="00B06383" w:rsidP="00A64D26">
            <w:pPr>
              <w:pStyle w:val="Bodytext21"/>
              <w:shd w:val="clear" w:color="auto" w:fill="auto"/>
              <w:spacing w:before="0" w:line="240" w:lineRule="auto"/>
              <w:rPr>
                <w:rStyle w:val="Bodytext212ptNotBold"/>
                <w:sz w:val="22"/>
                <w:szCs w:val="22"/>
              </w:rPr>
            </w:pPr>
          </w:p>
          <w:p w14:paraId="0B1E0074" w14:textId="77777777" w:rsidR="00B06383" w:rsidRPr="0021561D" w:rsidRDefault="00B06383" w:rsidP="00A64D26">
            <w:pPr>
              <w:pStyle w:val="Bodytext21"/>
              <w:shd w:val="clear" w:color="auto" w:fill="auto"/>
              <w:spacing w:before="0" w:line="240" w:lineRule="auto"/>
              <w:rPr>
                <w:b w:val="0"/>
              </w:rPr>
            </w:pPr>
            <w:r w:rsidRPr="0021561D">
              <w:rPr>
                <w:rStyle w:val="Bodytext212ptNotBold"/>
                <w:bCs/>
                <w:sz w:val="22"/>
                <w:szCs w:val="22"/>
              </w:rPr>
              <w:t xml:space="preserve"> has to claim the sum which is due by a debtor, usually a beneficiary.</w:t>
            </w:r>
          </w:p>
        </w:tc>
      </w:tr>
      <w:tr w:rsidR="00B77219" w:rsidRPr="00B77219" w14:paraId="50FDC03D" w14:textId="77777777" w:rsidTr="00B77219">
        <w:trPr>
          <w:trHeight w:hRule="exact" w:val="284"/>
        </w:trPr>
        <w:tc>
          <w:tcPr>
            <w:tcW w:w="1949" w:type="dxa"/>
            <w:tcBorders>
              <w:top w:val="single" w:sz="4" w:space="0" w:color="auto"/>
              <w:left w:val="single" w:sz="4" w:space="0" w:color="auto"/>
            </w:tcBorders>
            <w:shd w:val="clear" w:color="auto" w:fill="FFFFFF"/>
          </w:tcPr>
          <w:p w14:paraId="4EFD0634" w14:textId="77777777" w:rsidR="00B77219" w:rsidRPr="00B77219" w:rsidRDefault="00B77219" w:rsidP="00A64D26">
            <w:pPr>
              <w:pStyle w:val="Bodytext21"/>
              <w:shd w:val="clear" w:color="auto" w:fill="auto"/>
              <w:tabs>
                <w:tab w:val="right" w:pos="1929"/>
              </w:tabs>
              <w:spacing w:before="0" w:line="240" w:lineRule="auto"/>
              <w:rPr>
                <w:rStyle w:val="Bodytext212ptNotBold"/>
                <w:bCs/>
                <w:sz w:val="22"/>
                <w:szCs w:val="22"/>
                <w:lang w:val="es-ES" w:eastAsia="es-ES" w:bidi="es-ES"/>
              </w:rPr>
            </w:pPr>
            <w:r>
              <w:rPr>
                <w:rStyle w:val="Bodytext212ptNotBold"/>
                <w:bCs/>
                <w:sz w:val="22"/>
                <w:szCs w:val="22"/>
                <w:lang w:val="es-ES" w:eastAsia="es-ES" w:bidi="es-ES"/>
              </w:rPr>
              <w:t>Result</w:t>
            </w:r>
          </w:p>
        </w:tc>
        <w:tc>
          <w:tcPr>
            <w:tcW w:w="7027" w:type="dxa"/>
            <w:tcBorders>
              <w:top w:val="single" w:sz="4" w:space="0" w:color="auto"/>
              <w:left w:val="single" w:sz="4" w:space="0" w:color="auto"/>
              <w:right w:val="single" w:sz="4" w:space="0" w:color="auto"/>
            </w:tcBorders>
            <w:shd w:val="clear" w:color="auto" w:fill="FFFFFF"/>
            <w:tcMar>
              <w:left w:w="57" w:type="dxa"/>
              <w:right w:w="57" w:type="dxa"/>
            </w:tcMar>
          </w:tcPr>
          <w:p w14:paraId="5BE3E60F" w14:textId="77777777" w:rsidR="00B77219" w:rsidRPr="00B77219" w:rsidRDefault="00B77219" w:rsidP="00A64D26">
            <w:pPr>
              <w:pStyle w:val="Bodytext21"/>
              <w:shd w:val="clear" w:color="auto" w:fill="auto"/>
              <w:spacing w:before="0" w:line="240" w:lineRule="auto"/>
              <w:rPr>
                <w:rStyle w:val="Bodytext212ptNotBold"/>
                <w:bCs/>
                <w:sz w:val="22"/>
                <w:szCs w:val="22"/>
                <w:lang w:val="en-GB" w:eastAsia="es-ES" w:bidi="es-ES"/>
              </w:rPr>
            </w:pPr>
            <w:r w:rsidRPr="00B77219">
              <w:rPr>
                <w:rStyle w:val="Bodytext212ptNotBold"/>
                <w:bCs/>
                <w:sz w:val="22"/>
                <w:szCs w:val="22"/>
                <w:lang w:val="en-GB" w:eastAsia="es-ES" w:bidi="es-ES"/>
              </w:rPr>
              <w:t>Cf. O</w:t>
            </w:r>
            <w:r>
              <w:rPr>
                <w:rStyle w:val="Bodytext212ptNotBold"/>
                <w:bCs/>
                <w:sz w:val="22"/>
                <w:szCs w:val="22"/>
                <w:lang w:val="en-GB" w:eastAsia="es-ES" w:bidi="es-ES"/>
              </w:rPr>
              <w:t>utturn</w:t>
            </w:r>
          </w:p>
        </w:tc>
      </w:tr>
      <w:tr w:rsidR="00B77219" w14:paraId="3A15A391" w14:textId="77777777" w:rsidTr="00B77219">
        <w:trPr>
          <w:trHeight w:hRule="exact" w:val="288"/>
        </w:trPr>
        <w:tc>
          <w:tcPr>
            <w:tcW w:w="1949" w:type="dxa"/>
            <w:tcBorders>
              <w:top w:val="single" w:sz="4" w:space="0" w:color="auto"/>
              <w:left w:val="single" w:sz="4" w:space="0" w:color="auto"/>
              <w:bottom w:val="single" w:sz="4" w:space="0" w:color="auto"/>
            </w:tcBorders>
            <w:shd w:val="clear" w:color="auto" w:fill="FFFFFF"/>
          </w:tcPr>
          <w:p w14:paraId="31C4C87E"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Revenue</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54C4590"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Term used to describe income from all sources financing the budget.</w:t>
            </w:r>
          </w:p>
        </w:tc>
      </w:tr>
      <w:tr w:rsidR="00B77219" w14:paraId="27F471FC" w14:textId="77777777" w:rsidTr="004E0630">
        <w:trPr>
          <w:trHeight w:hRule="exact" w:val="819"/>
        </w:trPr>
        <w:tc>
          <w:tcPr>
            <w:tcW w:w="1949" w:type="dxa"/>
            <w:tcBorders>
              <w:top w:val="single" w:sz="4" w:space="0" w:color="auto"/>
              <w:left w:val="single" w:sz="4" w:space="0" w:color="auto"/>
              <w:bottom w:val="single" w:sz="4" w:space="0" w:color="auto"/>
            </w:tcBorders>
            <w:shd w:val="clear" w:color="auto" w:fill="FFFFFF"/>
          </w:tcPr>
          <w:p w14:paraId="6B30CDFC"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Rules of application</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A5B345B"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Detailed rules for the implementation of the financial regulation. They are set out in a Commission regulation adopted after consulting all institutions and cannot alter the financial regulation upon which they depend.</w:t>
            </w:r>
          </w:p>
        </w:tc>
      </w:tr>
      <w:tr w:rsidR="00B77219" w14:paraId="1F303E53" w14:textId="77777777" w:rsidTr="004E0630">
        <w:trPr>
          <w:trHeight w:hRule="exact" w:val="803"/>
        </w:trPr>
        <w:tc>
          <w:tcPr>
            <w:tcW w:w="1949" w:type="dxa"/>
            <w:tcBorders>
              <w:top w:val="single" w:sz="4" w:space="0" w:color="auto"/>
              <w:left w:val="single" w:sz="4" w:space="0" w:color="auto"/>
              <w:bottom w:val="single" w:sz="4" w:space="0" w:color="auto"/>
            </w:tcBorders>
            <w:shd w:val="clear" w:color="auto" w:fill="FFFFFF"/>
          </w:tcPr>
          <w:p w14:paraId="67C58BBD"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Surplus</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08EBE89"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 xml:space="preserve">Positive difference between revenue and expenditure (see </w:t>
            </w:r>
            <w:r>
              <w:rPr>
                <w:rStyle w:val="Bodytext212ptNotBold"/>
                <w:bCs/>
                <w:sz w:val="22"/>
                <w:szCs w:val="22"/>
              </w:rPr>
              <w:t>b</w:t>
            </w:r>
            <w:r w:rsidRPr="0021561D">
              <w:rPr>
                <w:rStyle w:val="Bodytext212ptNotBold"/>
                <w:bCs/>
                <w:sz w:val="22"/>
                <w:szCs w:val="22"/>
              </w:rPr>
              <w:t>udget</w:t>
            </w:r>
            <w:r>
              <w:rPr>
                <w:rStyle w:val="Bodytext212ptNotBold"/>
                <w:bCs/>
                <w:sz w:val="22"/>
                <w:szCs w:val="22"/>
              </w:rPr>
              <w:t>ary</w:t>
            </w:r>
            <w:r w:rsidRPr="0021561D">
              <w:rPr>
                <w:rStyle w:val="Bodytext212ptNotBold"/>
                <w:bCs/>
                <w:sz w:val="22"/>
                <w:szCs w:val="22"/>
              </w:rPr>
              <w:t xml:space="preserve"> result) which has to be returned to the funding authority as provided in the Financial Regulation.</w:t>
            </w:r>
          </w:p>
        </w:tc>
      </w:tr>
      <w:tr w:rsidR="00B77219" w14:paraId="5F6481EC" w14:textId="77777777" w:rsidTr="004E0630">
        <w:trPr>
          <w:trHeight w:hRule="exact" w:val="2049"/>
        </w:trPr>
        <w:tc>
          <w:tcPr>
            <w:tcW w:w="1949" w:type="dxa"/>
            <w:tcBorders>
              <w:top w:val="single" w:sz="4" w:space="0" w:color="auto"/>
              <w:left w:val="single" w:sz="4" w:space="0" w:color="auto"/>
              <w:bottom w:val="single" w:sz="4" w:space="0" w:color="auto"/>
            </w:tcBorders>
            <w:shd w:val="clear" w:color="auto" w:fill="FFFFFF"/>
          </w:tcPr>
          <w:p w14:paraId="18D3C49B"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Transfer</w:t>
            </w:r>
          </w:p>
        </w:tc>
        <w:tc>
          <w:tcPr>
            <w:tcW w:w="702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F2A289B" w14:textId="77777777" w:rsidR="00B77219" w:rsidRPr="0021561D" w:rsidRDefault="00B77219" w:rsidP="00A64D26">
            <w:pPr>
              <w:pStyle w:val="Bodytext21"/>
              <w:shd w:val="clear" w:color="auto" w:fill="auto"/>
              <w:spacing w:before="0" w:line="240" w:lineRule="auto"/>
              <w:rPr>
                <w:b w:val="0"/>
              </w:rPr>
            </w:pPr>
            <w:r w:rsidRPr="0021561D">
              <w:rPr>
                <w:rStyle w:val="Bodytext212ptNotBold"/>
                <w:bCs/>
                <w:sz w:val="22"/>
                <w:szCs w:val="22"/>
              </w:rPr>
              <w:t xml:space="preserve">Transfers between budget lines imply the relocation of appropriations from one budget line to another, in the course of the financial year, and thereby they constitute an exception to the budgetary </w:t>
            </w:r>
            <w:r w:rsidRPr="0021561D">
              <w:rPr>
                <w:rStyle w:val="Bodytext212ptNotBold"/>
                <w:bCs/>
                <w:sz w:val="22"/>
                <w:szCs w:val="22"/>
                <w:lang w:val="en-GB" w:eastAsia="da-DK" w:bidi="da-DK"/>
              </w:rPr>
              <w:t xml:space="preserve">principle </w:t>
            </w:r>
            <w:r w:rsidRPr="0021561D">
              <w:rPr>
                <w:rStyle w:val="Bodytext212ptNotBold"/>
                <w:bCs/>
                <w:sz w:val="22"/>
                <w:szCs w:val="22"/>
              </w:rPr>
              <w:t xml:space="preserve">of specification. They are, however, expressly authorised by </w:t>
            </w:r>
            <w:r w:rsidRPr="0021561D">
              <w:rPr>
                <w:rStyle w:val="Bodytext212ptNotBold"/>
                <w:bCs/>
                <w:sz w:val="22"/>
                <w:szCs w:val="22"/>
                <w:lang w:val="en-GB" w:eastAsia="nl-NL" w:bidi="nl-NL"/>
              </w:rPr>
              <w:t xml:space="preserve">the </w:t>
            </w:r>
            <w:r w:rsidRPr="0021561D">
              <w:rPr>
                <w:rStyle w:val="Bodytext212ptNotBold"/>
                <w:bCs/>
                <w:sz w:val="22"/>
                <w:szCs w:val="22"/>
              </w:rPr>
              <w:t xml:space="preserve">Treaty on the Functioning of the European Union under the conditions laid down in the Financial Regulation. The FR identifies different types of transfers depending on whether they are between or within budget </w:t>
            </w:r>
            <w:r w:rsidRPr="0021561D">
              <w:rPr>
                <w:rStyle w:val="Bodytext212ptNotBold"/>
                <w:bCs/>
                <w:sz w:val="22"/>
                <w:szCs w:val="22"/>
                <w:lang w:val="en-GB" w:eastAsia="da-DK" w:bidi="da-DK"/>
              </w:rPr>
              <w:t xml:space="preserve">titles, </w:t>
            </w:r>
            <w:r w:rsidRPr="0021561D">
              <w:rPr>
                <w:rStyle w:val="Bodytext212ptNotBold"/>
                <w:bCs/>
                <w:sz w:val="22"/>
                <w:szCs w:val="22"/>
              </w:rPr>
              <w:t xml:space="preserve">chapters, articles or headings and require different </w:t>
            </w:r>
            <w:r w:rsidRPr="0021561D">
              <w:rPr>
                <w:rStyle w:val="Bodytext212ptNotBold"/>
                <w:bCs/>
                <w:sz w:val="22"/>
                <w:szCs w:val="22"/>
                <w:lang w:val="en-GB" w:eastAsia="da-DK" w:bidi="da-DK"/>
              </w:rPr>
              <w:t xml:space="preserve">levels </w:t>
            </w:r>
            <w:r w:rsidRPr="0021561D">
              <w:rPr>
                <w:rStyle w:val="Bodytext212ptNotBold"/>
                <w:bCs/>
                <w:sz w:val="22"/>
                <w:szCs w:val="22"/>
              </w:rPr>
              <w:t>of authori</w:t>
            </w:r>
            <w:r>
              <w:rPr>
                <w:rStyle w:val="Bodytext212ptNotBold"/>
                <w:bCs/>
                <w:sz w:val="22"/>
                <w:szCs w:val="22"/>
              </w:rPr>
              <w:t>s</w:t>
            </w:r>
            <w:r w:rsidRPr="0021561D">
              <w:rPr>
                <w:rStyle w:val="Bodytext212ptNotBold"/>
                <w:bCs/>
                <w:sz w:val="22"/>
                <w:szCs w:val="22"/>
              </w:rPr>
              <w:t>ation.</w:t>
            </w:r>
          </w:p>
        </w:tc>
      </w:tr>
    </w:tbl>
    <w:p w14:paraId="2DD91CBE" w14:textId="77777777" w:rsidR="00BC1B23" w:rsidRPr="00200AB7" w:rsidRDefault="00BC1B23" w:rsidP="00A64D26">
      <w:pPr>
        <w:rPr>
          <w:bCs/>
          <w:sz w:val="22"/>
          <w:szCs w:val="22"/>
        </w:rPr>
      </w:pPr>
    </w:p>
    <w:sectPr w:rsidR="00BC1B23" w:rsidRPr="00200AB7" w:rsidSect="001B0A8E">
      <w:footnotePr>
        <w:pos w:val="beneathText"/>
      </w:footnotePr>
      <w:pgSz w:w="11906" w:h="16838" w:code="9"/>
      <w:pgMar w:top="992" w:right="1418" w:bottom="1021" w:left="993" w:header="601" w:footer="8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89A5" w14:textId="77777777" w:rsidR="00EE159E" w:rsidRDefault="00EE159E">
      <w:r>
        <w:separator/>
      </w:r>
    </w:p>
  </w:endnote>
  <w:endnote w:type="continuationSeparator" w:id="0">
    <w:p w14:paraId="54CDE296" w14:textId="77777777" w:rsidR="00EE159E" w:rsidRDefault="00EE159E">
      <w:r>
        <w:continuationSeparator/>
      </w:r>
    </w:p>
  </w:endnote>
  <w:endnote w:type="continuationNotice" w:id="1">
    <w:p w14:paraId="69044341" w14:textId="77777777" w:rsidR="00EE159E" w:rsidRDefault="00EE1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126775"/>
      <w:docPartObj>
        <w:docPartGallery w:val="Page Numbers (Bottom of Page)"/>
        <w:docPartUnique/>
      </w:docPartObj>
    </w:sdtPr>
    <w:sdtEndPr>
      <w:rPr>
        <w:noProof/>
      </w:rPr>
    </w:sdtEndPr>
    <w:sdtContent>
      <w:p w14:paraId="3B4FD9DC" w14:textId="5DDE48BE" w:rsidR="00EE159E" w:rsidRDefault="00EE159E">
        <w:pPr>
          <w:pStyle w:val="Footer"/>
          <w:jc w:val="right"/>
        </w:pPr>
        <w:r>
          <w:fldChar w:fldCharType="begin"/>
        </w:r>
        <w:r>
          <w:instrText xml:space="preserve"> PAGE   \* MERGEFORMAT </w:instrText>
        </w:r>
        <w:r>
          <w:fldChar w:fldCharType="separate"/>
        </w:r>
        <w:r w:rsidR="00C97FBA">
          <w:rPr>
            <w:noProof/>
          </w:rPr>
          <w:t>2</w:t>
        </w:r>
        <w:r>
          <w:rPr>
            <w:noProof/>
          </w:rPr>
          <w:fldChar w:fldCharType="end"/>
        </w:r>
      </w:p>
    </w:sdtContent>
  </w:sdt>
  <w:p w14:paraId="0165A8F0" w14:textId="77777777" w:rsidR="00EE159E" w:rsidRDefault="00EE159E">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529946"/>
      <w:docPartObj>
        <w:docPartGallery w:val="Page Numbers (Bottom of Page)"/>
        <w:docPartUnique/>
      </w:docPartObj>
    </w:sdtPr>
    <w:sdtEndPr>
      <w:rPr>
        <w:noProof/>
      </w:rPr>
    </w:sdtEndPr>
    <w:sdtContent>
      <w:p w14:paraId="333971D0" w14:textId="70399058" w:rsidR="00EE159E" w:rsidRDefault="00EE159E">
        <w:pPr>
          <w:pStyle w:val="Footer"/>
          <w:jc w:val="right"/>
        </w:pPr>
        <w:r>
          <w:fldChar w:fldCharType="begin"/>
        </w:r>
        <w:r>
          <w:instrText xml:space="preserve"> PAGE   \* MERGEFORMAT </w:instrText>
        </w:r>
        <w:r>
          <w:fldChar w:fldCharType="separate"/>
        </w:r>
        <w:r w:rsidR="00C97FBA">
          <w:rPr>
            <w:noProof/>
          </w:rPr>
          <w:t>3</w:t>
        </w:r>
        <w:r>
          <w:rPr>
            <w:noProof/>
          </w:rPr>
          <w:fldChar w:fldCharType="end"/>
        </w:r>
      </w:p>
    </w:sdtContent>
  </w:sdt>
  <w:p w14:paraId="3DCFF6CA" w14:textId="77777777" w:rsidR="00EE159E" w:rsidRPr="00866037" w:rsidRDefault="00EE159E" w:rsidP="001A4D99">
    <w:pPr>
      <w:pStyle w:val="Header"/>
      <w:jc w:val="center"/>
      <w:rPr>
        <w:rFonts w:ascii="Arial" w:hAnsi="Arial" w:cs="Arial"/>
        <w:color w:val="17365D"/>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18D71" w14:textId="77777777" w:rsidR="00EE159E" w:rsidRDefault="00EE159E" w:rsidP="00C65C37">
    <w:pPr>
      <w:pStyle w:val="Footer"/>
      <w:rPr>
        <w:sz w:val="24"/>
        <w:szCs w:val="24"/>
      </w:rPr>
    </w:pPr>
  </w:p>
  <w:p w14:paraId="14AC0B1C" w14:textId="77777777" w:rsidR="00EE159E" w:rsidRPr="00C65C37" w:rsidRDefault="00EE159E" w:rsidP="00C65C37">
    <w:pPr>
      <w:pStyle w:val="Footer"/>
      <w:rPr>
        <w:sz w:val="12"/>
        <w:szCs w:val="12"/>
      </w:rPr>
    </w:pPr>
    <w:r w:rsidRPr="00BF777E">
      <w:rPr>
        <w:lang w:val="fr-FR"/>
      </w:rPr>
      <w:t xml:space="preserve">Agence exécutive pour la recherche, B-1049 Bruxelles / Uitvoerend Agentschap Onderzoek, B-1049 Brussel - Belgium. </w:t>
    </w:r>
    <w:r w:rsidRPr="00BF777E">
      <w:rPr>
        <w:lang w:val="fr-FR"/>
      </w:rPr>
      <w:br/>
    </w:r>
    <w:r>
      <w:t>Telephone: (32-2) 299 11 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51070"/>
      <w:docPartObj>
        <w:docPartGallery w:val="Page Numbers (Bottom of Page)"/>
        <w:docPartUnique/>
      </w:docPartObj>
    </w:sdtPr>
    <w:sdtEndPr>
      <w:rPr>
        <w:noProof/>
      </w:rPr>
    </w:sdtEndPr>
    <w:sdtContent>
      <w:p w14:paraId="67383D70" w14:textId="6F7A4A53" w:rsidR="00EE159E" w:rsidRDefault="00EE159E">
        <w:pPr>
          <w:pStyle w:val="Footer"/>
          <w:jc w:val="right"/>
        </w:pPr>
        <w:r>
          <w:fldChar w:fldCharType="begin"/>
        </w:r>
        <w:r>
          <w:instrText xml:space="preserve"> PAGE   \* MERGEFORMAT </w:instrText>
        </w:r>
        <w:r>
          <w:fldChar w:fldCharType="separate"/>
        </w:r>
        <w:r w:rsidR="00C97FBA">
          <w:rPr>
            <w:noProof/>
          </w:rPr>
          <w:t>4</w:t>
        </w:r>
        <w:r>
          <w:rPr>
            <w:noProof/>
          </w:rPr>
          <w:fldChar w:fldCharType="end"/>
        </w:r>
      </w:p>
    </w:sdtContent>
  </w:sdt>
  <w:p w14:paraId="7399EDFE" w14:textId="77777777" w:rsidR="00EE159E" w:rsidRDefault="00EE159E">
    <w:pPr>
      <w:pStyle w:val="Head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41331"/>
      <w:docPartObj>
        <w:docPartGallery w:val="Page Numbers (Bottom of Page)"/>
        <w:docPartUnique/>
      </w:docPartObj>
    </w:sdtPr>
    <w:sdtEndPr>
      <w:rPr>
        <w:noProof/>
      </w:rPr>
    </w:sdtEndPr>
    <w:sdtContent>
      <w:p w14:paraId="48174ABA" w14:textId="02C37365" w:rsidR="00EE159E" w:rsidRDefault="00EE159E">
        <w:pPr>
          <w:pStyle w:val="Footer"/>
          <w:jc w:val="right"/>
        </w:pPr>
        <w:r>
          <w:fldChar w:fldCharType="begin"/>
        </w:r>
        <w:r>
          <w:instrText xml:space="preserve"> PAGE   \* MERGEFORMAT </w:instrText>
        </w:r>
        <w:r>
          <w:fldChar w:fldCharType="separate"/>
        </w:r>
        <w:r w:rsidR="00C97FBA">
          <w:rPr>
            <w:noProof/>
          </w:rPr>
          <w:t>19</w:t>
        </w:r>
        <w:r>
          <w:rPr>
            <w:noProof/>
          </w:rPr>
          <w:fldChar w:fldCharType="end"/>
        </w:r>
      </w:p>
    </w:sdtContent>
  </w:sdt>
  <w:p w14:paraId="409A8A53" w14:textId="77777777" w:rsidR="00EE159E" w:rsidRPr="00866037" w:rsidRDefault="00EE159E" w:rsidP="001A4D99">
    <w:pPr>
      <w:pStyle w:val="Header"/>
      <w:jc w:val="center"/>
      <w:rPr>
        <w:rFonts w:ascii="Arial" w:hAnsi="Arial" w:cs="Arial"/>
        <w:color w:val="17365D"/>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49E4B" w14:textId="77777777" w:rsidR="00EE159E" w:rsidRDefault="00EE159E" w:rsidP="00C65C37">
    <w:pPr>
      <w:pStyle w:val="Footer"/>
      <w:rPr>
        <w:sz w:val="24"/>
        <w:szCs w:val="24"/>
      </w:rPr>
    </w:pPr>
  </w:p>
  <w:p w14:paraId="05E95A9F" w14:textId="77777777" w:rsidR="00EE159E" w:rsidRPr="00C65C37" w:rsidRDefault="00EE159E" w:rsidP="00C65C37">
    <w:pPr>
      <w:pStyle w:val="Footer"/>
      <w:rPr>
        <w:sz w:val="12"/>
        <w:szCs w:val="12"/>
      </w:rPr>
    </w:pPr>
    <w:r w:rsidRPr="000D5762">
      <w:rPr>
        <w:lang w:val="fr-BE"/>
      </w:rPr>
      <w:t xml:space="preserve">Agence exécutive pour la recherche, B-1049 Bruxelles / Uitvoerend Agentschap Onderzoek, B-1049 Brussel - Belgium. </w:t>
    </w:r>
    <w:r w:rsidRPr="000D5762">
      <w:rPr>
        <w:lang w:val="fr-BE"/>
      </w:rPr>
      <w:br/>
    </w:r>
    <w:r>
      <w:t>Telephone: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1AC90" w14:textId="77777777" w:rsidR="00EE159E" w:rsidRDefault="00EE159E">
      <w:r>
        <w:separator/>
      </w:r>
    </w:p>
  </w:footnote>
  <w:footnote w:type="continuationSeparator" w:id="0">
    <w:p w14:paraId="6E8D0B22" w14:textId="77777777" w:rsidR="00EE159E" w:rsidRDefault="00EE159E">
      <w:r>
        <w:continuationSeparator/>
      </w:r>
    </w:p>
  </w:footnote>
  <w:footnote w:type="continuationNotice" w:id="1">
    <w:p w14:paraId="430A755E" w14:textId="77777777" w:rsidR="00EE159E" w:rsidRDefault="00EE159E"/>
  </w:footnote>
  <w:footnote w:id="2">
    <w:p w14:paraId="35ED29F4" w14:textId="77777777" w:rsidR="009D5FDF" w:rsidRPr="005B4913" w:rsidRDefault="009D5FDF" w:rsidP="009D5FDF">
      <w:pPr>
        <w:pStyle w:val="FootnoteText"/>
        <w:spacing w:after="0"/>
        <w:ind w:left="284" w:hanging="284"/>
      </w:pPr>
      <w:r>
        <w:rPr>
          <w:rStyle w:val="FootnoteReference"/>
        </w:rPr>
        <w:footnoteRef/>
      </w:r>
      <w:r>
        <w:t xml:space="preserve"> </w:t>
      </w:r>
      <w:r w:rsidRPr="000637B0">
        <w:tab/>
        <w:t xml:space="preserve">Regulation (EU) </w:t>
      </w:r>
      <w:r>
        <w:t>No</w:t>
      </w:r>
      <w:r w:rsidRPr="000637B0">
        <w:t xml:space="preserve"> 1291/2013 of the European Parliament and of the Council of 11 December 2013 establishing</w:t>
      </w:r>
      <w:r>
        <w:t xml:space="preserve"> </w:t>
      </w:r>
      <w:r w:rsidRPr="00C907BA">
        <w:t xml:space="preserve">Horizon 2020 </w:t>
      </w:r>
      <w:r>
        <w:t>–</w:t>
      </w:r>
      <w:r w:rsidRPr="00C907BA">
        <w:t xml:space="preserve"> the Framework Programme for Research and Innovation (2014-2020) and repealing Decision No 1982/2006/EC</w:t>
      </w:r>
      <w:r>
        <w:t xml:space="preserve">, </w:t>
      </w:r>
      <w:r w:rsidRPr="000637B0">
        <w:t>OJ L 347 of 20.12.2013, p.</w:t>
      </w:r>
      <w:r>
        <w:t>104.</w:t>
      </w:r>
    </w:p>
  </w:footnote>
  <w:footnote w:id="3">
    <w:p w14:paraId="3A0449EC" w14:textId="77777777" w:rsidR="00EE159E" w:rsidRPr="000633B6" w:rsidRDefault="00EE159E" w:rsidP="00724A8A">
      <w:pPr>
        <w:pStyle w:val="FootnoteText"/>
        <w:spacing w:after="0"/>
        <w:ind w:left="284" w:hanging="284"/>
      </w:pPr>
      <w:r>
        <w:rPr>
          <w:rStyle w:val="FootnoteReference"/>
        </w:rPr>
        <w:footnoteRef/>
      </w:r>
      <w:r>
        <w:t xml:space="preserve"> </w:t>
      </w:r>
      <w:r w:rsidRPr="000633B6">
        <w:tab/>
        <w:t>OJ L 11 of 15.1.2008</w:t>
      </w:r>
      <w:r>
        <w:t>, p.9.</w:t>
      </w:r>
    </w:p>
  </w:footnote>
  <w:footnote w:id="4">
    <w:p w14:paraId="5194B169" w14:textId="77777777" w:rsidR="00EE159E" w:rsidRPr="000633B6" w:rsidRDefault="00EE159E" w:rsidP="00724A8A">
      <w:pPr>
        <w:pStyle w:val="FootnoteText"/>
        <w:spacing w:after="0"/>
        <w:ind w:left="284" w:hanging="284"/>
      </w:pPr>
      <w:r>
        <w:rPr>
          <w:rStyle w:val="FootnoteReference"/>
        </w:rPr>
        <w:footnoteRef/>
      </w:r>
      <w:r>
        <w:t xml:space="preserve"> </w:t>
      </w:r>
      <w:r w:rsidRPr="000633B6">
        <w:tab/>
        <w:t>OJ L 346 of 20.12.2013</w:t>
      </w:r>
      <w:r>
        <w:t>.</w:t>
      </w:r>
    </w:p>
  </w:footnote>
  <w:footnote w:id="5">
    <w:p w14:paraId="5066D858" w14:textId="77777777" w:rsidR="00EE159E" w:rsidRPr="005B4913" w:rsidRDefault="00EE159E" w:rsidP="00545A69">
      <w:pPr>
        <w:pStyle w:val="FootnoteText"/>
        <w:spacing w:after="0"/>
        <w:ind w:left="284" w:hanging="284"/>
      </w:pPr>
      <w:r>
        <w:rPr>
          <w:rStyle w:val="FootnoteReference"/>
        </w:rPr>
        <w:footnoteRef/>
      </w:r>
      <w:r>
        <w:t xml:space="preserve"> </w:t>
      </w:r>
      <w:r w:rsidRPr="000637B0">
        <w:tab/>
        <w:t xml:space="preserve">Regulation (EU) </w:t>
      </w:r>
      <w:r>
        <w:t>No</w:t>
      </w:r>
      <w:r w:rsidRPr="000637B0">
        <w:t xml:space="preserve"> 1291/2013 of the European Parliament and of the Council of 11 December 2013 establishing</w:t>
      </w:r>
      <w:r>
        <w:t xml:space="preserve"> </w:t>
      </w:r>
      <w:r w:rsidRPr="00C907BA">
        <w:t xml:space="preserve">Horizon 2020 </w:t>
      </w:r>
      <w:r>
        <w:t>–</w:t>
      </w:r>
      <w:r w:rsidRPr="00C907BA">
        <w:t xml:space="preserve"> the Framework Programme for Research and Innovation (2014-2020) and repealing Decision No 1982/2006/EC</w:t>
      </w:r>
      <w:r>
        <w:t xml:space="preserve">, </w:t>
      </w:r>
      <w:r w:rsidRPr="000637B0">
        <w:t>OJ L 347 of 20.12.2013, p.</w:t>
      </w:r>
      <w:r>
        <w:t>104.</w:t>
      </w:r>
    </w:p>
  </w:footnote>
  <w:footnote w:id="6">
    <w:p w14:paraId="14868196" w14:textId="77777777" w:rsidR="00EE159E" w:rsidRPr="008E60EE" w:rsidRDefault="00EE159E" w:rsidP="008E60EE">
      <w:pPr>
        <w:pStyle w:val="FootnoteText"/>
        <w:spacing w:after="0"/>
        <w:ind w:left="284" w:hanging="284"/>
      </w:pPr>
      <w:r w:rsidRPr="008E60EE">
        <w:rPr>
          <w:rStyle w:val="FootnoteReference"/>
          <w:color w:val="000000"/>
        </w:rPr>
        <w:footnoteRef/>
      </w:r>
      <w:r w:rsidRPr="008E60EE">
        <w:rPr>
          <w:color w:val="000000"/>
        </w:rPr>
        <w:t xml:space="preserve"> </w:t>
      </w:r>
      <w:r w:rsidRPr="008E60EE">
        <w:rPr>
          <w:color w:val="000000"/>
        </w:rPr>
        <w:tab/>
        <w:t>This differs from cash-based accounting because of elements such as carryovers.</w:t>
      </w:r>
    </w:p>
  </w:footnote>
  <w:footnote w:id="7">
    <w:p w14:paraId="6F967962" w14:textId="77777777" w:rsidR="00EE159E" w:rsidRPr="008E60EE" w:rsidRDefault="00EE159E" w:rsidP="008E60EE">
      <w:pPr>
        <w:pStyle w:val="FootnoteText"/>
        <w:spacing w:after="0"/>
        <w:ind w:left="284" w:hanging="284"/>
      </w:pPr>
      <w:r w:rsidRPr="008E60EE">
        <w:rPr>
          <w:rStyle w:val="FootnoteReference"/>
          <w:color w:val="000000"/>
        </w:rPr>
        <w:footnoteRef/>
      </w:r>
      <w:r w:rsidRPr="008E60EE">
        <w:rPr>
          <w:color w:val="000000"/>
        </w:rPr>
        <w:t xml:space="preserve"> </w:t>
      </w:r>
      <w:r w:rsidRPr="008E60EE">
        <w:rPr>
          <w:color w:val="000000"/>
        </w:rPr>
        <w:tab/>
        <w:t xml:space="preserve">Commission Regulation (EC) </w:t>
      </w:r>
      <w:r>
        <w:rPr>
          <w:color w:val="000000"/>
        </w:rPr>
        <w:t xml:space="preserve">No </w:t>
      </w:r>
      <w:r w:rsidRPr="008E60EE">
        <w:rPr>
          <w:color w:val="000000"/>
        </w:rPr>
        <w:t>1653/2004 of 21</w:t>
      </w:r>
      <w:r>
        <w:rPr>
          <w:color w:val="000000"/>
        </w:rPr>
        <w:t xml:space="preserve"> September </w:t>
      </w:r>
      <w:r w:rsidRPr="008E60EE">
        <w:rPr>
          <w:color w:val="000000"/>
        </w:rPr>
        <w:t xml:space="preserve">2004 on a standard financial regulation for the executive agencies pursuant to Council </w:t>
      </w:r>
      <w:r>
        <w:rPr>
          <w:color w:val="000000"/>
        </w:rPr>
        <w:t>R</w:t>
      </w:r>
      <w:r w:rsidRPr="008E60EE">
        <w:rPr>
          <w:color w:val="000000"/>
        </w:rPr>
        <w:t xml:space="preserve">egulation (EC) </w:t>
      </w:r>
      <w:r>
        <w:rPr>
          <w:color w:val="000000"/>
        </w:rPr>
        <w:t xml:space="preserve">No </w:t>
      </w:r>
      <w:r w:rsidRPr="008E60EE">
        <w:rPr>
          <w:color w:val="000000"/>
        </w:rPr>
        <w:t xml:space="preserve">58/2003 laying down the statute for executive agencies to be entrusted with certain tasks in the management of Community programmes and amended by Commission Regulation (EC) </w:t>
      </w:r>
      <w:r>
        <w:rPr>
          <w:color w:val="000000"/>
        </w:rPr>
        <w:t xml:space="preserve">No </w:t>
      </w:r>
      <w:r w:rsidRPr="008E60EE">
        <w:rPr>
          <w:color w:val="000000"/>
        </w:rPr>
        <w:t>651/2008 of 09 July 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DED49" w14:textId="77777777" w:rsidR="00EE159E" w:rsidRDefault="00EE1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22C3" w14:textId="77777777" w:rsidR="00EE159E" w:rsidRPr="00B06383" w:rsidRDefault="00EE159E" w:rsidP="00B06383">
    <w:pPr>
      <w:pStyle w:val="Header"/>
      <w:rPr>
        <w:lang w:val="fr-BE"/>
      </w:rPr>
    </w:pPr>
  </w:p>
  <w:p w14:paraId="5F656017" w14:textId="77777777" w:rsidR="00EE159E" w:rsidRDefault="00EE159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69DFF" w14:textId="77777777" w:rsidR="00EE159E" w:rsidRDefault="00EE159E">
    <w:pPr>
      <w:pStyle w:val="Index2"/>
      <w:spacing w:after="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C83E" w14:textId="77777777" w:rsidR="00EE159E" w:rsidRDefault="00EE159E">
    <w:pPr>
      <w:pStyle w:val="Index2"/>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D722F2"/>
    <w:multiLevelType w:val="hybridMultilevel"/>
    <w:tmpl w:val="5F31BB20"/>
    <w:lvl w:ilvl="0" w:tplc="FFFFFFFF">
      <w:start w:val="1"/>
      <w:numFmt w:val="ideographDigital"/>
      <w:pStyle w:val="ListNumber"/>
      <w:lvlText w:val=""/>
      <w:lvlJc w:val="left"/>
      <w:rPr>
        <w:rFonts w:cs="Times New Roman"/>
      </w:rPr>
    </w:lvl>
    <w:lvl w:ilvl="1" w:tplc="FFFFFFFF">
      <w:numFmt w:val="decimal"/>
      <w:pStyle w:val="ListNumberLevel2"/>
      <w:lvlText w:val=""/>
      <w:lvlJc w:val="left"/>
      <w:rPr>
        <w:rFonts w:cs="Times New Roman"/>
      </w:rPr>
    </w:lvl>
    <w:lvl w:ilvl="2" w:tplc="FFFFFFFF">
      <w:numFmt w:val="decimal"/>
      <w:pStyle w:val="ListNumberLevel3"/>
      <w:lvlText w:val=""/>
      <w:lvlJc w:val="left"/>
      <w:rPr>
        <w:rFonts w:cs="Times New Roman"/>
      </w:rPr>
    </w:lvl>
    <w:lvl w:ilvl="3" w:tplc="FFFFFFFF">
      <w:numFmt w:val="decimal"/>
      <w:pStyle w:val="ListNumberLevel4"/>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368029DA"/>
    <w:lvl w:ilvl="0">
      <w:start w:val="1"/>
      <w:numFmt w:val="decimal"/>
      <w:pStyle w:val="ListDash2"/>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6D4E2CE"/>
    <w:lvl w:ilvl="0">
      <w:start w:val="1"/>
      <w:numFmt w:val="decimal"/>
      <w:pStyle w:val="ListDash1"/>
      <w:lvlText w:val="%1."/>
      <w:lvlJc w:val="left"/>
      <w:pPr>
        <w:tabs>
          <w:tab w:val="num" w:pos="1209"/>
        </w:tabs>
        <w:ind w:left="1209" w:hanging="360"/>
      </w:pPr>
      <w:rPr>
        <w:rFonts w:cs="Times New Roman"/>
      </w:rPr>
    </w:lvl>
  </w:abstractNum>
  <w:abstractNum w:abstractNumId="3" w15:restartNumberingAfterBreak="0">
    <w:nsid w:val="FFFFFF7E"/>
    <w:multiLevelType w:val="singleLevel"/>
    <w:tmpl w:val="3336F278"/>
    <w:lvl w:ilvl="0">
      <w:start w:val="1"/>
      <w:numFmt w:val="decimal"/>
      <w:pStyle w:val="ListDash"/>
      <w:lvlText w:val="%1."/>
      <w:lvlJc w:val="left"/>
      <w:pPr>
        <w:tabs>
          <w:tab w:val="num" w:pos="926"/>
        </w:tabs>
        <w:ind w:left="926" w:hanging="360"/>
      </w:pPr>
      <w:rPr>
        <w:rFonts w:cs="Times New Roman"/>
      </w:rPr>
    </w:lvl>
  </w:abstractNum>
  <w:abstractNum w:abstractNumId="4" w15:restartNumberingAfterBreak="0">
    <w:nsid w:val="FFFFFF7F"/>
    <w:multiLevelType w:val="singleLevel"/>
    <w:tmpl w:val="DCA64F72"/>
    <w:lvl w:ilvl="0">
      <w:start w:val="1"/>
      <w:numFmt w:val="decimal"/>
      <w:pStyle w:val="ListBullet4"/>
      <w:lvlText w:val="%1."/>
      <w:lvlJc w:val="left"/>
      <w:pPr>
        <w:tabs>
          <w:tab w:val="num" w:pos="643"/>
        </w:tabs>
        <w:ind w:left="643" w:hanging="360"/>
      </w:pPr>
      <w:rPr>
        <w:rFonts w:cs="Times New Roman"/>
      </w:rPr>
    </w:lvl>
  </w:abstractNum>
  <w:abstractNum w:abstractNumId="5" w15:restartNumberingAfterBreak="0">
    <w:nsid w:val="FFFFFF80"/>
    <w:multiLevelType w:val="singleLevel"/>
    <w:tmpl w:val="1FA45650"/>
    <w:lvl w:ilvl="0">
      <w:start w:val="1"/>
      <w:numFmt w:val="bullet"/>
      <w:pStyle w:val="ListBullet2"/>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56626E"/>
    <w:lvl w:ilvl="0">
      <w:start w:val="1"/>
      <w:numFmt w:val="bullet"/>
      <w:pStyle w:val="ListBullet1"/>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E0CDA12"/>
    <w:lvl w:ilvl="0">
      <w:start w:val="1"/>
      <w:numFmt w:val="bullet"/>
      <w:pStyle w:val="List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83074A4"/>
    <w:lvl w:ilvl="0">
      <w:start w:val="1"/>
      <w:numFmt w:val="bullet"/>
      <w:pStyle w:val="ListNumber5"/>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E8CE10A"/>
    <w:lvl w:ilvl="0">
      <w:start w:val="1"/>
      <w:numFmt w:val="decimal"/>
      <w:pStyle w:val="ListBullet3"/>
      <w:lvlText w:val="%1."/>
      <w:lvlJc w:val="left"/>
      <w:pPr>
        <w:tabs>
          <w:tab w:val="num" w:pos="360"/>
        </w:tabs>
        <w:ind w:left="360" w:hanging="360"/>
      </w:pPr>
      <w:rPr>
        <w:rFonts w:cs="Times New Roman"/>
      </w:rPr>
    </w:lvl>
  </w:abstractNum>
  <w:abstractNum w:abstractNumId="10" w15:restartNumberingAfterBreak="0">
    <w:nsid w:val="FFFFFF89"/>
    <w:multiLevelType w:val="singleLevel"/>
    <w:tmpl w:val="0286353A"/>
    <w:lvl w:ilvl="0">
      <w:start w:val="1"/>
      <w:numFmt w:val="bullet"/>
      <w:pStyle w:val="ListBullet5"/>
      <w:lvlText w:val=""/>
      <w:lvlJc w:val="left"/>
      <w:pPr>
        <w:tabs>
          <w:tab w:val="num" w:pos="360"/>
        </w:tabs>
        <w:ind w:left="360" w:hanging="360"/>
      </w:pPr>
      <w:rPr>
        <w:rFonts w:ascii="Symbol" w:hAnsi="Symbol" w:hint="default"/>
      </w:rPr>
    </w:lvl>
  </w:abstractNum>
  <w:abstractNum w:abstractNumId="11" w15:restartNumberingAfterBreak="0">
    <w:nsid w:val="060F1556"/>
    <w:multiLevelType w:val="hybridMultilevel"/>
    <w:tmpl w:val="2076BFF0"/>
    <w:lvl w:ilvl="0" w:tplc="03A2C51A">
      <w:start w:val="5"/>
      <w:numFmt w:val="bullet"/>
      <w:lvlText w:val="-"/>
      <w:lvlJc w:val="left"/>
      <w:pPr>
        <w:ind w:left="1080" w:hanging="360"/>
      </w:pPr>
      <w:rPr>
        <w:rFonts w:ascii="Arial" w:eastAsia="Times New Roman" w:hAnsi="Arial" w:hint="default"/>
      </w:rPr>
    </w:lvl>
    <w:lvl w:ilvl="1" w:tplc="04020003" w:tentative="1">
      <w:start w:val="1"/>
      <w:numFmt w:val="bullet"/>
      <w:pStyle w:val="ListNumber1Level2"/>
      <w:lvlText w:val="o"/>
      <w:lvlJc w:val="left"/>
      <w:pPr>
        <w:ind w:left="1800" w:hanging="360"/>
      </w:pPr>
      <w:rPr>
        <w:rFonts w:ascii="Courier New" w:hAnsi="Courier New" w:hint="default"/>
      </w:rPr>
    </w:lvl>
    <w:lvl w:ilvl="2" w:tplc="04020005" w:tentative="1">
      <w:start w:val="1"/>
      <w:numFmt w:val="bullet"/>
      <w:pStyle w:val="ListNumber1Level3"/>
      <w:lvlText w:val=""/>
      <w:lvlJc w:val="left"/>
      <w:pPr>
        <w:ind w:left="2520" w:hanging="360"/>
      </w:pPr>
      <w:rPr>
        <w:rFonts w:ascii="Wingdings" w:hAnsi="Wingdings" w:hint="default"/>
      </w:rPr>
    </w:lvl>
    <w:lvl w:ilvl="3" w:tplc="04020001" w:tentative="1">
      <w:start w:val="1"/>
      <w:numFmt w:val="bullet"/>
      <w:pStyle w:val="ListNumber1Level4"/>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10FD6A67"/>
    <w:multiLevelType w:val="multilevel"/>
    <w:tmpl w:val="A00442DC"/>
    <w:lvl w:ilvl="0">
      <w:start w:val="1"/>
      <w:numFmt w:val="bullet"/>
      <w:pStyle w:val="ListNumber4"/>
      <w:lvlText w:val=""/>
      <w:lvlJc w:val="left"/>
      <w:pPr>
        <w:tabs>
          <w:tab w:val="num" w:pos="720"/>
        </w:tabs>
        <w:ind w:left="720" w:hanging="360"/>
      </w:pPr>
      <w:rPr>
        <w:rFonts w:ascii="Symbol" w:hAnsi="Symbol" w:hint="default"/>
        <w:sz w:val="20"/>
      </w:rPr>
    </w:lvl>
    <w:lvl w:ilvl="1" w:tentative="1">
      <w:start w:val="1"/>
      <w:numFmt w:val="bullet"/>
      <w:pStyle w:val="ListNumber4Level2"/>
      <w:lvlText w:val="o"/>
      <w:lvlJc w:val="left"/>
      <w:pPr>
        <w:tabs>
          <w:tab w:val="num" w:pos="1440"/>
        </w:tabs>
        <w:ind w:left="1440" w:hanging="360"/>
      </w:pPr>
      <w:rPr>
        <w:rFonts w:ascii="Courier New" w:hAnsi="Courier New" w:hint="default"/>
        <w:sz w:val="20"/>
      </w:rPr>
    </w:lvl>
    <w:lvl w:ilvl="2" w:tentative="1">
      <w:start w:val="1"/>
      <w:numFmt w:val="bullet"/>
      <w:pStyle w:val="ListNumber4Level3"/>
      <w:lvlText w:val=""/>
      <w:lvlJc w:val="left"/>
      <w:pPr>
        <w:tabs>
          <w:tab w:val="num" w:pos="2160"/>
        </w:tabs>
        <w:ind w:left="2160" w:hanging="360"/>
      </w:pPr>
      <w:rPr>
        <w:rFonts w:ascii="Wingdings" w:hAnsi="Wingdings" w:hint="default"/>
        <w:sz w:val="20"/>
      </w:rPr>
    </w:lvl>
    <w:lvl w:ilvl="3" w:tentative="1">
      <w:start w:val="1"/>
      <w:numFmt w:val="bullet"/>
      <w:pStyle w:val="ListNumber4Level4"/>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C6C76"/>
    <w:multiLevelType w:val="hybridMultilevel"/>
    <w:tmpl w:val="8D76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53D6E"/>
    <w:multiLevelType w:val="hybridMultilevel"/>
    <w:tmpl w:val="BEC4DD2E"/>
    <w:lvl w:ilvl="0" w:tplc="6DD60254">
      <w:start w:val="5"/>
      <w:numFmt w:val="bullet"/>
      <w:pStyle w:val="ListNumber2"/>
      <w:lvlText w:val="-"/>
      <w:lvlJc w:val="left"/>
      <w:pPr>
        <w:ind w:left="1080" w:hanging="360"/>
      </w:pPr>
      <w:rPr>
        <w:rFonts w:ascii="Arial" w:eastAsia="Times New Roman" w:hAnsi="Arial" w:hint="default"/>
      </w:rPr>
    </w:lvl>
    <w:lvl w:ilvl="1" w:tplc="04020003" w:tentative="1">
      <w:start w:val="1"/>
      <w:numFmt w:val="bullet"/>
      <w:pStyle w:val="ListNumber2Level2"/>
      <w:lvlText w:val="o"/>
      <w:lvlJc w:val="left"/>
      <w:pPr>
        <w:ind w:left="1800" w:hanging="360"/>
      </w:pPr>
      <w:rPr>
        <w:rFonts w:ascii="Courier New" w:hAnsi="Courier New" w:hint="default"/>
      </w:rPr>
    </w:lvl>
    <w:lvl w:ilvl="2" w:tplc="04020005" w:tentative="1">
      <w:start w:val="1"/>
      <w:numFmt w:val="bullet"/>
      <w:pStyle w:val="ListNumber2Level3"/>
      <w:lvlText w:val=""/>
      <w:lvlJc w:val="left"/>
      <w:pPr>
        <w:ind w:left="2520" w:hanging="360"/>
      </w:pPr>
      <w:rPr>
        <w:rFonts w:ascii="Wingdings" w:hAnsi="Wingdings" w:hint="default"/>
      </w:rPr>
    </w:lvl>
    <w:lvl w:ilvl="3" w:tplc="04020001" w:tentative="1">
      <w:start w:val="1"/>
      <w:numFmt w:val="bullet"/>
      <w:pStyle w:val="ListNumber2Level4"/>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29A725AD"/>
    <w:multiLevelType w:val="hybridMultilevel"/>
    <w:tmpl w:val="A300C608"/>
    <w:lvl w:ilvl="0" w:tplc="7ABAD728">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B24CD9"/>
    <w:multiLevelType w:val="hybridMultilevel"/>
    <w:tmpl w:val="BD8666C2"/>
    <w:lvl w:ilvl="0" w:tplc="8264D7DC">
      <w:start w:val="1"/>
      <w:numFmt w:val="bullet"/>
      <w:pStyle w:val="agbullets"/>
      <w:lvlText w:val=""/>
      <w:lvlJc w:val="left"/>
      <w:pPr>
        <w:ind w:left="720" w:hanging="360"/>
      </w:pPr>
      <w:rPr>
        <w:rFonts w:ascii="Symbol" w:hAnsi="Symbol" w:hint="default"/>
      </w:rPr>
    </w:lvl>
    <w:lvl w:ilvl="1" w:tplc="2FFE8132">
      <w:numFmt w:val="decimal"/>
      <w:lvlText w:val=""/>
      <w:lvlJc w:val="left"/>
      <w:pPr>
        <w:ind w:left="0" w:firstLine="0"/>
      </w:pPr>
    </w:lvl>
    <w:lvl w:ilvl="2" w:tplc="C3426B0E">
      <w:numFmt w:val="decimal"/>
      <w:lvlText w:val=""/>
      <w:lvlJc w:val="left"/>
      <w:pPr>
        <w:ind w:left="0" w:firstLine="0"/>
      </w:pPr>
    </w:lvl>
    <w:lvl w:ilvl="3" w:tplc="95BCFBBA">
      <w:numFmt w:val="decimal"/>
      <w:lvlText w:val=""/>
      <w:lvlJc w:val="left"/>
      <w:pPr>
        <w:ind w:left="0" w:firstLine="0"/>
      </w:pPr>
    </w:lvl>
    <w:lvl w:ilvl="4" w:tplc="B3100A74">
      <w:numFmt w:val="decimal"/>
      <w:lvlText w:val=""/>
      <w:lvlJc w:val="left"/>
      <w:pPr>
        <w:ind w:left="0" w:firstLine="0"/>
      </w:pPr>
    </w:lvl>
    <w:lvl w:ilvl="5" w:tplc="67E069BC">
      <w:numFmt w:val="decimal"/>
      <w:lvlText w:val=""/>
      <w:lvlJc w:val="left"/>
      <w:pPr>
        <w:ind w:left="0" w:firstLine="0"/>
      </w:pPr>
    </w:lvl>
    <w:lvl w:ilvl="6" w:tplc="E3EC5CA8">
      <w:numFmt w:val="decimal"/>
      <w:lvlText w:val=""/>
      <w:lvlJc w:val="left"/>
      <w:pPr>
        <w:ind w:left="0" w:firstLine="0"/>
      </w:pPr>
    </w:lvl>
    <w:lvl w:ilvl="7" w:tplc="16D68AFA">
      <w:numFmt w:val="decimal"/>
      <w:lvlText w:val=""/>
      <w:lvlJc w:val="left"/>
      <w:pPr>
        <w:ind w:left="0" w:firstLine="0"/>
      </w:pPr>
    </w:lvl>
    <w:lvl w:ilvl="8" w:tplc="FEAE0898">
      <w:numFmt w:val="decimal"/>
      <w:lvlText w:val=""/>
      <w:lvlJc w:val="left"/>
      <w:pPr>
        <w:ind w:left="0" w:firstLine="0"/>
      </w:pPr>
    </w:lvl>
  </w:abstractNum>
  <w:abstractNum w:abstractNumId="18" w15:restartNumberingAfterBreak="0">
    <w:nsid w:val="329E1E04"/>
    <w:multiLevelType w:val="hybridMultilevel"/>
    <w:tmpl w:val="298E8A96"/>
    <w:lvl w:ilvl="0" w:tplc="C388E4EA">
      <w:start w:val="1"/>
      <w:numFmt w:val="bullet"/>
      <w:lvlText w:val=""/>
      <w:lvlJc w:val="left"/>
      <w:pPr>
        <w:ind w:left="360" w:hanging="360"/>
      </w:pPr>
      <w:rPr>
        <w:rFonts w:ascii="Symbol" w:hAnsi="Symbol" w:hint="default"/>
      </w:rPr>
    </w:lvl>
    <w:lvl w:ilvl="1" w:tplc="0F94E6C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0E25CB"/>
    <w:multiLevelType w:val="hybridMultilevel"/>
    <w:tmpl w:val="20942AE0"/>
    <w:lvl w:ilvl="0" w:tplc="04090005">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1">
      <w:start w:val="1"/>
      <w:numFmt w:val="bullet"/>
      <w:lvlText w:val=""/>
      <w:lvlJc w:val="left"/>
      <w:pPr>
        <w:ind w:left="2586" w:hanging="360"/>
      </w:pPr>
      <w:rPr>
        <w:rFonts w:ascii="Symbol" w:hAnsi="Symbol"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0" w15:restartNumberingAfterBreak="0">
    <w:nsid w:val="35C74067"/>
    <w:multiLevelType w:val="hybridMultilevel"/>
    <w:tmpl w:val="C45CB1B0"/>
    <w:lvl w:ilvl="0" w:tplc="F84C489E">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37185C52"/>
    <w:multiLevelType w:val="hybridMultilevel"/>
    <w:tmpl w:val="36D28E36"/>
    <w:lvl w:ilvl="0" w:tplc="DE308B9A">
      <w:start w:val="1"/>
      <w:numFmt w:val="upperRoman"/>
      <w:pStyle w:val="ListNumber3"/>
      <w:lvlText w:val="%1."/>
      <w:lvlJc w:val="left"/>
      <w:pPr>
        <w:ind w:left="1335" w:hanging="720"/>
      </w:pPr>
      <w:rPr>
        <w:rFonts w:cs="Times New Roman" w:hint="default"/>
      </w:rPr>
    </w:lvl>
    <w:lvl w:ilvl="1" w:tplc="04020019" w:tentative="1">
      <w:start w:val="1"/>
      <w:numFmt w:val="lowerLetter"/>
      <w:pStyle w:val="ListNumber3Level2"/>
      <w:lvlText w:val="%2."/>
      <w:lvlJc w:val="left"/>
      <w:pPr>
        <w:ind w:left="1695" w:hanging="360"/>
      </w:pPr>
      <w:rPr>
        <w:rFonts w:cs="Times New Roman"/>
      </w:rPr>
    </w:lvl>
    <w:lvl w:ilvl="2" w:tplc="0402001B">
      <w:start w:val="1"/>
      <w:numFmt w:val="lowerRoman"/>
      <w:pStyle w:val="ListNumber3Level3"/>
      <w:lvlText w:val="%3."/>
      <w:lvlJc w:val="right"/>
      <w:pPr>
        <w:ind w:left="2415" w:hanging="180"/>
      </w:pPr>
      <w:rPr>
        <w:rFonts w:cs="Times New Roman"/>
      </w:rPr>
    </w:lvl>
    <w:lvl w:ilvl="3" w:tplc="0402000F" w:tentative="1">
      <w:start w:val="1"/>
      <w:numFmt w:val="decimal"/>
      <w:pStyle w:val="ListNumber3Level4"/>
      <w:lvlText w:val="%4."/>
      <w:lvlJc w:val="left"/>
      <w:pPr>
        <w:ind w:left="3135" w:hanging="360"/>
      </w:pPr>
      <w:rPr>
        <w:rFonts w:cs="Times New Roman"/>
      </w:rPr>
    </w:lvl>
    <w:lvl w:ilvl="4" w:tplc="04020019" w:tentative="1">
      <w:start w:val="1"/>
      <w:numFmt w:val="lowerLetter"/>
      <w:lvlText w:val="%5."/>
      <w:lvlJc w:val="left"/>
      <w:pPr>
        <w:ind w:left="3855" w:hanging="360"/>
      </w:pPr>
      <w:rPr>
        <w:rFonts w:cs="Times New Roman"/>
      </w:rPr>
    </w:lvl>
    <w:lvl w:ilvl="5" w:tplc="0402001B" w:tentative="1">
      <w:start w:val="1"/>
      <w:numFmt w:val="lowerRoman"/>
      <w:lvlText w:val="%6."/>
      <w:lvlJc w:val="right"/>
      <w:pPr>
        <w:ind w:left="4575" w:hanging="180"/>
      </w:pPr>
      <w:rPr>
        <w:rFonts w:cs="Times New Roman"/>
      </w:rPr>
    </w:lvl>
    <w:lvl w:ilvl="6" w:tplc="0402000F" w:tentative="1">
      <w:start w:val="1"/>
      <w:numFmt w:val="decimal"/>
      <w:lvlText w:val="%7."/>
      <w:lvlJc w:val="left"/>
      <w:pPr>
        <w:ind w:left="5295" w:hanging="360"/>
      </w:pPr>
      <w:rPr>
        <w:rFonts w:cs="Times New Roman"/>
      </w:rPr>
    </w:lvl>
    <w:lvl w:ilvl="7" w:tplc="04020019" w:tentative="1">
      <w:start w:val="1"/>
      <w:numFmt w:val="lowerLetter"/>
      <w:lvlText w:val="%8."/>
      <w:lvlJc w:val="left"/>
      <w:pPr>
        <w:ind w:left="6015" w:hanging="360"/>
      </w:pPr>
      <w:rPr>
        <w:rFonts w:cs="Times New Roman"/>
      </w:rPr>
    </w:lvl>
    <w:lvl w:ilvl="8" w:tplc="0402001B" w:tentative="1">
      <w:start w:val="1"/>
      <w:numFmt w:val="lowerRoman"/>
      <w:lvlText w:val="%9."/>
      <w:lvlJc w:val="right"/>
      <w:pPr>
        <w:ind w:left="6735" w:hanging="180"/>
      </w:pPr>
      <w:rPr>
        <w:rFonts w:cs="Times New Roman"/>
      </w:rPr>
    </w:lvl>
  </w:abstractNum>
  <w:abstractNum w:abstractNumId="22" w15:restartNumberingAfterBreak="0">
    <w:nsid w:val="43FD764E"/>
    <w:multiLevelType w:val="hybridMultilevel"/>
    <w:tmpl w:val="BC22DDFA"/>
    <w:lvl w:ilvl="0" w:tplc="C388E4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5D172F"/>
    <w:multiLevelType w:val="multilevel"/>
    <w:tmpl w:val="6AEE9BA4"/>
    <w:lvl w:ilvl="0">
      <w:start w:val="1"/>
      <w:numFmt w:val="decimal"/>
      <w:pStyle w:val="ListDash4"/>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pStyle w:val="ListNumber1"/>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83B31C4"/>
    <w:multiLevelType w:val="hybridMultilevel"/>
    <w:tmpl w:val="968019CA"/>
    <w:lvl w:ilvl="0" w:tplc="F84C48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432656"/>
    <w:multiLevelType w:val="multilevel"/>
    <w:tmpl w:val="CA1870FE"/>
    <w:lvl w:ilvl="0">
      <w:start w:val="1"/>
      <w:numFmt w:val="decimal"/>
      <w:pStyle w:val="Heading1"/>
      <w:lvlText w:val="%1."/>
      <w:lvlJc w:val="left"/>
      <w:pPr>
        <w:tabs>
          <w:tab w:val="num" w:pos="764"/>
        </w:tabs>
        <w:ind w:left="764" w:hanging="480"/>
      </w:pPr>
      <w:rPr>
        <w:rFonts w:cs="Times New Roman"/>
      </w:rPr>
    </w:lvl>
    <w:lvl w:ilvl="1">
      <w:start w:val="1"/>
      <w:numFmt w:val="decimal"/>
      <w:pStyle w:val="Heading2"/>
      <w:lvlText w:val="%1.%2."/>
      <w:lvlJc w:val="left"/>
      <w:pPr>
        <w:tabs>
          <w:tab w:val="num" w:pos="1026"/>
        </w:tabs>
        <w:ind w:left="1026" w:hanging="600"/>
      </w:pPr>
      <w:rPr>
        <w:rFonts w:cs="Times New Roman"/>
        <w:color w:val="auto"/>
      </w:rPr>
    </w:lvl>
    <w:lvl w:ilvl="2">
      <w:start w:val="1"/>
      <w:numFmt w:val="decimal"/>
      <w:pStyle w:val="Heading3"/>
      <w:lvlText w:val="%1.%2.%3."/>
      <w:lvlJc w:val="left"/>
      <w:pPr>
        <w:tabs>
          <w:tab w:val="num" w:pos="840"/>
        </w:tabs>
        <w:ind w:left="840" w:hanging="840"/>
      </w:pPr>
      <w:rPr>
        <w:rFonts w:cs="Times New Roman"/>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B017050"/>
    <w:multiLevelType w:val="hybridMultilevel"/>
    <w:tmpl w:val="FB464A4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3755927"/>
    <w:multiLevelType w:val="hybridMultilevel"/>
    <w:tmpl w:val="0C0A38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CB92590"/>
    <w:multiLevelType w:val="hybridMultilevel"/>
    <w:tmpl w:val="F5C89706"/>
    <w:lvl w:ilvl="0" w:tplc="04090001">
      <w:start w:val="1"/>
      <w:numFmt w:val="bullet"/>
      <w:lvlText w:val=""/>
      <w:lvlJc w:val="left"/>
      <w:pPr>
        <w:ind w:left="99" w:hanging="360"/>
      </w:pPr>
      <w:rPr>
        <w:rFonts w:ascii="Symbol" w:hAnsi="Symbol" w:hint="default"/>
      </w:rPr>
    </w:lvl>
    <w:lvl w:ilvl="1" w:tplc="C388E4EA">
      <w:start w:val="1"/>
      <w:numFmt w:val="bullet"/>
      <w:lvlText w:val=""/>
      <w:lvlJc w:val="left"/>
      <w:pPr>
        <w:ind w:left="819" w:hanging="360"/>
      </w:pPr>
      <w:rPr>
        <w:rFonts w:ascii="Symbol" w:hAnsi="Symbol" w:hint="default"/>
      </w:rPr>
    </w:lvl>
    <w:lvl w:ilvl="2" w:tplc="04090003">
      <w:start w:val="1"/>
      <w:numFmt w:val="bullet"/>
      <w:lvlText w:val="o"/>
      <w:lvlJc w:val="left"/>
      <w:pPr>
        <w:ind w:left="1539" w:hanging="360"/>
      </w:pPr>
      <w:rPr>
        <w:rFonts w:ascii="Courier New" w:hAnsi="Courier New" w:cs="Courier New" w:hint="default"/>
      </w:rPr>
    </w:lvl>
    <w:lvl w:ilvl="3" w:tplc="04090003">
      <w:start w:val="1"/>
      <w:numFmt w:val="bullet"/>
      <w:lvlText w:val="o"/>
      <w:lvlJc w:val="left"/>
      <w:pPr>
        <w:ind w:left="2259" w:hanging="360"/>
      </w:pPr>
      <w:rPr>
        <w:rFonts w:ascii="Courier New" w:hAnsi="Courier New" w:cs="Courier New"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5"/>
  </w:num>
  <w:num w:numId="12">
    <w:abstractNumId w:val="23"/>
  </w:num>
  <w:num w:numId="13">
    <w:abstractNumId w:val="0"/>
  </w:num>
  <w:num w:numId="14">
    <w:abstractNumId w:val="11"/>
  </w:num>
  <w:num w:numId="15">
    <w:abstractNumId w:val="14"/>
  </w:num>
  <w:num w:numId="16">
    <w:abstractNumId w:val="21"/>
  </w:num>
  <w:num w:numId="17">
    <w:abstractNumId w:val="12"/>
  </w:num>
  <w:num w:numId="18">
    <w:abstractNumId w:val="22"/>
  </w:num>
  <w:num w:numId="19">
    <w:abstractNumId w:val="18"/>
  </w:num>
  <w:num w:numId="20">
    <w:abstractNumId w:val="28"/>
  </w:num>
  <w:num w:numId="21">
    <w:abstractNumId w:val="17"/>
  </w:num>
  <w:num w:numId="22">
    <w:abstractNumId w:val="16"/>
  </w:num>
  <w:num w:numId="23">
    <w:abstractNumId w:val="19"/>
  </w:num>
  <w:num w:numId="24">
    <w:abstractNumId w:val="24"/>
  </w:num>
  <w:num w:numId="25">
    <w:abstractNumId w:val="15"/>
  </w:num>
  <w:num w:numId="26">
    <w:abstractNumId w:val="20"/>
  </w:num>
  <w:num w:numId="27">
    <w:abstractNumId w:val="26"/>
  </w:num>
  <w:num w:numId="28">
    <w:abstractNumId w:val="13"/>
  </w:num>
  <w:num w:numId="2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A4D99"/>
    <w:rsid w:val="00000336"/>
    <w:rsid w:val="0000082C"/>
    <w:rsid w:val="00000FB8"/>
    <w:rsid w:val="000016FE"/>
    <w:rsid w:val="00002492"/>
    <w:rsid w:val="00002720"/>
    <w:rsid w:val="00002A37"/>
    <w:rsid w:val="00002A7E"/>
    <w:rsid w:val="00002B5E"/>
    <w:rsid w:val="00003531"/>
    <w:rsid w:val="000045CD"/>
    <w:rsid w:val="00004DEF"/>
    <w:rsid w:val="00006142"/>
    <w:rsid w:val="0000737F"/>
    <w:rsid w:val="00007537"/>
    <w:rsid w:val="00007B14"/>
    <w:rsid w:val="0001046C"/>
    <w:rsid w:val="000107EB"/>
    <w:rsid w:val="00010E5C"/>
    <w:rsid w:val="0001124C"/>
    <w:rsid w:val="00011981"/>
    <w:rsid w:val="00011C65"/>
    <w:rsid w:val="00013501"/>
    <w:rsid w:val="00015962"/>
    <w:rsid w:val="00015B83"/>
    <w:rsid w:val="00017D51"/>
    <w:rsid w:val="000225C1"/>
    <w:rsid w:val="00022DA7"/>
    <w:rsid w:val="000235A6"/>
    <w:rsid w:val="000235B3"/>
    <w:rsid w:val="00023AFB"/>
    <w:rsid w:val="00024193"/>
    <w:rsid w:val="000245C5"/>
    <w:rsid w:val="000247E8"/>
    <w:rsid w:val="00024BCE"/>
    <w:rsid w:val="000256E0"/>
    <w:rsid w:val="0002582C"/>
    <w:rsid w:val="00027C77"/>
    <w:rsid w:val="00027DA1"/>
    <w:rsid w:val="00027E60"/>
    <w:rsid w:val="00031DF4"/>
    <w:rsid w:val="00031F05"/>
    <w:rsid w:val="0003257C"/>
    <w:rsid w:val="00033989"/>
    <w:rsid w:val="00033C80"/>
    <w:rsid w:val="00035970"/>
    <w:rsid w:val="00035AA2"/>
    <w:rsid w:val="0003718D"/>
    <w:rsid w:val="00037FD8"/>
    <w:rsid w:val="00040620"/>
    <w:rsid w:val="00041109"/>
    <w:rsid w:val="00041908"/>
    <w:rsid w:val="000419B1"/>
    <w:rsid w:val="0004237C"/>
    <w:rsid w:val="0004247F"/>
    <w:rsid w:val="00042844"/>
    <w:rsid w:val="00042C45"/>
    <w:rsid w:val="00042ECD"/>
    <w:rsid w:val="000432AA"/>
    <w:rsid w:val="00043EA8"/>
    <w:rsid w:val="00046344"/>
    <w:rsid w:val="00046C14"/>
    <w:rsid w:val="00050B3A"/>
    <w:rsid w:val="00052022"/>
    <w:rsid w:val="00052E38"/>
    <w:rsid w:val="000534CA"/>
    <w:rsid w:val="00053B57"/>
    <w:rsid w:val="00053E10"/>
    <w:rsid w:val="00054459"/>
    <w:rsid w:val="00056186"/>
    <w:rsid w:val="000604F3"/>
    <w:rsid w:val="000605DC"/>
    <w:rsid w:val="0006091A"/>
    <w:rsid w:val="0006211F"/>
    <w:rsid w:val="00062D85"/>
    <w:rsid w:val="000635A3"/>
    <w:rsid w:val="00063B6F"/>
    <w:rsid w:val="000657A6"/>
    <w:rsid w:val="0006673F"/>
    <w:rsid w:val="00066A67"/>
    <w:rsid w:val="00067B03"/>
    <w:rsid w:val="00070208"/>
    <w:rsid w:val="0007228C"/>
    <w:rsid w:val="00072594"/>
    <w:rsid w:val="00073051"/>
    <w:rsid w:val="00074E40"/>
    <w:rsid w:val="00075D4E"/>
    <w:rsid w:val="00076664"/>
    <w:rsid w:val="00077315"/>
    <w:rsid w:val="00081046"/>
    <w:rsid w:val="00081961"/>
    <w:rsid w:val="00082A39"/>
    <w:rsid w:val="00084D91"/>
    <w:rsid w:val="000851C7"/>
    <w:rsid w:val="00085251"/>
    <w:rsid w:val="0008775A"/>
    <w:rsid w:val="00087E07"/>
    <w:rsid w:val="000913BE"/>
    <w:rsid w:val="00092855"/>
    <w:rsid w:val="000959C5"/>
    <w:rsid w:val="00095D1A"/>
    <w:rsid w:val="00095F1B"/>
    <w:rsid w:val="00096FA7"/>
    <w:rsid w:val="00097559"/>
    <w:rsid w:val="000A177A"/>
    <w:rsid w:val="000A2057"/>
    <w:rsid w:val="000A318C"/>
    <w:rsid w:val="000A4FDA"/>
    <w:rsid w:val="000A55EF"/>
    <w:rsid w:val="000A62CE"/>
    <w:rsid w:val="000A7299"/>
    <w:rsid w:val="000B0197"/>
    <w:rsid w:val="000B01FC"/>
    <w:rsid w:val="000B0287"/>
    <w:rsid w:val="000B0FC5"/>
    <w:rsid w:val="000B14A2"/>
    <w:rsid w:val="000B4E96"/>
    <w:rsid w:val="000B5053"/>
    <w:rsid w:val="000B52FA"/>
    <w:rsid w:val="000B7A22"/>
    <w:rsid w:val="000B7E6C"/>
    <w:rsid w:val="000C0A93"/>
    <w:rsid w:val="000C0C10"/>
    <w:rsid w:val="000C0EC2"/>
    <w:rsid w:val="000C1B5E"/>
    <w:rsid w:val="000C1C19"/>
    <w:rsid w:val="000C1E49"/>
    <w:rsid w:val="000C304B"/>
    <w:rsid w:val="000C3131"/>
    <w:rsid w:val="000C31A3"/>
    <w:rsid w:val="000C33E8"/>
    <w:rsid w:val="000C3465"/>
    <w:rsid w:val="000C49F0"/>
    <w:rsid w:val="000C5145"/>
    <w:rsid w:val="000C5A78"/>
    <w:rsid w:val="000C60F4"/>
    <w:rsid w:val="000D0428"/>
    <w:rsid w:val="000D0522"/>
    <w:rsid w:val="000D079A"/>
    <w:rsid w:val="000D1C07"/>
    <w:rsid w:val="000D23BB"/>
    <w:rsid w:val="000D2652"/>
    <w:rsid w:val="000D3122"/>
    <w:rsid w:val="000D3369"/>
    <w:rsid w:val="000D3B96"/>
    <w:rsid w:val="000D5762"/>
    <w:rsid w:val="000D6422"/>
    <w:rsid w:val="000E048D"/>
    <w:rsid w:val="000E3892"/>
    <w:rsid w:val="000E465C"/>
    <w:rsid w:val="000E4702"/>
    <w:rsid w:val="000E4A7C"/>
    <w:rsid w:val="000E5275"/>
    <w:rsid w:val="000E5813"/>
    <w:rsid w:val="000E6021"/>
    <w:rsid w:val="000E647C"/>
    <w:rsid w:val="000E7529"/>
    <w:rsid w:val="000E7AB0"/>
    <w:rsid w:val="000E7B6C"/>
    <w:rsid w:val="000F0704"/>
    <w:rsid w:val="000F07AF"/>
    <w:rsid w:val="000F1077"/>
    <w:rsid w:val="000F15E3"/>
    <w:rsid w:val="000F24C4"/>
    <w:rsid w:val="000F285F"/>
    <w:rsid w:val="000F2F47"/>
    <w:rsid w:val="000F3187"/>
    <w:rsid w:val="000F37DB"/>
    <w:rsid w:val="000F3AC7"/>
    <w:rsid w:val="000F444E"/>
    <w:rsid w:val="000F4A54"/>
    <w:rsid w:val="000F5538"/>
    <w:rsid w:val="000F6151"/>
    <w:rsid w:val="000F7C06"/>
    <w:rsid w:val="0010018F"/>
    <w:rsid w:val="001009C8"/>
    <w:rsid w:val="00100D7C"/>
    <w:rsid w:val="00100FF0"/>
    <w:rsid w:val="0010115E"/>
    <w:rsid w:val="0010149C"/>
    <w:rsid w:val="001021D7"/>
    <w:rsid w:val="00102D4F"/>
    <w:rsid w:val="001030DD"/>
    <w:rsid w:val="0010389E"/>
    <w:rsid w:val="00103B2F"/>
    <w:rsid w:val="00103EA0"/>
    <w:rsid w:val="001042C2"/>
    <w:rsid w:val="00104422"/>
    <w:rsid w:val="0010504E"/>
    <w:rsid w:val="0010553A"/>
    <w:rsid w:val="00106DE3"/>
    <w:rsid w:val="00107940"/>
    <w:rsid w:val="001109A2"/>
    <w:rsid w:val="00110AFD"/>
    <w:rsid w:val="00110BB5"/>
    <w:rsid w:val="00110CEF"/>
    <w:rsid w:val="001116DD"/>
    <w:rsid w:val="00111A64"/>
    <w:rsid w:val="00111E7C"/>
    <w:rsid w:val="00115E2C"/>
    <w:rsid w:val="00116094"/>
    <w:rsid w:val="00116477"/>
    <w:rsid w:val="00116F97"/>
    <w:rsid w:val="00116FEC"/>
    <w:rsid w:val="001175C1"/>
    <w:rsid w:val="001210A0"/>
    <w:rsid w:val="001223E4"/>
    <w:rsid w:val="001235BD"/>
    <w:rsid w:val="0012407B"/>
    <w:rsid w:val="00124F38"/>
    <w:rsid w:val="00126C44"/>
    <w:rsid w:val="00127B77"/>
    <w:rsid w:val="00130CF9"/>
    <w:rsid w:val="00131C1E"/>
    <w:rsid w:val="00131D15"/>
    <w:rsid w:val="00131E9D"/>
    <w:rsid w:val="001338A5"/>
    <w:rsid w:val="00133EB5"/>
    <w:rsid w:val="00135C96"/>
    <w:rsid w:val="00135F0D"/>
    <w:rsid w:val="00141824"/>
    <w:rsid w:val="00144E68"/>
    <w:rsid w:val="001452E3"/>
    <w:rsid w:val="00145340"/>
    <w:rsid w:val="0014561A"/>
    <w:rsid w:val="00147126"/>
    <w:rsid w:val="00147149"/>
    <w:rsid w:val="00153770"/>
    <w:rsid w:val="0015471D"/>
    <w:rsid w:val="00154E9A"/>
    <w:rsid w:val="001562B1"/>
    <w:rsid w:val="00157375"/>
    <w:rsid w:val="001577DF"/>
    <w:rsid w:val="0016038B"/>
    <w:rsid w:val="001603F6"/>
    <w:rsid w:val="001604CB"/>
    <w:rsid w:val="0016077E"/>
    <w:rsid w:val="00160E24"/>
    <w:rsid w:val="00161166"/>
    <w:rsid w:val="001613B5"/>
    <w:rsid w:val="00161D24"/>
    <w:rsid w:val="0016219C"/>
    <w:rsid w:val="001623BD"/>
    <w:rsid w:val="001624C6"/>
    <w:rsid w:val="00162963"/>
    <w:rsid w:val="00163080"/>
    <w:rsid w:val="00165F7A"/>
    <w:rsid w:val="00167303"/>
    <w:rsid w:val="001705ED"/>
    <w:rsid w:val="00170736"/>
    <w:rsid w:val="00171D78"/>
    <w:rsid w:val="00171E47"/>
    <w:rsid w:val="00172081"/>
    <w:rsid w:val="0017450C"/>
    <w:rsid w:val="001747E1"/>
    <w:rsid w:val="00174861"/>
    <w:rsid w:val="00177D65"/>
    <w:rsid w:val="00180520"/>
    <w:rsid w:val="001807AB"/>
    <w:rsid w:val="00181697"/>
    <w:rsid w:val="0018182B"/>
    <w:rsid w:val="001822AD"/>
    <w:rsid w:val="001827EA"/>
    <w:rsid w:val="001828AA"/>
    <w:rsid w:val="00183168"/>
    <w:rsid w:val="00183276"/>
    <w:rsid w:val="0018327E"/>
    <w:rsid w:val="00184173"/>
    <w:rsid w:val="00185564"/>
    <w:rsid w:val="00186172"/>
    <w:rsid w:val="001870E2"/>
    <w:rsid w:val="001870FD"/>
    <w:rsid w:val="00187464"/>
    <w:rsid w:val="00187527"/>
    <w:rsid w:val="00187726"/>
    <w:rsid w:val="00191F78"/>
    <w:rsid w:val="00191FC2"/>
    <w:rsid w:val="00192A7E"/>
    <w:rsid w:val="00193224"/>
    <w:rsid w:val="00193CE5"/>
    <w:rsid w:val="00194B5E"/>
    <w:rsid w:val="00194D28"/>
    <w:rsid w:val="001960A8"/>
    <w:rsid w:val="00196FF5"/>
    <w:rsid w:val="001A07FC"/>
    <w:rsid w:val="001A1618"/>
    <w:rsid w:val="001A26DC"/>
    <w:rsid w:val="001A37F3"/>
    <w:rsid w:val="001A3AA0"/>
    <w:rsid w:val="001A4740"/>
    <w:rsid w:val="001A4BBF"/>
    <w:rsid w:val="001A4D99"/>
    <w:rsid w:val="001A75A8"/>
    <w:rsid w:val="001A798C"/>
    <w:rsid w:val="001B0A8E"/>
    <w:rsid w:val="001B0EB7"/>
    <w:rsid w:val="001B0FB2"/>
    <w:rsid w:val="001B24C3"/>
    <w:rsid w:val="001B30C9"/>
    <w:rsid w:val="001B382D"/>
    <w:rsid w:val="001C27F8"/>
    <w:rsid w:val="001C2A84"/>
    <w:rsid w:val="001C37F3"/>
    <w:rsid w:val="001C49A9"/>
    <w:rsid w:val="001C5696"/>
    <w:rsid w:val="001C693E"/>
    <w:rsid w:val="001C7B0F"/>
    <w:rsid w:val="001D1320"/>
    <w:rsid w:val="001D2294"/>
    <w:rsid w:val="001D2AC1"/>
    <w:rsid w:val="001D2C1D"/>
    <w:rsid w:val="001D454C"/>
    <w:rsid w:val="001D5236"/>
    <w:rsid w:val="001D5FF6"/>
    <w:rsid w:val="001D64F5"/>
    <w:rsid w:val="001D6D10"/>
    <w:rsid w:val="001D6F12"/>
    <w:rsid w:val="001D71E4"/>
    <w:rsid w:val="001D7315"/>
    <w:rsid w:val="001D74E5"/>
    <w:rsid w:val="001D75FA"/>
    <w:rsid w:val="001D7E44"/>
    <w:rsid w:val="001D7EA5"/>
    <w:rsid w:val="001E2150"/>
    <w:rsid w:val="001E2AC8"/>
    <w:rsid w:val="001E2F2D"/>
    <w:rsid w:val="001E32DB"/>
    <w:rsid w:val="001E3717"/>
    <w:rsid w:val="001E4289"/>
    <w:rsid w:val="001E4382"/>
    <w:rsid w:val="001E5F4A"/>
    <w:rsid w:val="001E6946"/>
    <w:rsid w:val="001E6DAF"/>
    <w:rsid w:val="001E7A67"/>
    <w:rsid w:val="001E7FBB"/>
    <w:rsid w:val="001F1914"/>
    <w:rsid w:val="001F20F2"/>
    <w:rsid w:val="001F55ED"/>
    <w:rsid w:val="001F5FED"/>
    <w:rsid w:val="001F6DFF"/>
    <w:rsid w:val="001F745A"/>
    <w:rsid w:val="00200113"/>
    <w:rsid w:val="0020067F"/>
    <w:rsid w:val="00200AB7"/>
    <w:rsid w:val="00200ABF"/>
    <w:rsid w:val="00200D5D"/>
    <w:rsid w:val="00200E80"/>
    <w:rsid w:val="0020116C"/>
    <w:rsid w:val="00201582"/>
    <w:rsid w:val="00201775"/>
    <w:rsid w:val="00201904"/>
    <w:rsid w:val="00201A88"/>
    <w:rsid w:val="00201E5C"/>
    <w:rsid w:val="00202531"/>
    <w:rsid w:val="00202664"/>
    <w:rsid w:val="0020473C"/>
    <w:rsid w:val="002049F8"/>
    <w:rsid w:val="00204D38"/>
    <w:rsid w:val="00205A78"/>
    <w:rsid w:val="00206048"/>
    <w:rsid w:val="00207312"/>
    <w:rsid w:val="002077FA"/>
    <w:rsid w:val="00207E9F"/>
    <w:rsid w:val="00210784"/>
    <w:rsid w:val="00213D01"/>
    <w:rsid w:val="002148CC"/>
    <w:rsid w:val="0021556E"/>
    <w:rsid w:val="0021561D"/>
    <w:rsid w:val="00215AD5"/>
    <w:rsid w:val="00217077"/>
    <w:rsid w:val="002170A7"/>
    <w:rsid w:val="002179DD"/>
    <w:rsid w:val="00220C89"/>
    <w:rsid w:val="00221B1D"/>
    <w:rsid w:val="00222784"/>
    <w:rsid w:val="00222DC9"/>
    <w:rsid w:val="00223419"/>
    <w:rsid w:val="002234CD"/>
    <w:rsid w:val="0022392D"/>
    <w:rsid w:val="00223CA9"/>
    <w:rsid w:val="0022460A"/>
    <w:rsid w:val="00224E48"/>
    <w:rsid w:val="002258AF"/>
    <w:rsid w:val="002258DA"/>
    <w:rsid w:val="00225B20"/>
    <w:rsid w:val="00227EFA"/>
    <w:rsid w:val="002301C4"/>
    <w:rsid w:val="00230402"/>
    <w:rsid w:val="00231120"/>
    <w:rsid w:val="00231652"/>
    <w:rsid w:val="00232405"/>
    <w:rsid w:val="002332C0"/>
    <w:rsid w:val="002343E3"/>
    <w:rsid w:val="002357FF"/>
    <w:rsid w:val="00235DC0"/>
    <w:rsid w:val="002368DB"/>
    <w:rsid w:val="00236D70"/>
    <w:rsid w:val="00237137"/>
    <w:rsid w:val="00240629"/>
    <w:rsid w:val="00240812"/>
    <w:rsid w:val="002416BE"/>
    <w:rsid w:val="00241738"/>
    <w:rsid w:val="002419AD"/>
    <w:rsid w:val="00241A3E"/>
    <w:rsid w:val="00241BFE"/>
    <w:rsid w:val="00241E9D"/>
    <w:rsid w:val="00243069"/>
    <w:rsid w:val="00244B54"/>
    <w:rsid w:val="0024559E"/>
    <w:rsid w:val="00246320"/>
    <w:rsid w:val="00246B44"/>
    <w:rsid w:val="00246F0A"/>
    <w:rsid w:val="00247B27"/>
    <w:rsid w:val="0025118A"/>
    <w:rsid w:val="00251910"/>
    <w:rsid w:val="00251921"/>
    <w:rsid w:val="00251941"/>
    <w:rsid w:val="0025371B"/>
    <w:rsid w:val="00253983"/>
    <w:rsid w:val="0025497E"/>
    <w:rsid w:val="00254C51"/>
    <w:rsid w:val="002553DA"/>
    <w:rsid w:val="002559DE"/>
    <w:rsid w:val="00255D6A"/>
    <w:rsid w:val="00256070"/>
    <w:rsid w:val="0025729A"/>
    <w:rsid w:val="0026083A"/>
    <w:rsid w:val="0026196F"/>
    <w:rsid w:val="00262528"/>
    <w:rsid w:val="00264CC4"/>
    <w:rsid w:val="00265F18"/>
    <w:rsid w:val="002676C5"/>
    <w:rsid w:val="0026790D"/>
    <w:rsid w:val="00270802"/>
    <w:rsid w:val="00271297"/>
    <w:rsid w:val="00271CE9"/>
    <w:rsid w:val="002723D3"/>
    <w:rsid w:val="0027297D"/>
    <w:rsid w:val="00272F7C"/>
    <w:rsid w:val="0027312C"/>
    <w:rsid w:val="00273626"/>
    <w:rsid w:val="00274415"/>
    <w:rsid w:val="00274CDF"/>
    <w:rsid w:val="002751B9"/>
    <w:rsid w:val="00275B09"/>
    <w:rsid w:val="0027643E"/>
    <w:rsid w:val="00276ABA"/>
    <w:rsid w:val="00276D92"/>
    <w:rsid w:val="00277C4F"/>
    <w:rsid w:val="00280F5F"/>
    <w:rsid w:val="00282826"/>
    <w:rsid w:val="002834A6"/>
    <w:rsid w:val="00283A35"/>
    <w:rsid w:val="00283E96"/>
    <w:rsid w:val="0028439E"/>
    <w:rsid w:val="00285387"/>
    <w:rsid w:val="00285575"/>
    <w:rsid w:val="002855F8"/>
    <w:rsid w:val="0028605E"/>
    <w:rsid w:val="0028660A"/>
    <w:rsid w:val="002866C9"/>
    <w:rsid w:val="00286BCF"/>
    <w:rsid w:val="0029003F"/>
    <w:rsid w:val="002905F5"/>
    <w:rsid w:val="00290A67"/>
    <w:rsid w:val="00290E3A"/>
    <w:rsid w:val="00290F10"/>
    <w:rsid w:val="00291E69"/>
    <w:rsid w:val="002932F5"/>
    <w:rsid w:val="002934A7"/>
    <w:rsid w:val="00293E7C"/>
    <w:rsid w:val="00294AB4"/>
    <w:rsid w:val="00295C19"/>
    <w:rsid w:val="0029666C"/>
    <w:rsid w:val="00296C65"/>
    <w:rsid w:val="00296F06"/>
    <w:rsid w:val="002A016E"/>
    <w:rsid w:val="002A02CA"/>
    <w:rsid w:val="002A0755"/>
    <w:rsid w:val="002A1381"/>
    <w:rsid w:val="002A38F2"/>
    <w:rsid w:val="002A3A79"/>
    <w:rsid w:val="002A3DE9"/>
    <w:rsid w:val="002A5375"/>
    <w:rsid w:val="002A57E8"/>
    <w:rsid w:val="002A6312"/>
    <w:rsid w:val="002A67CE"/>
    <w:rsid w:val="002B0362"/>
    <w:rsid w:val="002B084D"/>
    <w:rsid w:val="002B0C30"/>
    <w:rsid w:val="002B1466"/>
    <w:rsid w:val="002B2904"/>
    <w:rsid w:val="002B30C8"/>
    <w:rsid w:val="002B31AF"/>
    <w:rsid w:val="002B3B3B"/>
    <w:rsid w:val="002B4362"/>
    <w:rsid w:val="002B4525"/>
    <w:rsid w:val="002B53B9"/>
    <w:rsid w:val="002B5B81"/>
    <w:rsid w:val="002B5EC5"/>
    <w:rsid w:val="002B691E"/>
    <w:rsid w:val="002C0071"/>
    <w:rsid w:val="002C0314"/>
    <w:rsid w:val="002C0A20"/>
    <w:rsid w:val="002C1409"/>
    <w:rsid w:val="002C1C35"/>
    <w:rsid w:val="002C1CE7"/>
    <w:rsid w:val="002C2832"/>
    <w:rsid w:val="002C2BE3"/>
    <w:rsid w:val="002C3B9D"/>
    <w:rsid w:val="002C5848"/>
    <w:rsid w:val="002C6121"/>
    <w:rsid w:val="002C7596"/>
    <w:rsid w:val="002D065A"/>
    <w:rsid w:val="002D127D"/>
    <w:rsid w:val="002D1411"/>
    <w:rsid w:val="002D1889"/>
    <w:rsid w:val="002D2808"/>
    <w:rsid w:val="002D2D7B"/>
    <w:rsid w:val="002D3953"/>
    <w:rsid w:val="002D40D9"/>
    <w:rsid w:val="002D61A7"/>
    <w:rsid w:val="002D641B"/>
    <w:rsid w:val="002D77A8"/>
    <w:rsid w:val="002E013B"/>
    <w:rsid w:val="002E1856"/>
    <w:rsid w:val="002E1B68"/>
    <w:rsid w:val="002E208E"/>
    <w:rsid w:val="002E26EE"/>
    <w:rsid w:val="002E2E31"/>
    <w:rsid w:val="002E2E72"/>
    <w:rsid w:val="002E3638"/>
    <w:rsid w:val="002E3C8C"/>
    <w:rsid w:val="002E40E4"/>
    <w:rsid w:val="002E4F69"/>
    <w:rsid w:val="002E5ACD"/>
    <w:rsid w:val="002E60A0"/>
    <w:rsid w:val="002E64E5"/>
    <w:rsid w:val="002E7322"/>
    <w:rsid w:val="002F02C3"/>
    <w:rsid w:val="002F1474"/>
    <w:rsid w:val="002F1BF6"/>
    <w:rsid w:val="002F1CFA"/>
    <w:rsid w:val="002F1E62"/>
    <w:rsid w:val="002F21BD"/>
    <w:rsid w:val="002F499A"/>
    <w:rsid w:val="002F5375"/>
    <w:rsid w:val="002F694B"/>
    <w:rsid w:val="002F75B1"/>
    <w:rsid w:val="002F7E64"/>
    <w:rsid w:val="002F7F06"/>
    <w:rsid w:val="00300401"/>
    <w:rsid w:val="0030078D"/>
    <w:rsid w:val="0030220A"/>
    <w:rsid w:val="003027E1"/>
    <w:rsid w:val="00302B01"/>
    <w:rsid w:val="00303BE1"/>
    <w:rsid w:val="003042F4"/>
    <w:rsid w:val="00304522"/>
    <w:rsid w:val="00304B78"/>
    <w:rsid w:val="00305BB1"/>
    <w:rsid w:val="00307608"/>
    <w:rsid w:val="0031021A"/>
    <w:rsid w:val="00310765"/>
    <w:rsid w:val="00311FFA"/>
    <w:rsid w:val="003122DC"/>
    <w:rsid w:val="00312DA7"/>
    <w:rsid w:val="00313495"/>
    <w:rsid w:val="00313AC7"/>
    <w:rsid w:val="003140CF"/>
    <w:rsid w:val="003154F0"/>
    <w:rsid w:val="00315C89"/>
    <w:rsid w:val="003175C1"/>
    <w:rsid w:val="00317D02"/>
    <w:rsid w:val="00317DB0"/>
    <w:rsid w:val="003215B5"/>
    <w:rsid w:val="00322875"/>
    <w:rsid w:val="0032359E"/>
    <w:rsid w:val="003255E5"/>
    <w:rsid w:val="00326E89"/>
    <w:rsid w:val="00327B27"/>
    <w:rsid w:val="00330388"/>
    <w:rsid w:val="00331DCB"/>
    <w:rsid w:val="00331EDB"/>
    <w:rsid w:val="0033564A"/>
    <w:rsid w:val="00336511"/>
    <w:rsid w:val="00341B89"/>
    <w:rsid w:val="003428A6"/>
    <w:rsid w:val="00344082"/>
    <w:rsid w:val="00344F76"/>
    <w:rsid w:val="00345C3D"/>
    <w:rsid w:val="00346C83"/>
    <w:rsid w:val="00347766"/>
    <w:rsid w:val="003519D6"/>
    <w:rsid w:val="0035224C"/>
    <w:rsid w:val="00352454"/>
    <w:rsid w:val="00352F1F"/>
    <w:rsid w:val="00352F3F"/>
    <w:rsid w:val="003534AB"/>
    <w:rsid w:val="003549FB"/>
    <w:rsid w:val="00354A2A"/>
    <w:rsid w:val="00354A39"/>
    <w:rsid w:val="00354AD3"/>
    <w:rsid w:val="00357354"/>
    <w:rsid w:val="0036002F"/>
    <w:rsid w:val="00360474"/>
    <w:rsid w:val="00362C71"/>
    <w:rsid w:val="0036342E"/>
    <w:rsid w:val="0036413B"/>
    <w:rsid w:val="00365125"/>
    <w:rsid w:val="003652F4"/>
    <w:rsid w:val="003656BE"/>
    <w:rsid w:val="00365924"/>
    <w:rsid w:val="00366661"/>
    <w:rsid w:val="0036679B"/>
    <w:rsid w:val="00366E5C"/>
    <w:rsid w:val="00367632"/>
    <w:rsid w:val="00370234"/>
    <w:rsid w:val="00370261"/>
    <w:rsid w:val="00370D92"/>
    <w:rsid w:val="00371C3A"/>
    <w:rsid w:val="0037540E"/>
    <w:rsid w:val="00375C0C"/>
    <w:rsid w:val="003773C8"/>
    <w:rsid w:val="00380071"/>
    <w:rsid w:val="00380115"/>
    <w:rsid w:val="00381BE5"/>
    <w:rsid w:val="003827B0"/>
    <w:rsid w:val="00383DBF"/>
    <w:rsid w:val="0038488B"/>
    <w:rsid w:val="00384D17"/>
    <w:rsid w:val="00386064"/>
    <w:rsid w:val="0038681B"/>
    <w:rsid w:val="0039091D"/>
    <w:rsid w:val="00390BDB"/>
    <w:rsid w:val="00390F4F"/>
    <w:rsid w:val="00390F89"/>
    <w:rsid w:val="00391E0D"/>
    <w:rsid w:val="00392693"/>
    <w:rsid w:val="00393A31"/>
    <w:rsid w:val="00394ECE"/>
    <w:rsid w:val="0039504C"/>
    <w:rsid w:val="003950AE"/>
    <w:rsid w:val="00395533"/>
    <w:rsid w:val="0039568F"/>
    <w:rsid w:val="00395910"/>
    <w:rsid w:val="0039591D"/>
    <w:rsid w:val="003A140B"/>
    <w:rsid w:val="003A1C08"/>
    <w:rsid w:val="003A3912"/>
    <w:rsid w:val="003A44A7"/>
    <w:rsid w:val="003A457B"/>
    <w:rsid w:val="003A5249"/>
    <w:rsid w:val="003A5D87"/>
    <w:rsid w:val="003A5F2E"/>
    <w:rsid w:val="003A6165"/>
    <w:rsid w:val="003A61B8"/>
    <w:rsid w:val="003A65DD"/>
    <w:rsid w:val="003A672D"/>
    <w:rsid w:val="003B14F1"/>
    <w:rsid w:val="003B1C2C"/>
    <w:rsid w:val="003B39D7"/>
    <w:rsid w:val="003B569C"/>
    <w:rsid w:val="003B57B4"/>
    <w:rsid w:val="003B5DDB"/>
    <w:rsid w:val="003B5F8F"/>
    <w:rsid w:val="003B6AD9"/>
    <w:rsid w:val="003C1512"/>
    <w:rsid w:val="003C16B0"/>
    <w:rsid w:val="003C3ECC"/>
    <w:rsid w:val="003C3F39"/>
    <w:rsid w:val="003C4096"/>
    <w:rsid w:val="003C4365"/>
    <w:rsid w:val="003C50C6"/>
    <w:rsid w:val="003C557D"/>
    <w:rsid w:val="003C563C"/>
    <w:rsid w:val="003C5774"/>
    <w:rsid w:val="003C675E"/>
    <w:rsid w:val="003C6A61"/>
    <w:rsid w:val="003C6A62"/>
    <w:rsid w:val="003C76F3"/>
    <w:rsid w:val="003C7799"/>
    <w:rsid w:val="003C7859"/>
    <w:rsid w:val="003C7A20"/>
    <w:rsid w:val="003D0326"/>
    <w:rsid w:val="003D07B4"/>
    <w:rsid w:val="003D081A"/>
    <w:rsid w:val="003D0C5B"/>
    <w:rsid w:val="003D17DB"/>
    <w:rsid w:val="003D1A52"/>
    <w:rsid w:val="003D1C15"/>
    <w:rsid w:val="003D2829"/>
    <w:rsid w:val="003D2996"/>
    <w:rsid w:val="003D5772"/>
    <w:rsid w:val="003D647B"/>
    <w:rsid w:val="003D6E3D"/>
    <w:rsid w:val="003E33D2"/>
    <w:rsid w:val="003E381D"/>
    <w:rsid w:val="003E3A9E"/>
    <w:rsid w:val="003E574A"/>
    <w:rsid w:val="003E64B1"/>
    <w:rsid w:val="003E7545"/>
    <w:rsid w:val="003E79E8"/>
    <w:rsid w:val="003F03AE"/>
    <w:rsid w:val="003F0671"/>
    <w:rsid w:val="003F0C83"/>
    <w:rsid w:val="003F1448"/>
    <w:rsid w:val="003F2A12"/>
    <w:rsid w:val="003F394C"/>
    <w:rsid w:val="003F3CC7"/>
    <w:rsid w:val="003F4772"/>
    <w:rsid w:val="003F5325"/>
    <w:rsid w:val="003F5E63"/>
    <w:rsid w:val="003F6D54"/>
    <w:rsid w:val="003F6D76"/>
    <w:rsid w:val="003F7C9F"/>
    <w:rsid w:val="003F7DDB"/>
    <w:rsid w:val="004003A0"/>
    <w:rsid w:val="004008A5"/>
    <w:rsid w:val="0040131C"/>
    <w:rsid w:val="004014C1"/>
    <w:rsid w:val="00401D36"/>
    <w:rsid w:val="00402452"/>
    <w:rsid w:val="0040388D"/>
    <w:rsid w:val="00403AD6"/>
    <w:rsid w:val="00403CBC"/>
    <w:rsid w:val="00404363"/>
    <w:rsid w:val="00405032"/>
    <w:rsid w:val="00405A03"/>
    <w:rsid w:val="00410065"/>
    <w:rsid w:val="0041201A"/>
    <w:rsid w:val="00413E65"/>
    <w:rsid w:val="00415842"/>
    <w:rsid w:val="004161F8"/>
    <w:rsid w:val="0041667D"/>
    <w:rsid w:val="00417207"/>
    <w:rsid w:val="004208A6"/>
    <w:rsid w:val="00420931"/>
    <w:rsid w:val="00420ED2"/>
    <w:rsid w:val="00421033"/>
    <w:rsid w:val="004219EE"/>
    <w:rsid w:val="00421B21"/>
    <w:rsid w:val="00422E02"/>
    <w:rsid w:val="00424323"/>
    <w:rsid w:val="00424DDD"/>
    <w:rsid w:val="0042590B"/>
    <w:rsid w:val="00425A06"/>
    <w:rsid w:val="00426149"/>
    <w:rsid w:val="00426969"/>
    <w:rsid w:val="00427173"/>
    <w:rsid w:val="004276EA"/>
    <w:rsid w:val="0042777E"/>
    <w:rsid w:val="004305FF"/>
    <w:rsid w:val="00430D48"/>
    <w:rsid w:val="00430E49"/>
    <w:rsid w:val="00432668"/>
    <w:rsid w:val="004326CA"/>
    <w:rsid w:val="00433055"/>
    <w:rsid w:val="00433B2E"/>
    <w:rsid w:val="0043530A"/>
    <w:rsid w:val="0043645E"/>
    <w:rsid w:val="00436B0C"/>
    <w:rsid w:val="00437786"/>
    <w:rsid w:val="00441532"/>
    <w:rsid w:val="004419CD"/>
    <w:rsid w:val="00441CBF"/>
    <w:rsid w:val="004422F8"/>
    <w:rsid w:val="0044437D"/>
    <w:rsid w:val="00444472"/>
    <w:rsid w:val="00444C16"/>
    <w:rsid w:val="00444F19"/>
    <w:rsid w:val="004454C0"/>
    <w:rsid w:val="00446127"/>
    <w:rsid w:val="004464AA"/>
    <w:rsid w:val="00446710"/>
    <w:rsid w:val="00447524"/>
    <w:rsid w:val="00447983"/>
    <w:rsid w:val="004515D3"/>
    <w:rsid w:val="00451B24"/>
    <w:rsid w:val="004524F9"/>
    <w:rsid w:val="0045261A"/>
    <w:rsid w:val="00452A2E"/>
    <w:rsid w:val="00452FBC"/>
    <w:rsid w:val="004530DB"/>
    <w:rsid w:val="0045385E"/>
    <w:rsid w:val="00453E7A"/>
    <w:rsid w:val="00455D2F"/>
    <w:rsid w:val="00456C1D"/>
    <w:rsid w:val="0045737B"/>
    <w:rsid w:val="004600EF"/>
    <w:rsid w:val="00460546"/>
    <w:rsid w:val="00460F6A"/>
    <w:rsid w:val="004613B8"/>
    <w:rsid w:val="0046166E"/>
    <w:rsid w:val="00461ECE"/>
    <w:rsid w:val="00462718"/>
    <w:rsid w:val="00462EFF"/>
    <w:rsid w:val="004635F9"/>
    <w:rsid w:val="0046477B"/>
    <w:rsid w:val="0046527F"/>
    <w:rsid w:val="00466015"/>
    <w:rsid w:val="00466937"/>
    <w:rsid w:val="00471FDB"/>
    <w:rsid w:val="00472046"/>
    <w:rsid w:val="004729F2"/>
    <w:rsid w:val="00472D7F"/>
    <w:rsid w:val="00472E3A"/>
    <w:rsid w:val="0047355F"/>
    <w:rsid w:val="004736DE"/>
    <w:rsid w:val="00477A32"/>
    <w:rsid w:val="004809D9"/>
    <w:rsid w:val="0048121B"/>
    <w:rsid w:val="00482BC9"/>
    <w:rsid w:val="00482D29"/>
    <w:rsid w:val="00482FA6"/>
    <w:rsid w:val="004831E1"/>
    <w:rsid w:val="004841B6"/>
    <w:rsid w:val="004844E3"/>
    <w:rsid w:val="00484BA8"/>
    <w:rsid w:val="00484D3C"/>
    <w:rsid w:val="00485493"/>
    <w:rsid w:val="00485939"/>
    <w:rsid w:val="00485FB4"/>
    <w:rsid w:val="0048656B"/>
    <w:rsid w:val="00487793"/>
    <w:rsid w:val="00487A0D"/>
    <w:rsid w:val="00492968"/>
    <w:rsid w:val="00492BF8"/>
    <w:rsid w:val="00492D4F"/>
    <w:rsid w:val="00493518"/>
    <w:rsid w:val="004935F8"/>
    <w:rsid w:val="00496398"/>
    <w:rsid w:val="004963AB"/>
    <w:rsid w:val="00496DDA"/>
    <w:rsid w:val="004A1B0C"/>
    <w:rsid w:val="004A2D8C"/>
    <w:rsid w:val="004A32AE"/>
    <w:rsid w:val="004A3976"/>
    <w:rsid w:val="004A49EC"/>
    <w:rsid w:val="004A55CD"/>
    <w:rsid w:val="004A6CFA"/>
    <w:rsid w:val="004B0343"/>
    <w:rsid w:val="004B04F0"/>
    <w:rsid w:val="004B09DC"/>
    <w:rsid w:val="004B0BDC"/>
    <w:rsid w:val="004B0F07"/>
    <w:rsid w:val="004B1026"/>
    <w:rsid w:val="004B11F5"/>
    <w:rsid w:val="004B184C"/>
    <w:rsid w:val="004B1AA7"/>
    <w:rsid w:val="004B20F4"/>
    <w:rsid w:val="004B3336"/>
    <w:rsid w:val="004B472A"/>
    <w:rsid w:val="004B4908"/>
    <w:rsid w:val="004B5D43"/>
    <w:rsid w:val="004B613B"/>
    <w:rsid w:val="004B6229"/>
    <w:rsid w:val="004B67FE"/>
    <w:rsid w:val="004B6AA1"/>
    <w:rsid w:val="004B6C1B"/>
    <w:rsid w:val="004B70AC"/>
    <w:rsid w:val="004B75B1"/>
    <w:rsid w:val="004B79B1"/>
    <w:rsid w:val="004C0123"/>
    <w:rsid w:val="004C0464"/>
    <w:rsid w:val="004C0EF2"/>
    <w:rsid w:val="004C32BC"/>
    <w:rsid w:val="004C4DD2"/>
    <w:rsid w:val="004C5201"/>
    <w:rsid w:val="004D011A"/>
    <w:rsid w:val="004D09FD"/>
    <w:rsid w:val="004D118B"/>
    <w:rsid w:val="004D2602"/>
    <w:rsid w:val="004D2B69"/>
    <w:rsid w:val="004D478A"/>
    <w:rsid w:val="004D6A1E"/>
    <w:rsid w:val="004D748F"/>
    <w:rsid w:val="004D74D5"/>
    <w:rsid w:val="004E0630"/>
    <w:rsid w:val="004E0934"/>
    <w:rsid w:val="004E13C3"/>
    <w:rsid w:val="004E15DA"/>
    <w:rsid w:val="004E30AB"/>
    <w:rsid w:val="004E3708"/>
    <w:rsid w:val="004E488A"/>
    <w:rsid w:val="004E4FA0"/>
    <w:rsid w:val="004E63FB"/>
    <w:rsid w:val="004E65DE"/>
    <w:rsid w:val="004E6B2E"/>
    <w:rsid w:val="004E7ED2"/>
    <w:rsid w:val="004F01FD"/>
    <w:rsid w:val="004F1F24"/>
    <w:rsid w:val="004F1FD4"/>
    <w:rsid w:val="004F2A57"/>
    <w:rsid w:val="004F304A"/>
    <w:rsid w:val="004F3B0B"/>
    <w:rsid w:val="004F3C7B"/>
    <w:rsid w:val="004F3D43"/>
    <w:rsid w:val="004F3F34"/>
    <w:rsid w:val="004F4213"/>
    <w:rsid w:val="004F4D9C"/>
    <w:rsid w:val="004F57EA"/>
    <w:rsid w:val="004F788E"/>
    <w:rsid w:val="0050027E"/>
    <w:rsid w:val="00500526"/>
    <w:rsid w:val="00500809"/>
    <w:rsid w:val="00500A53"/>
    <w:rsid w:val="00502B0F"/>
    <w:rsid w:val="00502D6D"/>
    <w:rsid w:val="00503CF8"/>
    <w:rsid w:val="005049CE"/>
    <w:rsid w:val="00504A72"/>
    <w:rsid w:val="00504B39"/>
    <w:rsid w:val="00506A85"/>
    <w:rsid w:val="00507207"/>
    <w:rsid w:val="00510B18"/>
    <w:rsid w:val="0051123F"/>
    <w:rsid w:val="005115ED"/>
    <w:rsid w:val="00511A04"/>
    <w:rsid w:val="00512840"/>
    <w:rsid w:val="00512EEF"/>
    <w:rsid w:val="0051325C"/>
    <w:rsid w:val="00515925"/>
    <w:rsid w:val="00516114"/>
    <w:rsid w:val="0051651D"/>
    <w:rsid w:val="00517CC0"/>
    <w:rsid w:val="00517E7C"/>
    <w:rsid w:val="00520289"/>
    <w:rsid w:val="0052135C"/>
    <w:rsid w:val="00521777"/>
    <w:rsid w:val="00522EAC"/>
    <w:rsid w:val="00523834"/>
    <w:rsid w:val="00523972"/>
    <w:rsid w:val="00524DBE"/>
    <w:rsid w:val="005251B3"/>
    <w:rsid w:val="0052579B"/>
    <w:rsid w:val="00525BB1"/>
    <w:rsid w:val="00526800"/>
    <w:rsid w:val="00526983"/>
    <w:rsid w:val="00526CAF"/>
    <w:rsid w:val="005273F3"/>
    <w:rsid w:val="0053050A"/>
    <w:rsid w:val="00530C44"/>
    <w:rsid w:val="00530D83"/>
    <w:rsid w:val="00530F36"/>
    <w:rsid w:val="005321DC"/>
    <w:rsid w:val="0053238A"/>
    <w:rsid w:val="005337B3"/>
    <w:rsid w:val="00533869"/>
    <w:rsid w:val="00533C67"/>
    <w:rsid w:val="005346F1"/>
    <w:rsid w:val="005362BD"/>
    <w:rsid w:val="00536569"/>
    <w:rsid w:val="0053750B"/>
    <w:rsid w:val="0054086C"/>
    <w:rsid w:val="00540A51"/>
    <w:rsid w:val="00540B66"/>
    <w:rsid w:val="00540C6E"/>
    <w:rsid w:val="00540F27"/>
    <w:rsid w:val="005415A1"/>
    <w:rsid w:val="005417F4"/>
    <w:rsid w:val="0054207A"/>
    <w:rsid w:val="0054221D"/>
    <w:rsid w:val="00542524"/>
    <w:rsid w:val="00542A8D"/>
    <w:rsid w:val="00543DC1"/>
    <w:rsid w:val="00544DF3"/>
    <w:rsid w:val="00544E47"/>
    <w:rsid w:val="00545A69"/>
    <w:rsid w:val="0054612C"/>
    <w:rsid w:val="005474FC"/>
    <w:rsid w:val="00547C0E"/>
    <w:rsid w:val="00551035"/>
    <w:rsid w:val="0055281B"/>
    <w:rsid w:val="00552D2B"/>
    <w:rsid w:val="00552ED1"/>
    <w:rsid w:val="005539EB"/>
    <w:rsid w:val="0055421B"/>
    <w:rsid w:val="00555443"/>
    <w:rsid w:val="00555BA9"/>
    <w:rsid w:val="005564D7"/>
    <w:rsid w:val="00556D39"/>
    <w:rsid w:val="0055757A"/>
    <w:rsid w:val="0055764D"/>
    <w:rsid w:val="005576F7"/>
    <w:rsid w:val="00557F05"/>
    <w:rsid w:val="00560216"/>
    <w:rsid w:val="00560E43"/>
    <w:rsid w:val="0056351F"/>
    <w:rsid w:val="00565462"/>
    <w:rsid w:val="0056608D"/>
    <w:rsid w:val="00567763"/>
    <w:rsid w:val="005677FB"/>
    <w:rsid w:val="005703B6"/>
    <w:rsid w:val="00570751"/>
    <w:rsid w:val="00571412"/>
    <w:rsid w:val="0057144F"/>
    <w:rsid w:val="005719D3"/>
    <w:rsid w:val="00571AFF"/>
    <w:rsid w:val="00573BD3"/>
    <w:rsid w:val="00573F2D"/>
    <w:rsid w:val="00575112"/>
    <w:rsid w:val="00576184"/>
    <w:rsid w:val="005769E0"/>
    <w:rsid w:val="00577197"/>
    <w:rsid w:val="00577374"/>
    <w:rsid w:val="00581552"/>
    <w:rsid w:val="005816A4"/>
    <w:rsid w:val="005818A8"/>
    <w:rsid w:val="00581BE2"/>
    <w:rsid w:val="00581C7A"/>
    <w:rsid w:val="005826FB"/>
    <w:rsid w:val="00582BE8"/>
    <w:rsid w:val="00583A43"/>
    <w:rsid w:val="005840C8"/>
    <w:rsid w:val="00584FA7"/>
    <w:rsid w:val="00585176"/>
    <w:rsid w:val="005854F5"/>
    <w:rsid w:val="005856DF"/>
    <w:rsid w:val="00586577"/>
    <w:rsid w:val="005867F1"/>
    <w:rsid w:val="00590BE4"/>
    <w:rsid w:val="00591874"/>
    <w:rsid w:val="0059196A"/>
    <w:rsid w:val="00594634"/>
    <w:rsid w:val="00595913"/>
    <w:rsid w:val="00597AB8"/>
    <w:rsid w:val="005A223E"/>
    <w:rsid w:val="005A2601"/>
    <w:rsid w:val="005A3871"/>
    <w:rsid w:val="005A3DBF"/>
    <w:rsid w:val="005A3F00"/>
    <w:rsid w:val="005A5C11"/>
    <w:rsid w:val="005A5EAC"/>
    <w:rsid w:val="005A6171"/>
    <w:rsid w:val="005A63C8"/>
    <w:rsid w:val="005A7A9E"/>
    <w:rsid w:val="005B0291"/>
    <w:rsid w:val="005B13D3"/>
    <w:rsid w:val="005B1E5C"/>
    <w:rsid w:val="005B27E8"/>
    <w:rsid w:val="005B286C"/>
    <w:rsid w:val="005B2CA3"/>
    <w:rsid w:val="005B3FB0"/>
    <w:rsid w:val="005B46EB"/>
    <w:rsid w:val="005B5C92"/>
    <w:rsid w:val="005B735A"/>
    <w:rsid w:val="005C14AC"/>
    <w:rsid w:val="005C174D"/>
    <w:rsid w:val="005C19B3"/>
    <w:rsid w:val="005C227A"/>
    <w:rsid w:val="005C232D"/>
    <w:rsid w:val="005C3F33"/>
    <w:rsid w:val="005C42E0"/>
    <w:rsid w:val="005C4735"/>
    <w:rsid w:val="005C4C51"/>
    <w:rsid w:val="005C4EAF"/>
    <w:rsid w:val="005C5A4A"/>
    <w:rsid w:val="005C6532"/>
    <w:rsid w:val="005C682F"/>
    <w:rsid w:val="005C6911"/>
    <w:rsid w:val="005D11B9"/>
    <w:rsid w:val="005D1A84"/>
    <w:rsid w:val="005D3F51"/>
    <w:rsid w:val="005D461D"/>
    <w:rsid w:val="005D499D"/>
    <w:rsid w:val="005D4BC8"/>
    <w:rsid w:val="005D4E7D"/>
    <w:rsid w:val="005D5A6E"/>
    <w:rsid w:val="005D5D25"/>
    <w:rsid w:val="005D617D"/>
    <w:rsid w:val="005D634A"/>
    <w:rsid w:val="005D6AF3"/>
    <w:rsid w:val="005D6F02"/>
    <w:rsid w:val="005D7297"/>
    <w:rsid w:val="005D7979"/>
    <w:rsid w:val="005D7E36"/>
    <w:rsid w:val="005E024C"/>
    <w:rsid w:val="005E0DE8"/>
    <w:rsid w:val="005E0E5A"/>
    <w:rsid w:val="005E161E"/>
    <w:rsid w:val="005E2DFB"/>
    <w:rsid w:val="005E31DA"/>
    <w:rsid w:val="005E4DFE"/>
    <w:rsid w:val="005E5060"/>
    <w:rsid w:val="005E56C3"/>
    <w:rsid w:val="005E65BD"/>
    <w:rsid w:val="005E682B"/>
    <w:rsid w:val="005E708D"/>
    <w:rsid w:val="005E787E"/>
    <w:rsid w:val="005E7A88"/>
    <w:rsid w:val="005E7DA0"/>
    <w:rsid w:val="005F0A61"/>
    <w:rsid w:val="005F0FB1"/>
    <w:rsid w:val="005F15B3"/>
    <w:rsid w:val="005F2177"/>
    <w:rsid w:val="005F2AB3"/>
    <w:rsid w:val="005F2EA4"/>
    <w:rsid w:val="005F314B"/>
    <w:rsid w:val="005F3AE2"/>
    <w:rsid w:val="005F3D90"/>
    <w:rsid w:val="005F5146"/>
    <w:rsid w:val="005F5251"/>
    <w:rsid w:val="005F5CA2"/>
    <w:rsid w:val="005F66A1"/>
    <w:rsid w:val="005F6A08"/>
    <w:rsid w:val="00602C53"/>
    <w:rsid w:val="0060547C"/>
    <w:rsid w:val="00605796"/>
    <w:rsid w:val="00605A8A"/>
    <w:rsid w:val="00607A5D"/>
    <w:rsid w:val="0061112C"/>
    <w:rsid w:val="00611BE1"/>
    <w:rsid w:val="00612084"/>
    <w:rsid w:val="006137BB"/>
    <w:rsid w:val="00613814"/>
    <w:rsid w:val="00614813"/>
    <w:rsid w:val="006153CD"/>
    <w:rsid w:val="00616F11"/>
    <w:rsid w:val="00616FCB"/>
    <w:rsid w:val="00617309"/>
    <w:rsid w:val="00617853"/>
    <w:rsid w:val="00620B60"/>
    <w:rsid w:val="00620B9A"/>
    <w:rsid w:val="00621321"/>
    <w:rsid w:val="00621F2E"/>
    <w:rsid w:val="00624D26"/>
    <w:rsid w:val="00625AC1"/>
    <w:rsid w:val="00627EA0"/>
    <w:rsid w:val="006311F8"/>
    <w:rsid w:val="0063217E"/>
    <w:rsid w:val="006325BC"/>
    <w:rsid w:val="00633B16"/>
    <w:rsid w:val="00634426"/>
    <w:rsid w:val="00634BAF"/>
    <w:rsid w:val="00635076"/>
    <w:rsid w:val="00635BDA"/>
    <w:rsid w:val="00635F73"/>
    <w:rsid w:val="00636EC5"/>
    <w:rsid w:val="0063729A"/>
    <w:rsid w:val="00637A4B"/>
    <w:rsid w:val="00637C69"/>
    <w:rsid w:val="006415B8"/>
    <w:rsid w:val="00641985"/>
    <w:rsid w:val="00641D03"/>
    <w:rsid w:val="00641E35"/>
    <w:rsid w:val="0064240D"/>
    <w:rsid w:val="006429D4"/>
    <w:rsid w:val="00642A26"/>
    <w:rsid w:val="00643F8D"/>
    <w:rsid w:val="00644551"/>
    <w:rsid w:val="00645409"/>
    <w:rsid w:val="0064540E"/>
    <w:rsid w:val="00646190"/>
    <w:rsid w:val="006469A1"/>
    <w:rsid w:val="00647231"/>
    <w:rsid w:val="0064762B"/>
    <w:rsid w:val="006477AD"/>
    <w:rsid w:val="00647AD1"/>
    <w:rsid w:val="00647C21"/>
    <w:rsid w:val="00647F51"/>
    <w:rsid w:val="006500CD"/>
    <w:rsid w:val="006516B4"/>
    <w:rsid w:val="00651917"/>
    <w:rsid w:val="00651D52"/>
    <w:rsid w:val="00652053"/>
    <w:rsid w:val="006525E9"/>
    <w:rsid w:val="00655160"/>
    <w:rsid w:val="00655D66"/>
    <w:rsid w:val="006607EA"/>
    <w:rsid w:val="00661922"/>
    <w:rsid w:val="00661F0C"/>
    <w:rsid w:val="00662D3A"/>
    <w:rsid w:val="00663454"/>
    <w:rsid w:val="0066423A"/>
    <w:rsid w:val="00664AE7"/>
    <w:rsid w:val="00665093"/>
    <w:rsid w:val="006653B2"/>
    <w:rsid w:val="00666B1B"/>
    <w:rsid w:val="00667610"/>
    <w:rsid w:val="00667B38"/>
    <w:rsid w:val="00667C70"/>
    <w:rsid w:val="00667EA1"/>
    <w:rsid w:val="00670299"/>
    <w:rsid w:val="00670715"/>
    <w:rsid w:val="00670CC3"/>
    <w:rsid w:val="00671700"/>
    <w:rsid w:val="00671A07"/>
    <w:rsid w:val="0067437D"/>
    <w:rsid w:val="00675C7C"/>
    <w:rsid w:val="00675FF9"/>
    <w:rsid w:val="00676149"/>
    <w:rsid w:val="00676C9F"/>
    <w:rsid w:val="006778D9"/>
    <w:rsid w:val="00681655"/>
    <w:rsid w:val="00681947"/>
    <w:rsid w:val="0068245F"/>
    <w:rsid w:val="0068405B"/>
    <w:rsid w:val="006844B5"/>
    <w:rsid w:val="00686451"/>
    <w:rsid w:val="00686BDB"/>
    <w:rsid w:val="00686CE6"/>
    <w:rsid w:val="00686D13"/>
    <w:rsid w:val="00686F87"/>
    <w:rsid w:val="006871A5"/>
    <w:rsid w:val="006879EE"/>
    <w:rsid w:val="00690ADA"/>
    <w:rsid w:val="00691650"/>
    <w:rsid w:val="00693B2D"/>
    <w:rsid w:val="00693CF1"/>
    <w:rsid w:val="00693E16"/>
    <w:rsid w:val="00694B64"/>
    <w:rsid w:val="00695E1E"/>
    <w:rsid w:val="00697A64"/>
    <w:rsid w:val="006A0C3C"/>
    <w:rsid w:val="006A15B0"/>
    <w:rsid w:val="006A42AB"/>
    <w:rsid w:val="006A4443"/>
    <w:rsid w:val="006A5049"/>
    <w:rsid w:val="006A5BBC"/>
    <w:rsid w:val="006A6664"/>
    <w:rsid w:val="006A67E6"/>
    <w:rsid w:val="006A69B9"/>
    <w:rsid w:val="006B041E"/>
    <w:rsid w:val="006B0D1C"/>
    <w:rsid w:val="006B13AB"/>
    <w:rsid w:val="006B20F6"/>
    <w:rsid w:val="006B3A30"/>
    <w:rsid w:val="006B3C6F"/>
    <w:rsid w:val="006B48AE"/>
    <w:rsid w:val="006B5266"/>
    <w:rsid w:val="006B5C40"/>
    <w:rsid w:val="006B6FB4"/>
    <w:rsid w:val="006B6FBD"/>
    <w:rsid w:val="006B7569"/>
    <w:rsid w:val="006C000E"/>
    <w:rsid w:val="006C0A49"/>
    <w:rsid w:val="006C15B9"/>
    <w:rsid w:val="006C1A33"/>
    <w:rsid w:val="006C3AE9"/>
    <w:rsid w:val="006C479E"/>
    <w:rsid w:val="006C500C"/>
    <w:rsid w:val="006C6E36"/>
    <w:rsid w:val="006D157B"/>
    <w:rsid w:val="006D248D"/>
    <w:rsid w:val="006D28F5"/>
    <w:rsid w:val="006D3370"/>
    <w:rsid w:val="006D452A"/>
    <w:rsid w:val="006D4691"/>
    <w:rsid w:val="006D4F39"/>
    <w:rsid w:val="006D5055"/>
    <w:rsid w:val="006D5B3D"/>
    <w:rsid w:val="006E0136"/>
    <w:rsid w:val="006E0978"/>
    <w:rsid w:val="006E221A"/>
    <w:rsid w:val="006E4245"/>
    <w:rsid w:val="006E485C"/>
    <w:rsid w:val="006E5538"/>
    <w:rsid w:val="006E5744"/>
    <w:rsid w:val="006E5BD6"/>
    <w:rsid w:val="006E687C"/>
    <w:rsid w:val="006E6A98"/>
    <w:rsid w:val="006E6BAF"/>
    <w:rsid w:val="006E7891"/>
    <w:rsid w:val="006F041A"/>
    <w:rsid w:val="006F0674"/>
    <w:rsid w:val="006F11DB"/>
    <w:rsid w:val="006F15AD"/>
    <w:rsid w:val="006F1F1C"/>
    <w:rsid w:val="006F3A1B"/>
    <w:rsid w:val="006F4EDC"/>
    <w:rsid w:val="006F64D3"/>
    <w:rsid w:val="006F7497"/>
    <w:rsid w:val="006F7612"/>
    <w:rsid w:val="006F791F"/>
    <w:rsid w:val="006F7D5A"/>
    <w:rsid w:val="007003C1"/>
    <w:rsid w:val="007012D7"/>
    <w:rsid w:val="00701CC6"/>
    <w:rsid w:val="00701E82"/>
    <w:rsid w:val="00701E87"/>
    <w:rsid w:val="00702B91"/>
    <w:rsid w:val="007032E3"/>
    <w:rsid w:val="0070407F"/>
    <w:rsid w:val="00704BF7"/>
    <w:rsid w:val="00705198"/>
    <w:rsid w:val="00707276"/>
    <w:rsid w:val="007074E5"/>
    <w:rsid w:val="00707B84"/>
    <w:rsid w:val="00707EE1"/>
    <w:rsid w:val="00710D0A"/>
    <w:rsid w:val="00711BD4"/>
    <w:rsid w:val="007123C4"/>
    <w:rsid w:val="00712CE1"/>
    <w:rsid w:val="00715888"/>
    <w:rsid w:val="007162D5"/>
    <w:rsid w:val="0071652F"/>
    <w:rsid w:val="0072002D"/>
    <w:rsid w:val="00720413"/>
    <w:rsid w:val="007212DD"/>
    <w:rsid w:val="0072178F"/>
    <w:rsid w:val="00721B7B"/>
    <w:rsid w:val="00722D05"/>
    <w:rsid w:val="007231DB"/>
    <w:rsid w:val="00723EF4"/>
    <w:rsid w:val="00724A8A"/>
    <w:rsid w:val="00724E1A"/>
    <w:rsid w:val="007264CB"/>
    <w:rsid w:val="007266C8"/>
    <w:rsid w:val="00727343"/>
    <w:rsid w:val="007274DD"/>
    <w:rsid w:val="00727904"/>
    <w:rsid w:val="00730043"/>
    <w:rsid w:val="007312DF"/>
    <w:rsid w:val="00731639"/>
    <w:rsid w:val="00733FCE"/>
    <w:rsid w:val="00734059"/>
    <w:rsid w:val="00735332"/>
    <w:rsid w:val="00735A13"/>
    <w:rsid w:val="00735CFF"/>
    <w:rsid w:val="0073607B"/>
    <w:rsid w:val="0073611B"/>
    <w:rsid w:val="00736804"/>
    <w:rsid w:val="00741BBB"/>
    <w:rsid w:val="00742089"/>
    <w:rsid w:val="00743CE7"/>
    <w:rsid w:val="00743E03"/>
    <w:rsid w:val="00744905"/>
    <w:rsid w:val="00745B1E"/>
    <w:rsid w:val="007461D6"/>
    <w:rsid w:val="00746324"/>
    <w:rsid w:val="0074669D"/>
    <w:rsid w:val="00747768"/>
    <w:rsid w:val="00753AA6"/>
    <w:rsid w:val="00754BC1"/>
    <w:rsid w:val="00754C68"/>
    <w:rsid w:val="00755283"/>
    <w:rsid w:val="0075544D"/>
    <w:rsid w:val="0075560A"/>
    <w:rsid w:val="0075619A"/>
    <w:rsid w:val="00756C52"/>
    <w:rsid w:val="0075761E"/>
    <w:rsid w:val="007601E7"/>
    <w:rsid w:val="00761037"/>
    <w:rsid w:val="00761280"/>
    <w:rsid w:val="00761EC6"/>
    <w:rsid w:val="00764AE8"/>
    <w:rsid w:val="00766A0C"/>
    <w:rsid w:val="00767509"/>
    <w:rsid w:val="007678AC"/>
    <w:rsid w:val="007679C6"/>
    <w:rsid w:val="007704C8"/>
    <w:rsid w:val="00770FB9"/>
    <w:rsid w:val="007714A8"/>
    <w:rsid w:val="00772B73"/>
    <w:rsid w:val="00773646"/>
    <w:rsid w:val="0077494F"/>
    <w:rsid w:val="00775ABD"/>
    <w:rsid w:val="0077799F"/>
    <w:rsid w:val="00777B34"/>
    <w:rsid w:val="007802A7"/>
    <w:rsid w:val="007803A5"/>
    <w:rsid w:val="0078199A"/>
    <w:rsid w:val="00781EBF"/>
    <w:rsid w:val="0078367D"/>
    <w:rsid w:val="00783768"/>
    <w:rsid w:val="00784085"/>
    <w:rsid w:val="0078435A"/>
    <w:rsid w:val="00785F02"/>
    <w:rsid w:val="00787614"/>
    <w:rsid w:val="00787B34"/>
    <w:rsid w:val="00787BD6"/>
    <w:rsid w:val="0079252A"/>
    <w:rsid w:val="00792727"/>
    <w:rsid w:val="007937CC"/>
    <w:rsid w:val="00794B6B"/>
    <w:rsid w:val="00796F3F"/>
    <w:rsid w:val="00797200"/>
    <w:rsid w:val="007974DA"/>
    <w:rsid w:val="007A05FE"/>
    <w:rsid w:val="007A0AF3"/>
    <w:rsid w:val="007A0F39"/>
    <w:rsid w:val="007A141D"/>
    <w:rsid w:val="007A1B27"/>
    <w:rsid w:val="007A1F92"/>
    <w:rsid w:val="007A2E6E"/>
    <w:rsid w:val="007A336D"/>
    <w:rsid w:val="007A3D23"/>
    <w:rsid w:val="007A4CB6"/>
    <w:rsid w:val="007A53FA"/>
    <w:rsid w:val="007A62F0"/>
    <w:rsid w:val="007A6CB5"/>
    <w:rsid w:val="007A6F91"/>
    <w:rsid w:val="007A768A"/>
    <w:rsid w:val="007A78C0"/>
    <w:rsid w:val="007A78D1"/>
    <w:rsid w:val="007B266F"/>
    <w:rsid w:val="007B31C3"/>
    <w:rsid w:val="007B36EF"/>
    <w:rsid w:val="007B7775"/>
    <w:rsid w:val="007C040D"/>
    <w:rsid w:val="007C0A91"/>
    <w:rsid w:val="007C0FBB"/>
    <w:rsid w:val="007C1144"/>
    <w:rsid w:val="007C1DB3"/>
    <w:rsid w:val="007C1F57"/>
    <w:rsid w:val="007C1F81"/>
    <w:rsid w:val="007C204F"/>
    <w:rsid w:val="007C27EC"/>
    <w:rsid w:val="007C349D"/>
    <w:rsid w:val="007C4141"/>
    <w:rsid w:val="007C4B57"/>
    <w:rsid w:val="007C5282"/>
    <w:rsid w:val="007C53F1"/>
    <w:rsid w:val="007C5985"/>
    <w:rsid w:val="007C5CD7"/>
    <w:rsid w:val="007C6C4E"/>
    <w:rsid w:val="007C7B73"/>
    <w:rsid w:val="007D066D"/>
    <w:rsid w:val="007D1E20"/>
    <w:rsid w:val="007D1F9F"/>
    <w:rsid w:val="007D35E9"/>
    <w:rsid w:val="007D424C"/>
    <w:rsid w:val="007D42BB"/>
    <w:rsid w:val="007D4DB1"/>
    <w:rsid w:val="007D508D"/>
    <w:rsid w:val="007D5BDA"/>
    <w:rsid w:val="007D6512"/>
    <w:rsid w:val="007D6C52"/>
    <w:rsid w:val="007E054A"/>
    <w:rsid w:val="007E05AC"/>
    <w:rsid w:val="007E08A8"/>
    <w:rsid w:val="007E0A72"/>
    <w:rsid w:val="007E0B86"/>
    <w:rsid w:val="007E0BFF"/>
    <w:rsid w:val="007E1599"/>
    <w:rsid w:val="007E2080"/>
    <w:rsid w:val="007E27EE"/>
    <w:rsid w:val="007E2E6F"/>
    <w:rsid w:val="007E3630"/>
    <w:rsid w:val="007E3880"/>
    <w:rsid w:val="007E422F"/>
    <w:rsid w:val="007E4817"/>
    <w:rsid w:val="007E491D"/>
    <w:rsid w:val="007E4EC0"/>
    <w:rsid w:val="007E505D"/>
    <w:rsid w:val="007E5262"/>
    <w:rsid w:val="007E612B"/>
    <w:rsid w:val="007E740C"/>
    <w:rsid w:val="007F1575"/>
    <w:rsid w:val="007F2C8F"/>
    <w:rsid w:val="007F31F1"/>
    <w:rsid w:val="007F3AD6"/>
    <w:rsid w:val="007F3DA4"/>
    <w:rsid w:val="007F4E83"/>
    <w:rsid w:val="007F4F6A"/>
    <w:rsid w:val="007F6F67"/>
    <w:rsid w:val="007F77C6"/>
    <w:rsid w:val="00800097"/>
    <w:rsid w:val="00800D83"/>
    <w:rsid w:val="00800E0F"/>
    <w:rsid w:val="00801636"/>
    <w:rsid w:val="00802251"/>
    <w:rsid w:val="00803706"/>
    <w:rsid w:val="00803C54"/>
    <w:rsid w:val="00803CB3"/>
    <w:rsid w:val="00804131"/>
    <w:rsid w:val="00804818"/>
    <w:rsid w:val="00804B89"/>
    <w:rsid w:val="00805030"/>
    <w:rsid w:val="008060E7"/>
    <w:rsid w:val="008072C1"/>
    <w:rsid w:val="00810CE4"/>
    <w:rsid w:val="00811D39"/>
    <w:rsid w:val="00812479"/>
    <w:rsid w:val="00812629"/>
    <w:rsid w:val="00813CDA"/>
    <w:rsid w:val="00814B12"/>
    <w:rsid w:val="00815542"/>
    <w:rsid w:val="008158D2"/>
    <w:rsid w:val="00815A22"/>
    <w:rsid w:val="00817000"/>
    <w:rsid w:val="008179D7"/>
    <w:rsid w:val="00817E86"/>
    <w:rsid w:val="00821B5D"/>
    <w:rsid w:val="00822136"/>
    <w:rsid w:val="008226C5"/>
    <w:rsid w:val="00822A0A"/>
    <w:rsid w:val="0082371A"/>
    <w:rsid w:val="00825FAA"/>
    <w:rsid w:val="008261C3"/>
    <w:rsid w:val="00827580"/>
    <w:rsid w:val="0083018C"/>
    <w:rsid w:val="008311EB"/>
    <w:rsid w:val="00835B11"/>
    <w:rsid w:val="00835EFF"/>
    <w:rsid w:val="00837336"/>
    <w:rsid w:val="0083768E"/>
    <w:rsid w:val="00840A0D"/>
    <w:rsid w:val="00840ECF"/>
    <w:rsid w:val="008415A8"/>
    <w:rsid w:val="008423FE"/>
    <w:rsid w:val="008426C2"/>
    <w:rsid w:val="008433ED"/>
    <w:rsid w:val="008436DA"/>
    <w:rsid w:val="00843715"/>
    <w:rsid w:val="008439BD"/>
    <w:rsid w:val="0084419E"/>
    <w:rsid w:val="00844514"/>
    <w:rsid w:val="00845537"/>
    <w:rsid w:val="008458AE"/>
    <w:rsid w:val="00847328"/>
    <w:rsid w:val="00847717"/>
    <w:rsid w:val="00847A3B"/>
    <w:rsid w:val="0085017C"/>
    <w:rsid w:val="00852A03"/>
    <w:rsid w:val="008540CA"/>
    <w:rsid w:val="00854CA7"/>
    <w:rsid w:val="00854D9A"/>
    <w:rsid w:val="00855300"/>
    <w:rsid w:val="00855694"/>
    <w:rsid w:val="00855876"/>
    <w:rsid w:val="00856138"/>
    <w:rsid w:val="00857171"/>
    <w:rsid w:val="00857881"/>
    <w:rsid w:val="00857D57"/>
    <w:rsid w:val="008619DB"/>
    <w:rsid w:val="00861C50"/>
    <w:rsid w:val="00862030"/>
    <w:rsid w:val="00862759"/>
    <w:rsid w:val="008629E3"/>
    <w:rsid w:val="00862A02"/>
    <w:rsid w:val="00862C6D"/>
    <w:rsid w:val="0086305B"/>
    <w:rsid w:val="0086347A"/>
    <w:rsid w:val="008643A2"/>
    <w:rsid w:val="00865181"/>
    <w:rsid w:val="00866037"/>
    <w:rsid w:val="00867D69"/>
    <w:rsid w:val="0087247C"/>
    <w:rsid w:val="0087281C"/>
    <w:rsid w:val="00872BB2"/>
    <w:rsid w:val="00872CED"/>
    <w:rsid w:val="0087445B"/>
    <w:rsid w:val="00874513"/>
    <w:rsid w:val="00877742"/>
    <w:rsid w:val="008777CE"/>
    <w:rsid w:val="008778E1"/>
    <w:rsid w:val="00877B7C"/>
    <w:rsid w:val="008807D3"/>
    <w:rsid w:val="00881FF9"/>
    <w:rsid w:val="00882879"/>
    <w:rsid w:val="0088691F"/>
    <w:rsid w:val="00887654"/>
    <w:rsid w:val="00887771"/>
    <w:rsid w:val="00887C52"/>
    <w:rsid w:val="008904F6"/>
    <w:rsid w:val="0089072D"/>
    <w:rsid w:val="00891B72"/>
    <w:rsid w:val="00891D9B"/>
    <w:rsid w:val="00892E52"/>
    <w:rsid w:val="00893071"/>
    <w:rsid w:val="00893398"/>
    <w:rsid w:val="008933DE"/>
    <w:rsid w:val="00895B04"/>
    <w:rsid w:val="00896A37"/>
    <w:rsid w:val="00897889"/>
    <w:rsid w:val="008A065D"/>
    <w:rsid w:val="008A12E7"/>
    <w:rsid w:val="008A1624"/>
    <w:rsid w:val="008A16F8"/>
    <w:rsid w:val="008A24D2"/>
    <w:rsid w:val="008A253D"/>
    <w:rsid w:val="008A307A"/>
    <w:rsid w:val="008A35A3"/>
    <w:rsid w:val="008A41D7"/>
    <w:rsid w:val="008A5E59"/>
    <w:rsid w:val="008A68C6"/>
    <w:rsid w:val="008A6B5E"/>
    <w:rsid w:val="008A76F9"/>
    <w:rsid w:val="008A7D21"/>
    <w:rsid w:val="008B0384"/>
    <w:rsid w:val="008B05B1"/>
    <w:rsid w:val="008B173A"/>
    <w:rsid w:val="008B1E33"/>
    <w:rsid w:val="008B272C"/>
    <w:rsid w:val="008B349A"/>
    <w:rsid w:val="008B4C7F"/>
    <w:rsid w:val="008B53CB"/>
    <w:rsid w:val="008B56A3"/>
    <w:rsid w:val="008B5C89"/>
    <w:rsid w:val="008B62DF"/>
    <w:rsid w:val="008B6332"/>
    <w:rsid w:val="008B711B"/>
    <w:rsid w:val="008C01EB"/>
    <w:rsid w:val="008C01FB"/>
    <w:rsid w:val="008C03B8"/>
    <w:rsid w:val="008C248A"/>
    <w:rsid w:val="008C2883"/>
    <w:rsid w:val="008C3AD5"/>
    <w:rsid w:val="008C4D79"/>
    <w:rsid w:val="008C51B0"/>
    <w:rsid w:val="008C6407"/>
    <w:rsid w:val="008C715D"/>
    <w:rsid w:val="008C7F45"/>
    <w:rsid w:val="008D0055"/>
    <w:rsid w:val="008D1593"/>
    <w:rsid w:val="008D4A27"/>
    <w:rsid w:val="008D4C83"/>
    <w:rsid w:val="008D4E30"/>
    <w:rsid w:val="008D72CC"/>
    <w:rsid w:val="008D7973"/>
    <w:rsid w:val="008D7B76"/>
    <w:rsid w:val="008E1916"/>
    <w:rsid w:val="008E1D97"/>
    <w:rsid w:val="008E3056"/>
    <w:rsid w:val="008E37B1"/>
    <w:rsid w:val="008E3A45"/>
    <w:rsid w:val="008E4BD0"/>
    <w:rsid w:val="008E4E93"/>
    <w:rsid w:val="008E5E5D"/>
    <w:rsid w:val="008E60EE"/>
    <w:rsid w:val="008E65A0"/>
    <w:rsid w:val="008E6D00"/>
    <w:rsid w:val="008E701E"/>
    <w:rsid w:val="008F03C5"/>
    <w:rsid w:val="008F0B17"/>
    <w:rsid w:val="008F0F09"/>
    <w:rsid w:val="008F153F"/>
    <w:rsid w:val="008F1C66"/>
    <w:rsid w:val="008F39F1"/>
    <w:rsid w:val="008F4B81"/>
    <w:rsid w:val="008F5C43"/>
    <w:rsid w:val="008F67E1"/>
    <w:rsid w:val="008F7228"/>
    <w:rsid w:val="009003A9"/>
    <w:rsid w:val="00900D08"/>
    <w:rsid w:val="0090132E"/>
    <w:rsid w:val="00901C24"/>
    <w:rsid w:val="0090268D"/>
    <w:rsid w:val="00902999"/>
    <w:rsid w:val="009046EB"/>
    <w:rsid w:val="0090479C"/>
    <w:rsid w:val="00905C6C"/>
    <w:rsid w:val="0090696C"/>
    <w:rsid w:val="00906BCD"/>
    <w:rsid w:val="00907980"/>
    <w:rsid w:val="00913A8C"/>
    <w:rsid w:val="00915960"/>
    <w:rsid w:val="00915E7B"/>
    <w:rsid w:val="00916650"/>
    <w:rsid w:val="00917E81"/>
    <w:rsid w:val="00920F04"/>
    <w:rsid w:val="0092109F"/>
    <w:rsid w:val="00922FD0"/>
    <w:rsid w:val="00923F24"/>
    <w:rsid w:val="00925B3D"/>
    <w:rsid w:val="00926096"/>
    <w:rsid w:val="00927823"/>
    <w:rsid w:val="0092783A"/>
    <w:rsid w:val="00927BA1"/>
    <w:rsid w:val="009310B2"/>
    <w:rsid w:val="00932064"/>
    <w:rsid w:val="00932111"/>
    <w:rsid w:val="00933814"/>
    <w:rsid w:val="00934A3D"/>
    <w:rsid w:val="00934D02"/>
    <w:rsid w:val="00936535"/>
    <w:rsid w:val="00940F49"/>
    <w:rsid w:val="009420A5"/>
    <w:rsid w:val="009424CF"/>
    <w:rsid w:val="00944236"/>
    <w:rsid w:val="00944B06"/>
    <w:rsid w:val="009451C2"/>
    <w:rsid w:val="0094559B"/>
    <w:rsid w:val="00945EB8"/>
    <w:rsid w:val="0094679B"/>
    <w:rsid w:val="00947365"/>
    <w:rsid w:val="009473A2"/>
    <w:rsid w:val="00951046"/>
    <w:rsid w:val="009516AF"/>
    <w:rsid w:val="009521E7"/>
    <w:rsid w:val="009526E7"/>
    <w:rsid w:val="00952EA4"/>
    <w:rsid w:val="009530F1"/>
    <w:rsid w:val="00953660"/>
    <w:rsid w:val="00953D05"/>
    <w:rsid w:val="009543CB"/>
    <w:rsid w:val="00954996"/>
    <w:rsid w:val="00954DC5"/>
    <w:rsid w:val="0095518B"/>
    <w:rsid w:val="009557FB"/>
    <w:rsid w:val="00957642"/>
    <w:rsid w:val="009578AD"/>
    <w:rsid w:val="009607C5"/>
    <w:rsid w:val="00960E80"/>
    <w:rsid w:val="009613DC"/>
    <w:rsid w:val="009618A7"/>
    <w:rsid w:val="00961B89"/>
    <w:rsid w:val="00961B8E"/>
    <w:rsid w:val="00962DEB"/>
    <w:rsid w:val="009630A0"/>
    <w:rsid w:val="00965F78"/>
    <w:rsid w:val="009665F2"/>
    <w:rsid w:val="00966760"/>
    <w:rsid w:val="00967702"/>
    <w:rsid w:val="009677BF"/>
    <w:rsid w:val="0097030B"/>
    <w:rsid w:val="00970694"/>
    <w:rsid w:val="00970EA8"/>
    <w:rsid w:val="00970F96"/>
    <w:rsid w:val="00971177"/>
    <w:rsid w:val="009714D6"/>
    <w:rsid w:val="00972C11"/>
    <w:rsid w:val="00972DFB"/>
    <w:rsid w:val="00972E90"/>
    <w:rsid w:val="009730B5"/>
    <w:rsid w:val="00974C95"/>
    <w:rsid w:val="00975548"/>
    <w:rsid w:val="00976E77"/>
    <w:rsid w:val="0098069E"/>
    <w:rsid w:val="009825F7"/>
    <w:rsid w:val="00982A3E"/>
    <w:rsid w:val="00982C59"/>
    <w:rsid w:val="009830AC"/>
    <w:rsid w:val="0098321B"/>
    <w:rsid w:val="00984A53"/>
    <w:rsid w:val="009858E4"/>
    <w:rsid w:val="00985E86"/>
    <w:rsid w:val="009861EA"/>
    <w:rsid w:val="00987319"/>
    <w:rsid w:val="009909A6"/>
    <w:rsid w:val="00990CE0"/>
    <w:rsid w:val="009910D0"/>
    <w:rsid w:val="00991835"/>
    <w:rsid w:val="0099313F"/>
    <w:rsid w:val="0099315C"/>
    <w:rsid w:val="00993241"/>
    <w:rsid w:val="00994165"/>
    <w:rsid w:val="009958B6"/>
    <w:rsid w:val="0099621C"/>
    <w:rsid w:val="009969A5"/>
    <w:rsid w:val="00997B43"/>
    <w:rsid w:val="009A0125"/>
    <w:rsid w:val="009A3D57"/>
    <w:rsid w:val="009A3F86"/>
    <w:rsid w:val="009A4096"/>
    <w:rsid w:val="009A41FF"/>
    <w:rsid w:val="009A4E87"/>
    <w:rsid w:val="009A4F9A"/>
    <w:rsid w:val="009A5682"/>
    <w:rsid w:val="009A7059"/>
    <w:rsid w:val="009B0292"/>
    <w:rsid w:val="009B0EE9"/>
    <w:rsid w:val="009B10A8"/>
    <w:rsid w:val="009B1DC2"/>
    <w:rsid w:val="009B22FC"/>
    <w:rsid w:val="009B2603"/>
    <w:rsid w:val="009B2C6C"/>
    <w:rsid w:val="009B30A7"/>
    <w:rsid w:val="009B37DA"/>
    <w:rsid w:val="009B5636"/>
    <w:rsid w:val="009B65F2"/>
    <w:rsid w:val="009B7724"/>
    <w:rsid w:val="009C040E"/>
    <w:rsid w:val="009C16E1"/>
    <w:rsid w:val="009C18D7"/>
    <w:rsid w:val="009C1D0D"/>
    <w:rsid w:val="009C28CD"/>
    <w:rsid w:val="009C3086"/>
    <w:rsid w:val="009C3551"/>
    <w:rsid w:val="009C4D27"/>
    <w:rsid w:val="009C515F"/>
    <w:rsid w:val="009C5A87"/>
    <w:rsid w:val="009C649B"/>
    <w:rsid w:val="009C6B89"/>
    <w:rsid w:val="009C7499"/>
    <w:rsid w:val="009C77C5"/>
    <w:rsid w:val="009C7C11"/>
    <w:rsid w:val="009D00BD"/>
    <w:rsid w:val="009D1056"/>
    <w:rsid w:val="009D1C58"/>
    <w:rsid w:val="009D1CAC"/>
    <w:rsid w:val="009D26B5"/>
    <w:rsid w:val="009D3107"/>
    <w:rsid w:val="009D4936"/>
    <w:rsid w:val="009D4B75"/>
    <w:rsid w:val="009D50F0"/>
    <w:rsid w:val="009D5FDF"/>
    <w:rsid w:val="009D6CD5"/>
    <w:rsid w:val="009E0051"/>
    <w:rsid w:val="009E1256"/>
    <w:rsid w:val="009E1D76"/>
    <w:rsid w:val="009E2C39"/>
    <w:rsid w:val="009E2C94"/>
    <w:rsid w:val="009E2D59"/>
    <w:rsid w:val="009E2D6A"/>
    <w:rsid w:val="009E3FD5"/>
    <w:rsid w:val="009E50F7"/>
    <w:rsid w:val="009E57A1"/>
    <w:rsid w:val="009E66AE"/>
    <w:rsid w:val="009E7344"/>
    <w:rsid w:val="009E7973"/>
    <w:rsid w:val="009E79B1"/>
    <w:rsid w:val="009F0499"/>
    <w:rsid w:val="009F0FC4"/>
    <w:rsid w:val="009F111A"/>
    <w:rsid w:val="009F1732"/>
    <w:rsid w:val="009F2739"/>
    <w:rsid w:val="009F2CC4"/>
    <w:rsid w:val="009F2D46"/>
    <w:rsid w:val="009F321F"/>
    <w:rsid w:val="009F340B"/>
    <w:rsid w:val="009F35C8"/>
    <w:rsid w:val="009F409D"/>
    <w:rsid w:val="009F4159"/>
    <w:rsid w:val="009F4B1B"/>
    <w:rsid w:val="009F5E80"/>
    <w:rsid w:val="009F6397"/>
    <w:rsid w:val="009F6B13"/>
    <w:rsid w:val="00A00E31"/>
    <w:rsid w:val="00A015D5"/>
    <w:rsid w:val="00A029E1"/>
    <w:rsid w:val="00A0474A"/>
    <w:rsid w:val="00A04897"/>
    <w:rsid w:val="00A04B14"/>
    <w:rsid w:val="00A06BD5"/>
    <w:rsid w:val="00A07AEC"/>
    <w:rsid w:val="00A10AA1"/>
    <w:rsid w:val="00A12781"/>
    <w:rsid w:val="00A12BD4"/>
    <w:rsid w:val="00A12ED3"/>
    <w:rsid w:val="00A14754"/>
    <w:rsid w:val="00A14A6D"/>
    <w:rsid w:val="00A14B42"/>
    <w:rsid w:val="00A15E93"/>
    <w:rsid w:val="00A1629C"/>
    <w:rsid w:val="00A16730"/>
    <w:rsid w:val="00A17787"/>
    <w:rsid w:val="00A2021F"/>
    <w:rsid w:val="00A209A9"/>
    <w:rsid w:val="00A22927"/>
    <w:rsid w:val="00A22CCA"/>
    <w:rsid w:val="00A23342"/>
    <w:rsid w:val="00A23B3D"/>
    <w:rsid w:val="00A23FB8"/>
    <w:rsid w:val="00A24CEC"/>
    <w:rsid w:val="00A25191"/>
    <w:rsid w:val="00A25D15"/>
    <w:rsid w:val="00A26096"/>
    <w:rsid w:val="00A2662E"/>
    <w:rsid w:val="00A269A3"/>
    <w:rsid w:val="00A26C46"/>
    <w:rsid w:val="00A27316"/>
    <w:rsid w:val="00A303F3"/>
    <w:rsid w:val="00A31B6A"/>
    <w:rsid w:val="00A31D17"/>
    <w:rsid w:val="00A327FD"/>
    <w:rsid w:val="00A32C87"/>
    <w:rsid w:val="00A34186"/>
    <w:rsid w:val="00A3422B"/>
    <w:rsid w:val="00A35FBC"/>
    <w:rsid w:val="00A363E5"/>
    <w:rsid w:val="00A4142F"/>
    <w:rsid w:val="00A42060"/>
    <w:rsid w:val="00A420FA"/>
    <w:rsid w:val="00A42B44"/>
    <w:rsid w:val="00A43050"/>
    <w:rsid w:val="00A4349B"/>
    <w:rsid w:val="00A43503"/>
    <w:rsid w:val="00A43638"/>
    <w:rsid w:val="00A44ADA"/>
    <w:rsid w:val="00A44F63"/>
    <w:rsid w:val="00A459DA"/>
    <w:rsid w:val="00A45B57"/>
    <w:rsid w:val="00A46662"/>
    <w:rsid w:val="00A46E99"/>
    <w:rsid w:val="00A473D8"/>
    <w:rsid w:val="00A47F8F"/>
    <w:rsid w:val="00A51C12"/>
    <w:rsid w:val="00A52503"/>
    <w:rsid w:val="00A549D1"/>
    <w:rsid w:val="00A54D64"/>
    <w:rsid w:val="00A55131"/>
    <w:rsid w:val="00A55581"/>
    <w:rsid w:val="00A55A27"/>
    <w:rsid w:val="00A56332"/>
    <w:rsid w:val="00A57168"/>
    <w:rsid w:val="00A57AF4"/>
    <w:rsid w:val="00A57B24"/>
    <w:rsid w:val="00A60759"/>
    <w:rsid w:val="00A610D8"/>
    <w:rsid w:val="00A61917"/>
    <w:rsid w:val="00A6259C"/>
    <w:rsid w:val="00A62A36"/>
    <w:rsid w:val="00A63950"/>
    <w:rsid w:val="00A63F43"/>
    <w:rsid w:val="00A64780"/>
    <w:rsid w:val="00A64D26"/>
    <w:rsid w:val="00A651A9"/>
    <w:rsid w:val="00A652BC"/>
    <w:rsid w:val="00A655C2"/>
    <w:rsid w:val="00A65980"/>
    <w:rsid w:val="00A65A51"/>
    <w:rsid w:val="00A67096"/>
    <w:rsid w:val="00A67172"/>
    <w:rsid w:val="00A67C7B"/>
    <w:rsid w:val="00A67E60"/>
    <w:rsid w:val="00A71471"/>
    <w:rsid w:val="00A71A57"/>
    <w:rsid w:val="00A71D05"/>
    <w:rsid w:val="00A724B9"/>
    <w:rsid w:val="00A72AD6"/>
    <w:rsid w:val="00A732B6"/>
    <w:rsid w:val="00A735CD"/>
    <w:rsid w:val="00A74888"/>
    <w:rsid w:val="00A74DB4"/>
    <w:rsid w:val="00A75190"/>
    <w:rsid w:val="00A76DE8"/>
    <w:rsid w:val="00A80123"/>
    <w:rsid w:val="00A8077B"/>
    <w:rsid w:val="00A80865"/>
    <w:rsid w:val="00A82312"/>
    <w:rsid w:val="00A832D4"/>
    <w:rsid w:val="00A83CF5"/>
    <w:rsid w:val="00A85CBD"/>
    <w:rsid w:val="00A85F66"/>
    <w:rsid w:val="00A861D7"/>
    <w:rsid w:val="00A86F1E"/>
    <w:rsid w:val="00A8715B"/>
    <w:rsid w:val="00A87362"/>
    <w:rsid w:val="00A90465"/>
    <w:rsid w:val="00A90B79"/>
    <w:rsid w:val="00A90C85"/>
    <w:rsid w:val="00A91299"/>
    <w:rsid w:val="00A941BC"/>
    <w:rsid w:val="00A9468D"/>
    <w:rsid w:val="00A948DA"/>
    <w:rsid w:val="00A94973"/>
    <w:rsid w:val="00A94A10"/>
    <w:rsid w:val="00A95AC5"/>
    <w:rsid w:val="00A965E7"/>
    <w:rsid w:val="00A9713A"/>
    <w:rsid w:val="00A972DF"/>
    <w:rsid w:val="00A9766C"/>
    <w:rsid w:val="00AA0627"/>
    <w:rsid w:val="00AA0639"/>
    <w:rsid w:val="00AA0B35"/>
    <w:rsid w:val="00AA1CD6"/>
    <w:rsid w:val="00AA1D96"/>
    <w:rsid w:val="00AA206A"/>
    <w:rsid w:val="00AA25B7"/>
    <w:rsid w:val="00AA27AB"/>
    <w:rsid w:val="00AA2DA7"/>
    <w:rsid w:val="00AA34A0"/>
    <w:rsid w:val="00AA3991"/>
    <w:rsid w:val="00AA4966"/>
    <w:rsid w:val="00AA4F81"/>
    <w:rsid w:val="00AA5D54"/>
    <w:rsid w:val="00AA6305"/>
    <w:rsid w:val="00AA6E34"/>
    <w:rsid w:val="00AB0425"/>
    <w:rsid w:val="00AB1200"/>
    <w:rsid w:val="00AB1456"/>
    <w:rsid w:val="00AB1A76"/>
    <w:rsid w:val="00AB58EA"/>
    <w:rsid w:val="00AB6618"/>
    <w:rsid w:val="00AB6D35"/>
    <w:rsid w:val="00AB6F92"/>
    <w:rsid w:val="00AB7563"/>
    <w:rsid w:val="00AC0153"/>
    <w:rsid w:val="00AC194A"/>
    <w:rsid w:val="00AC20E2"/>
    <w:rsid w:val="00AC2E62"/>
    <w:rsid w:val="00AC3A71"/>
    <w:rsid w:val="00AC3AF0"/>
    <w:rsid w:val="00AC4BA2"/>
    <w:rsid w:val="00AD1BCA"/>
    <w:rsid w:val="00AD24E2"/>
    <w:rsid w:val="00AD2BB5"/>
    <w:rsid w:val="00AD2BC2"/>
    <w:rsid w:val="00AD34AF"/>
    <w:rsid w:val="00AD52B3"/>
    <w:rsid w:val="00AD5EE0"/>
    <w:rsid w:val="00AD63FE"/>
    <w:rsid w:val="00AD6D79"/>
    <w:rsid w:val="00AD7450"/>
    <w:rsid w:val="00AE46CF"/>
    <w:rsid w:val="00AE7B2C"/>
    <w:rsid w:val="00AF153E"/>
    <w:rsid w:val="00AF16FE"/>
    <w:rsid w:val="00AF2111"/>
    <w:rsid w:val="00AF32B1"/>
    <w:rsid w:val="00AF369A"/>
    <w:rsid w:val="00AF378F"/>
    <w:rsid w:val="00AF3870"/>
    <w:rsid w:val="00AF49A3"/>
    <w:rsid w:val="00AF4FBF"/>
    <w:rsid w:val="00AF557C"/>
    <w:rsid w:val="00AF565D"/>
    <w:rsid w:val="00AF568E"/>
    <w:rsid w:val="00AF57EA"/>
    <w:rsid w:val="00AF5EF1"/>
    <w:rsid w:val="00AF632B"/>
    <w:rsid w:val="00AF7E02"/>
    <w:rsid w:val="00B0078D"/>
    <w:rsid w:val="00B009FA"/>
    <w:rsid w:val="00B020F3"/>
    <w:rsid w:val="00B030AB"/>
    <w:rsid w:val="00B03ABB"/>
    <w:rsid w:val="00B0485D"/>
    <w:rsid w:val="00B04B03"/>
    <w:rsid w:val="00B04D06"/>
    <w:rsid w:val="00B04FF2"/>
    <w:rsid w:val="00B0525B"/>
    <w:rsid w:val="00B05451"/>
    <w:rsid w:val="00B05780"/>
    <w:rsid w:val="00B05A70"/>
    <w:rsid w:val="00B05C39"/>
    <w:rsid w:val="00B05F4B"/>
    <w:rsid w:val="00B06383"/>
    <w:rsid w:val="00B06776"/>
    <w:rsid w:val="00B072DE"/>
    <w:rsid w:val="00B07E7D"/>
    <w:rsid w:val="00B1054E"/>
    <w:rsid w:val="00B11390"/>
    <w:rsid w:val="00B11C20"/>
    <w:rsid w:val="00B11EC6"/>
    <w:rsid w:val="00B12A23"/>
    <w:rsid w:val="00B1314E"/>
    <w:rsid w:val="00B14740"/>
    <w:rsid w:val="00B15170"/>
    <w:rsid w:val="00B15FFB"/>
    <w:rsid w:val="00B16CA1"/>
    <w:rsid w:val="00B170AD"/>
    <w:rsid w:val="00B202AE"/>
    <w:rsid w:val="00B20369"/>
    <w:rsid w:val="00B20902"/>
    <w:rsid w:val="00B20AAE"/>
    <w:rsid w:val="00B22861"/>
    <w:rsid w:val="00B233BC"/>
    <w:rsid w:val="00B233DD"/>
    <w:rsid w:val="00B23F39"/>
    <w:rsid w:val="00B2523F"/>
    <w:rsid w:val="00B259E0"/>
    <w:rsid w:val="00B25A99"/>
    <w:rsid w:val="00B26105"/>
    <w:rsid w:val="00B27786"/>
    <w:rsid w:val="00B27BF4"/>
    <w:rsid w:val="00B30011"/>
    <w:rsid w:val="00B305BA"/>
    <w:rsid w:val="00B3066D"/>
    <w:rsid w:val="00B31181"/>
    <w:rsid w:val="00B314EE"/>
    <w:rsid w:val="00B33E69"/>
    <w:rsid w:val="00B350B9"/>
    <w:rsid w:val="00B35165"/>
    <w:rsid w:val="00B3608B"/>
    <w:rsid w:val="00B36848"/>
    <w:rsid w:val="00B37776"/>
    <w:rsid w:val="00B4083B"/>
    <w:rsid w:val="00B408D4"/>
    <w:rsid w:val="00B40BCB"/>
    <w:rsid w:val="00B40C82"/>
    <w:rsid w:val="00B4158D"/>
    <w:rsid w:val="00B4174F"/>
    <w:rsid w:val="00B41B5F"/>
    <w:rsid w:val="00B41F4E"/>
    <w:rsid w:val="00B43D00"/>
    <w:rsid w:val="00B448B8"/>
    <w:rsid w:val="00B44A02"/>
    <w:rsid w:val="00B45921"/>
    <w:rsid w:val="00B470A3"/>
    <w:rsid w:val="00B4719E"/>
    <w:rsid w:val="00B471FA"/>
    <w:rsid w:val="00B47BF7"/>
    <w:rsid w:val="00B50CB1"/>
    <w:rsid w:val="00B5200B"/>
    <w:rsid w:val="00B524C3"/>
    <w:rsid w:val="00B528A1"/>
    <w:rsid w:val="00B52A2E"/>
    <w:rsid w:val="00B52DAE"/>
    <w:rsid w:val="00B53F4F"/>
    <w:rsid w:val="00B54068"/>
    <w:rsid w:val="00B55FE4"/>
    <w:rsid w:val="00B569F8"/>
    <w:rsid w:val="00B5700A"/>
    <w:rsid w:val="00B572FA"/>
    <w:rsid w:val="00B57592"/>
    <w:rsid w:val="00B61324"/>
    <w:rsid w:val="00B61420"/>
    <w:rsid w:val="00B63E7D"/>
    <w:rsid w:val="00B641B9"/>
    <w:rsid w:val="00B64E47"/>
    <w:rsid w:val="00B65379"/>
    <w:rsid w:val="00B65FA5"/>
    <w:rsid w:val="00B66429"/>
    <w:rsid w:val="00B6688D"/>
    <w:rsid w:val="00B66948"/>
    <w:rsid w:val="00B66972"/>
    <w:rsid w:val="00B670B7"/>
    <w:rsid w:val="00B67711"/>
    <w:rsid w:val="00B67CE8"/>
    <w:rsid w:val="00B71DC5"/>
    <w:rsid w:val="00B71FCC"/>
    <w:rsid w:val="00B723C5"/>
    <w:rsid w:val="00B72772"/>
    <w:rsid w:val="00B728D7"/>
    <w:rsid w:val="00B73524"/>
    <w:rsid w:val="00B74366"/>
    <w:rsid w:val="00B7451A"/>
    <w:rsid w:val="00B74C11"/>
    <w:rsid w:val="00B7657F"/>
    <w:rsid w:val="00B76F95"/>
    <w:rsid w:val="00B77219"/>
    <w:rsid w:val="00B77536"/>
    <w:rsid w:val="00B801C6"/>
    <w:rsid w:val="00B808F6"/>
    <w:rsid w:val="00B80939"/>
    <w:rsid w:val="00B81154"/>
    <w:rsid w:val="00B81E12"/>
    <w:rsid w:val="00B82126"/>
    <w:rsid w:val="00B8243C"/>
    <w:rsid w:val="00B82F49"/>
    <w:rsid w:val="00B83C49"/>
    <w:rsid w:val="00B844D4"/>
    <w:rsid w:val="00B84F70"/>
    <w:rsid w:val="00B852C1"/>
    <w:rsid w:val="00B85EE6"/>
    <w:rsid w:val="00B86441"/>
    <w:rsid w:val="00B86675"/>
    <w:rsid w:val="00B86E62"/>
    <w:rsid w:val="00B874DB"/>
    <w:rsid w:val="00B905C9"/>
    <w:rsid w:val="00B9120F"/>
    <w:rsid w:val="00B91370"/>
    <w:rsid w:val="00B91485"/>
    <w:rsid w:val="00B91737"/>
    <w:rsid w:val="00B91849"/>
    <w:rsid w:val="00B924FA"/>
    <w:rsid w:val="00B92B61"/>
    <w:rsid w:val="00B9363C"/>
    <w:rsid w:val="00B9403E"/>
    <w:rsid w:val="00B94462"/>
    <w:rsid w:val="00B944FB"/>
    <w:rsid w:val="00B9571C"/>
    <w:rsid w:val="00B959B9"/>
    <w:rsid w:val="00B95BFD"/>
    <w:rsid w:val="00B9621B"/>
    <w:rsid w:val="00B9749C"/>
    <w:rsid w:val="00B97EE2"/>
    <w:rsid w:val="00BA184A"/>
    <w:rsid w:val="00BA2D57"/>
    <w:rsid w:val="00BA3010"/>
    <w:rsid w:val="00BA395D"/>
    <w:rsid w:val="00BA3C9A"/>
    <w:rsid w:val="00BA4243"/>
    <w:rsid w:val="00BA6997"/>
    <w:rsid w:val="00BA6C64"/>
    <w:rsid w:val="00BB0ACA"/>
    <w:rsid w:val="00BB0FDA"/>
    <w:rsid w:val="00BB10E2"/>
    <w:rsid w:val="00BB11BC"/>
    <w:rsid w:val="00BB1EAB"/>
    <w:rsid w:val="00BB2812"/>
    <w:rsid w:val="00BB2928"/>
    <w:rsid w:val="00BB40C6"/>
    <w:rsid w:val="00BB4B6C"/>
    <w:rsid w:val="00BB51B9"/>
    <w:rsid w:val="00BB6431"/>
    <w:rsid w:val="00BB70EA"/>
    <w:rsid w:val="00BB7CD2"/>
    <w:rsid w:val="00BC005E"/>
    <w:rsid w:val="00BC00E7"/>
    <w:rsid w:val="00BC0711"/>
    <w:rsid w:val="00BC0793"/>
    <w:rsid w:val="00BC1B23"/>
    <w:rsid w:val="00BC2387"/>
    <w:rsid w:val="00BC2A02"/>
    <w:rsid w:val="00BC2E23"/>
    <w:rsid w:val="00BC34BC"/>
    <w:rsid w:val="00BC34CA"/>
    <w:rsid w:val="00BC44D3"/>
    <w:rsid w:val="00BC57BE"/>
    <w:rsid w:val="00BC5E83"/>
    <w:rsid w:val="00BC6C6F"/>
    <w:rsid w:val="00BC74B1"/>
    <w:rsid w:val="00BC7762"/>
    <w:rsid w:val="00BC7840"/>
    <w:rsid w:val="00BC7BC6"/>
    <w:rsid w:val="00BD03AC"/>
    <w:rsid w:val="00BD0DCD"/>
    <w:rsid w:val="00BD10D5"/>
    <w:rsid w:val="00BD1216"/>
    <w:rsid w:val="00BD1661"/>
    <w:rsid w:val="00BD243B"/>
    <w:rsid w:val="00BD3EA0"/>
    <w:rsid w:val="00BD4A0B"/>
    <w:rsid w:val="00BD4E95"/>
    <w:rsid w:val="00BD5B92"/>
    <w:rsid w:val="00BD702A"/>
    <w:rsid w:val="00BE01FF"/>
    <w:rsid w:val="00BE11EA"/>
    <w:rsid w:val="00BE1B76"/>
    <w:rsid w:val="00BE1C79"/>
    <w:rsid w:val="00BE1DA8"/>
    <w:rsid w:val="00BE2DC0"/>
    <w:rsid w:val="00BE2FDF"/>
    <w:rsid w:val="00BE3A3D"/>
    <w:rsid w:val="00BE4112"/>
    <w:rsid w:val="00BE5D96"/>
    <w:rsid w:val="00BE611E"/>
    <w:rsid w:val="00BE67DC"/>
    <w:rsid w:val="00BF1501"/>
    <w:rsid w:val="00BF1889"/>
    <w:rsid w:val="00BF1C31"/>
    <w:rsid w:val="00BF20FA"/>
    <w:rsid w:val="00BF2781"/>
    <w:rsid w:val="00BF3069"/>
    <w:rsid w:val="00BF3353"/>
    <w:rsid w:val="00BF36E7"/>
    <w:rsid w:val="00BF3DEA"/>
    <w:rsid w:val="00BF45D9"/>
    <w:rsid w:val="00BF556C"/>
    <w:rsid w:val="00BF5595"/>
    <w:rsid w:val="00BF6E46"/>
    <w:rsid w:val="00BF735B"/>
    <w:rsid w:val="00BF76D5"/>
    <w:rsid w:val="00BF7CF4"/>
    <w:rsid w:val="00BF7D61"/>
    <w:rsid w:val="00C00729"/>
    <w:rsid w:val="00C008AC"/>
    <w:rsid w:val="00C00A18"/>
    <w:rsid w:val="00C0160B"/>
    <w:rsid w:val="00C02163"/>
    <w:rsid w:val="00C03C52"/>
    <w:rsid w:val="00C04746"/>
    <w:rsid w:val="00C04F14"/>
    <w:rsid w:val="00C06B8C"/>
    <w:rsid w:val="00C07E12"/>
    <w:rsid w:val="00C107D7"/>
    <w:rsid w:val="00C10DEC"/>
    <w:rsid w:val="00C11D38"/>
    <w:rsid w:val="00C12C78"/>
    <w:rsid w:val="00C13AF5"/>
    <w:rsid w:val="00C1562C"/>
    <w:rsid w:val="00C15C3D"/>
    <w:rsid w:val="00C16D5D"/>
    <w:rsid w:val="00C2074F"/>
    <w:rsid w:val="00C207DB"/>
    <w:rsid w:val="00C20D01"/>
    <w:rsid w:val="00C22247"/>
    <w:rsid w:val="00C22F29"/>
    <w:rsid w:val="00C231FC"/>
    <w:rsid w:val="00C23F8E"/>
    <w:rsid w:val="00C24A49"/>
    <w:rsid w:val="00C2515C"/>
    <w:rsid w:val="00C25E90"/>
    <w:rsid w:val="00C25FFC"/>
    <w:rsid w:val="00C2663F"/>
    <w:rsid w:val="00C266FB"/>
    <w:rsid w:val="00C26D31"/>
    <w:rsid w:val="00C27C15"/>
    <w:rsid w:val="00C27C21"/>
    <w:rsid w:val="00C30252"/>
    <w:rsid w:val="00C302A4"/>
    <w:rsid w:val="00C30608"/>
    <w:rsid w:val="00C329CC"/>
    <w:rsid w:val="00C32CA5"/>
    <w:rsid w:val="00C32CFC"/>
    <w:rsid w:val="00C3321D"/>
    <w:rsid w:val="00C33966"/>
    <w:rsid w:val="00C341E7"/>
    <w:rsid w:val="00C347E8"/>
    <w:rsid w:val="00C35416"/>
    <w:rsid w:val="00C354F5"/>
    <w:rsid w:val="00C3585E"/>
    <w:rsid w:val="00C36A73"/>
    <w:rsid w:val="00C373D5"/>
    <w:rsid w:val="00C37736"/>
    <w:rsid w:val="00C379CA"/>
    <w:rsid w:val="00C37DD2"/>
    <w:rsid w:val="00C407F0"/>
    <w:rsid w:val="00C42BB6"/>
    <w:rsid w:val="00C42BE0"/>
    <w:rsid w:val="00C42CEE"/>
    <w:rsid w:val="00C42F28"/>
    <w:rsid w:val="00C430D1"/>
    <w:rsid w:val="00C431BA"/>
    <w:rsid w:val="00C4347B"/>
    <w:rsid w:val="00C43583"/>
    <w:rsid w:val="00C43F52"/>
    <w:rsid w:val="00C45904"/>
    <w:rsid w:val="00C45C04"/>
    <w:rsid w:val="00C50D25"/>
    <w:rsid w:val="00C5122E"/>
    <w:rsid w:val="00C53330"/>
    <w:rsid w:val="00C5469E"/>
    <w:rsid w:val="00C546CA"/>
    <w:rsid w:val="00C54F2A"/>
    <w:rsid w:val="00C5516C"/>
    <w:rsid w:val="00C559F6"/>
    <w:rsid w:val="00C561D0"/>
    <w:rsid w:val="00C57F96"/>
    <w:rsid w:val="00C60249"/>
    <w:rsid w:val="00C60EFC"/>
    <w:rsid w:val="00C61126"/>
    <w:rsid w:val="00C61864"/>
    <w:rsid w:val="00C629E9"/>
    <w:rsid w:val="00C62DE0"/>
    <w:rsid w:val="00C630F2"/>
    <w:rsid w:val="00C63E55"/>
    <w:rsid w:val="00C64606"/>
    <w:rsid w:val="00C647B1"/>
    <w:rsid w:val="00C652B2"/>
    <w:rsid w:val="00C65C37"/>
    <w:rsid w:val="00C71B2D"/>
    <w:rsid w:val="00C72302"/>
    <w:rsid w:val="00C73296"/>
    <w:rsid w:val="00C73B68"/>
    <w:rsid w:val="00C73C69"/>
    <w:rsid w:val="00C7445C"/>
    <w:rsid w:val="00C748EE"/>
    <w:rsid w:val="00C75FB3"/>
    <w:rsid w:val="00C764FB"/>
    <w:rsid w:val="00C76C55"/>
    <w:rsid w:val="00C76D42"/>
    <w:rsid w:val="00C76E3A"/>
    <w:rsid w:val="00C80632"/>
    <w:rsid w:val="00C81ED0"/>
    <w:rsid w:val="00C82719"/>
    <w:rsid w:val="00C83B88"/>
    <w:rsid w:val="00C83C06"/>
    <w:rsid w:val="00C83D81"/>
    <w:rsid w:val="00C84BEA"/>
    <w:rsid w:val="00C85EA1"/>
    <w:rsid w:val="00C87A76"/>
    <w:rsid w:val="00C901EA"/>
    <w:rsid w:val="00C9130A"/>
    <w:rsid w:val="00C915B9"/>
    <w:rsid w:val="00C925CF"/>
    <w:rsid w:val="00C94352"/>
    <w:rsid w:val="00C950A3"/>
    <w:rsid w:val="00C95719"/>
    <w:rsid w:val="00C95820"/>
    <w:rsid w:val="00C9675F"/>
    <w:rsid w:val="00C96AA8"/>
    <w:rsid w:val="00C97DE0"/>
    <w:rsid w:val="00C97FBA"/>
    <w:rsid w:val="00CA00D6"/>
    <w:rsid w:val="00CA1122"/>
    <w:rsid w:val="00CA1A60"/>
    <w:rsid w:val="00CA26E3"/>
    <w:rsid w:val="00CA2AC6"/>
    <w:rsid w:val="00CA2DEC"/>
    <w:rsid w:val="00CA3BFB"/>
    <w:rsid w:val="00CA4BE9"/>
    <w:rsid w:val="00CA5614"/>
    <w:rsid w:val="00CA6272"/>
    <w:rsid w:val="00CA6A2E"/>
    <w:rsid w:val="00CA78E6"/>
    <w:rsid w:val="00CA7C21"/>
    <w:rsid w:val="00CB01CD"/>
    <w:rsid w:val="00CB063A"/>
    <w:rsid w:val="00CB242B"/>
    <w:rsid w:val="00CB255A"/>
    <w:rsid w:val="00CB2DCA"/>
    <w:rsid w:val="00CB5DBA"/>
    <w:rsid w:val="00CB67CA"/>
    <w:rsid w:val="00CB6D22"/>
    <w:rsid w:val="00CB6DCC"/>
    <w:rsid w:val="00CB78A0"/>
    <w:rsid w:val="00CC0335"/>
    <w:rsid w:val="00CC079D"/>
    <w:rsid w:val="00CC0AAA"/>
    <w:rsid w:val="00CC0CEF"/>
    <w:rsid w:val="00CC10C5"/>
    <w:rsid w:val="00CC19B7"/>
    <w:rsid w:val="00CC1E79"/>
    <w:rsid w:val="00CC2438"/>
    <w:rsid w:val="00CC256D"/>
    <w:rsid w:val="00CC259D"/>
    <w:rsid w:val="00CC2FD8"/>
    <w:rsid w:val="00CC30D7"/>
    <w:rsid w:val="00CC3954"/>
    <w:rsid w:val="00CC41D7"/>
    <w:rsid w:val="00CC45B6"/>
    <w:rsid w:val="00CC4DA8"/>
    <w:rsid w:val="00CC4DEC"/>
    <w:rsid w:val="00CC509F"/>
    <w:rsid w:val="00CC757C"/>
    <w:rsid w:val="00CD013F"/>
    <w:rsid w:val="00CD0505"/>
    <w:rsid w:val="00CD0C7A"/>
    <w:rsid w:val="00CD137D"/>
    <w:rsid w:val="00CD1CE7"/>
    <w:rsid w:val="00CD1D6E"/>
    <w:rsid w:val="00CD1F66"/>
    <w:rsid w:val="00CD3051"/>
    <w:rsid w:val="00CD5916"/>
    <w:rsid w:val="00CD5BC9"/>
    <w:rsid w:val="00CD6746"/>
    <w:rsid w:val="00CE1C46"/>
    <w:rsid w:val="00CE1E1A"/>
    <w:rsid w:val="00CE277A"/>
    <w:rsid w:val="00CE2D10"/>
    <w:rsid w:val="00CE2D94"/>
    <w:rsid w:val="00CE2E2F"/>
    <w:rsid w:val="00CE3728"/>
    <w:rsid w:val="00CE3E42"/>
    <w:rsid w:val="00CE4EA8"/>
    <w:rsid w:val="00CE524A"/>
    <w:rsid w:val="00CE5BC1"/>
    <w:rsid w:val="00CE6254"/>
    <w:rsid w:val="00CE6DED"/>
    <w:rsid w:val="00CE7AD5"/>
    <w:rsid w:val="00CF08A1"/>
    <w:rsid w:val="00CF3E6A"/>
    <w:rsid w:val="00CF5503"/>
    <w:rsid w:val="00CF5BD3"/>
    <w:rsid w:val="00CF5E61"/>
    <w:rsid w:val="00CF6BA1"/>
    <w:rsid w:val="00CF6BF0"/>
    <w:rsid w:val="00CF707C"/>
    <w:rsid w:val="00D01E51"/>
    <w:rsid w:val="00D0221B"/>
    <w:rsid w:val="00D027F5"/>
    <w:rsid w:val="00D048F3"/>
    <w:rsid w:val="00D04A13"/>
    <w:rsid w:val="00D055B8"/>
    <w:rsid w:val="00D07817"/>
    <w:rsid w:val="00D1059F"/>
    <w:rsid w:val="00D12017"/>
    <w:rsid w:val="00D12184"/>
    <w:rsid w:val="00D12222"/>
    <w:rsid w:val="00D12DF0"/>
    <w:rsid w:val="00D12FEE"/>
    <w:rsid w:val="00D13544"/>
    <w:rsid w:val="00D13A5F"/>
    <w:rsid w:val="00D14BD4"/>
    <w:rsid w:val="00D166E6"/>
    <w:rsid w:val="00D16738"/>
    <w:rsid w:val="00D1693A"/>
    <w:rsid w:val="00D17D45"/>
    <w:rsid w:val="00D2000A"/>
    <w:rsid w:val="00D20FC6"/>
    <w:rsid w:val="00D216A8"/>
    <w:rsid w:val="00D21A09"/>
    <w:rsid w:val="00D2265D"/>
    <w:rsid w:val="00D227F3"/>
    <w:rsid w:val="00D237A4"/>
    <w:rsid w:val="00D247EA"/>
    <w:rsid w:val="00D25F31"/>
    <w:rsid w:val="00D268F3"/>
    <w:rsid w:val="00D268F5"/>
    <w:rsid w:val="00D27B9B"/>
    <w:rsid w:val="00D27CFC"/>
    <w:rsid w:val="00D307B5"/>
    <w:rsid w:val="00D31EB7"/>
    <w:rsid w:val="00D34206"/>
    <w:rsid w:val="00D34C39"/>
    <w:rsid w:val="00D34DA9"/>
    <w:rsid w:val="00D35016"/>
    <w:rsid w:val="00D35E84"/>
    <w:rsid w:val="00D365BB"/>
    <w:rsid w:val="00D36925"/>
    <w:rsid w:val="00D37141"/>
    <w:rsid w:val="00D37CE9"/>
    <w:rsid w:val="00D406D1"/>
    <w:rsid w:val="00D4241B"/>
    <w:rsid w:val="00D42AEA"/>
    <w:rsid w:val="00D42FBA"/>
    <w:rsid w:val="00D44FBA"/>
    <w:rsid w:val="00D47080"/>
    <w:rsid w:val="00D47110"/>
    <w:rsid w:val="00D47CDF"/>
    <w:rsid w:val="00D50683"/>
    <w:rsid w:val="00D5084B"/>
    <w:rsid w:val="00D50A91"/>
    <w:rsid w:val="00D5129F"/>
    <w:rsid w:val="00D521C3"/>
    <w:rsid w:val="00D52F4A"/>
    <w:rsid w:val="00D53675"/>
    <w:rsid w:val="00D55602"/>
    <w:rsid w:val="00D56544"/>
    <w:rsid w:val="00D566DB"/>
    <w:rsid w:val="00D5684A"/>
    <w:rsid w:val="00D5689C"/>
    <w:rsid w:val="00D56D6C"/>
    <w:rsid w:val="00D573A4"/>
    <w:rsid w:val="00D6074E"/>
    <w:rsid w:val="00D61AF3"/>
    <w:rsid w:val="00D6243E"/>
    <w:rsid w:val="00D628DB"/>
    <w:rsid w:val="00D629AE"/>
    <w:rsid w:val="00D6400F"/>
    <w:rsid w:val="00D6575D"/>
    <w:rsid w:val="00D65A06"/>
    <w:rsid w:val="00D65E99"/>
    <w:rsid w:val="00D66E9B"/>
    <w:rsid w:val="00D67384"/>
    <w:rsid w:val="00D704AD"/>
    <w:rsid w:val="00D73ABC"/>
    <w:rsid w:val="00D7432A"/>
    <w:rsid w:val="00D745E1"/>
    <w:rsid w:val="00D7689D"/>
    <w:rsid w:val="00D774ED"/>
    <w:rsid w:val="00D80055"/>
    <w:rsid w:val="00D80B09"/>
    <w:rsid w:val="00D81A5C"/>
    <w:rsid w:val="00D82659"/>
    <w:rsid w:val="00D82D43"/>
    <w:rsid w:val="00D83CCB"/>
    <w:rsid w:val="00D83FEF"/>
    <w:rsid w:val="00D84842"/>
    <w:rsid w:val="00D86A39"/>
    <w:rsid w:val="00D8743F"/>
    <w:rsid w:val="00D910EE"/>
    <w:rsid w:val="00D95A8E"/>
    <w:rsid w:val="00D96377"/>
    <w:rsid w:val="00D964E3"/>
    <w:rsid w:val="00DA246A"/>
    <w:rsid w:val="00DA2F87"/>
    <w:rsid w:val="00DA353F"/>
    <w:rsid w:val="00DA387A"/>
    <w:rsid w:val="00DA46DF"/>
    <w:rsid w:val="00DA5484"/>
    <w:rsid w:val="00DA55FC"/>
    <w:rsid w:val="00DA5DB5"/>
    <w:rsid w:val="00DA5FB0"/>
    <w:rsid w:val="00DA681D"/>
    <w:rsid w:val="00DA75CB"/>
    <w:rsid w:val="00DB0FA5"/>
    <w:rsid w:val="00DB13C6"/>
    <w:rsid w:val="00DB212D"/>
    <w:rsid w:val="00DB24FA"/>
    <w:rsid w:val="00DB2750"/>
    <w:rsid w:val="00DB27C3"/>
    <w:rsid w:val="00DB3459"/>
    <w:rsid w:val="00DB3871"/>
    <w:rsid w:val="00DB4776"/>
    <w:rsid w:val="00DB479D"/>
    <w:rsid w:val="00DB4877"/>
    <w:rsid w:val="00DB5DFB"/>
    <w:rsid w:val="00DC0AE7"/>
    <w:rsid w:val="00DC22BC"/>
    <w:rsid w:val="00DC2809"/>
    <w:rsid w:val="00DC2D4E"/>
    <w:rsid w:val="00DC398F"/>
    <w:rsid w:val="00DC4F5A"/>
    <w:rsid w:val="00DC6701"/>
    <w:rsid w:val="00DC685C"/>
    <w:rsid w:val="00DC7747"/>
    <w:rsid w:val="00DC7D43"/>
    <w:rsid w:val="00DD0C6F"/>
    <w:rsid w:val="00DD0DEF"/>
    <w:rsid w:val="00DD0EC4"/>
    <w:rsid w:val="00DD1A77"/>
    <w:rsid w:val="00DD20B4"/>
    <w:rsid w:val="00DD319C"/>
    <w:rsid w:val="00DD3A31"/>
    <w:rsid w:val="00DD4288"/>
    <w:rsid w:val="00DD5674"/>
    <w:rsid w:val="00DD5A01"/>
    <w:rsid w:val="00DD6807"/>
    <w:rsid w:val="00DD7580"/>
    <w:rsid w:val="00DD7590"/>
    <w:rsid w:val="00DE0EA0"/>
    <w:rsid w:val="00DE16EC"/>
    <w:rsid w:val="00DE38CC"/>
    <w:rsid w:val="00DE4E8C"/>
    <w:rsid w:val="00DE5424"/>
    <w:rsid w:val="00DE6DE2"/>
    <w:rsid w:val="00DE7170"/>
    <w:rsid w:val="00DE7CF7"/>
    <w:rsid w:val="00DF1824"/>
    <w:rsid w:val="00DF18EB"/>
    <w:rsid w:val="00DF1C50"/>
    <w:rsid w:val="00DF228A"/>
    <w:rsid w:val="00DF2CE3"/>
    <w:rsid w:val="00DF4547"/>
    <w:rsid w:val="00DF53F1"/>
    <w:rsid w:val="00E01ACB"/>
    <w:rsid w:val="00E024C5"/>
    <w:rsid w:val="00E03A19"/>
    <w:rsid w:val="00E04067"/>
    <w:rsid w:val="00E045D6"/>
    <w:rsid w:val="00E04DBB"/>
    <w:rsid w:val="00E0612E"/>
    <w:rsid w:val="00E06A73"/>
    <w:rsid w:val="00E06C8A"/>
    <w:rsid w:val="00E072BC"/>
    <w:rsid w:val="00E1054D"/>
    <w:rsid w:val="00E11338"/>
    <w:rsid w:val="00E11FDB"/>
    <w:rsid w:val="00E12173"/>
    <w:rsid w:val="00E12255"/>
    <w:rsid w:val="00E14107"/>
    <w:rsid w:val="00E14120"/>
    <w:rsid w:val="00E14D41"/>
    <w:rsid w:val="00E14F8A"/>
    <w:rsid w:val="00E16024"/>
    <w:rsid w:val="00E176CF"/>
    <w:rsid w:val="00E17713"/>
    <w:rsid w:val="00E2108D"/>
    <w:rsid w:val="00E21FF4"/>
    <w:rsid w:val="00E22995"/>
    <w:rsid w:val="00E22B07"/>
    <w:rsid w:val="00E2391B"/>
    <w:rsid w:val="00E24239"/>
    <w:rsid w:val="00E245CF"/>
    <w:rsid w:val="00E25707"/>
    <w:rsid w:val="00E26B07"/>
    <w:rsid w:val="00E26ED4"/>
    <w:rsid w:val="00E2708D"/>
    <w:rsid w:val="00E2732F"/>
    <w:rsid w:val="00E302B5"/>
    <w:rsid w:val="00E3203A"/>
    <w:rsid w:val="00E3237F"/>
    <w:rsid w:val="00E32DD0"/>
    <w:rsid w:val="00E346D6"/>
    <w:rsid w:val="00E35246"/>
    <w:rsid w:val="00E35CA9"/>
    <w:rsid w:val="00E408C0"/>
    <w:rsid w:val="00E4105B"/>
    <w:rsid w:val="00E41D5C"/>
    <w:rsid w:val="00E43471"/>
    <w:rsid w:val="00E456AC"/>
    <w:rsid w:val="00E46822"/>
    <w:rsid w:val="00E472A2"/>
    <w:rsid w:val="00E47CF2"/>
    <w:rsid w:val="00E50049"/>
    <w:rsid w:val="00E50D21"/>
    <w:rsid w:val="00E51B40"/>
    <w:rsid w:val="00E521E0"/>
    <w:rsid w:val="00E52D54"/>
    <w:rsid w:val="00E52DCA"/>
    <w:rsid w:val="00E54633"/>
    <w:rsid w:val="00E628E2"/>
    <w:rsid w:val="00E63A18"/>
    <w:rsid w:val="00E64D56"/>
    <w:rsid w:val="00E65842"/>
    <w:rsid w:val="00E65908"/>
    <w:rsid w:val="00E672EE"/>
    <w:rsid w:val="00E701C1"/>
    <w:rsid w:val="00E70C85"/>
    <w:rsid w:val="00E716EE"/>
    <w:rsid w:val="00E71C99"/>
    <w:rsid w:val="00E71D97"/>
    <w:rsid w:val="00E74BBB"/>
    <w:rsid w:val="00E753F3"/>
    <w:rsid w:val="00E7598D"/>
    <w:rsid w:val="00E75DF5"/>
    <w:rsid w:val="00E766DD"/>
    <w:rsid w:val="00E77037"/>
    <w:rsid w:val="00E804B3"/>
    <w:rsid w:val="00E8090D"/>
    <w:rsid w:val="00E80D2F"/>
    <w:rsid w:val="00E82107"/>
    <w:rsid w:val="00E83534"/>
    <w:rsid w:val="00E83817"/>
    <w:rsid w:val="00E84149"/>
    <w:rsid w:val="00E841FA"/>
    <w:rsid w:val="00E849F5"/>
    <w:rsid w:val="00E85334"/>
    <w:rsid w:val="00E8580E"/>
    <w:rsid w:val="00E87B21"/>
    <w:rsid w:val="00E91383"/>
    <w:rsid w:val="00E92434"/>
    <w:rsid w:val="00E926A4"/>
    <w:rsid w:val="00E92E7E"/>
    <w:rsid w:val="00E9320D"/>
    <w:rsid w:val="00E932A9"/>
    <w:rsid w:val="00E94034"/>
    <w:rsid w:val="00E946FA"/>
    <w:rsid w:val="00E957B1"/>
    <w:rsid w:val="00E95D5E"/>
    <w:rsid w:val="00E97C06"/>
    <w:rsid w:val="00EA0D4D"/>
    <w:rsid w:val="00EA1004"/>
    <w:rsid w:val="00EA16D0"/>
    <w:rsid w:val="00EA221F"/>
    <w:rsid w:val="00EA2901"/>
    <w:rsid w:val="00EA2D57"/>
    <w:rsid w:val="00EA40CD"/>
    <w:rsid w:val="00EA477F"/>
    <w:rsid w:val="00EA4D23"/>
    <w:rsid w:val="00EA61D4"/>
    <w:rsid w:val="00EA761B"/>
    <w:rsid w:val="00EA7EB8"/>
    <w:rsid w:val="00EA7F52"/>
    <w:rsid w:val="00EB0B7E"/>
    <w:rsid w:val="00EB0DC2"/>
    <w:rsid w:val="00EB1A05"/>
    <w:rsid w:val="00EB333F"/>
    <w:rsid w:val="00EB3BA5"/>
    <w:rsid w:val="00EB4BF5"/>
    <w:rsid w:val="00EB4CD6"/>
    <w:rsid w:val="00EB4FB6"/>
    <w:rsid w:val="00EB6A4B"/>
    <w:rsid w:val="00EB6C89"/>
    <w:rsid w:val="00EB6F53"/>
    <w:rsid w:val="00EB718B"/>
    <w:rsid w:val="00EB721A"/>
    <w:rsid w:val="00EB72C2"/>
    <w:rsid w:val="00EB7B90"/>
    <w:rsid w:val="00EC08C5"/>
    <w:rsid w:val="00EC0F67"/>
    <w:rsid w:val="00EC0FF3"/>
    <w:rsid w:val="00EC117D"/>
    <w:rsid w:val="00EC193E"/>
    <w:rsid w:val="00EC19D9"/>
    <w:rsid w:val="00EC1D72"/>
    <w:rsid w:val="00EC20EB"/>
    <w:rsid w:val="00EC2A0F"/>
    <w:rsid w:val="00EC4248"/>
    <w:rsid w:val="00EC48C8"/>
    <w:rsid w:val="00EC6292"/>
    <w:rsid w:val="00EC6563"/>
    <w:rsid w:val="00EC73D5"/>
    <w:rsid w:val="00EC7786"/>
    <w:rsid w:val="00ED09C2"/>
    <w:rsid w:val="00ED0DA1"/>
    <w:rsid w:val="00ED10EF"/>
    <w:rsid w:val="00ED3215"/>
    <w:rsid w:val="00ED3BC4"/>
    <w:rsid w:val="00ED4FE9"/>
    <w:rsid w:val="00ED524D"/>
    <w:rsid w:val="00ED5B0F"/>
    <w:rsid w:val="00ED677C"/>
    <w:rsid w:val="00ED722D"/>
    <w:rsid w:val="00ED7CF2"/>
    <w:rsid w:val="00EE0242"/>
    <w:rsid w:val="00EE03B2"/>
    <w:rsid w:val="00EE0BC5"/>
    <w:rsid w:val="00EE159E"/>
    <w:rsid w:val="00EE1884"/>
    <w:rsid w:val="00EE2442"/>
    <w:rsid w:val="00EE2D2B"/>
    <w:rsid w:val="00EE3020"/>
    <w:rsid w:val="00EE3D4C"/>
    <w:rsid w:val="00EE44E4"/>
    <w:rsid w:val="00EE48B3"/>
    <w:rsid w:val="00EE7BFA"/>
    <w:rsid w:val="00EF06B4"/>
    <w:rsid w:val="00EF1B06"/>
    <w:rsid w:val="00EF24BB"/>
    <w:rsid w:val="00EF2DF1"/>
    <w:rsid w:val="00EF2E95"/>
    <w:rsid w:val="00EF3197"/>
    <w:rsid w:val="00EF3753"/>
    <w:rsid w:val="00EF4260"/>
    <w:rsid w:val="00EF4CFD"/>
    <w:rsid w:val="00EF559B"/>
    <w:rsid w:val="00EF5780"/>
    <w:rsid w:val="00EF5929"/>
    <w:rsid w:val="00EF6228"/>
    <w:rsid w:val="00EF712A"/>
    <w:rsid w:val="00EF78EF"/>
    <w:rsid w:val="00F00772"/>
    <w:rsid w:val="00F00BC3"/>
    <w:rsid w:val="00F0207A"/>
    <w:rsid w:val="00F0281A"/>
    <w:rsid w:val="00F0282C"/>
    <w:rsid w:val="00F02C38"/>
    <w:rsid w:val="00F03634"/>
    <w:rsid w:val="00F06C6A"/>
    <w:rsid w:val="00F070E1"/>
    <w:rsid w:val="00F077D8"/>
    <w:rsid w:val="00F0796E"/>
    <w:rsid w:val="00F105EE"/>
    <w:rsid w:val="00F105FD"/>
    <w:rsid w:val="00F10B18"/>
    <w:rsid w:val="00F10FA9"/>
    <w:rsid w:val="00F112B4"/>
    <w:rsid w:val="00F11682"/>
    <w:rsid w:val="00F11789"/>
    <w:rsid w:val="00F1242B"/>
    <w:rsid w:val="00F1348F"/>
    <w:rsid w:val="00F140CD"/>
    <w:rsid w:val="00F14602"/>
    <w:rsid w:val="00F155D9"/>
    <w:rsid w:val="00F1579A"/>
    <w:rsid w:val="00F1666C"/>
    <w:rsid w:val="00F17B79"/>
    <w:rsid w:val="00F17F1B"/>
    <w:rsid w:val="00F2037F"/>
    <w:rsid w:val="00F20704"/>
    <w:rsid w:val="00F21475"/>
    <w:rsid w:val="00F2171A"/>
    <w:rsid w:val="00F220BB"/>
    <w:rsid w:val="00F25189"/>
    <w:rsid w:val="00F2559D"/>
    <w:rsid w:val="00F256D6"/>
    <w:rsid w:val="00F25E0E"/>
    <w:rsid w:val="00F2632D"/>
    <w:rsid w:val="00F26D8E"/>
    <w:rsid w:val="00F26E5B"/>
    <w:rsid w:val="00F26E75"/>
    <w:rsid w:val="00F27A10"/>
    <w:rsid w:val="00F27FE8"/>
    <w:rsid w:val="00F301D2"/>
    <w:rsid w:val="00F30A1E"/>
    <w:rsid w:val="00F30B08"/>
    <w:rsid w:val="00F32174"/>
    <w:rsid w:val="00F3456F"/>
    <w:rsid w:val="00F351FE"/>
    <w:rsid w:val="00F35ADF"/>
    <w:rsid w:val="00F36CC9"/>
    <w:rsid w:val="00F37776"/>
    <w:rsid w:val="00F40162"/>
    <w:rsid w:val="00F410E2"/>
    <w:rsid w:val="00F412E7"/>
    <w:rsid w:val="00F41323"/>
    <w:rsid w:val="00F4142F"/>
    <w:rsid w:val="00F4365A"/>
    <w:rsid w:val="00F43C85"/>
    <w:rsid w:val="00F44E0F"/>
    <w:rsid w:val="00F45491"/>
    <w:rsid w:val="00F46674"/>
    <w:rsid w:val="00F47086"/>
    <w:rsid w:val="00F508B1"/>
    <w:rsid w:val="00F51D22"/>
    <w:rsid w:val="00F52504"/>
    <w:rsid w:val="00F52C47"/>
    <w:rsid w:val="00F53C17"/>
    <w:rsid w:val="00F54332"/>
    <w:rsid w:val="00F547B1"/>
    <w:rsid w:val="00F562C4"/>
    <w:rsid w:val="00F5721D"/>
    <w:rsid w:val="00F57795"/>
    <w:rsid w:val="00F61000"/>
    <w:rsid w:val="00F61A3F"/>
    <w:rsid w:val="00F61F01"/>
    <w:rsid w:val="00F634CD"/>
    <w:rsid w:val="00F636E4"/>
    <w:rsid w:val="00F6400F"/>
    <w:rsid w:val="00F66125"/>
    <w:rsid w:val="00F667A3"/>
    <w:rsid w:val="00F674C8"/>
    <w:rsid w:val="00F70062"/>
    <w:rsid w:val="00F71FF5"/>
    <w:rsid w:val="00F727F0"/>
    <w:rsid w:val="00F72B13"/>
    <w:rsid w:val="00F72E0B"/>
    <w:rsid w:val="00F73BEE"/>
    <w:rsid w:val="00F73C23"/>
    <w:rsid w:val="00F73F3A"/>
    <w:rsid w:val="00F759E8"/>
    <w:rsid w:val="00F75C5D"/>
    <w:rsid w:val="00F8065F"/>
    <w:rsid w:val="00F80A34"/>
    <w:rsid w:val="00F81041"/>
    <w:rsid w:val="00F816FE"/>
    <w:rsid w:val="00F81BD3"/>
    <w:rsid w:val="00F82022"/>
    <w:rsid w:val="00F826D4"/>
    <w:rsid w:val="00F8278E"/>
    <w:rsid w:val="00F82856"/>
    <w:rsid w:val="00F840F5"/>
    <w:rsid w:val="00F85331"/>
    <w:rsid w:val="00F85D80"/>
    <w:rsid w:val="00F85F38"/>
    <w:rsid w:val="00F85FAB"/>
    <w:rsid w:val="00F866A0"/>
    <w:rsid w:val="00F87ADD"/>
    <w:rsid w:val="00F87B45"/>
    <w:rsid w:val="00F87F34"/>
    <w:rsid w:val="00F90202"/>
    <w:rsid w:val="00F909CF"/>
    <w:rsid w:val="00F90BF3"/>
    <w:rsid w:val="00F91FA6"/>
    <w:rsid w:val="00F93725"/>
    <w:rsid w:val="00F93A25"/>
    <w:rsid w:val="00F941BE"/>
    <w:rsid w:val="00F95F34"/>
    <w:rsid w:val="00F96285"/>
    <w:rsid w:val="00F97AA0"/>
    <w:rsid w:val="00F97C45"/>
    <w:rsid w:val="00FA04BD"/>
    <w:rsid w:val="00FA0A1F"/>
    <w:rsid w:val="00FA1215"/>
    <w:rsid w:val="00FA1388"/>
    <w:rsid w:val="00FA3EAB"/>
    <w:rsid w:val="00FA6668"/>
    <w:rsid w:val="00FA7213"/>
    <w:rsid w:val="00FA786C"/>
    <w:rsid w:val="00FB07F9"/>
    <w:rsid w:val="00FB0C1F"/>
    <w:rsid w:val="00FB12CC"/>
    <w:rsid w:val="00FB1339"/>
    <w:rsid w:val="00FB1424"/>
    <w:rsid w:val="00FB2E2F"/>
    <w:rsid w:val="00FB363B"/>
    <w:rsid w:val="00FB3F5E"/>
    <w:rsid w:val="00FB4275"/>
    <w:rsid w:val="00FB42F9"/>
    <w:rsid w:val="00FB4E9F"/>
    <w:rsid w:val="00FB5EE7"/>
    <w:rsid w:val="00FB7A4B"/>
    <w:rsid w:val="00FC25F3"/>
    <w:rsid w:val="00FC2BF3"/>
    <w:rsid w:val="00FC421C"/>
    <w:rsid w:val="00FC4CC0"/>
    <w:rsid w:val="00FC5098"/>
    <w:rsid w:val="00FC58A5"/>
    <w:rsid w:val="00FC7049"/>
    <w:rsid w:val="00FC771E"/>
    <w:rsid w:val="00FC797B"/>
    <w:rsid w:val="00FC7B40"/>
    <w:rsid w:val="00FD096A"/>
    <w:rsid w:val="00FD2F34"/>
    <w:rsid w:val="00FD3187"/>
    <w:rsid w:val="00FD36E6"/>
    <w:rsid w:val="00FD4F83"/>
    <w:rsid w:val="00FD517B"/>
    <w:rsid w:val="00FD5328"/>
    <w:rsid w:val="00FD6466"/>
    <w:rsid w:val="00FD709D"/>
    <w:rsid w:val="00FE2323"/>
    <w:rsid w:val="00FE28F8"/>
    <w:rsid w:val="00FE3FD5"/>
    <w:rsid w:val="00FE47F5"/>
    <w:rsid w:val="00FE4A74"/>
    <w:rsid w:val="00FE4C08"/>
    <w:rsid w:val="00FE53A4"/>
    <w:rsid w:val="00FE5A1D"/>
    <w:rsid w:val="00FE64E0"/>
    <w:rsid w:val="00FF0816"/>
    <w:rsid w:val="00FF10DA"/>
    <w:rsid w:val="00FF1EC0"/>
    <w:rsid w:val="00FF226C"/>
    <w:rsid w:val="00FF2777"/>
    <w:rsid w:val="00FF2862"/>
    <w:rsid w:val="00FF3C4C"/>
    <w:rsid w:val="00FF4085"/>
    <w:rsid w:val="00FF4BFF"/>
    <w:rsid w:val="00FF7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5EC9AA1"/>
  <w15:docId w15:val="{30B37D49-2F30-4C3E-AA70-2D036711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2E7"/>
    <w:rPr>
      <w:sz w:val="24"/>
      <w:szCs w:val="24"/>
    </w:rPr>
  </w:style>
  <w:style w:type="paragraph" w:styleId="Heading1">
    <w:name w:val="heading 1"/>
    <w:basedOn w:val="Normal"/>
    <w:next w:val="Text1"/>
    <w:link w:val="Heading1Char"/>
    <w:qFormat/>
    <w:rsid w:val="001A4D99"/>
    <w:pPr>
      <w:keepNext/>
      <w:numPr>
        <w:numId w:val="11"/>
      </w:numPr>
      <w:spacing w:before="240" w:after="240"/>
      <w:jc w:val="both"/>
      <w:outlineLvl w:val="0"/>
    </w:pPr>
    <w:rPr>
      <w:b/>
      <w:smallCaps/>
      <w:szCs w:val="20"/>
      <w:lang w:eastAsia="en-US"/>
    </w:rPr>
  </w:style>
  <w:style w:type="paragraph" w:styleId="Heading2">
    <w:name w:val="heading 2"/>
    <w:basedOn w:val="Normal"/>
    <w:next w:val="Text2"/>
    <w:link w:val="Heading2Char"/>
    <w:qFormat/>
    <w:rsid w:val="001A4D99"/>
    <w:pPr>
      <w:keepNext/>
      <w:numPr>
        <w:ilvl w:val="1"/>
        <w:numId w:val="11"/>
      </w:numPr>
      <w:spacing w:after="240"/>
      <w:jc w:val="both"/>
      <w:outlineLvl w:val="1"/>
    </w:pPr>
    <w:rPr>
      <w:b/>
      <w:szCs w:val="20"/>
      <w:lang w:eastAsia="en-US"/>
    </w:rPr>
  </w:style>
  <w:style w:type="paragraph" w:styleId="Heading3">
    <w:name w:val="heading 3"/>
    <w:basedOn w:val="Normal"/>
    <w:next w:val="Text3"/>
    <w:link w:val="Heading3Char"/>
    <w:qFormat/>
    <w:rsid w:val="001A4D99"/>
    <w:pPr>
      <w:keepNext/>
      <w:numPr>
        <w:ilvl w:val="2"/>
        <w:numId w:val="11"/>
      </w:numPr>
      <w:spacing w:after="240"/>
      <w:jc w:val="both"/>
      <w:outlineLvl w:val="2"/>
    </w:pPr>
    <w:rPr>
      <w:i/>
      <w:szCs w:val="20"/>
      <w:lang w:eastAsia="en-US"/>
    </w:rPr>
  </w:style>
  <w:style w:type="paragraph" w:styleId="Heading4">
    <w:name w:val="heading 4"/>
    <w:basedOn w:val="Normal"/>
    <w:next w:val="Text4"/>
    <w:link w:val="Heading4Char"/>
    <w:qFormat/>
    <w:rsid w:val="001A4D99"/>
    <w:pPr>
      <w:keepNext/>
      <w:spacing w:after="240"/>
      <w:jc w:val="both"/>
      <w:outlineLvl w:val="3"/>
    </w:pPr>
    <w:rPr>
      <w:szCs w:val="20"/>
      <w:lang w:eastAsia="en-US"/>
    </w:rPr>
  </w:style>
  <w:style w:type="paragraph" w:styleId="Heading5">
    <w:name w:val="heading 5"/>
    <w:basedOn w:val="Normal"/>
    <w:next w:val="Normal"/>
    <w:link w:val="Heading5Char"/>
    <w:qFormat/>
    <w:rsid w:val="001A4D99"/>
    <w:pPr>
      <w:spacing w:before="240" w:after="60"/>
      <w:ind w:left="3332" w:hanging="708"/>
      <w:jc w:val="both"/>
      <w:outlineLvl w:val="4"/>
    </w:pPr>
    <w:rPr>
      <w:rFonts w:ascii="Arial" w:hAnsi="Arial"/>
      <w:sz w:val="22"/>
      <w:szCs w:val="20"/>
      <w:lang w:eastAsia="en-US"/>
    </w:rPr>
  </w:style>
  <w:style w:type="paragraph" w:styleId="Heading6">
    <w:name w:val="heading 6"/>
    <w:basedOn w:val="Normal"/>
    <w:next w:val="Normal"/>
    <w:link w:val="Heading6Char"/>
    <w:qFormat/>
    <w:rsid w:val="001A4D99"/>
    <w:pPr>
      <w:spacing w:before="240" w:after="60"/>
      <w:ind w:left="4040" w:hanging="708"/>
      <w:jc w:val="both"/>
      <w:outlineLvl w:val="5"/>
    </w:pPr>
    <w:rPr>
      <w:rFonts w:ascii="Arial" w:hAnsi="Arial"/>
      <w:i/>
      <w:sz w:val="22"/>
      <w:szCs w:val="20"/>
      <w:lang w:eastAsia="en-US"/>
    </w:rPr>
  </w:style>
  <w:style w:type="paragraph" w:styleId="Heading7">
    <w:name w:val="heading 7"/>
    <w:basedOn w:val="Normal"/>
    <w:next w:val="Normal"/>
    <w:link w:val="Heading7Char"/>
    <w:qFormat/>
    <w:rsid w:val="001A4D99"/>
    <w:pPr>
      <w:spacing w:before="240" w:after="60"/>
      <w:ind w:left="4748" w:hanging="708"/>
      <w:jc w:val="both"/>
      <w:outlineLvl w:val="6"/>
    </w:pPr>
    <w:rPr>
      <w:rFonts w:ascii="Arial" w:hAnsi="Arial"/>
      <w:sz w:val="20"/>
      <w:szCs w:val="20"/>
      <w:lang w:eastAsia="en-US"/>
    </w:rPr>
  </w:style>
  <w:style w:type="paragraph" w:styleId="Heading8">
    <w:name w:val="heading 8"/>
    <w:basedOn w:val="Normal"/>
    <w:next w:val="Normal"/>
    <w:link w:val="Heading8Char"/>
    <w:qFormat/>
    <w:rsid w:val="001A4D99"/>
    <w:pPr>
      <w:spacing w:before="240" w:after="60"/>
      <w:ind w:left="5456" w:hanging="708"/>
      <w:jc w:val="both"/>
      <w:outlineLvl w:val="7"/>
    </w:pPr>
    <w:rPr>
      <w:rFonts w:ascii="Arial" w:hAnsi="Arial"/>
      <w:i/>
      <w:sz w:val="20"/>
      <w:szCs w:val="20"/>
      <w:lang w:eastAsia="en-US"/>
    </w:rPr>
  </w:style>
  <w:style w:type="paragraph" w:styleId="Heading9">
    <w:name w:val="heading 9"/>
    <w:basedOn w:val="Normal"/>
    <w:next w:val="Normal"/>
    <w:link w:val="Heading9Char"/>
    <w:qFormat/>
    <w:rsid w:val="001A4D99"/>
    <w:pPr>
      <w:spacing w:before="240" w:after="60"/>
      <w:ind w:left="6164" w:hanging="708"/>
      <w:jc w:val="both"/>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A4D99"/>
    <w:pPr>
      <w:spacing w:after="240"/>
      <w:ind w:left="482"/>
      <w:jc w:val="both"/>
    </w:pPr>
    <w:rPr>
      <w:szCs w:val="20"/>
      <w:lang w:eastAsia="en-US"/>
    </w:rPr>
  </w:style>
  <w:style w:type="character" w:customStyle="1" w:styleId="Heading1Char">
    <w:name w:val="Heading 1 Char"/>
    <w:link w:val="Heading1"/>
    <w:locked/>
    <w:rsid w:val="001A4D99"/>
    <w:rPr>
      <w:b/>
      <w:smallCaps/>
      <w:sz w:val="24"/>
      <w:lang w:eastAsia="en-US"/>
    </w:rPr>
  </w:style>
  <w:style w:type="paragraph" w:customStyle="1" w:styleId="Text2">
    <w:name w:val="Text 2"/>
    <w:basedOn w:val="Normal"/>
    <w:rsid w:val="001A4D99"/>
    <w:pPr>
      <w:tabs>
        <w:tab w:val="left" w:pos="2160"/>
      </w:tabs>
      <w:spacing w:after="240"/>
      <w:ind w:left="1077"/>
      <w:jc w:val="both"/>
    </w:pPr>
    <w:rPr>
      <w:szCs w:val="20"/>
      <w:lang w:eastAsia="en-US"/>
    </w:rPr>
  </w:style>
  <w:style w:type="character" w:customStyle="1" w:styleId="Heading2Char">
    <w:name w:val="Heading 2 Char"/>
    <w:link w:val="Heading2"/>
    <w:locked/>
    <w:rsid w:val="001A4D99"/>
    <w:rPr>
      <w:b/>
      <w:sz w:val="24"/>
      <w:lang w:eastAsia="en-US"/>
    </w:rPr>
  </w:style>
  <w:style w:type="paragraph" w:customStyle="1" w:styleId="Text3">
    <w:name w:val="Text 3"/>
    <w:basedOn w:val="Normal"/>
    <w:rsid w:val="001A4D99"/>
    <w:pPr>
      <w:tabs>
        <w:tab w:val="left" w:pos="2302"/>
      </w:tabs>
      <w:spacing w:after="240"/>
      <w:ind w:left="1916"/>
      <w:jc w:val="both"/>
    </w:pPr>
    <w:rPr>
      <w:szCs w:val="20"/>
      <w:lang w:eastAsia="en-US"/>
    </w:rPr>
  </w:style>
  <w:style w:type="character" w:customStyle="1" w:styleId="Heading3Char">
    <w:name w:val="Heading 3 Char"/>
    <w:link w:val="Heading3"/>
    <w:locked/>
    <w:rsid w:val="001A4D99"/>
    <w:rPr>
      <w:i/>
      <w:sz w:val="24"/>
      <w:lang w:eastAsia="en-US"/>
    </w:rPr>
  </w:style>
  <w:style w:type="paragraph" w:customStyle="1" w:styleId="Text4">
    <w:name w:val="Text 4"/>
    <w:basedOn w:val="Normal"/>
    <w:rsid w:val="001A4D99"/>
    <w:pPr>
      <w:spacing w:after="240"/>
      <w:ind w:left="2880"/>
      <w:jc w:val="both"/>
    </w:pPr>
    <w:rPr>
      <w:szCs w:val="20"/>
      <w:lang w:eastAsia="en-US"/>
    </w:rPr>
  </w:style>
  <w:style w:type="character" w:customStyle="1" w:styleId="Heading4Char">
    <w:name w:val="Heading 4 Char"/>
    <w:link w:val="Heading4"/>
    <w:locked/>
    <w:rsid w:val="001A4D99"/>
    <w:rPr>
      <w:sz w:val="24"/>
      <w:lang w:val="en-GB" w:eastAsia="en-US" w:bidi="ar-SA"/>
    </w:rPr>
  </w:style>
  <w:style w:type="character" w:customStyle="1" w:styleId="Heading5Char">
    <w:name w:val="Heading 5 Char"/>
    <w:link w:val="Heading5"/>
    <w:semiHidden/>
    <w:locked/>
    <w:rsid w:val="001A4D99"/>
    <w:rPr>
      <w:rFonts w:ascii="Arial" w:hAnsi="Arial"/>
      <w:sz w:val="22"/>
      <w:lang w:val="en-GB" w:eastAsia="en-US" w:bidi="ar-SA"/>
    </w:rPr>
  </w:style>
  <w:style w:type="character" w:customStyle="1" w:styleId="Heading6Char">
    <w:name w:val="Heading 6 Char"/>
    <w:link w:val="Heading6"/>
    <w:semiHidden/>
    <w:locked/>
    <w:rsid w:val="001A4D99"/>
    <w:rPr>
      <w:rFonts w:ascii="Arial" w:hAnsi="Arial"/>
      <w:i/>
      <w:sz w:val="22"/>
      <w:lang w:val="en-GB" w:eastAsia="en-US" w:bidi="ar-SA"/>
    </w:rPr>
  </w:style>
  <w:style w:type="character" w:customStyle="1" w:styleId="Heading7Char">
    <w:name w:val="Heading 7 Char"/>
    <w:link w:val="Heading7"/>
    <w:semiHidden/>
    <w:locked/>
    <w:rsid w:val="001A4D99"/>
    <w:rPr>
      <w:rFonts w:ascii="Arial" w:hAnsi="Arial"/>
      <w:lang w:val="en-GB" w:eastAsia="en-US" w:bidi="ar-SA"/>
    </w:rPr>
  </w:style>
  <w:style w:type="character" w:customStyle="1" w:styleId="Heading8Char">
    <w:name w:val="Heading 8 Char"/>
    <w:link w:val="Heading8"/>
    <w:semiHidden/>
    <w:locked/>
    <w:rsid w:val="001A4D99"/>
    <w:rPr>
      <w:rFonts w:ascii="Arial" w:hAnsi="Arial"/>
      <w:i/>
      <w:lang w:val="en-GB" w:eastAsia="en-US" w:bidi="ar-SA"/>
    </w:rPr>
  </w:style>
  <w:style w:type="character" w:customStyle="1" w:styleId="Heading9Char">
    <w:name w:val="Heading 9 Char"/>
    <w:link w:val="Heading9"/>
    <w:semiHidden/>
    <w:locked/>
    <w:rsid w:val="001A4D99"/>
    <w:rPr>
      <w:rFonts w:ascii="Arial" w:hAnsi="Arial"/>
      <w:i/>
      <w:sz w:val="18"/>
      <w:lang w:val="en-GB" w:eastAsia="en-US" w:bidi="ar-SA"/>
    </w:rPr>
  </w:style>
  <w:style w:type="paragraph" w:customStyle="1" w:styleId="Address">
    <w:name w:val="Address"/>
    <w:basedOn w:val="Normal"/>
    <w:rsid w:val="001A4D99"/>
    <w:rPr>
      <w:szCs w:val="20"/>
      <w:lang w:eastAsia="en-US"/>
    </w:rPr>
  </w:style>
  <w:style w:type="paragraph" w:customStyle="1" w:styleId="AddressTL">
    <w:name w:val="AddressTL"/>
    <w:basedOn w:val="Normal"/>
    <w:next w:val="Normal"/>
    <w:rsid w:val="001A4D99"/>
    <w:pPr>
      <w:spacing w:after="720"/>
    </w:pPr>
    <w:rPr>
      <w:szCs w:val="20"/>
      <w:lang w:eastAsia="en-US"/>
    </w:rPr>
  </w:style>
  <w:style w:type="paragraph" w:customStyle="1" w:styleId="AddressTR">
    <w:name w:val="AddressTR"/>
    <w:basedOn w:val="Normal"/>
    <w:next w:val="Normal"/>
    <w:rsid w:val="001A4D99"/>
    <w:pPr>
      <w:spacing w:after="720"/>
      <w:ind w:left="5103"/>
    </w:pPr>
    <w:rPr>
      <w:szCs w:val="20"/>
      <w:lang w:eastAsia="en-US"/>
    </w:rPr>
  </w:style>
  <w:style w:type="paragraph" w:styleId="BlockText">
    <w:name w:val="Block Text"/>
    <w:basedOn w:val="Normal"/>
    <w:rsid w:val="001A4D99"/>
    <w:pPr>
      <w:spacing w:after="120"/>
      <w:ind w:left="1440" w:right="1440"/>
      <w:jc w:val="both"/>
    </w:pPr>
    <w:rPr>
      <w:szCs w:val="20"/>
      <w:lang w:eastAsia="en-US"/>
    </w:rPr>
  </w:style>
  <w:style w:type="paragraph" w:styleId="BodyText">
    <w:name w:val="Body Text"/>
    <w:basedOn w:val="Normal"/>
    <w:link w:val="BodyTextChar"/>
    <w:rsid w:val="001A4D99"/>
    <w:pPr>
      <w:spacing w:after="120"/>
      <w:jc w:val="both"/>
    </w:pPr>
    <w:rPr>
      <w:szCs w:val="20"/>
      <w:lang w:eastAsia="en-US"/>
    </w:rPr>
  </w:style>
  <w:style w:type="character" w:customStyle="1" w:styleId="BodyTextChar">
    <w:name w:val="Body Text Char"/>
    <w:link w:val="BodyText"/>
    <w:semiHidden/>
    <w:locked/>
    <w:rsid w:val="001A4D99"/>
    <w:rPr>
      <w:sz w:val="24"/>
      <w:lang w:val="en-GB" w:eastAsia="en-US" w:bidi="ar-SA"/>
    </w:rPr>
  </w:style>
  <w:style w:type="paragraph" w:styleId="BodyText2">
    <w:name w:val="Body Text 2"/>
    <w:basedOn w:val="Normal"/>
    <w:link w:val="BodyText2Char"/>
    <w:rsid w:val="001A4D99"/>
    <w:pPr>
      <w:spacing w:after="120" w:line="480" w:lineRule="auto"/>
      <w:jc w:val="both"/>
    </w:pPr>
    <w:rPr>
      <w:szCs w:val="20"/>
      <w:lang w:eastAsia="en-US"/>
    </w:rPr>
  </w:style>
  <w:style w:type="character" w:customStyle="1" w:styleId="BodyText2Char">
    <w:name w:val="Body Text 2 Char"/>
    <w:link w:val="BodyText2"/>
    <w:semiHidden/>
    <w:locked/>
    <w:rsid w:val="001A4D99"/>
    <w:rPr>
      <w:sz w:val="24"/>
      <w:lang w:val="en-GB" w:eastAsia="en-US" w:bidi="ar-SA"/>
    </w:rPr>
  </w:style>
  <w:style w:type="paragraph" w:styleId="BodyText3">
    <w:name w:val="Body Text 3"/>
    <w:basedOn w:val="Normal"/>
    <w:link w:val="BodyText3Char"/>
    <w:rsid w:val="001A4D99"/>
    <w:pPr>
      <w:spacing w:after="120"/>
      <w:jc w:val="both"/>
    </w:pPr>
    <w:rPr>
      <w:sz w:val="16"/>
      <w:szCs w:val="20"/>
      <w:lang w:eastAsia="en-US"/>
    </w:rPr>
  </w:style>
  <w:style w:type="character" w:customStyle="1" w:styleId="BodyText3Char">
    <w:name w:val="Body Text 3 Char"/>
    <w:link w:val="BodyText3"/>
    <w:semiHidden/>
    <w:locked/>
    <w:rsid w:val="001A4D99"/>
    <w:rPr>
      <w:sz w:val="16"/>
      <w:lang w:val="en-GB" w:eastAsia="en-US" w:bidi="ar-SA"/>
    </w:rPr>
  </w:style>
  <w:style w:type="paragraph" w:styleId="BodyTextFirstIndent">
    <w:name w:val="Body Text First Indent"/>
    <w:basedOn w:val="BodyText"/>
    <w:link w:val="BodyTextFirstIndentChar"/>
    <w:rsid w:val="001A4D99"/>
    <w:pPr>
      <w:ind w:firstLine="210"/>
    </w:pPr>
  </w:style>
  <w:style w:type="character" w:customStyle="1" w:styleId="BodyTextFirstIndentChar">
    <w:name w:val="Body Text First Indent Char"/>
    <w:basedOn w:val="BodyTextChar"/>
    <w:link w:val="BodyTextFirstIndent"/>
    <w:semiHidden/>
    <w:locked/>
    <w:rsid w:val="001A4D99"/>
    <w:rPr>
      <w:sz w:val="24"/>
      <w:lang w:val="en-GB" w:eastAsia="en-US" w:bidi="ar-SA"/>
    </w:rPr>
  </w:style>
  <w:style w:type="paragraph" w:styleId="BodyTextIndent">
    <w:name w:val="Body Text Indent"/>
    <w:basedOn w:val="Normal"/>
    <w:link w:val="BodyTextIndentChar"/>
    <w:rsid w:val="001A4D99"/>
    <w:pPr>
      <w:spacing w:after="120"/>
      <w:ind w:left="283"/>
      <w:jc w:val="both"/>
    </w:pPr>
    <w:rPr>
      <w:szCs w:val="20"/>
      <w:lang w:eastAsia="en-US"/>
    </w:rPr>
  </w:style>
  <w:style w:type="character" w:customStyle="1" w:styleId="BodyTextIndentChar">
    <w:name w:val="Body Text Indent Char"/>
    <w:link w:val="BodyTextIndent"/>
    <w:semiHidden/>
    <w:locked/>
    <w:rsid w:val="001A4D99"/>
    <w:rPr>
      <w:sz w:val="24"/>
      <w:lang w:val="en-GB" w:eastAsia="en-US" w:bidi="ar-SA"/>
    </w:rPr>
  </w:style>
  <w:style w:type="paragraph" w:styleId="BodyTextFirstIndent2">
    <w:name w:val="Body Text First Indent 2"/>
    <w:basedOn w:val="BodyTextIndent"/>
    <w:link w:val="BodyTextFirstIndent2Char"/>
    <w:rsid w:val="001A4D99"/>
    <w:pPr>
      <w:ind w:firstLine="210"/>
    </w:pPr>
  </w:style>
  <w:style w:type="character" w:customStyle="1" w:styleId="BodyTextFirstIndent2Char">
    <w:name w:val="Body Text First Indent 2 Char"/>
    <w:basedOn w:val="BodyTextIndentChar"/>
    <w:link w:val="BodyTextFirstIndent2"/>
    <w:semiHidden/>
    <w:locked/>
    <w:rsid w:val="001A4D99"/>
    <w:rPr>
      <w:sz w:val="24"/>
      <w:lang w:val="en-GB" w:eastAsia="en-US" w:bidi="ar-SA"/>
    </w:rPr>
  </w:style>
  <w:style w:type="paragraph" w:styleId="BodyTextIndent2">
    <w:name w:val="Body Text Indent 2"/>
    <w:basedOn w:val="Normal"/>
    <w:link w:val="BodyTextIndent2Char"/>
    <w:rsid w:val="001A4D99"/>
    <w:pPr>
      <w:spacing w:after="120" w:line="480" w:lineRule="auto"/>
      <w:ind w:left="283"/>
      <w:jc w:val="both"/>
    </w:pPr>
    <w:rPr>
      <w:szCs w:val="20"/>
      <w:lang w:eastAsia="en-US"/>
    </w:rPr>
  </w:style>
  <w:style w:type="character" w:customStyle="1" w:styleId="BodyTextIndent2Char">
    <w:name w:val="Body Text Indent 2 Char"/>
    <w:link w:val="BodyTextIndent2"/>
    <w:semiHidden/>
    <w:locked/>
    <w:rsid w:val="001A4D99"/>
    <w:rPr>
      <w:sz w:val="24"/>
      <w:lang w:val="en-GB" w:eastAsia="en-US" w:bidi="ar-SA"/>
    </w:rPr>
  </w:style>
  <w:style w:type="paragraph" w:styleId="BodyTextIndent3">
    <w:name w:val="Body Text Indent 3"/>
    <w:basedOn w:val="Normal"/>
    <w:link w:val="BodyTextIndent3Char"/>
    <w:rsid w:val="001A4D99"/>
    <w:pPr>
      <w:spacing w:after="120"/>
      <w:ind w:left="283"/>
      <w:jc w:val="both"/>
    </w:pPr>
    <w:rPr>
      <w:sz w:val="16"/>
      <w:szCs w:val="20"/>
      <w:lang w:eastAsia="en-US"/>
    </w:rPr>
  </w:style>
  <w:style w:type="character" w:customStyle="1" w:styleId="BodyTextIndent3Char">
    <w:name w:val="Body Text Indent 3 Char"/>
    <w:link w:val="BodyTextIndent3"/>
    <w:semiHidden/>
    <w:locked/>
    <w:rsid w:val="001A4D99"/>
    <w:rPr>
      <w:sz w:val="16"/>
      <w:lang w:val="en-GB" w:eastAsia="en-US" w:bidi="ar-SA"/>
    </w:rPr>
  </w:style>
  <w:style w:type="paragraph" w:styleId="Caption">
    <w:name w:val="caption"/>
    <w:basedOn w:val="Normal"/>
    <w:next w:val="Normal"/>
    <w:qFormat/>
    <w:rsid w:val="001A4D99"/>
    <w:pPr>
      <w:spacing w:before="120" w:after="120"/>
      <w:jc w:val="both"/>
    </w:pPr>
    <w:rPr>
      <w:b/>
      <w:szCs w:val="20"/>
      <w:lang w:eastAsia="en-US"/>
    </w:rPr>
  </w:style>
  <w:style w:type="paragraph" w:styleId="Closing">
    <w:name w:val="Closing"/>
    <w:basedOn w:val="Normal"/>
    <w:next w:val="Signature"/>
    <w:link w:val="ClosingChar"/>
    <w:rsid w:val="001A4D99"/>
    <w:pPr>
      <w:tabs>
        <w:tab w:val="left" w:pos="5103"/>
      </w:tabs>
      <w:spacing w:before="240" w:after="240"/>
      <w:ind w:left="5103"/>
    </w:pPr>
    <w:rPr>
      <w:szCs w:val="20"/>
      <w:lang w:eastAsia="en-US"/>
    </w:rPr>
  </w:style>
  <w:style w:type="paragraph" w:styleId="Signature">
    <w:name w:val="Signature"/>
    <w:basedOn w:val="Normal"/>
    <w:next w:val="Contact"/>
    <w:link w:val="SignatureChar"/>
    <w:rsid w:val="001A4D99"/>
    <w:pPr>
      <w:tabs>
        <w:tab w:val="left" w:pos="5103"/>
      </w:tabs>
      <w:spacing w:before="1200"/>
      <w:ind w:left="5103"/>
      <w:jc w:val="center"/>
    </w:pPr>
    <w:rPr>
      <w:szCs w:val="20"/>
      <w:lang w:eastAsia="en-US"/>
    </w:rPr>
  </w:style>
  <w:style w:type="paragraph" w:customStyle="1" w:styleId="Contact">
    <w:name w:val="Contact"/>
    <w:basedOn w:val="Normal"/>
    <w:next w:val="Enclosures"/>
    <w:rsid w:val="001A4D99"/>
    <w:pPr>
      <w:spacing w:before="480"/>
      <w:ind w:left="567" w:hanging="567"/>
    </w:pPr>
    <w:rPr>
      <w:szCs w:val="20"/>
      <w:lang w:eastAsia="en-US"/>
    </w:rPr>
  </w:style>
  <w:style w:type="paragraph" w:customStyle="1" w:styleId="Enclosures">
    <w:name w:val="Enclosures"/>
    <w:basedOn w:val="Normal"/>
    <w:next w:val="Participants"/>
    <w:rsid w:val="001A4D99"/>
    <w:pPr>
      <w:keepNext/>
      <w:keepLines/>
      <w:tabs>
        <w:tab w:val="left" w:pos="5670"/>
      </w:tabs>
      <w:spacing w:before="480"/>
      <w:ind w:left="1985" w:hanging="1985"/>
    </w:pPr>
    <w:rPr>
      <w:szCs w:val="20"/>
      <w:lang w:eastAsia="en-US"/>
    </w:rPr>
  </w:style>
  <w:style w:type="paragraph" w:customStyle="1" w:styleId="Participants">
    <w:name w:val="Participants"/>
    <w:basedOn w:val="Normal"/>
    <w:next w:val="Copies"/>
    <w:rsid w:val="001A4D99"/>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Copies">
    <w:name w:val="Copies"/>
    <w:basedOn w:val="Normal"/>
    <w:next w:val="Normal"/>
    <w:rsid w:val="001A4D99"/>
    <w:pPr>
      <w:tabs>
        <w:tab w:val="left" w:pos="2552"/>
        <w:tab w:val="left" w:pos="2835"/>
        <w:tab w:val="left" w:pos="5670"/>
        <w:tab w:val="left" w:pos="6379"/>
        <w:tab w:val="left" w:pos="6804"/>
      </w:tabs>
      <w:spacing w:before="480"/>
      <w:ind w:left="1985" w:hanging="1985"/>
    </w:pPr>
    <w:rPr>
      <w:szCs w:val="20"/>
      <w:lang w:eastAsia="en-US"/>
    </w:rPr>
  </w:style>
  <w:style w:type="character" w:customStyle="1" w:styleId="SignatureChar">
    <w:name w:val="Signature Char"/>
    <w:link w:val="Signature"/>
    <w:semiHidden/>
    <w:locked/>
    <w:rsid w:val="001A4D99"/>
    <w:rPr>
      <w:sz w:val="24"/>
      <w:lang w:val="en-GB" w:eastAsia="en-US" w:bidi="ar-SA"/>
    </w:rPr>
  </w:style>
  <w:style w:type="character" w:customStyle="1" w:styleId="ClosingChar">
    <w:name w:val="Closing Char"/>
    <w:link w:val="Closing"/>
    <w:semiHidden/>
    <w:locked/>
    <w:rsid w:val="001A4D99"/>
    <w:rPr>
      <w:sz w:val="24"/>
      <w:lang w:val="en-GB" w:eastAsia="en-US" w:bidi="ar-SA"/>
    </w:rPr>
  </w:style>
  <w:style w:type="paragraph" w:styleId="CommentText">
    <w:name w:val="annotation text"/>
    <w:basedOn w:val="Normal"/>
    <w:link w:val="CommentTextChar"/>
    <w:semiHidden/>
    <w:rsid w:val="001A4D99"/>
    <w:pPr>
      <w:spacing w:after="240"/>
      <w:jc w:val="both"/>
    </w:pPr>
    <w:rPr>
      <w:sz w:val="20"/>
      <w:szCs w:val="20"/>
      <w:lang w:eastAsia="en-US"/>
    </w:rPr>
  </w:style>
  <w:style w:type="character" w:customStyle="1" w:styleId="CommentTextChar">
    <w:name w:val="Comment Text Char"/>
    <w:link w:val="CommentText"/>
    <w:semiHidden/>
    <w:locked/>
    <w:rsid w:val="001A4D99"/>
    <w:rPr>
      <w:lang w:val="en-GB" w:eastAsia="en-US" w:bidi="ar-SA"/>
    </w:rPr>
  </w:style>
  <w:style w:type="paragraph" w:styleId="Date">
    <w:name w:val="Date"/>
    <w:basedOn w:val="Normal"/>
    <w:next w:val="References"/>
    <w:link w:val="DateChar"/>
    <w:rsid w:val="001A4D99"/>
    <w:pPr>
      <w:ind w:left="5103" w:right="-567"/>
    </w:pPr>
    <w:rPr>
      <w:szCs w:val="20"/>
      <w:lang w:eastAsia="en-US"/>
    </w:rPr>
  </w:style>
  <w:style w:type="paragraph" w:customStyle="1" w:styleId="References">
    <w:name w:val="References"/>
    <w:basedOn w:val="Normal"/>
    <w:next w:val="AddressTR"/>
    <w:rsid w:val="001A4D99"/>
    <w:pPr>
      <w:spacing w:after="240"/>
      <w:ind w:left="5103"/>
    </w:pPr>
    <w:rPr>
      <w:sz w:val="20"/>
      <w:szCs w:val="20"/>
      <w:lang w:eastAsia="en-US"/>
    </w:rPr>
  </w:style>
  <w:style w:type="character" w:customStyle="1" w:styleId="DateChar">
    <w:name w:val="Date Char"/>
    <w:link w:val="Date"/>
    <w:semiHidden/>
    <w:locked/>
    <w:rsid w:val="001A4D99"/>
    <w:rPr>
      <w:sz w:val="24"/>
      <w:lang w:val="en-GB" w:eastAsia="en-US" w:bidi="ar-SA"/>
    </w:rPr>
  </w:style>
  <w:style w:type="paragraph" w:styleId="DocumentMap">
    <w:name w:val="Document Map"/>
    <w:basedOn w:val="Normal"/>
    <w:link w:val="DocumentMapChar"/>
    <w:semiHidden/>
    <w:rsid w:val="001A4D99"/>
    <w:pPr>
      <w:shd w:val="clear" w:color="auto" w:fill="000080"/>
      <w:spacing w:after="240"/>
      <w:jc w:val="both"/>
    </w:pPr>
    <w:rPr>
      <w:rFonts w:ascii="Tahoma" w:hAnsi="Tahoma"/>
      <w:szCs w:val="20"/>
      <w:lang w:eastAsia="en-US"/>
    </w:rPr>
  </w:style>
  <w:style w:type="character" w:customStyle="1" w:styleId="DocumentMapChar">
    <w:name w:val="Document Map Char"/>
    <w:link w:val="DocumentMap"/>
    <w:semiHidden/>
    <w:locked/>
    <w:rsid w:val="001A4D99"/>
    <w:rPr>
      <w:rFonts w:ascii="Tahoma" w:hAnsi="Tahoma"/>
      <w:sz w:val="24"/>
      <w:lang w:val="en-GB" w:eastAsia="en-US" w:bidi="ar-SA"/>
    </w:rPr>
  </w:style>
  <w:style w:type="paragraph" w:customStyle="1" w:styleId="DoubSign">
    <w:name w:val="DoubSign"/>
    <w:basedOn w:val="Normal"/>
    <w:next w:val="Contact"/>
    <w:rsid w:val="001A4D99"/>
    <w:pPr>
      <w:tabs>
        <w:tab w:val="left" w:pos="5103"/>
      </w:tabs>
      <w:spacing w:before="1200"/>
    </w:pPr>
    <w:rPr>
      <w:szCs w:val="20"/>
      <w:lang w:eastAsia="en-US"/>
    </w:rPr>
  </w:style>
  <w:style w:type="paragraph" w:styleId="EndnoteText">
    <w:name w:val="endnote text"/>
    <w:basedOn w:val="Normal"/>
    <w:link w:val="EndnoteTextChar"/>
    <w:semiHidden/>
    <w:rsid w:val="001A4D99"/>
    <w:pPr>
      <w:spacing w:after="240"/>
      <w:jc w:val="both"/>
    </w:pPr>
    <w:rPr>
      <w:sz w:val="20"/>
      <w:szCs w:val="20"/>
      <w:lang w:eastAsia="en-US"/>
    </w:rPr>
  </w:style>
  <w:style w:type="character" w:customStyle="1" w:styleId="EndnoteTextChar">
    <w:name w:val="Endnote Text Char"/>
    <w:link w:val="EndnoteText"/>
    <w:semiHidden/>
    <w:locked/>
    <w:rsid w:val="001A4D99"/>
    <w:rPr>
      <w:lang w:val="en-GB" w:eastAsia="en-US" w:bidi="ar-SA"/>
    </w:rPr>
  </w:style>
  <w:style w:type="paragraph" w:styleId="EnvelopeAddress">
    <w:name w:val="envelope address"/>
    <w:basedOn w:val="Normal"/>
    <w:rsid w:val="001A4D99"/>
    <w:pPr>
      <w:framePr w:w="7920" w:h="1980" w:hRule="exact" w:hSpace="180" w:wrap="auto" w:hAnchor="page" w:xAlign="center" w:yAlign="bottom"/>
      <w:jc w:val="both"/>
    </w:pPr>
    <w:rPr>
      <w:szCs w:val="20"/>
      <w:lang w:eastAsia="en-US"/>
    </w:rPr>
  </w:style>
  <w:style w:type="paragraph" w:styleId="EnvelopeReturn">
    <w:name w:val="envelope return"/>
    <w:basedOn w:val="Normal"/>
    <w:rsid w:val="001A4D99"/>
    <w:pPr>
      <w:jc w:val="both"/>
    </w:pPr>
    <w:rPr>
      <w:sz w:val="20"/>
      <w:szCs w:val="20"/>
      <w:lang w:eastAsia="en-US"/>
    </w:rPr>
  </w:style>
  <w:style w:type="paragraph" w:styleId="Footer">
    <w:name w:val="footer"/>
    <w:basedOn w:val="Normal"/>
    <w:link w:val="FooterChar"/>
    <w:uiPriority w:val="99"/>
    <w:rsid w:val="001A4D99"/>
    <w:pPr>
      <w:ind w:right="-567"/>
    </w:pPr>
    <w:rPr>
      <w:rFonts w:ascii="Arial" w:hAnsi="Arial"/>
      <w:sz w:val="16"/>
      <w:szCs w:val="20"/>
      <w:lang w:eastAsia="en-US"/>
    </w:rPr>
  </w:style>
  <w:style w:type="character" w:customStyle="1" w:styleId="FooterChar">
    <w:name w:val="Footer Char"/>
    <w:link w:val="Footer"/>
    <w:uiPriority w:val="99"/>
    <w:locked/>
    <w:rsid w:val="001A4D99"/>
    <w:rPr>
      <w:rFonts w:ascii="Arial" w:hAnsi="Arial"/>
      <w:sz w:val="16"/>
      <w:lang w:val="en-GB" w:eastAsia="en-US" w:bidi="ar-SA"/>
    </w:rPr>
  </w:style>
  <w:style w:type="paragraph" w:styleId="FootnoteText">
    <w:name w:val="footnote text"/>
    <w:aliases w:val="Footnote Text Char,Footnote Text Char1 Char,Footnote Text Char Char Char,Footnote Text Char1 Char Char Char,Footnote Text Char Char Char Char Char,Footnote Text Char1 Char1 Char,Footnote Text Char Char Char1 Char"/>
    <w:basedOn w:val="Normal"/>
    <w:link w:val="FootnoteTextChar1"/>
    <w:semiHidden/>
    <w:rsid w:val="001A4D99"/>
    <w:pPr>
      <w:spacing w:after="240"/>
      <w:ind w:left="357" w:hanging="357"/>
      <w:jc w:val="both"/>
    </w:pPr>
    <w:rPr>
      <w:sz w:val="20"/>
      <w:szCs w:val="20"/>
      <w:lang w:eastAsia="en-US"/>
    </w:rPr>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1 Char1 Char Char"/>
    <w:link w:val="FootnoteText"/>
    <w:semiHidden/>
    <w:locked/>
    <w:rsid w:val="001A4D99"/>
    <w:rPr>
      <w:lang w:val="en-GB" w:eastAsia="en-US" w:bidi="ar-SA"/>
    </w:rPr>
  </w:style>
  <w:style w:type="paragraph" w:styleId="Header">
    <w:name w:val="header"/>
    <w:basedOn w:val="Normal"/>
    <w:link w:val="HeaderChar"/>
    <w:rsid w:val="001A4D99"/>
    <w:pPr>
      <w:tabs>
        <w:tab w:val="center" w:pos="4153"/>
        <w:tab w:val="right" w:pos="8306"/>
      </w:tabs>
      <w:spacing w:after="240"/>
      <w:jc w:val="both"/>
    </w:pPr>
    <w:rPr>
      <w:szCs w:val="20"/>
      <w:lang w:eastAsia="en-US"/>
    </w:rPr>
  </w:style>
  <w:style w:type="character" w:customStyle="1" w:styleId="HeaderChar">
    <w:name w:val="Header Char"/>
    <w:link w:val="Header"/>
    <w:semiHidden/>
    <w:locked/>
    <w:rsid w:val="001A4D99"/>
    <w:rPr>
      <w:sz w:val="24"/>
      <w:lang w:val="en-GB" w:eastAsia="en-US" w:bidi="ar-SA"/>
    </w:rPr>
  </w:style>
  <w:style w:type="paragraph" w:styleId="Index1">
    <w:name w:val="index 1"/>
    <w:basedOn w:val="Normal"/>
    <w:next w:val="Normal"/>
    <w:autoRedefine/>
    <w:semiHidden/>
    <w:rsid w:val="001A4D99"/>
    <w:pPr>
      <w:spacing w:after="240"/>
      <w:ind w:left="240" w:hanging="240"/>
      <w:jc w:val="both"/>
    </w:pPr>
    <w:rPr>
      <w:szCs w:val="20"/>
      <w:lang w:eastAsia="en-US"/>
    </w:rPr>
  </w:style>
  <w:style w:type="paragraph" w:styleId="Index2">
    <w:name w:val="index 2"/>
    <w:basedOn w:val="Normal"/>
    <w:next w:val="Normal"/>
    <w:autoRedefine/>
    <w:semiHidden/>
    <w:rsid w:val="001A4D99"/>
    <w:pPr>
      <w:spacing w:after="240"/>
      <w:ind w:left="480" w:hanging="240"/>
      <w:jc w:val="both"/>
    </w:pPr>
    <w:rPr>
      <w:szCs w:val="20"/>
      <w:lang w:eastAsia="en-US"/>
    </w:rPr>
  </w:style>
  <w:style w:type="paragraph" w:styleId="List">
    <w:name w:val="List"/>
    <w:basedOn w:val="Normal"/>
    <w:rsid w:val="001A4D99"/>
    <w:pPr>
      <w:spacing w:after="240"/>
      <w:ind w:left="283" w:hanging="283"/>
      <w:jc w:val="both"/>
    </w:pPr>
    <w:rPr>
      <w:szCs w:val="20"/>
      <w:lang w:eastAsia="en-US"/>
    </w:rPr>
  </w:style>
  <w:style w:type="paragraph" w:styleId="List2">
    <w:name w:val="List 2"/>
    <w:basedOn w:val="Normal"/>
    <w:rsid w:val="001A4D99"/>
    <w:pPr>
      <w:spacing w:after="240"/>
      <w:ind w:left="566" w:hanging="283"/>
      <w:jc w:val="both"/>
    </w:pPr>
    <w:rPr>
      <w:szCs w:val="20"/>
      <w:lang w:eastAsia="en-US"/>
    </w:rPr>
  </w:style>
  <w:style w:type="paragraph" w:styleId="List3">
    <w:name w:val="List 3"/>
    <w:basedOn w:val="Normal"/>
    <w:rsid w:val="001A4D99"/>
    <w:pPr>
      <w:spacing w:after="240"/>
      <w:ind w:left="849" w:hanging="283"/>
      <w:jc w:val="both"/>
    </w:pPr>
    <w:rPr>
      <w:szCs w:val="20"/>
      <w:lang w:eastAsia="en-US"/>
    </w:rPr>
  </w:style>
  <w:style w:type="paragraph" w:styleId="List4">
    <w:name w:val="List 4"/>
    <w:basedOn w:val="Normal"/>
    <w:rsid w:val="001A4D99"/>
    <w:pPr>
      <w:spacing w:after="240"/>
      <w:ind w:left="1132" w:hanging="283"/>
      <w:jc w:val="both"/>
    </w:pPr>
    <w:rPr>
      <w:szCs w:val="20"/>
      <w:lang w:eastAsia="en-US"/>
    </w:rPr>
  </w:style>
  <w:style w:type="paragraph" w:styleId="List5">
    <w:name w:val="List 5"/>
    <w:basedOn w:val="Normal"/>
    <w:rsid w:val="001A4D99"/>
    <w:pPr>
      <w:spacing w:after="240"/>
      <w:ind w:left="1415" w:hanging="283"/>
      <w:jc w:val="both"/>
    </w:pPr>
    <w:rPr>
      <w:szCs w:val="20"/>
      <w:lang w:eastAsia="en-US"/>
    </w:rPr>
  </w:style>
  <w:style w:type="paragraph" w:styleId="ListBullet">
    <w:name w:val="List Bullet"/>
    <w:basedOn w:val="Normal"/>
    <w:rsid w:val="001A4D99"/>
    <w:pPr>
      <w:numPr>
        <w:numId w:val="3"/>
      </w:numPr>
      <w:tabs>
        <w:tab w:val="clear" w:pos="926"/>
        <w:tab w:val="num" w:pos="283"/>
      </w:tabs>
      <w:spacing w:after="240"/>
      <w:ind w:left="283" w:hanging="283"/>
      <w:jc w:val="both"/>
    </w:pPr>
    <w:rPr>
      <w:szCs w:val="20"/>
      <w:lang w:eastAsia="en-US"/>
    </w:rPr>
  </w:style>
  <w:style w:type="paragraph" w:styleId="ListBullet2">
    <w:name w:val="List Bullet 2"/>
    <w:basedOn w:val="Text2"/>
    <w:rsid w:val="001A4D99"/>
    <w:pPr>
      <w:numPr>
        <w:numId w:val="5"/>
      </w:numPr>
      <w:tabs>
        <w:tab w:val="clear" w:pos="1492"/>
        <w:tab w:val="clear" w:pos="2160"/>
        <w:tab w:val="num" w:pos="1360"/>
      </w:tabs>
      <w:ind w:left="1360" w:hanging="283"/>
    </w:pPr>
  </w:style>
  <w:style w:type="paragraph" w:styleId="ListBullet3">
    <w:name w:val="List Bullet 3"/>
    <w:basedOn w:val="Text3"/>
    <w:rsid w:val="001A4D99"/>
    <w:pPr>
      <w:numPr>
        <w:numId w:val="6"/>
      </w:numPr>
      <w:tabs>
        <w:tab w:val="clear" w:pos="360"/>
        <w:tab w:val="clear" w:pos="2302"/>
        <w:tab w:val="num" w:pos="2199"/>
      </w:tabs>
      <w:ind w:left="2199" w:hanging="283"/>
    </w:pPr>
  </w:style>
  <w:style w:type="paragraph" w:styleId="ListBullet4">
    <w:name w:val="List Bullet 4"/>
    <w:basedOn w:val="Text4"/>
    <w:rsid w:val="001A4D99"/>
    <w:pPr>
      <w:numPr>
        <w:numId w:val="7"/>
      </w:numPr>
      <w:tabs>
        <w:tab w:val="clear" w:pos="643"/>
        <w:tab w:val="num" w:pos="3163"/>
      </w:tabs>
      <w:ind w:left="3163" w:hanging="283"/>
    </w:pPr>
  </w:style>
  <w:style w:type="paragraph" w:styleId="ListBullet5">
    <w:name w:val="List Bullet 5"/>
    <w:basedOn w:val="Normal"/>
    <w:autoRedefine/>
    <w:rsid w:val="001A4D99"/>
    <w:pPr>
      <w:numPr>
        <w:numId w:val="1"/>
      </w:numPr>
      <w:tabs>
        <w:tab w:val="clear" w:pos="360"/>
        <w:tab w:val="num" w:pos="1492"/>
      </w:tabs>
      <w:spacing w:after="240"/>
      <w:ind w:left="1492"/>
      <w:jc w:val="both"/>
    </w:pPr>
    <w:rPr>
      <w:szCs w:val="20"/>
      <w:lang w:eastAsia="en-US"/>
    </w:rPr>
  </w:style>
  <w:style w:type="paragraph" w:styleId="ListContinue">
    <w:name w:val="List Continue"/>
    <w:basedOn w:val="Normal"/>
    <w:rsid w:val="001A4D99"/>
    <w:pPr>
      <w:spacing w:after="120"/>
      <w:ind w:left="283"/>
      <w:jc w:val="both"/>
    </w:pPr>
    <w:rPr>
      <w:szCs w:val="20"/>
      <w:lang w:eastAsia="en-US"/>
    </w:rPr>
  </w:style>
  <w:style w:type="paragraph" w:styleId="ListContinue2">
    <w:name w:val="List Continue 2"/>
    <w:basedOn w:val="Normal"/>
    <w:rsid w:val="001A4D99"/>
    <w:pPr>
      <w:spacing w:after="120"/>
      <w:ind w:left="566"/>
      <w:jc w:val="both"/>
    </w:pPr>
    <w:rPr>
      <w:szCs w:val="20"/>
      <w:lang w:eastAsia="en-US"/>
    </w:rPr>
  </w:style>
  <w:style w:type="paragraph" w:styleId="ListContinue3">
    <w:name w:val="List Continue 3"/>
    <w:basedOn w:val="Normal"/>
    <w:rsid w:val="001A4D99"/>
    <w:pPr>
      <w:spacing w:after="120"/>
      <w:ind w:left="849"/>
      <w:jc w:val="both"/>
    </w:pPr>
    <w:rPr>
      <w:szCs w:val="20"/>
      <w:lang w:eastAsia="en-US"/>
    </w:rPr>
  </w:style>
  <w:style w:type="paragraph" w:styleId="ListContinue4">
    <w:name w:val="List Continue 4"/>
    <w:basedOn w:val="Normal"/>
    <w:rsid w:val="001A4D99"/>
    <w:pPr>
      <w:spacing w:after="120"/>
      <w:ind w:left="1132"/>
      <w:jc w:val="both"/>
    </w:pPr>
    <w:rPr>
      <w:szCs w:val="20"/>
      <w:lang w:eastAsia="en-US"/>
    </w:rPr>
  </w:style>
  <w:style w:type="paragraph" w:styleId="ListContinue5">
    <w:name w:val="List Continue 5"/>
    <w:basedOn w:val="Normal"/>
    <w:rsid w:val="001A4D99"/>
    <w:pPr>
      <w:spacing w:after="120"/>
      <w:ind w:left="1415"/>
      <w:jc w:val="both"/>
    </w:pPr>
    <w:rPr>
      <w:szCs w:val="20"/>
      <w:lang w:eastAsia="en-US"/>
    </w:rPr>
  </w:style>
  <w:style w:type="paragraph" w:styleId="ListNumber">
    <w:name w:val="List Number"/>
    <w:basedOn w:val="Normal"/>
    <w:rsid w:val="001A4D99"/>
    <w:pPr>
      <w:numPr>
        <w:numId w:val="13"/>
      </w:numPr>
      <w:tabs>
        <w:tab w:val="num" w:pos="709"/>
      </w:tabs>
      <w:spacing w:after="240"/>
      <w:ind w:left="709" w:hanging="709"/>
      <w:jc w:val="both"/>
    </w:pPr>
    <w:rPr>
      <w:szCs w:val="20"/>
      <w:lang w:eastAsia="en-US"/>
    </w:rPr>
  </w:style>
  <w:style w:type="paragraph" w:styleId="ListNumber2">
    <w:name w:val="List Number 2"/>
    <w:basedOn w:val="Text2"/>
    <w:rsid w:val="001A4D99"/>
    <w:pPr>
      <w:numPr>
        <w:numId w:val="15"/>
      </w:numPr>
      <w:tabs>
        <w:tab w:val="clear" w:pos="2160"/>
        <w:tab w:val="num" w:pos="1786"/>
      </w:tabs>
      <w:ind w:left="1786" w:hanging="709"/>
    </w:pPr>
  </w:style>
  <w:style w:type="paragraph" w:styleId="ListNumber3">
    <w:name w:val="List Number 3"/>
    <w:basedOn w:val="Text3"/>
    <w:rsid w:val="001A4D99"/>
    <w:pPr>
      <w:numPr>
        <w:numId w:val="16"/>
      </w:numPr>
      <w:tabs>
        <w:tab w:val="clear" w:pos="2302"/>
        <w:tab w:val="num" w:pos="2625"/>
      </w:tabs>
      <w:ind w:left="2625" w:hanging="709"/>
    </w:pPr>
  </w:style>
  <w:style w:type="paragraph" w:styleId="ListNumber4">
    <w:name w:val="List Number 4"/>
    <w:basedOn w:val="Text4"/>
    <w:rsid w:val="001A4D99"/>
    <w:pPr>
      <w:numPr>
        <w:numId w:val="17"/>
      </w:numPr>
      <w:tabs>
        <w:tab w:val="num" w:pos="3589"/>
      </w:tabs>
      <w:ind w:left="3589" w:hanging="709"/>
    </w:pPr>
  </w:style>
  <w:style w:type="paragraph" w:styleId="ListNumber5">
    <w:name w:val="List Number 5"/>
    <w:basedOn w:val="Normal"/>
    <w:rsid w:val="001A4D99"/>
    <w:pPr>
      <w:numPr>
        <w:numId w:val="2"/>
      </w:numPr>
      <w:tabs>
        <w:tab w:val="clear" w:pos="643"/>
        <w:tab w:val="num" w:pos="1492"/>
      </w:tabs>
      <w:spacing w:after="240"/>
      <w:ind w:left="1492"/>
      <w:jc w:val="both"/>
    </w:pPr>
    <w:rPr>
      <w:szCs w:val="20"/>
      <w:lang w:eastAsia="en-US"/>
    </w:rPr>
  </w:style>
  <w:style w:type="paragraph" w:styleId="MacroText">
    <w:name w:val="macro"/>
    <w:link w:val="MacroTextChar"/>
    <w:semiHidden/>
    <w:rsid w:val="001A4D9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link w:val="MacroText"/>
    <w:semiHidden/>
    <w:locked/>
    <w:rsid w:val="001A4D99"/>
    <w:rPr>
      <w:rFonts w:ascii="Courier New" w:hAnsi="Courier New"/>
      <w:lang w:val="en-GB" w:eastAsia="en-US" w:bidi="ar-SA"/>
    </w:rPr>
  </w:style>
  <w:style w:type="paragraph" w:styleId="MessageHeader">
    <w:name w:val="Message Header"/>
    <w:basedOn w:val="Normal"/>
    <w:link w:val="MessageHeaderChar"/>
    <w:rsid w:val="001A4D99"/>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eastAsia="en-US"/>
    </w:rPr>
  </w:style>
  <w:style w:type="character" w:customStyle="1" w:styleId="MessageHeaderChar">
    <w:name w:val="Message Header Char"/>
    <w:link w:val="MessageHeader"/>
    <w:semiHidden/>
    <w:locked/>
    <w:rsid w:val="001A4D99"/>
    <w:rPr>
      <w:rFonts w:ascii="Arial" w:hAnsi="Arial"/>
      <w:sz w:val="24"/>
      <w:lang w:val="en-GB" w:eastAsia="en-US" w:bidi="ar-SA"/>
    </w:rPr>
  </w:style>
  <w:style w:type="paragraph" w:styleId="NormalIndent">
    <w:name w:val="Normal Indent"/>
    <w:basedOn w:val="Normal"/>
    <w:rsid w:val="001A4D99"/>
    <w:pPr>
      <w:spacing w:after="240"/>
      <w:ind w:left="720"/>
      <w:jc w:val="both"/>
    </w:pPr>
    <w:rPr>
      <w:szCs w:val="20"/>
      <w:lang w:eastAsia="en-US"/>
    </w:rPr>
  </w:style>
  <w:style w:type="paragraph" w:styleId="NoteHeading">
    <w:name w:val="Note Heading"/>
    <w:basedOn w:val="Normal"/>
    <w:next w:val="Normal"/>
    <w:link w:val="NoteHeadingChar"/>
    <w:rsid w:val="001A4D99"/>
    <w:pPr>
      <w:spacing w:after="240"/>
      <w:jc w:val="both"/>
    </w:pPr>
    <w:rPr>
      <w:szCs w:val="20"/>
      <w:lang w:eastAsia="en-US"/>
    </w:rPr>
  </w:style>
  <w:style w:type="character" w:customStyle="1" w:styleId="NoteHeadingChar">
    <w:name w:val="Note Heading Char"/>
    <w:link w:val="NoteHeading"/>
    <w:semiHidden/>
    <w:locked/>
    <w:rsid w:val="001A4D99"/>
    <w:rPr>
      <w:sz w:val="24"/>
      <w:lang w:val="en-GB" w:eastAsia="en-US" w:bidi="ar-SA"/>
    </w:rPr>
  </w:style>
  <w:style w:type="paragraph" w:customStyle="1" w:styleId="NoteHead">
    <w:name w:val="NoteHead"/>
    <w:basedOn w:val="Normal"/>
    <w:next w:val="Subject"/>
    <w:rsid w:val="001A4D99"/>
    <w:pPr>
      <w:spacing w:before="720" w:after="720"/>
      <w:jc w:val="center"/>
    </w:pPr>
    <w:rPr>
      <w:b/>
      <w:smallCaps/>
      <w:szCs w:val="20"/>
      <w:lang w:eastAsia="en-US"/>
    </w:rPr>
  </w:style>
  <w:style w:type="paragraph" w:customStyle="1" w:styleId="Subject">
    <w:name w:val="Subject"/>
    <w:basedOn w:val="Normal"/>
    <w:next w:val="Normal"/>
    <w:link w:val="SubjectChar"/>
    <w:rsid w:val="001A4D99"/>
    <w:pPr>
      <w:spacing w:after="480"/>
      <w:ind w:left="1531" w:hanging="1531"/>
    </w:pPr>
    <w:rPr>
      <w:b/>
      <w:szCs w:val="20"/>
      <w:lang w:eastAsia="en-US"/>
    </w:rPr>
  </w:style>
  <w:style w:type="character" w:customStyle="1" w:styleId="SubjectChar">
    <w:name w:val="Subject Char"/>
    <w:link w:val="Subject"/>
    <w:locked/>
    <w:rsid w:val="001A4D99"/>
    <w:rPr>
      <w:b/>
      <w:sz w:val="24"/>
      <w:lang w:val="en-GB" w:eastAsia="en-US" w:bidi="ar-SA"/>
    </w:rPr>
  </w:style>
  <w:style w:type="paragraph" w:customStyle="1" w:styleId="NoteList">
    <w:name w:val="NoteList"/>
    <w:basedOn w:val="Normal"/>
    <w:next w:val="Subject"/>
    <w:rsid w:val="001A4D99"/>
    <w:pPr>
      <w:tabs>
        <w:tab w:val="left" w:pos="5823"/>
      </w:tabs>
      <w:spacing w:before="720" w:after="720"/>
      <w:ind w:left="5104" w:hanging="3119"/>
    </w:pPr>
    <w:rPr>
      <w:b/>
      <w:smallCaps/>
      <w:szCs w:val="20"/>
      <w:lang w:eastAsia="en-US"/>
    </w:rPr>
  </w:style>
  <w:style w:type="paragraph" w:customStyle="1" w:styleId="NumPar1">
    <w:name w:val="NumPar 1"/>
    <w:basedOn w:val="Heading1"/>
    <w:next w:val="Text1"/>
    <w:rsid w:val="001A4D99"/>
    <w:pPr>
      <w:keepNext w:val="0"/>
      <w:spacing w:before="0"/>
      <w:outlineLvl w:val="9"/>
    </w:pPr>
    <w:rPr>
      <w:b w:val="0"/>
      <w:smallCaps w:val="0"/>
    </w:rPr>
  </w:style>
  <w:style w:type="paragraph" w:customStyle="1" w:styleId="NumPar2">
    <w:name w:val="NumPar 2"/>
    <w:basedOn w:val="Heading2"/>
    <w:next w:val="Text2"/>
    <w:rsid w:val="001A4D99"/>
    <w:pPr>
      <w:keepNext w:val="0"/>
      <w:outlineLvl w:val="9"/>
    </w:pPr>
    <w:rPr>
      <w:b w:val="0"/>
    </w:rPr>
  </w:style>
  <w:style w:type="paragraph" w:customStyle="1" w:styleId="NumPar3">
    <w:name w:val="NumPar 3"/>
    <w:basedOn w:val="Heading3"/>
    <w:next w:val="Text3"/>
    <w:rsid w:val="001A4D99"/>
    <w:pPr>
      <w:keepNext w:val="0"/>
      <w:outlineLvl w:val="9"/>
    </w:pPr>
    <w:rPr>
      <w:i w:val="0"/>
    </w:rPr>
  </w:style>
  <w:style w:type="paragraph" w:customStyle="1" w:styleId="NumPar4">
    <w:name w:val="NumPar 4"/>
    <w:basedOn w:val="Heading4"/>
    <w:next w:val="Text4"/>
    <w:rsid w:val="001A4D99"/>
    <w:pPr>
      <w:keepNext w:val="0"/>
      <w:outlineLvl w:val="9"/>
    </w:pPr>
  </w:style>
  <w:style w:type="paragraph" w:styleId="PlainText">
    <w:name w:val="Plain Text"/>
    <w:basedOn w:val="Normal"/>
    <w:link w:val="PlainTextChar"/>
    <w:rsid w:val="001A4D99"/>
    <w:pPr>
      <w:spacing w:after="240"/>
      <w:jc w:val="both"/>
    </w:pPr>
    <w:rPr>
      <w:rFonts w:ascii="Courier New" w:hAnsi="Courier New"/>
      <w:sz w:val="20"/>
      <w:szCs w:val="20"/>
      <w:lang w:eastAsia="en-US"/>
    </w:rPr>
  </w:style>
  <w:style w:type="character" w:customStyle="1" w:styleId="PlainTextChar">
    <w:name w:val="Plain Text Char"/>
    <w:link w:val="PlainText"/>
    <w:semiHidden/>
    <w:locked/>
    <w:rsid w:val="001A4D99"/>
    <w:rPr>
      <w:rFonts w:ascii="Courier New" w:hAnsi="Courier New"/>
      <w:lang w:val="en-GB" w:eastAsia="en-US" w:bidi="ar-SA"/>
    </w:rPr>
  </w:style>
  <w:style w:type="paragraph" w:styleId="Salutation">
    <w:name w:val="Salutation"/>
    <w:basedOn w:val="Normal"/>
    <w:next w:val="Normal"/>
    <w:link w:val="SalutationChar"/>
    <w:rsid w:val="001A4D99"/>
    <w:pPr>
      <w:spacing w:after="240"/>
      <w:jc w:val="both"/>
    </w:pPr>
    <w:rPr>
      <w:szCs w:val="20"/>
      <w:lang w:eastAsia="en-US"/>
    </w:rPr>
  </w:style>
  <w:style w:type="character" w:customStyle="1" w:styleId="SalutationChar">
    <w:name w:val="Salutation Char"/>
    <w:link w:val="Salutation"/>
    <w:semiHidden/>
    <w:locked/>
    <w:rsid w:val="001A4D99"/>
    <w:rPr>
      <w:sz w:val="24"/>
      <w:lang w:val="en-GB" w:eastAsia="en-US" w:bidi="ar-SA"/>
    </w:rPr>
  </w:style>
  <w:style w:type="paragraph" w:styleId="Subtitle">
    <w:name w:val="Subtitle"/>
    <w:basedOn w:val="Normal"/>
    <w:link w:val="SubtitleChar"/>
    <w:qFormat/>
    <w:rsid w:val="001A4D99"/>
    <w:pPr>
      <w:spacing w:after="60"/>
      <w:jc w:val="center"/>
      <w:outlineLvl w:val="1"/>
    </w:pPr>
    <w:rPr>
      <w:rFonts w:ascii="Arial" w:hAnsi="Arial"/>
      <w:szCs w:val="20"/>
      <w:lang w:eastAsia="en-US"/>
    </w:rPr>
  </w:style>
  <w:style w:type="character" w:customStyle="1" w:styleId="SubtitleChar">
    <w:name w:val="Subtitle Char"/>
    <w:link w:val="Subtitle"/>
    <w:locked/>
    <w:rsid w:val="001A4D99"/>
    <w:rPr>
      <w:rFonts w:ascii="Arial" w:hAnsi="Arial"/>
      <w:sz w:val="24"/>
      <w:lang w:val="en-GB" w:eastAsia="en-US" w:bidi="ar-SA"/>
    </w:rPr>
  </w:style>
  <w:style w:type="paragraph" w:styleId="Title">
    <w:name w:val="Title"/>
    <w:basedOn w:val="Normal"/>
    <w:link w:val="TitleChar"/>
    <w:qFormat/>
    <w:rsid w:val="001A4D99"/>
    <w:pPr>
      <w:spacing w:before="240" w:after="60"/>
      <w:jc w:val="center"/>
      <w:outlineLvl w:val="0"/>
    </w:pPr>
    <w:rPr>
      <w:rFonts w:ascii="Arial" w:hAnsi="Arial"/>
      <w:b/>
      <w:kern w:val="28"/>
      <w:sz w:val="32"/>
      <w:szCs w:val="20"/>
      <w:lang w:eastAsia="en-US"/>
    </w:rPr>
  </w:style>
  <w:style w:type="character" w:customStyle="1" w:styleId="TitleChar">
    <w:name w:val="Title Char"/>
    <w:link w:val="Title"/>
    <w:locked/>
    <w:rsid w:val="001A4D99"/>
    <w:rPr>
      <w:rFonts w:ascii="Arial" w:hAnsi="Arial"/>
      <w:b/>
      <w:kern w:val="28"/>
      <w:sz w:val="32"/>
      <w:lang w:val="en-GB" w:eastAsia="en-US" w:bidi="ar-SA"/>
    </w:rPr>
  </w:style>
  <w:style w:type="paragraph" w:customStyle="1" w:styleId="YReferences">
    <w:name w:val="YReferences"/>
    <w:basedOn w:val="Normal"/>
    <w:next w:val="Normal"/>
    <w:rsid w:val="001A4D99"/>
    <w:pPr>
      <w:spacing w:after="480"/>
      <w:ind w:left="1531" w:hanging="1531"/>
      <w:jc w:val="both"/>
    </w:pPr>
    <w:rPr>
      <w:szCs w:val="20"/>
      <w:lang w:eastAsia="en-US"/>
    </w:rPr>
  </w:style>
  <w:style w:type="paragraph" w:customStyle="1" w:styleId="ListBullet1">
    <w:name w:val="List Bullet 1"/>
    <w:basedOn w:val="Text1"/>
    <w:rsid w:val="001A4D99"/>
    <w:pPr>
      <w:numPr>
        <w:numId w:val="4"/>
      </w:numPr>
      <w:tabs>
        <w:tab w:val="clear" w:pos="1209"/>
        <w:tab w:val="num" w:pos="765"/>
      </w:tabs>
      <w:ind w:left="765" w:hanging="283"/>
    </w:pPr>
  </w:style>
  <w:style w:type="paragraph" w:customStyle="1" w:styleId="ListDash">
    <w:name w:val="List Dash"/>
    <w:basedOn w:val="Normal"/>
    <w:rsid w:val="001A4D99"/>
    <w:pPr>
      <w:numPr>
        <w:numId w:val="8"/>
      </w:numPr>
      <w:tabs>
        <w:tab w:val="clear" w:pos="926"/>
        <w:tab w:val="num" w:pos="283"/>
      </w:tabs>
      <w:spacing w:after="240"/>
      <w:ind w:left="283" w:hanging="283"/>
      <w:jc w:val="both"/>
    </w:pPr>
    <w:rPr>
      <w:szCs w:val="20"/>
      <w:lang w:eastAsia="en-US"/>
    </w:rPr>
  </w:style>
  <w:style w:type="paragraph" w:customStyle="1" w:styleId="ListDash1">
    <w:name w:val="List Dash 1"/>
    <w:basedOn w:val="Text1"/>
    <w:rsid w:val="001A4D99"/>
    <w:pPr>
      <w:numPr>
        <w:numId w:val="9"/>
      </w:numPr>
      <w:tabs>
        <w:tab w:val="clear" w:pos="1209"/>
        <w:tab w:val="num" w:pos="765"/>
      </w:tabs>
      <w:ind w:left="765" w:hanging="283"/>
    </w:pPr>
  </w:style>
  <w:style w:type="paragraph" w:customStyle="1" w:styleId="ListDash2">
    <w:name w:val="List Dash 2"/>
    <w:basedOn w:val="Text2"/>
    <w:rsid w:val="001A4D99"/>
    <w:pPr>
      <w:numPr>
        <w:numId w:val="10"/>
      </w:numPr>
      <w:tabs>
        <w:tab w:val="clear" w:pos="1492"/>
        <w:tab w:val="clear" w:pos="2160"/>
        <w:tab w:val="num" w:pos="1360"/>
      </w:tabs>
      <w:ind w:left="1360" w:hanging="283"/>
    </w:pPr>
  </w:style>
  <w:style w:type="paragraph" w:customStyle="1" w:styleId="ListDash3">
    <w:name w:val="List Dash 3"/>
    <w:basedOn w:val="Text3"/>
    <w:rsid w:val="001A4D99"/>
    <w:pPr>
      <w:tabs>
        <w:tab w:val="clear" w:pos="2302"/>
        <w:tab w:val="num" w:pos="480"/>
        <w:tab w:val="num" w:pos="2199"/>
      </w:tabs>
      <w:ind w:left="2199" w:hanging="283"/>
    </w:pPr>
  </w:style>
  <w:style w:type="paragraph" w:customStyle="1" w:styleId="ListDash4">
    <w:name w:val="List Dash 4"/>
    <w:basedOn w:val="Text4"/>
    <w:rsid w:val="001A4D99"/>
    <w:pPr>
      <w:numPr>
        <w:numId w:val="12"/>
      </w:numPr>
      <w:tabs>
        <w:tab w:val="num" w:pos="3163"/>
      </w:tabs>
      <w:ind w:left="3163" w:hanging="283"/>
    </w:pPr>
  </w:style>
  <w:style w:type="paragraph" w:customStyle="1" w:styleId="ListNumberLevel2">
    <w:name w:val="List Number (Level 2)"/>
    <w:basedOn w:val="Normal"/>
    <w:rsid w:val="001A4D99"/>
    <w:pPr>
      <w:numPr>
        <w:ilvl w:val="1"/>
        <w:numId w:val="13"/>
      </w:numPr>
      <w:tabs>
        <w:tab w:val="num" w:pos="1417"/>
      </w:tabs>
      <w:spacing w:after="240"/>
      <w:ind w:left="1417" w:hanging="708"/>
      <w:jc w:val="both"/>
    </w:pPr>
    <w:rPr>
      <w:szCs w:val="20"/>
      <w:lang w:eastAsia="en-US"/>
    </w:rPr>
  </w:style>
  <w:style w:type="paragraph" w:customStyle="1" w:styleId="ListNumberLevel3">
    <w:name w:val="List Number (Level 3)"/>
    <w:basedOn w:val="Normal"/>
    <w:rsid w:val="001A4D99"/>
    <w:pPr>
      <w:numPr>
        <w:ilvl w:val="2"/>
        <w:numId w:val="13"/>
      </w:numPr>
      <w:tabs>
        <w:tab w:val="num" w:pos="2126"/>
      </w:tabs>
      <w:spacing w:after="240"/>
      <w:ind w:left="2126" w:hanging="709"/>
      <w:jc w:val="both"/>
    </w:pPr>
    <w:rPr>
      <w:szCs w:val="20"/>
      <w:lang w:eastAsia="en-US"/>
    </w:rPr>
  </w:style>
  <w:style w:type="paragraph" w:customStyle="1" w:styleId="ListNumberLevel4">
    <w:name w:val="List Number (Level 4)"/>
    <w:basedOn w:val="Normal"/>
    <w:rsid w:val="001A4D99"/>
    <w:pPr>
      <w:numPr>
        <w:ilvl w:val="3"/>
        <w:numId w:val="13"/>
      </w:numPr>
      <w:tabs>
        <w:tab w:val="num" w:pos="2835"/>
      </w:tabs>
      <w:spacing w:after="240"/>
      <w:ind w:left="2835" w:hanging="709"/>
      <w:jc w:val="both"/>
    </w:pPr>
    <w:rPr>
      <w:szCs w:val="20"/>
      <w:lang w:eastAsia="en-US"/>
    </w:rPr>
  </w:style>
  <w:style w:type="paragraph" w:customStyle="1" w:styleId="ListNumber1">
    <w:name w:val="List Number 1"/>
    <w:basedOn w:val="Text1"/>
    <w:rsid w:val="001A4D99"/>
    <w:pPr>
      <w:numPr>
        <w:ilvl w:val="3"/>
        <w:numId w:val="12"/>
      </w:numPr>
      <w:tabs>
        <w:tab w:val="clear" w:pos="3317"/>
        <w:tab w:val="num" w:pos="1191"/>
      </w:tabs>
      <w:ind w:left="1191"/>
    </w:pPr>
  </w:style>
  <w:style w:type="paragraph" w:customStyle="1" w:styleId="ListNumber1Level2">
    <w:name w:val="List Number 1 (Level 2)"/>
    <w:basedOn w:val="Text1"/>
    <w:rsid w:val="001A4D99"/>
    <w:pPr>
      <w:numPr>
        <w:ilvl w:val="1"/>
        <w:numId w:val="14"/>
      </w:numPr>
      <w:tabs>
        <w:tab w:val="num" w:pos="1899"/>
      </w:tabs>
      <w:ind w:left="1899" w:hanging="708"/>
    </w:pPr>
  </w:style>
  <w:style w:type="paragraph" w:customStyle="1" w:styleId="ListNumber1Level3">
    <w:name w:val="List Number 1 (Level 3)"/>
    <w:basedOn w:val="Text1"/>
    <w:rsid w:val="001A4D99"/>
    <w:pPr>
      <w:numPr>
        <w:ilvl w:val="2"/>
        <w:numId w:val="14"/>
      </w:numPr>
      <w:tabs>
        <w:tab w:val="num" w:pos="2608"/>
      </w:tabs>
      <w:ind w:left="2608" w:hanging="709"/>
    </w:pPr>
  </w:style>
  <w:style w:type="paragraph" w:customStyle="1" w:styleId="ListNumber1Level4">
    <w:name w:val="List Number 1 (Level 4)"/>
    <w:basedOn w:val="Text1"/>
    <w:rsid w:val="001A4D99"/>
    <w:pPr>
      <w:numPr>
        <w:ilvl w:val="3"/>
        <w:numId w:val="14"/>
      </w:numPr>
      <w:tabs>
        <w:tab w:val="num" w:pos="3317"/>
      </w:tabs>
      <w:ind w:left="3317" w:hanging="709"/>
    </w:pPr>
  </w:style>
  <w:style w:type="paragraph" w:customStyle="1" w:styleId="ListNumber2Level2">
    <w:name w:val="List Number 2 (Level 2)"/>
    <w:basedOn w:val="Text2"/>
    <w:rsid w:val="001A4D99"/>
    <w:pPr>
      <w:numPr>
        <w:ilvl w:val="1"/>
        <w:numId w:val="15"/>
      </w:numPr>
      <w:tabs>
        <w:tab w:val="clear" w:pos="2160"/>
        <w:tab w:val="num" w:pos="2494"/>
      </w:tabs>
      <w:ind w:left="2494" w:hanging="708"/>
    </w:pPr>
  </w:style>
  <w:style w:type="paragraph" w:customStyle="1" w:styleId="ListNumber2Level3">
    <w:name w:val="List Number 2 (Level 3)"/>
    <w:basedOn w:val="Text2"/>
    <w:rsid w:val="001A4D99"/>
    <w:pPr>
      <w:numPr>
        <w:ilvl w:val="2"/>
        <w:numId w:val="15"/>
      </w:numPr>
      <w:tabs>
        <w:tab w:val="clear" w:pos="2160"/>
        <w:tab w:val="num" w:pos="3203"/>
      </w:tabs>
      <w:ind w:left="3203" w:hanging="709"/>
    </w:pPr>
  </w:style>
  <w:style w:type="paragraph" w:customStyle="1" w:styleId="ListNumber2Level4">
    <w:name w:val="List Number 2 (Level 4)"/>
    <w:basedOn w:val="Text2"/>
    <w:rsid w:val="001A4D99"/>
    <w:pPr>
      <w:numPr>
        <w:ilvl w:val="3"/>
        <w:numId w:val="15"/>
      </w:numPr>
      <w:tabs>
        <w:tab w:val="clear" w:pos="2160"/>
        <w:tab w:val="num" w:pos="3912"/>
      </w:tabs>
      <w:ind w:left="3901" w:hanging="703"/>
    </w:pPr>
  </w:style>
  <w:style w:type="paragraph" w:customStyle="1" w:styleId="ListNumber3Level2">
    <w:name w:val="List Number 3 (Level 2)"/>
    <w:basedOn w:val="Text3"/>
    <w:rsid w:val="001A4D99"/>
    <w:pPr>
      <w:numPr>
        <w:ilvl w:val="1"/>
        <w:numId w:val="16"/>
      </w:numPr>
      <w:tabs>
        <w:tab w:val="clear" w:pos="2302"/>
        <w:tab w:val="num" w:pos="3333"/>
      </w:tabs>
      <w:ind w:left="3333" w:hanging="708"/>
    </w:pPr>
  </w:style>
  <w:style w:type="paragraph" w:customStyle="1" w:styleId="ListNumber3Level3">
    <w:name w:val="List Number 3 (Level 3)"/>
    <w:basedOn w:val="Text3"/>
    <w:rsid w:val="001A4D99"/>
    <w:pPr>
      <w:numPr>
        <w:ilvl w:val="2"/>
        <w:numId w:val="16"/>
      </w:numPr>
      <w:tabs>
        <w:tab w:val="clear" w:pos="2302"/>
        <w:tab w:val="num" w:pos="4042"/>
      </w:tabs>
      <w:ind w:left="4042" w:hanging="709"/>
    </w:pPr>
  </w:style>
  <w:style w:type="paragraph" w:customStyle="1" w:styleId="ListNumber3Level4">
    <w:name w:val="List Number 3 (Level 4)"/>
    <w:basedOn w:val="Text3"/>
    <w:rsid w:val="001A4D99"/>
    <w:pPr>
      <w:numPr>
        <w:ilvl w:val="3"/>
        <w:numId w:val="16"/>
      </w:numPr>
      <w:tabs>
        <w:tab w:val="clear" w:pos="2302"/>
        <w:tab w:val="num" w:pos="4751"/>
      </w:tabs>
      <w:ind w:left="4751" w:hanging="709"/>
    </w:pPr>
  </w:style>
  <w:style w:type="paragraph" w:customStyle="1" w:styleId="ListNumber4Level2">
    <w:name w:val="List Number 4 (Level 2)"/>
    <w:basedOn w:val="Text4"/>
    <w:rsid w:val="001A4D99"/>
    <w:pPr>
      <w:numPr>
        <w:ilvl w:val="1"/>
        <w:numId w:val="17"/>
      </w:numPr>
      <w:tabs>
        <w:tab w:val="num" w:pos="4297"/>
      </w:tabs>
      <w:ind w:left="4297" w:hanging="708"/>
    </w:pPr>
  </w:style>
  <w:style w:type="paragraph" w:customStyle="1" w:styleId="ListNumber4Level3">
    <w:name w:val="List Number 4 (Level 3)"/>
    <w:basedOn w:val="Text4"/>
    <w:rsid w:val="001A4D99"/>
    <w:pPr>
      <w:numPr>
        <w:ilvl w:val="2"/>
        <w:numId w:val="17"/>
      </w:numPr>
      <w:tabs>
        <w:tab w:val="num" w:pos="5006"/>
      </w:tabs>
      <w:ind w:left="5006" w:hanging="709"/>
    </w:pPr>
  </w:style>
  <w:style w:type="paragraph" w:customStyle="1" w:styleId="ListNumber4Level4">
    <w:name w:val="List Number 4 (Level 4)"/>
    <w:basedOn w:val="Text4"/>
    <w:rsid w:val="001A4D99"/>
    <w:pPr>
      <w:numPr>
        <w:ilvl w:val="3"/>
        <w:numId w:val="17"/>
      </w:numPr>
      <w:tabs>
        <w:tab w:val="num" w:pos="5715"/>
      </w:tabs>
      <w:ind w:left="5715" w:hanging="709"/>
    </w:pPr>
  </w:style>
  <w:style w:type="paragraph" w:styleId="TOCHeading">
    <w:name w:val="TOC Heading"/>
    <w:basedOn w:val="Normal"/>
    <w:next w:val="Normal"/>
    <w:qFormat/>
    <w:rsid w:val="001A4D99"/>
    <w:pPr>
      <w:keepNext/>
      <w:spacing w:before="240" w:after="240"/>
      <w:jc w:val="center"/>
    </w:pPr>
    <w:rPr>
      <w:b/>
      <w:szCs w:val="20"/>
      <w:lang w:eastAsia="en-US"/>
    </w:rPr>
  </w:style>
  <w:style w:type="paragraph" w:customStyle="1" w:styleId="DisclaimerNotice">
    <w:name w:val="Disclaimer Notice"/>
    <w:basedOn w:val="Normal"/>
    <w:next w:val="AddressTR"/>
    <w:rsid w:val="001A4D99"/>
    <w:pPr>
      <w:spacing w:after="240"/>
      <w:ind w:left="5103"/>
    </w:pPr>
    <w:rPr>
      <w:i/>
      <w:sz w:val="20"/>
      <w:szCs w:val="20"/>
      <w:lang w:eastAsia="en-US"/>
    </w:rPr>
  </w:style>
  <w:style w:type="paragraph" w:customStyle="1" w:styleId="Disclaimer">
    <w:name w:val="Disclaimer"/>
    <w:basedOn w:val="Normal"/>
    <w:rsid w:val="001A4D99"/>
    <w:pPr>
      <w:keepLines/>
      <w:pBdr>
        <w:top w:val="single" w:sz="4" w:space="1" w:color="auto"/>
      </w:pBdr>
      <w:spacing w:before="480"/>
      <w:jc w:val="both"/>
    </w:pPr>
    <w:rPr>
      <w:i/>
      <w:szCs w:val="20"/>
      <w:lang w:eastAsia="en-US"/>
    </w:rPr>
  </w:style>
  <w:style w:type="character" w:styleId="FollowedHyperlink">
    <w:name w:val="FollowedHyperlink"/>
    <w:rsid w:val="001A4D99"/>
    <w:rPr>
      <w:rFonts w:cs="Times New Roman"/>
      <w:color w:val="800080"/>
      <w:u w:val="single"/>
    </w:rPr>
  </w:style>
  <w:style w:type="paragraph" w:customStyle="1" w:styleId="DisclaimerSJ">
    <w:name w:val="Disclaimer_SJ"/>
    <w:basedOn w:val="Normal"/>
    <w:next w:val="Normal"/>
    <w:rsid w:val="001A4D99"/>
    <w:pPr>
      <w:jc w:val="both"/>
    </w:pPr>
    <w:rPr>
      <w:rFonts w:ascii="Arial" w:hAnsi="Arial"/>
      <w:b/>
      <w:sz w:val="16"/>
      <w:szCs w:val="20"/>
      <w:lang w:eastAsia="en-US"/>
    </w:rPr>
  </w:style>
  <w:style w:type="paragraph" w:customStyle="1" w:styleId="ZCom">
    <w:name w:val="Z_Com"/>
    <w:basedOn w:val="Normal"/>
    <w:next w:val="ZDGName"/>
    <w:rsid w:val="001A4D99"/>
    <w:pPr>
      <w:widowControl w:val="0"/>
      <w:autoSpaceDE w:val="0"/>
      <w:autoSpaceDN w:val="0"/>
      <w:ind w:right="85"/>
      <w:jc w:val="both"/>
    </w:pPr>
    <w:rPr>
      <w:rFonts w:ascii="Arial" w:hAnsi="Arial" w:cs="Arial"/>
    </w:rPr>
  </w:style>
  <w:style w:type="paragraph" w:customStyle="1" w:styleId="ZDGName">
    <w:name w:val="Z_DGName"/>
    <w:basedOn w:val="Normal"/>
    <w:rsid w:val="001A4D99"/>
    <w:pPr>
      <w:widowControl w:val="0"/>
      <w:autoSpaceDE w:val="0"/>
      <w:autoSpaceDN w:val="0"/>
      <w:ind w:right="85"/>
    </w:pPr>
    <w:rPr>
      <w:rFonts w:ascii="Arial" w:hAnsi="Arial" w:cs="Arial"/>
      <w:sz w:val="16"/>
      <w:szCs w:val="16"/>
    </w:rPr>
  </w:style>
  <w:style w:type="paragraph" w:styleId="BalloonText">
    <w:name w:val="Balloon Text"/>
    <w:basedOn w:val="Normal"/>
    <w:link w:val="BalloonTextChar"/>
    <w:semiHidden/>
    <w:rsid w:val="001A4D99"/>
    <w:pPr>
      <w:spacing w:after="240"/>
      <w:jc w:val="both"/>
    </w:pPr>
    <w:rPr>
      <w:rFonts w:ascii="Tahoma" w:hAnsi="Tahoma" w:cs="Tahoma"/>
      <w:sz w:val="16"/>
      <w:szCs w:val="16"/>
      <w:lang w:eastAsia="en-US"/>
    </w:rPr>
  </w:style>
  <w:style w:type="character" w:customStyle="1" w:styleId="BalloonTextChar">
    <w:name w:val="Balloon Text Char"/>
    <w:link w:val="BalloonText"/>
    <w:semiHidden/>
    <w:locked/>
    <w:rsid w:val="001A4D99"/>
    <w:rPr>
      <w:rFonts w:ascii="Tahoma" w:hAnsi="Tahoma" w:cs="Tahoma"/>
      <w:sz w:val="16"/>
      <w:szCs w:val="16"/>
      <w:lang w:val="en-GB" w:eastAsia="en-US" w:bidi="ar-SA"/>
    </w:rPr>
  </w:style>
  <w:style w:type="character" w:styleId="PageNumber">
    <w:name w:val="page number"/>
    <w:rsid w:val="001A4D99"/>
    <w:rPr>
      <w:rFonts w:cs="Times New Roman"/>
    </w:rPr>
  </w:style>
  <w:style w:type="paragraph" w:customStyle="1" w:styleId="Default">
    <w:name w:val="Default"/>
    <w:rsid w:val="001A4D99"/>
    <w:pPr>
      <w:autoSpaceDE w:val="0"/>
      <w:autoSpaceDN w:val="0"/>
      <w:adjustRightInd w:val="0"/>
    </w:pPr>
    <w:rPr>
      <w:rFonts w:ascii="Arial" w:hAnsi="Arial" w:cs="Arial"/>
      <w:color w:val="000000"/>
      <w:sz w:val="24"/>
      <w:szCs w:val="24"/>
    </w:rPr>
  </w:style>
  <w:style w:type="paragraph" w:styleId="NormalWeb">
    <w:name w:val="Normal (Web)"/>
    <w:basedOn w:val="Normal"/>
    <w:rsid w:val="001A4D99"/>
    <w:pPr>
      <w:spacing w:before="100" w:beforeAutospacing="1" w:after="100" w:afterAutospacing="1"/>
    </w:pPr>
  </w:style>
  <w:style w:type="paragraph" w:customStyle="1" w:styleId="Char">
    <w:name w:val="Char"/>
    <w:basedOn w:val="Normal"/>
    <w:rsid w:val="001A4D99"/>
    <w:rPr>
      <w:lang w:val="pl-PL" w:eastAsia="pl-PL"/>
    </w:rPr>
  </w:style>
  <w:style w:type="character" w:styleId="CommentReference">
    <w:name w:val="annotation reference"/>
    <w:semiHidden/>
    <w:rsid w:val="0020067F"/>
    <w:rPr>
      <w:sz w:val="16"/>
      <w:szCs w:val="16"/>
    </w:rPr>
  </w:style>
  <w:style w:type="paragraph" w:styleId="CommentSubject">
    <w:name w:val="annotation subject"/>
    <w:basedOn w:val="CommentText"/>
    <w:next w:val="CommentText"/>
    <w:semiHidden/>
    <w:rsid w:val="0020067F"/>
    <w:pPr>
      <w:spacing w:after="0"/>
      <w:jc w:val="left"/>
    </w:pPr>
    <w:rPr>
      <w:b/>
      <w:bCs/>
      <w:lang w:eastAsia="en-GB"/>
    </w:rPr>
  </w:style>
  <w:style w:type="character" w:styleId="FootnoteReference">
    <w:name w:val="footnote reference"/>
    <w:uiPriority w:val="99"/>
    <w:rsid w:val="0020067F"/>
    <w:rPr>
      <w:vertAlign w:val="superscript"/>
    </w:rPr>
  </w:style>
  <w:style w:type="character" w:styleId="Hyperlink">
    <w:name w:val="Hyperlink"/>
    <w:uiPriority w:val="99"/>
    <w:rsid w:val="00533869"/>
    <w:rPr>
      <w:b w:val="0"/>
      <w:bCs w:val="0"/>
      <w:color w:val="5C5C5C"/>
      <w:u w:val="single"/>
    </w:rPr>
  </w:style>
  <w:style w:type="paragraph" w:styleId="TOC1">
    <w:name w:val="toc 1"/>
    <w:basedOn w:val="Normal"/>
    <w:next w:val="Normal"/>
    <w:autoRedefine/>
    <w:uiPriority w:val="39"/>
    <w:rsid w:val="00667610"/>
    <w:pPr>
      <w:tabs>
        <w:tab w:val="left" w:pos="480"/>
        <w:tab w:val="right" w:leader="dot" w:pos="9032"/>
      </w:tabs>
      <w:spacing w:before="120"/>
    </w:pPr>
    <w:rPr>
      <w:b/>
      <w:noProof/>
      <w:szCs w:val="22"/>
    </w:rPr>
  </w:style>
  <w:style w:type="paragraph" w:styleId="TOC2">
    <w:name w:val="toc 2"/>
    <w:basedOn w:val="Normal"/>
    <w:next w:val="Normal"/>
    <w:autoRedefine/>
    <w:uiPriority w:val="39"/>
    <w:rsid w:val="00A83CF5"/>
    <w:pPr>
      <w:tabs>
        <w:tab w:val="left" w:pos="960"/>
        <w:tab w:val="right" w:leader="dot" w:pos="9032"/>
      </w:tabs>
      <w:spacing w:before="60"/>
      <w:ind w:left="238"/>
    </w:pPr>
    <w:rPr>
      <w:noProof/>
    </w:rPr>
  </w:style>
  <w:style w:type="paragraph" w:styleId="TOC3">
    <w:name w:val="toc 3"/>
    <w:basedOn w:val="Normal"/>
    <w:next w:val="Normal"/>
    <w:autoRedefine/>
    <w:uiPriority w:val="39"/>
    <w:rsid w:val="00A83CF5"/>
    <w:pPr>
      <w:tabs>
        <w:tab w:val="right" w:leader="dot" w:pos="9032"/>
      </w:tabs>
      <w:ind w:left="1418" w:hanging="938"/>
    </w:pPr>
  </w:style>
  <w:style w:type="table" w:styleId="TableGrid">
    <w:name w:val="Table Grid"/>
    <w:basedOn w:val="TableNormal"/>
    <w:uiPriority w:val="59"/>
    <w:rsid w:val="00E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2">
    <w:name w:val="Cover title 2"/>
    <w:basedOn w:val="Normal"/>
    <w:rsid w:val="00A07AEC"/>
    <w:pPr>
      <w:widowControl w:val="0"/>
      <w:autoSpaceDE w:val="0"/>
      <w:autoSpaceDN w:val="0"/>
      <w:adjustRightInd w:val="0"/>
      <w:spacing w:after="600"/>
      <w:ind w:left="4848"/>
    </w:pPr>
    <w:rPr>
      <w:rFonts w:ascii="Verdana" w:hAnsi="Verdana"/>
      <w:b/>
      <w:bCs/>
      <w:color w:val="2681B4"/>
      <w:sz w:val="60"/>
      <w:szCs w:val="76"/>
    </w:rPr>
  </w:style>
  <w:style w:type="paragraph" w:customStyle="1" w:styleId="Covertitle1">
    <w:name w:val="Cover title 1"/>
    <w:basedOn w:val="Normal"/>
    <w:rsid w:val="00A07AEC"/>
    <w:pPr>
      <w:widowControl w:val="0"/>
      <w:autoSpaceDE w:val="0"/>
      <w:autoSpaceDN w:val="0"/>
      <w:adjustRightInd w:val="0"/>
      <w:spacing w:after="600"/>
      <w:jc w:val="center"/>
    </w:pPr>
    <w:rPr>
      <w:rFonts w:ascii="Verdana" w:hAnsi="Verdana"/>
      <w:b/>
      <w:bCs/>
      <w:color w:val="004494"/>
      <w:sz w:val="76"/>
      <w:szCs w:val="76"/>
    </w:rPr>
  </w:style>
  <w:style w:type="paragraph" w:customStyle="1" w:styleId="CM4">
    <w:name w:val="CM4"/>
    <w:basedOn w:val="Default"/>
    <w:next w:val="Default"/>
    <w:uiPriority w:val="99"/>
    <w:rsid w:val="00B723C5"/>
    <w:rPr>
      <w:rFonts w:ascii="EUAlbertina" w:hAnsi="EUAlbertina" w:cs="Times New Roman"/>
      <w:color w:val="auto"/>
    </w:rPr>
  </w:style>
  <w:style w:type="paragraph" w:styleId="ListParagraph">
    <w:name w:val="List Paragraph"/>
    <w:basedOn w:val="Normal"/>
    <w:uiPriority w:val="34"/>
    <w:qFormat/>
    <w:rsid w:val="00BB0ACA"/>
    <w:pPr>
      <w:ind w:left="720"/>
      <w:contextualSpacing/>
    </w:pPr>
  </w:style>
  <w:style w:type="character" w:styleId="Strong">
    <w:name w:val="Strong"/>
    <w:basedOn w:val="DefaultParagraphFont"/>
    <w:uiPriority w:val="22"/>
    <w:qFormat/>
    <w:rsid w:val="008F7228"/>
    <w:rPr>
      <w:b/>
      <w:bCs/>
    </w:rPr>
  </w:style>
  <w:style w:type="character" w:customStyle="1" w:styleId="hps">
    <w:name w:val="hps"/>
    <w:basedOn w:val="DefaultParagraphFont"/>
    <w:rsid w:val="00EE2D2B"/>
  </w:style>
  <w:style w:type="paragraph" w:customStyle="1" w:styleId="Style1">
    <w:name w:val="Style 1"/>
    <w:basedOn w:val="Normal"/>
    <w:rsid w:val="00A209A9"/>
    <w:pPr>
      <w:widowControl w:val="0"/>
      <w:autoSpaceDE w:val="0"/>
      <w:autoSpaceDN w:val="0"/>
      <w:adjustRightInd w:val="0"/>
    </w:pPr>
    <w:rPr>
      <w:sz w:val="20"/>
      <w:lang w:val="en-US" w:eastAsia="en-US"/>
    </w:rPr>
  </w:style>
  <w:style w:type="character" w:customStyle="1" w:styleId="Bodytext20">
    <w:name w:val="Body text (2)_"/>
    <w:basedOn w:val="DefaultParagraphFont"/>
    <w:link w:val="Bodytext21"/>
    <w:rsid w:val="0021561D"/>
    <w:rPr>
      <w:b/>
      <w:bCs/>
      <w:sz w:val="22"/>
      <w:szCs w:val="22"/>
      <w:shd w:val="clear" w:color="auto" w:fill="FFFFFF"/>
    </w:rPr>
  </w:style>
  <w:style w:type="character" w:customStyle="1" w:styleId="Bodytext212pt">
    <w:name w:val="Body text (2) + 12 pt"/>
    <w:basedOn w:val="Bodytext20"/>
    <w:rsid w:val="0021561D"/>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212ptNotBold">
    <w:name w:val="Body text (2) + 12 pt.Not Bold"/>
    <w:basedOn w:val="Bodytext20"/>
    <w:rsid w:val="0021561D"/>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212ptNotBoldItalic">
    <w:name w:val="Body text (2) + 12 pt.Not Bold.Italic"/>
    <w:basedOn w:val="Bodytext20"/>
    <w:rsid w:val="0021561D"/>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paragraph" w:customStyle="1" w:styleId="Bodytext21">
    <w:name w:val="Body text (2)"/>
    <w:basedOn w:val="Normal"/>
    <w:link w:val="Bodytext20"/>
    <w:rsid w:val="0021561D"/>
    <w:pPr>
      <w:widowControl w:val="0"/>
      <w:shd w:val="clear" w:color="auto" w:fill="FFFFFF"/>
      <w:spacing w:before="1680" w:line="274" w:lineRule="exact"/>
    </w:pPr>
    <w:rPr>
      <w:b/>
      <w:bCs/>
      <w:sz w:val="22"/>
      <w:szCs w:val="22"/>
    </w:rPr>
  </w:style>
  <w:style w:type="character" w:customStyle="1" w:styleId="Bodytext285ptNotBoldItalicSpacing2pt">
    <w:name w:val="Body text (2) + 8.5 pt.Not Bold.Italic.Spacing 2 pt"/>
    <w:basedOn w:val="Bodytext20"/>
    <w:rsid w:val="0021561D"/>
    <w:rPr>
      <w:rFonts w:ascii="Times New Roman" w:eastAsia="Times New Roman" w:hAnsi="Times New Roman" w:cs="Times New Roman"/>
      <w:b/>
      <w:bCs/>
      <w:i/>
      <w:iCs/>
      <w:smallCaps w:val="0"/>
      <w:strike w:val="0"/>
      <w:color w:val="000000"/>
      <w:spacing w:val="50"/>
      <w:w w:val="100"/>
      <w:position w:val="0"/>
      <w:sz w:val="17"/>
      <w:szCs w:val="17"/>
      <w:u w:val="none"/>
      <w:shd w:val="clear" w:color="auto" w:fill="FFFFFF"/>
      <w:lang w:val="en-US" w:eastAsia="en-US" w:bidi="en-US"/>
    </w:rPr>
  </w:style>
  <w:style w:type="paragraph" w:customStyle="1" w:styleId="agbullets">
    <w:name w:val="ag_bullets"/>
    <w:basedOn w:val="Normal"/>
    <w:rsid w:val="00DD5A01"/>
    <w:pPr>
      <w:numPr>
        <w:numId w:val="21"/>
      </w:numPr>
    </w:pPr>
    <w:rPr>
      <w:rFonts w:eastAsiaTheme="minorHAnsi"/>
      <w:sz w:val="22"/>
      <w:szCs w:val="22"/>
    </w:rPr>
  </w:style>
  <w:style w:type="character" w:customStyle="1" w:styleId="FStextChar">
    <w:name w:val="FS text Char"/>
    <w:basedOn w:val="DefaultParagraphFont"/>
    <w:link w:val="FStext"/>
    <w:locked/>
    <w:rsid w:val="000F2F47"/>
    <w:rPr>
      <w:rFonts w:ascii="Calibri" w:hAnsi="Calibri"/>
      <w:lang w:eastAsia="x-none"/>
    </w:rPr>
  </w:style>
  <w:style w:type="paragraph" w:customStyle="1" w:styleId="FStext">
    <w:name w:val="FS text"/>
    <w:basedOn w:val="Normal"/>
    <w:link w:val="FStextChar"/>
    <w:rsid w:val="000F2F47"/>
    <w:pPr>
      <w:autoSpaceDE w:val="0"/>
      <w:autoSpaceDN w:val="0"/>
      <w:spacing w:after="240"/>
      <w:jc w:val="both"/>
    </w:pPr>
    <w:rPr>
      <w:rFonts w:ascii="Calibri" w:hAnsi="Calibri"/>
      <w:sz w:val="20"/>
      <w:szCs w:val="20"/>
      <w:lang w:eastAsia="x-none"/>
    </w:rPr>
  </w:style>
  <w:style w:type="paragraph" w:customStyle="1" w:styleId="CM1">
    <w:name w:val="CM1"/>
    <w:basedOn w:val="Normal"/>
    <w:uiPriority w:val="99"/>
    <w:rsid w:val="00357354"/>
    <w:pPr>
      <w:autoSpaceDE w:val="0"/>
      <w:autoSpaceDN w:val="0"/>
    </w:pPr>
    <w:rPr>
      <w:rFonts w:ascii="EUAlbertina" w:eastAsiaTheme="minorHAnsi" w:hAnsi="EUAlbertina"/>
      <w:lang w:eastAsia="en-US"/>
    </w:rPr>
  </w:style>
  <w:style w:type="paragraph" w:styleId="Revision">
    <w:name w:val="Revision"/>
    <w:hidden/>
    <w:uiPriority w:val="99"/>
    <w:semiHidden/>
    <w:rsid w:val="0053238A"/>
    <w:rPr>
      <w:sz w:val="24"/>
      <w:szCs w:val="24"/>
    </w:rPr>
  </w:style>
  <w:style w:type="character" w:customStyle="1" w:styleId="tlid-translation">
    <w:name w:val="tlid-translation"/>
    <w:basedOn w:val="DefaultParagraphFont"/>
    <w:rsid w:val="00CE1C46"/>
  </w:style>
  <w:style w:type="paragraph" w:customStyle="1" w:styleId="LegalNumPar">
    <w:name w:val="LegalNumPar"/>
    <w:basedOn w:val="Normal"/>
    <w:rsid w:val="008458AE"/>
    <w:pPr>
      <w:numPr>
        <w:numId w:val="22"/>
      </w:numPr>
      <w:spacing w:after="200"/>
    </w:pPr>
    <w:rPr>
      <w:rFonts w:asciiTheme="minorHAnsi" w:eastAsiaTheme="minorHAnsi" w:hAnsiTheme="minorHAnsi" w:cstheme="minorBidi"/>
      <w:sz w:val="22"/>
      <w:szCs w:val="22"/>
      <w:lang w:eastAsia="en-US"/>
    </w:rPr>
  </w:style>
  <w:style w:type="character" w:styleId="EndnoteReference">
    <w:name w:val="endnote reference"/>
    <w:basedOn w:val="DefaultParagraphFont"/>
    <w:semiHidden/>
    <w:unhideWhenUsed/>
    <w:rsid w:val="007F77C6"/>
    <w:rPr>
      <w:vertAlign w:val="superscript"/>
    </w:rPr>
  </w:style>
  <w:style w:type="paragraph" w:customStyle="1" w:styleId="Textstand-alone">
    <w:name w:val="Text_stand-alone"/>
    <w:basedOn w:val="Normal"/>
    <w:qFormat/>
    <w:rsid w:val="00775ABD"/>
    <w:pPr>
      <w:pBdr>
        <w:top w:val="nil"/>
        <w:left w:val="nil"/>
        <w:bottom w:val="nil"/>
        <w:right w:val="nil"/>
        <w:between w:val="nil"/>
        <w:bar w:val="nil"/>
      </w:pBdr>
      <w:spacing w:before="240" w:after="240"/>
      <w:jc w:val="both"/>
    </w:pPr>
    <w:rPr>
      <w:rFonts w:ascii="Verdana" w:hAnsi="Verdana"/>
      <w:noProof/>
      <w:sz w:val="18"/>
      <w:szCs w:val="18"/>
      <w:bdr w:val="nil"/>
      <w:lang w:eastAsia="en-US"/>
    </w:rPr>
  </w:style>
  <w:style w:type="paragraph" w:styleId="HTMLPreformatted">
    <w:name w:val="HTML Preformatted"/>
    <w:basedOn w:val="Normal"/>
    <w:link w:val="HTMLPreformattedChar"/>
    <w:uiPriority w:val="99"/>
    <w:semiHidden/>
    <w:unhideWhenUsed/>
    <w:rsid w:val="00160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6077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9410">
      <w:bodyDiv w:val="1"/>
      <w:marLeft w:val="0"/>
      <w:marRight w:val="0"/>
      <w:marTop w:val="0"/>
      <w:marBottom w:val="0"/>
      <w:divBdr>
        <w:top w:val="none" w:sz="0" w:space="0" w:color="auto"/>
        <w:left w:val="none" w:sz="0" w:space="0" w:color="auto"/>
        <w:bottom w:val="none" w:sz="0" w:space="0" w:color="auto"/>
        <w:right w:val="none" w:sz="0" w:space="0" w:color="auto"/>
      </w:divBdr>
    </w:div>
    <w:div w:id="60635929">
      <w:bodyDiv w:val="1"/>
      <w:marLeft w:val="0"/>
      <w:marRight w:val="0"/>
      <w:marTop w:val="0"/>
      <w:marBottom w:val="0"/>
      <w:divBdr>
        <w:top w:val="none" w:sz="0" w:space="0" w:color="auto"/>
        <w:left w:val="none" w:sz="0" w:space="0" w:color="auto"/>
        <w:bottom w:val="none" w:sz="0" w:space="0" w:color="auto"/>
        <w:right w:val="none" w:sz="0" w:space="0" w:color="auto"/>
      </w:divBdr>
    </w:div>
    <w:div w:id="76905036">
      <w:bodyDiv w:val="1"/>
      <w:marLeft w:val="0"/>
      <w:marRight w:val="0"/>
      <w:marTop w:val="0"/>
      <w:marBottom w:val="0"/>
      <w:divBdr>
        <w:top w:val="none" w:sz="0" w:space="0" w:color="auto"/>
        <w:left w:val="none" w:sz="0" w:space="0" w:color="auto"/>
        <w:bottom w:val="none" w:sz="0" w:space="0" w:color="auto"/>
        <w:right w:val="none" w:sz="0" w:space="0" w:color="auto"/>
      </w:divBdr>
    </w:div>
    <w:div w:id="99687664">
      <w:bodyDiv w:val="1"/>
      <w:marLeft w:val="0"/>
      <w:marRight w:val="0"/>
      <w:marTop w:val="0"/>
      <w:marBottom w:val="0"/>
      <w:divBdr>
        <w:top w:val="none" w:sz="0" w:space="0" w:color="auto"/>
        <w:left w:val="none" w:sz="0" w:space="0" w:color="auto"/>
        <w:bottom w:val="none" w:sz="0" w:space="0" w:color="auto"/>
        <w:right w:val="none" w:sz="0" w:space="0" w:color="auto"/>
      </w:divBdr>
    </w:div>
    <w:div w:id="100035529">
      <w:bodyDiv w:val="1"/>
      <w:marLeft w:val="0"/>
      <w:marRight w:val="0"/>
      <w:marTop w:val="0"/>
      <w:marBottom w:val="0"/>
      <w:divBdr>
        <w:top w:val="none" w:sz="0" w:space="0" w:color="auto"/>
        <w:left w:val="none" w:sz="0" w:space="0" w:color="auto"/>
        <w:bottom w:val="none" w:sz="0" w:space="0" w:color="auto"/>
        <w:right w:val="none" w:sz="0" w:space="0" w:color="auto"/>
      </w:divBdr>
    </w:div>
    <w:div w:id="167868102">
      <w:bodyDiv w:val="1"/>
      <w:marLeft w:val="0"/>
      <w:marRight w:val="0"/>
      <w:marTop w:val="0"/>
      <w:marBottom w:val="0"/>
      <w:divBdr>
        <w:top w:val="none" w:sz="0" w:space="0" w:color="auto"/>
        <w:left w:val="none" w:sz="0" w:space="0" w:color="auto"/>
        <w:bottom w:val="none" w:sz="0" w:space="0" w:color="auto"/>
        <w:right w:val="none" w:sz="0" w:space="0" w:color="auto"/>
      </w:divBdr>
    </w:div>
    <w:div w:id="204417522">
      <w:bodyDiv w:val="1"/>
      <w:marLeft w:val="0"/>
      <w:marRight w:val="0"/>
      <w:marTop w:val="0"/>
      <w:marBottom w:val="0"/>
      <w:divBdr>
        <w:top w:val="none" w:sz="0" w:space="0" w:color="auto"/>
        <w:left w:val="none" w:sz="0" w:space="0" w:color="auto"/>
        <w:bottom w:val="none" w:sz="0" w:space="0" w:color="auto"/>
        <w:right w:val="none" w:sz="0" w:space="0" w:color="auto"/>
      </w:divBdr>
    </w:div>
    <w:div w:id="220602779">
      <w:bodyDiv w:val="1"/>
      <w:marLeft w:val="0"/>
      <w:marRight w:val="0"/>
      <w:marTop w:val="0"/>
      <w:marBottom w:val="0"/>
      <w:divBdr>
        <w:top w:val="none" w:sz="0" w:space="0" w:color="auto"/>
        <w:left w:val="none" w:sz="0" w:space="0" w:color="auto"/>
        <w:bottom w:val="none" w:sz="0" w:space="0" w:color="auto"/>
        <w:right w:val="none" w:sz="0" w:space="0" w:color="auto"/>
      </w:divBdr>
    </w:div>
    <w:div w:id="239491189">
      <w:bodyDiv w:val="1"/>
      <w:marLeft w:val="0"/>
      <w:marRight w:val="0"/>
      <w:marTop w:val="0"/>
      <w:marBottom w:val="0"/>
      <w:divBdr>
        <w:top w:val="none" w:sz="0" w:space="0" w:color="auto"/>
        <w:left w:val="none" w:sz="0" w:space="0" w:color="auto"/>
        <w:bottom w:val="none" w:sz="0" w:space="0" w:color="auto"/>
        <w:right w:val="none" w:sz="0" w:space="0" w:color="auto"/>
      </w:divBdr>
    </w:div>
    <w:div w:id="245891242">
      <w:bodyDiv w:val="1"/>
      <w:marLeft w:val="0"/>
      <w:marRight w:val="0"/>
      <w:marTop w:val="0"/>
      <w:marBottom w:val="0"/>
      <w:divBdr>
        <w:top w:val="none" w:sz="0" w:space="0" w:color="auto"/>
        <w:left w:val="none" w:sz="0" w:space="0" w:color="auto"/>
        <w:bottom w:val="none" w:sz="0" w:space="0" w:color="auto"/>
        <w:right w:val="none" w:sz="0" w:space="0" w:color="auto"/>
      </w:divBdr>
    </w:div>
    <w:div w:id="318197317">
      <w:bodyDiv w:val="1"/>
      <w:marLeft w:val="0"/>
      <w:marRight w:val="0"/>
      <w:marTop w:val="0"/>
      <w:marBottom w:val="0"/>
      <w:divBdr>
        <w:top w:val="none" w:sz="0" w:space="0" w:color="auto"/>
        <w:left w:val="none" w:sz="0" w:space="0" w:color="auto"/>
        <w:bottom w:val="none" w:sz="0" w:space="0" w:color="auto"/>
        <w:right w:val="none" w:sz="0" w:space="0" w:color="auto"/>
      </w:divBdr>
    </w:div>
    <w:div w:id="323974307">
      <w:bodyDiv w:val="1"/>
      <w:marLeft w:val="0"/>
      <w:marRight w:val="0"/>
      <w:marTop w:val="0"/>
      <w:marBottom w:val="0"/>
      <w:divBdr>
        <w:top w:val="none" w:sz="0" w:space="0" w:color="auto"/>
        <w:left w:val="none" w:sz="0" w:space="0" w:color="auto"/>
        <w:bottom w:val="none" w:sz="0" w:space="0" w:color="auto"/>
        <w:right w:val="none" w:sz="0" w:space="0" w:color="auto"/>
      </w:divBdr>
    </w:div>
    <w:div w:id="332295838">
      <w:bodyDiv w:val="1"/>
      <w:marLeft w:val="0"/>
      <w:marRight w:val="0"/>
      <w:marTop w:val="0"/>
      <w:marBottom w:val="0"/>
      <w:divBdr>
        <w:top w:val="none" w:sz="0" w:space="0" w:color="auto"/>
        <w:left w:val="none" w:sz="0" w:space="0" w:color="auto"/>
        <w:bottom w:val="none" w:sz="0" w:space="0" w:color="auto"/>
        <w:right w:val="none" w:sz="0" w:space="0" w:color="auto"/>
      </w:divBdr>
    </w:div>
    <w:div w:id="338197435">
      <w:bodyDiv w:val="1"/>
      <w:marLeft w:val="0"/>
      <w:marRight w:val="0"/>
      <w:marTop w:val="0"/>
      <w:marBottom w:val="0"/>
      <w:divBdr>
        <w:top w:val="none" w:sz="0" w:space="0" w:color="auto"/>
        <w:left w:val="none" w:sz="0" w:space="0" w:color="auto"/>
        <w:bottom w:val="none" w:sz="0" w:space="0" w:color="auto"/>
        <w:right w:val="none" w:sz="0" w:space="0" w:color="auto"/>
      </w:divBdr>
      <w:divsChild>
        <w:div w:id="994845068">
          <w:marLeft w:val="0"/>
          <w:marRight w:val="0"/>
          <w:marTop w:val="0"/>
          <w:marBottom w:val="0"/>
          <w:divBdr>
            <w:top w:val="none" w:sz="0" w:space="0" w:color="auto"/>
            <w:left w:val="none" w:sz="0" w:space="0" w:color="auto"/>
            <w:bottom w:val="none" w:sz="0" w:space="0" w:color="auto"/>
            <w:right w:val="none" w:sz="0" w:space="0" w:color="auto"/>
          </w:divBdr>
          <w:divsChild>
            <w:div w:id="784814504">
              <w:marLeft w:val="0"/>
              <w:marRight w:val="0"/>
              <w:marTop w:val="0"/>
              <w:marBottom w:val="0"/>
              <w:divBdr>
                <w:top w:val="none" w:sz="0" w:space="0" w:color="auto"/>
                <w:left w:val="single" w:sz="6" w:space="0" w:color="D6DAE1"/>
                <w:bottom w:val="none" w:sz="0" w:space="0" w:color="auto"/>
                <w:right w:val="single" w:sz="6" w:space="0" w:color="D6DAE1"/>
              </w:divBdr>
              <w:divsChild>
                <w:div w:id="119079290">
                  <w:marLeft w:val="-15"/>
                  <w:marRight w:val="0"/>
                  <w:marTop w:val="0"/>
                  <w:marBottom w:val="0"/>
                  <w:divBdr>
                    <w:top w:val="none" w:sz="0" w:space="0" w:color="auto"/>
                    <w:left w:val="none" w:sz="0" w:space="0" w:color="auto"/>
                    <w:bottom w:val="none" w:sz="0" w:space="0" w:color="auto"/>
                    <w:right w:val="none" w:sz="0" w:space="0" w:color="auto"/>
                  </w:divBdr>
                  <w:divsChild>
                    <w:div w:id="2100902943">
                      <w:marLeft w:val="0"/>
                      <w:marRight w:val="0"/>
                      <w:marTop w:val="0"/>
                      <w:marBottom w:val="0"/>
                      <w:divBdr>
                        <w:top w:val="none" w:sz="0" w:space="0" w:color="auto"/>
                        <w:left w:val="single" w:sz="6" w:space="0" w:color="D6DAE1"/>
                        <w:bottom w:val="none" w:sz="0" w:space="0" w:color="auto"/>
                        <w:right w:val="single" w:sz="6" w:space="0" w:color="D6DAE1"/>
                      </w:divBdr>
                      <w:divsChild>
                        <w:div w:id="469059686">
                          <w:marLeft w:val="0"/>
                          <w:marRight w:val="0"/>
                          <w:marTop w:val="0"/>
                          <w:marBottom w:val="0"/>
                          <w:divBdr>
                            <w:top w:val="none" w:sz="0" w:space="0" w:color="auto"/>
                            <w:left w:val="none" w:sz="0" w:space="0" w:color="auto"/>
                            <w:bottom w:val="none" w:sz="0" w:space="0" w:color="auto"/>
                            <w:right w:val="none" w:sz="0" w:space="0" w:color="auto"/>
                          </w:divBdr>
                          <w:divsChild>
                            <w:div w:id="746073015">
                              <w:marLeft w:val="0"/>
                              <w:marRight w:val="0"/>
                              <w:marTop w:val="0"/>
                              <w:marBottom w:val="0"/>
                              <w:divBdr>
                                <w:top w:val="none" w:sz="0" w:space="0" w:color="auto"/>
                                <w:left w:val="none" w:sz="0" w:space="0" w:color="auto"/>
                                <w:bottom w:val="none" w:sz="0" w:space="0" w:color="auto"/>
                                <w:right w:val="none" w:sz="0" w:space="0" w:color="auto"/>
                              </w:divBdr>
                              <w:divsChild>
                                <w:div w:id="1733695617">
                                  <w:marLeft w:val="0"/>
                                  <w:marRight w:val="0"/>
                                  <w:marTop w:val="0"/>
                                  <w:marBottom w:val="0"/>
                                  <w:divBdr>
                                    <w:top w:val="none" w:sz="0" w:space="0" w:color="auto"/>
                                    <w:left w:val="none" w:sz="0" w:space="0" w:color="auto"/>
                                    <w:bottom w:val="none" w:sz="0" w:space="0" w:color="auto"/>
                                    <w:right w:val="none" w:sz="0" w:space="0" w:color="auto"/>
                                  </w:divBdr>
                                  <w:divsChild>
                                    <w:div w:id="913317865">
                                      <w:marLeft w:val="0"/>
                                      <w:marRight w:val="0"/>
                                      <w:marTop w:val="0"/>
                                      <w:marBottom w:val="0"/>
                                      <w:divBdr>
                                        <w:top w:val="none" w:sz="0" w:space="0" w:color="auto"/>
                                        <w:left w:val="none" w:sz="0" w:space="0" w:color="auto"/>
                                        <w:bottom w:val="none" w:sz="0" w:space="0" w:color="auto"/>
                                        <w:right w:val="none" w:sz="0" w:space="0" w:color="auto"/>
                                      </w:divBdr>
                                      <w:divsChild>
                                        <w:div w:id="1393700095">
                                          <w:marLeft w:val="0"/>
                                          <w:marRight w:val="0"/>
                                          <w:marTop w:val="75"/>
                                          <w:marBottom w:val="0"/>
                                          <w:divBdr>
                                            <w:top w:val="none" w:sz="0" w:space="0" w:color="auto"/>
                                            <w:left w:val="none" w:sz="0" w:space="0" w:color="auto"/>
                                            <w:bottom w:val="none" w:sz="0" w:space="0" w:color="auto"/>
                                            <w:right w:val="none" w:sz="0" w:space="0" w:color="auto"/>
                                          </w:divBdr>
                                          <w:divsChild>
                                            <w:div w:id="793794221">
                                              <w:marLeft w:val="0"/>
                                              <w:marRight w:val="0"/>
                                              <w:marTop w:val="0"/>
                                              <w:marBottom w:val="0"/>
                                              <w:divBdr>
                                                <w:top w:val="none" w:sz="0" w:space="0" w:color="auto"/>
                                                <w:left w:val="none" w:sz="0" w:space="0" w:color="auto"/>
                                                <w:bottom w:val="none" w:sz="0" w:space="0" w:color="auto"/>
                                                <w:right w:val="none" w:sz="0" w:space="0" w:color="auto"/>
                                              </w:divBdr>
                                              <w:divsChild>
                                                <w:div w:id="997805499">
                                                  <w:marLeft w:val="0"/>
                                                  <w:marRight w:val="0"/>
                                                  <w:marTop w:val="0"/>
                                                  <w:marBottom w:val="200"/>
                                                  <w:divBdr>
                                                    <w:top w:val="none" w:sz="0" w:space="0" w:color="auto"/>
                                                    <w:left w:val="none" w:sz="0" w:space="0" w:color="auto"/>
                                                    <w:bottom w:val="none" w:sz="0" w:space="0" w:color="auto"/>
                                                    <w:right w:val="none" w:sz="0" w:space="0" w:color="auto"/>
                                                  </w:divBdr>
                                                  <w:divsChild>
                                                    <w:div w:id="797645224">
                                                      <w:marLeft w:val="705"/>
                                                      <w:marRight w:val="0"/>
                                                      <w:marTop w:val="0"/>
                                                      <w:marBottom w:val="200"/>
                                                      <w:divBdr>
                                                        <w:top w:val="none" w:sz="0" w:space="0" w:color="auto"/>
                                                        <w:left w:val="none" w:sz="0" w:space="0" w:color="auto"/>
                                                        <w:bottom w:val="none" w:sz="0" w:space="0" w:color="auto"/>
                                                        <w:right w:val="none" w:sz="0" w:space="0" w:color="auto"/>
                                                      </w:divBdr>
                                                    </w:div>
                                                    <w:div w:id="947808095">
                                                      <w:marLeft w:val="705"/>
                                                      <w:marRight w:val="0"/>
                                                      <w:marTop w:val="0"/>
                                                      <w:marBottom w:val="240"/>
                                                      <w:divBdr>
                                                        <w:top w:val="none" w:sz="0" w:space="0" w:color="auto"/>
                                                        <w:left w:val="none" w:sz="0" w:space="0" w:color="auto"/>
                                                        <w:bottom w:val="none" w:sz="0" w:space="0" w:color="auto"/>
                                                        <w:right w:val="none" w:sz="0" w:space="0" w:color="auto"/>
                                                      </w:divBdr>
                                                    </w:div>
                                                    <w:div w:id="983315412">
                                                      <w:marLeft w:val="0"/>
                                                      <w:marRight w:val="0"/>
                                                      <w:marTop w:val="0"/>
                                                      <w:marBottom w:val="200"/>
                                                      <w:divBdr>
                                                        <w:top w:val="none" w:sz="0" w:space="0" w:color="auto"/>
                                                        <w:left w:val="none" w:sz="0" w:space="0" w:color="auto"/>
                                                        <w:bottom w:val="none" w:sz="0" w:space="0" w:color="auto"/>
                                                        <w:right w:val="none" w:sz="0" w:space="0" w:color="auto"/>
                                                      </w:divBdr>
                                                    </w:div>
                                                    <w:div w:id="1069841765">
                                                      <w:marLeft w:val="705"/>
                                                      <w:marRight w:val="0"/>
                                                      <w:marTop w:val="0"/>
                                                      <w:marBottom w:val="240"/>
                                                      <w:divBdr>
                                                        <w:top w:val="none" w:sz="0" w:space="0" w:color="auto"/>
                                                        <w:left w:val="none" w:sz="0" w:space="0" w:color="auto"/>
                                                        <w:bottom w:val="none" w:sz="0" w:space="0" w:color="auto"/>
                                                        <w:right w:val="none" w:sz="0" w:space="0" w:color="auto"/>
                                                      </w:divBdr>
                                                    </w:div>
                                                    <w:div w:id="1368795220">
                                                      <w:marLeft w:val="0"/>
                                                      <w:marRight w:val="0"/>
                                                      <w:marTop w:val="0"/>
                                                      <w:marBottom w:val="200"/>
                                                      <w:divBdr>
                                                        <w:top w:val="none" w:sz="0" w:space="0" w:color="auto"/>
                                                        <w:left w:val="none" w:sz="0" w:space="0" w:color="auto"/>
                                                        <w:bottom w:val="none" w:sz="0" w:space="0" w:color="auto"/>
                                                        <w:right w:val="none" w:sz="0" w:space="0" w:color="auto"/>
                                                      </w:divBdr>
                                                    </w:div>
                                                    <w:div w:id="1501119327">
                                                      <w:marLeft w:val="705"/>
                                                      <w:marRight w:val="0"/>
                                                      <w:marTop w:val="0"/>
                                                      <w:marBottom w:val="200"/>
                                                      <w:divBdr>
                                                        <w:top w:val="none" w:sz="0" w:space="0" w:color="auto"/>
                                                        <w:left w:val="none" w:sz="0" w:space="0" w:color="auto"/>
                                                        <w:bottom w:val="none" w:sz="0" w:space="0" w:color="auto"/>
                                                        <w:right w:val="none" w:sz="0" w:space="0" w:color="auto"/>
                                                      </w:divBdr>
                                                    </w:div>
                                                    <w:div w:id="184328058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541206">
      <w:bodyDiv w:val="1"/>
      <w:marLeft w:val="0"/>
      <w:marRight w:val="0"/>
      <w:marTop w:val="0"/>
      <w:marBottom w:val="0"/>
      <w:divBdr>
        <w:top w:val="none" w:sz="0" w:space="0" w:color="auto"/>
        <w:left w:val="none" w:sz="0" w:space="0" w:color="auto"/>
        <w:bottom w:val="none" w:sz="0" w:space="0" w:color="auto"/>
        <w:right w:val="none" w:sz="0" w:space="0" w:color="auto"/>
      </w:divBdr>
    </w:div>
    <w:div w:id="401176803">
      <w:bodyDiv w:val="1"/>
      <w:marLeft w:val="0"/>
      <w:marRight w:val="0"/>
      <w:marTop w:val="0"/>
      <w:marBottom w:val="0"/>
      <w:divBdr>
        <w:top w:val="none" w:sz="0" w:space="0" w:color="auto"/>
        <w:left w:val="none" w:sz="0" w:space="0" w:color="auto"/>
        <w:bottom w:val="none" w:sz="0" w:space="0" w:color="auto"/>
        <w:right w:val="none" w:sz="0" w:space="0" w:color="auto"/>
      </w:divBdr>
    </w:div>
    <w:div w:id="425274353">
      <w:bodyDiv w:val="1"/>
      <w:marLeft w:val="0"/>
      <w:marRight w:val="0"/>
      <w:marTop w:val="0"/>
      <w:marBottom w:val="0"/>
      <w:divBdr>
        <w:top w:val="none" w:sz="0" w:space="0" w:color="auto"/>
        <w:left w:val="none" w:sz="0" w:space="0" w:color="auto"/>
        <w:bottom w:val="none" w:sz="0" w:space="0" w:color="auto"/>
        <w:right w:val="none" w:sz="0" w:space="0" w:color="auto"/>
      </w:divBdr>
    </w:div>
    <w:div w:id="441917957">
      <w:bodyDiv w:val="1"/>
      <w:marLeft w:val="0"/>
      <w:marRight w:val="0"/>
      <w:marTop w:val="0"/>
      <w:marBottom w:val="0"/>
      <w:divBdr>
        <w:top w:val="none" w:sz="0" w:space="0" w:color="auto"/>
        <w:left w:val="none" w:sz="0" w:space="0" w:color="auto"/>
        <w:bottom w:val="none" w:sz="0" w:space="0" w:color="auto"/>
        <w:right w:val="none" w:sz="0" w:space="0" w:color="auto"/>
      </w:divBdr>
    </w:div>
    <w:div w:id="450052151">
      <w:bodyDiv w:val="1"/>
      <w:marLeft w:val="0"/>
      <w:marRight w:val="0"/>
      <w:marTop w:val="0"/>
      <w:marBottom w:val="0"/>
      <w:divBdr>
        <w:top w:val="none" w:sz="0" w:space="0" w:color="auto"/>
        <w:left w:val="none" w:sz="0" w:space="0" w:color="auto"/>
        <w:bottom w:val="none" w:sz="0" w:space="0" w:color="auto"/>
        <w:right w:val="none" w:sz="0" w:space="0" w:color="auto"/>
      </w:divBdr>
    </w:div>
    <w:div w:id="452598669">
      <w:bodyDiv w:val="1"/>
      <w:marLeft w:val="0"/>
      <w:marRight w:val="0"/>
      <w:marTop w:val="0"/>
      <w:marBottom w:val="0"/>
      <w:divBdr>
        <w:top w:val="none" w:sz="0" w:space="0" w:color="auto"/>
        <w:left w:val="none" w:sz="0" w:space="0" w:color="auto"/>
        <w:bottom w:val="none" w:sz="0" w:space="0" w:color="auto"/>
        <w:right w:val="none" w:sz="0" w:space="0" w:color="auto"/>
      </w:divBdr>
    </w:div>
    <w:div w:id="479856020">
      <w:bodyDiv w:val="1"/>
      <w:marLeft w:val="0"/>
      <w:marRight w:val="0"/>
      <w:marTop w:val="0"/>
      <w:marBottom w:val="0"/>
      <w:divBdr>
        <w:top w:val="none" w:sz="0" w:space="0" w:color="auto"/>
        <w:left w:val="none" w:sz="0" w:space="0" w:color="auto"/>
        <w:bottom w:val="none" w:sz="0" w:space="0" w:color="auto"/>
        <w:right w:val="none" w:sz="0" w:space="0" w:color="auto"/>
      </w:divBdr>
    </w:div>
    <w:div w:id="497038024">
      <w:bodyDiv w:val="1"/>
      <w:marLeft w:val="0"/>
      <w:marRight w:val="0"/>
      <w:marTop w:val="0"/>
      <w:marBottom w:val="0"/>
      <w:divBdr>
        <w:top w:val="none" w:sz="0" w:space="0" w:color="auto"/>
        <w:left w:val="none" w:sz="0" w:space="0" w:color="auto"/>
        <w:bottom w:val="none" w:sz="0" w:space="0" w:color="auto"/>
        <w:right w:val="none" w:sz="0" w:space="0" w:color="auto"/>
      </w:divBdr>
    </w:div>
    <w:div w:id="510030615">
      <w:bodyDiv w:val="1"/>
      <w:marLeft w:val="0"/>
      <w:marRight w:val="0"/>
      <w:marTop w:val="0"/>
      <w:marBottom w:val="0"/>
      <w:divBdr>
        <w:top w:val="none" w:sz="0" w:space="0" w:color="auto"/>
        <w:left w:val="none" w:sz="0" w:space="0" w:color="auto"/>
        <w:bottom w:val="none" w:sz="0" w:space="0" w:color="auto"/>
        <w:right w:val="none" w:sz="0" w:space="0" w:color="auto"/>
      </w:divBdr>
    </w:div>
    <w:div w:id="517041313">
      <w:bodyDiv w:val="1"/>
      <w:marLeft w:val="0"/>
      <w:marRight w:val="0"/>
      <w:marTop w:val="0"/>
      <w:marBottom w:val="0"/>
      <w:divBdr>
        <w:top w:val="none" w:sz="0" w:space="0" w:color="auto"/>
        <w:left w:val="none" w:sz="0" w:space="0" w:color="auto"/>
        <w:bottom w:val="none" w:sz="0" w:space="0" w:color="auto"/>
        <w:right w:val="none" w:sz="0" w:space="0" w:color="auto"/>
      </w:divBdr>
    </w:div>
    <w:div w:id="539786060">
      <w:bodyDiv w:val="1"/>
      <w:marLeft w:val="0"/>
      <w:marRight w:val="0"/>
      <w:marTop w:val="0"/>
      <w:marBottom w:val="0"/>
      <w:divBdr>
        <w:top w:val="none" w:sz="0" w:space="0" w:color="auto"/>
        <w:left w:val="none" w:sz="0" w:space="0" w:color="auto"/>
        <w:bottom w:val="none" w:sz="0" w:space="0" w:color="auto"/>
        <w:right w:val="none" w:sz="0" w:space="0" w:color="auto"/>
      </w:divBdr>
    </w:div>
    <w:div w:id="561140669">
      <w:bodyDiv w:val="1"/>
      <w:marLeft w:val="0"/>
      <w:marRight w:val="0"/>
      <w:marTop w:val="0"/>
      <w:marBottom w:val="0"/>
      <w:divBdr>
        <w:top w:val="none" w:sz="0" w:space="0" w:color="auto"/>
        <w:left w:val="none" w:sz="0" w:space="0" w:color="auto"/>
        <w:bottom w:val="none" w:sz="0" w:space="0" w:color="auto"/>
        <w:right w:val="none" w:sz="0" w:space="0" w:color="auto"/>
      </w:divBdr>
    </w:div>
    <w:div w:id="582759714">
      <w:bodyDiv w:val="1"/>
      <w:marLeft w:val="0"/>
      <w:marRight w:val="0"/>
      <w:marTop w:val="0"/>
      <w:marBottom w:val="0"/>
      <w:divBdr>
        <w:top w:val="none" w:sz="0" w:space="0" w:color="auto"/>
        <w:left w:val="none" w:sz="0" w:space="0" w:color="auto"/>
        <w:bottom w:val="none" w:sz="0" w:space="0" w:color="auto"/>
        <w:right w:val="none" w:sz="0" w:space="0" w:color="auto"/>
      </w:divBdr>
    </w:div>
    <w:div w:id="603194459">
      <w:bodyDiv w:val="1"/>
      <w:marLeft w:val="0"/>
      <w:marRight w:val="0"/>
      <w:marTop w:val="0"/>
      <w:marBottom w:val="0"/>
      <w:divBdr>
        <w:top w:val="none" w:sz="0" w:space="0" w:color="auto"/>
        <w:left w:val="none" w:sz="0" w:space="0" w:color="auto"/>
        <w:bottom w:val="none" w:sz="0" w:space="0" w:color="auto"/>
        <w:right w:val="none" w:sz="0" w:space="0" w:color="auto"/>
      </w:divBdr>
    </w:div>
    <w:div w:id="614141770">
      <w:bodyDiv w:val="1"/>
      <w:marLeft w:val="0"/>
      <w:marRight w:val="0"/>
      <w:marTop w:val="0"/>
      <w:marBottom w:val="0"/>
      <w:divBdr>
        <w:top w:val="none" w:sz="0" w:space="0" w:color="auto"/>
        <w:left w:val="none" w:sz="0" w:space="0" w:color="auto"/>
        <w:bottom w:val="none" w:sz="0" w:space="0" w:color="auto"/>
        <w:right w:val="none" w:sz="0" w:space="0" w:color="auto"/>
      </w:divBdr>
    </w:div>
    <w:div w:id="640693402">
      <w:bodyDiv w:val="1"/>
      <w:marLeft w:val="0"/>
      <w:marRight w:val="0"/>
      <w:marTop w:val="0"/>
      <w:marBottom w:val="0"/>
      <w:divBdr>
        <w:top w:val="none" w:sz="0" w:space="0" w:color="auto"/>
        <w:left w:val="none" w:sz="0" w:space="0" w:color="auto"/>
        <w:bottom w:val="none" w:sz="0" w:space="0" w:color="auto"/>
        <w:right w:val="none" w:sz="0" w:space="0" w:color="auto"/>
      </w:divBdr>
    </w:div>
    <w:div w:id="669913890">
      <w:bodyDiv w:val="1"/>
      <w:marLeft w:val="0"/>
      <w:marRight w:val="0"/>
      <w:marTop w:val="0"/>
      <w:marBottom w:val="0"/>
      <w:divBdr>
        <w:top w:val="none" w:sz="0" w:space="0" w:color="auto"/>
        <w:left w:val="none" w:sz="0" w:space="0" w:color="auto"/>
        <w:bottom w:val="none" w:sz="0" w:space="0" w:color="auto"/>
        <w:right w:val="none" w:sz="0" w:space="0" w:color="auto"/>
      </w:divBdr>
    </w:div>
    <w:div w:id="677345851">
      <w:bodyDiv w:val="1"/>
      <w:marLeft w:val="0"/>
      <w:marRight w:val="0"/>
      <w:marTop w:val="0"/>
      <w:marBottom w:val="0"/>
      <w:divBdr>
        <w:top w:val="none" w:sz="0" w:space="0" w:color="auto"/>
        <w:left w:val="none" w:sz="0" w:space="0" w:color="auto"/>
        <w:bottom w:val="none" w:sz="0" w:space="0" w:color="auto"/>
        <w:right w:val="none" w:sz="0" w:space="0" w:color="auto"/>
      </w:divBdr>
    </w:div>
    <w:div w:id="693966368">
      <w:bodyDiv w:val="1"/>
      <w:marLeft w:val="0"/>
      <w:marRight w:val="0"/>
      <w:marTop w:val="0"/>
      <w:marBottom w:val="0"/>
      <w:divBdr>
        <w:top w:val="none" w:sz="0" w:space="0" w:color="auto"/>
        <w:left w:val="none" w:sz="0" w:space="0" w:color="auto"/>
        <w:bottom w:val="none" w:sz="0" w:space="0" w:color="auto"/>
        <w:right w:val="none" w:sz="0" w:space="0" w:color="auto"/>
      </w:divBdr>
    </w:div>
    <w:div w:id="698749171">
      <w:bodyDiv w:val="1"/>
      <w:marLeft w:val="0"/>
      <w:marRight w:val="0"/>
      <w:marTop w:val="0"/>
      <w:marBottom w:val="0"/>
      <w:divBdr>
        <w:top w:val="none" w:sz="0" w:space="0" w:color="auto"/>
        <w:left w:val="none" w:sz="0" w:space="0" w:color="auto"/>
        <w:bottom w:val="none" w:sz="0" w:space="0" w:color="auto"/>
        <w:right w:val="none" w:sz="0" w:space="0" w:color="auto"/>
      </w:divBdr>
    </w:div>
    <w:div w:id="699476845">
      <w:bodyDiv w:val="1"/>
      <w:marLeft w:val="0"/>
      <w:marRight w:val="0"/>
      <w:marTop w:val="0"/>
      <w:marBottom w:val="0"/>
      <w:divBdr>
        <w:top w:val="none" w:sz="0" w:space="0" w:color="auto"/>
        <w:left w:val="none" w:sz="0" w:space="0" w:color="auto"/>
        <w:bottom w:val="none" w:sz="0" w:space="0" w:color="auto"/>
        <w:right w:val="none" w:sz="0" w:space="0" w:color="auto"/>
      </w:divBdr>
    </w:div>
    <w:div w:id="715742155">
      <w:bodyDiv w:val="1"/>
      <w:marLeft w:val="0"/>
      <w:marRight w:val="0"/>
      <w:marTop w:val="0"/>
      <w:marBottom w:val="0"/>
      <w:divBdr>
        <w:top w:val="none" w:sz="0" w:space="0" w:color="auto"/>
        <w:left w:val="none" w:sz="0" w:space="0" w:color="auto"/>
        <w:bottom w:val="none" w:sz="0" w:space="0" w:color="auto"/>
        <w:right w:val="none" w:sz="0" w:space="0" w:color="auto"/>
      </w:divBdr>
    </w:div>
    <w:div w:id="730079141">
      <w:bodyDiv w:val="1"/>
      <w:marLeft w:val="0"/>
      <w:marRight w:val="0"/>
      <w:marTop w:val="0"/>
      <w:marBottom w:val="0"/>
      <w:divBdr>
        <w:top w:val="none" w:sz="0" w:space="0" w:color="auto"/>
        <w:left w:val="none" w:sz="0" w:space="0" w:color="auto"/>
        <w:bottom w:val="none" w:sz="0" w:space="0" w:color="auto"/>
        <w:right w:val="none" w:sz="0" w:space="0" w:color="auto"/>
      </w:divBdr>
    </w:div>
    <w:div w:id="738091372">
      <w:bodyDiv w:val="1"/>
      <w:marLeft w:val="0"/>
      <w:marRight w:val="0"/>
      <w:marTop w:val="0"/>
      <w:marBottom w:val="0"/>
      <w:divBdr>
        <w:top w:val="none" w:sz="0" w:space="0" w:color="auto"/>
        <w:left w:val="none" w:sz="0" w:space="0" w:color="auto"/>
        <w:bottom w:val="none" w:sz="0" w:space="0" w:color="auto"/>
        <w:right w:val="none" w:sz="0" w:space="0" w:color="auto"/>
      </w:divBdr>
    </w:div>
    <w:div w:id="790634482">
      <w:bodyDiv w:val="1"/>
      <w:marLeft w:val="0"/>
      <w:marRight w:val="0"/>
      <w:marTop w:val="0"/>
      <w:marBottom w:val="0"/>
      <w:divBdr>
        <w:top w:val="none" w:sz="0" w:space="0" w:color="auto"/>
        <w:left w:val="none" w:sz="0" w:space="0" w:color="auto"/>
        <w:bottom w:val="none" w:sz="0" w:space="0" w:color="auto"/>
        <w:right w:val="none" w:sz="0" w:space="0" w:color="auto"/>
      </w:divBdr>
    </w:div>
    <w:div w:id="815684000">
      <w:bodyDiv w:val="1"/>
      <w:marLeft w:val="0"/>
      <w:marRight w:val="0"/>
      <w:marTop w:val="0"/>
      <w:marBottom w:val="0"/>
      <w:divBdr>
        <w:top w:val="none" w:sz="0" w:space="0" w:color="auto"/>
        <w:left w:val="none" w:sz="0" w:space="0" w:color="auto"/>
        <w:bottom w:val="none" w:sz="0" w:space="0" w:color="auto"/>
        <w:right w:val="none" w:sz="0" w:space="0" w:color="auto"/>
      </w:divBdr>
    </w:div>
    <w:div w:id="822236941">
      <w:bodyDiv w:val="1"/>
      <w:marLeft w:val="0"/>
      <w:marRight w:val="0"/>
      <w:marTop w:val="0"/>
      <w:marBottom w:val="0"/>
      <w:divBdr>
        <w:top w:val="none" w:sz="0" w:space="0" w:color="auto"/>
        <w:left w:val="none" w:sz="0" w:space="0" w:color="auto"/>
        <w:bottom w:val="none" w:sz="0" w:space="0" w:color="auto"/>
        <w:right w:val="none" w:sz="0" w:space="0" w:color="auto"/>
      </w:divBdr>
      <w:divsChild>
        <w:div w:id="713189361">
          <w:marLeft w:val="0"/>
          <w:marRight w:val="0"/>
          <w:marTop w:val="0"/>
          <w:marBottom w:val="0"/>
          <w:divBdr>
            <w:top w:val="none" w:sz="0" w:space="0" w:color="auto"/>
            <w:left w:val="none" w:sz="0" w:space="0" w:color="auto"/>
            <w:bottom w:val="none" w:sz="0" w:space="0" w:color="auto"/>
            <w:right w:val="none" w:sz="0" w:space="0" w:color="auto"/>
          </w:divBdr>
          <w:divsChild>
            <w:div w:id="530261679">
              <w:marLeft w:val="0"/>
              <w:marRight w:val="0"/>
              <w:marTop w:val="0"/>
              <w:marBottom w:val="0"/>
              <w:divBdr>
                <w:top w:val="none" w:sz="0" w:space="0" w:color="auto"/>
                <w:left w:val="single" w:sz="6" w:space="0" w:color="D6DAE1"/>
                <w:bottom w:val="none" w:sz="0" w:space="0" w:color="auto"/>
                <w:right w:val="single" w:sz="6" w:space="0" w:color="D6DAE1"/>
              </w:divBdr>
              <w:divsChild>
                <w:div w:id="1780636559">
                  <w:marLeft w:val="-15"/>
                  <w:marRight w:val="0"/>
                  <w:marTop w:val="0"/>
                  <w:marBottom w:val="0"/>
                  <w:divBdr>
                    <w:top w:val="none" w:sz="0" w:space="0" w:color="auto"/>
                    <w:left w:val="none" w:sz="0" w:space="0" w:color="auto"/>
                    <w:bottom w:val="none" w:sz="0" w:space="0" w:color="auto"/>
                    <w:right w:val="none" w:sz="0" w:space="0" w:color="auto"/>
                  </w:divBdr>
                  <w:divsChild>
                    <w:div w:id="74399154">
                      <w:marLeft w:val="0"/>
                      <w:marRight w:val="0"/>
                      <w:marTop w:val="0"/>
                      <w:marBottom w:val="0"/>
                      <w:divBdr>
                        <w:top w:val="none" w:sz="0" w:space="0" w:color="auto"/>
                        <w:left w:val="single" w:sz="6" w:space="0" w:color="D6DAE1"/>
                        <w:bottom w:val="none" w:sz="0" w:space="0" w:color="auto"/>
                        <w:right w:val="single" w:sz="6" w:space="0" w:color="D6DAE1"/>
                      </w:divBdr>
                      <w:divsChild>
                        <w:div w:id="906305385">
                          <w:marLeft w:val="0"/>
                          <w:marRight w:val="0"/>
                          <w:marTop w:val="0"/>
                          <w:marBottom w:val="0"/>
                          <w:divBdr>
                            <w:top w:val="none" w:sz="0" w:space="0" w:color="auto"/>
                            <w:left w:val="none" w:sz="0" w:space="0" w:color="auto"/>
                            <w:bottom w:val="none" w:sz="0" w:space="0" w:color="auto"/>
                            <w:right w:val="none" w:sz="0" w:space="0" w:color="auto"/>
                          </w:divBdr>
                          <w:divsChild>
                            <w:div w:id="483738560">
                              <w:marLeft w:val="0"/>
                              <w:marRight w:val="0"/>
                              <w:marTop w:val="0"/>
                              <w:marBottom w:val="0"/>
                              <w:divBdr>
                                <w:top w:val="none" w:sz="0" w:space="0" w:color="auto"/>
                                <w:left w:val="none" w:sz="0" w:space="0" w:color="auto"/>
                                <w:bottom w:val="none" w:sz="0" w:space="0" w:color="auto"/>
                                <w:right w:val="none" w:sz="0" w:space="0" w:color="auto"/>
                              </w:divBdr>
                              <w:divsChild>
                                <w:div w:id="1031541185">
                                  <w:marLeft w:val="0"/>
                                  <w:marRight w:val="0"/>
                                  <w:marTop w:val="0"/>
                                  <w:marBottom w:val="0"/>
                                  <w:divBdr>
                                    <w:top w:val="none" w:sz="0" w:space="0" w:color="auto"/>
                                    <w:left w:val="none" w:sz="0" w:space="0" w:color="auto"/>
                                    <w:bottom w:val="none" w:sz="0" w:space="0" w:color="auto"/>
                                    <w:right w:val="none" w:sz="0" w:space="0" w:color="auto"/>
                                  </w:divBdr>
                                  <w:divsChild>
                                    <w:div w:id="1311129954">
                                      <w:marLeft w:val="0"/>
                                      <w:marRight w:val="0"/>
                                      <w:marTop w:val="0"/>
                                      <w:marBottom w:val="0"/>
                                      <w:divBdr>
                                        <w:top w:val="none" w:sz="0" w:space="0" w:color="auto"/>
                                        <w:left w:val="none" w:sz="0" w:space="0" w:color="auto"/>
                                        <w:bottom w:val="none" w:sz="0" w:space="0" w:color="auto"/>
                                        <w:right w:val="none" w:sz="0" w:space="0" w:color="auto"/>
                                      </w:divBdr>
                                      <w:divsChild>
                                        <w:div w:id="1454667740">
                                          <w:marLeft w:val="0"/>
                                          <w:marRight w:val="0"/>
                                          <w:marTop w:val="75"/>
                                          <w:marBottom w:val="0"/>
                                          <w:divBdr>
                                            <w:top w:val="none" w:sz="0" w:space="0" w:color="auto"/>
                                            <w:left w:val="none" w:sz="0" w:space="0" w:color="auto"/>
                                            <w:bottom w:val="none" w:sz="0" w:space="0" w:color="auto"/>
                                            <w:right w:val="none" w:sz="0" w:space="0" w:color="auto"/>
                                          </w:divBdr>
                                          <w:divsChild>
                                            <w:div w:id="462234929">
                                              <w:marLeft w:val="0"/>
                                              <w:marRight w:val="0"/>
                                              <w:marTop w:val="0"/>
                                              <w:marBottom w:val="0"/>
                                              <w:divBdr>
                                                <w:top w:val="none" w:sz="0" w:space="0" w:color="auto"/>
                                                <w:left w:val="none" w:sz="0" w:space="0" w:color="auto"/>
                                                <w:bottom w:val="none" w:sz="0" w:space="0" w:color="auto"/>
                                                <w:right w:val="none" w:sz="0" w:space="0" w:color="auto"/>
                                              </w:divBdr>
                                              <w:divsChild>
                                                <w:div w:id="147092605">
                                                  <w:marLeft w:val="705"/>
                                                  <w:marRight w:val="0"/>
                                                  <w:marTop w:val="0"/>
                                                  <w:marBottom w:val="240"/>
                                                  <w:divBdr>
                                                    <w:top w:val="none" w:sz="0" w:space="0" w:color="auto"/>
                                                    <w:left w:val="none" w:sz="0" w:space="0" w:color="auto"/>
                                                    <w:bottom w:val="none" w:sz="0" w:space="0" w:color="auto"/>
                                                    <w:right w:val="none" w:sz="0" w:space="0" w:color="auto"/>
                                                  </w:divBdr>
                                                </w:div>
                                                <w:div w:id="252862025">
                                                  <w:marLeft w:val="0"/>
                                                  <w:marRight w:val="0"/>
                                                  <w:marTop w:val="0"/>
                                                  <w:marBottom w:val="200"/>
                                                  <w:divBdr>
                                                    <w:top w:val="none" w:sz="0" w:space="0" w:color="auto"/>
                                                    <w:left w:val="none" w:sz="0" w:space="0" w:color="auto"/>
                                                    <w:bottom w:val="none" w:sz="0" w:space="0" w:color="auto"/>
                                                    <w:right w:val="none" w:sz="0" w:space="0" w:color="auto"/>
                                                  </w:divBdr>
                                                </w:div>
                                                <w:div w:id="469371015">
                                                  <w:marLeft w:val="705"/>
                                                  <w:marRight w:val="0"/>
                                                  <w:marTop w:val="0"/>
                                                  <w:marBottom w:val="200"/>
                                                  <w:divBdr>
                                                    <w:top w:val="none" w:sz="0" w:space="0" w:color="auto"/>
                                                    <w:left w:val="none" w:sz="0" w:space="0" w:color="auto"/>
                                                    <w:bottom w:val="none" w:sz="0" w:space="0" w:color="auto"/>
                                                    <w:right w:val="none" w:sz="0" w:space="0" w:color="auto"/>
                                                  </w:divBdr>
                                                </w:div>
                                                <w:div w:id="496770024">
                                                  <w:marLeft w:val="0"/>
                                                  <w:marRight w:val="0"/>
                                                  <w:marTop w:val="0"/>
                                                  <w:marBottom w:val="200"/>
                                                  <w:divBdr>
                                                    <w:top w:val="none" w:sz="0" w:space="0" w:color="auto"/>
                                                    <w:left w:val="none" w:sz="0" w:space="0" w:color="auto"/>
                                                    <w:bottom w:val="none" w:sz="0" w:space="0" w:color="auto"/>
                                                    <w:right w:val="none" w:sz="0" w:space="0" w:color="auto"/>
                                                  </w:divBdr>
                                                  <w:divsChild>
                                                    <w:div w:id="952710575">
                                                      <w:marLeft w:val="705"/>
                                                      <w:marRight w:val="0"/>
                                                      <w:marTop w:val="0"/>
                                                      <w:marBottom w:val="240"/>
                                                      <w:divBdr>
                                                        <w:top w:val="none" w:sz="0" w:space="0" w:color="auto"/>
                                                        <w:left w:val="none" w:sz="0" w:space="0" w:color="auto"/>
                                                        <w:bottom w:val="none" w:sz="0" w:space="0" w:color="auto"/>
                                                        <w:right w:val="none" w:sz="0" w:space="0" w:color="auto"/>
                                                      </w:divBdr>
                                                    </w:div>
                                                    <w:div w:id="1258364791">
                                                      <w:marLeft w:val="705"/>
                                                      <w:marRight w:val="0"/>
                                                      <w:marTop w:val="0"/>
                                                      <w:marBottom w:val="240"/>
                                                      <w:divBdr>
                                                        <w:top w:val="none" w:sz="0" w:space="0" w:color="auto"/>
                                                        <w:left w:val="none" w:sz="0" w:space="0" w:color="auto"/>
                                                        <w:bottom w:val="none" w:sz="0" w:space="0" w:color="auto"/>
                                                        <w:right w:val="none" w:sz="0" w:space="0" w:color="auto"/>
                                                      </w:divBdr>
                                                    </w:div>
                                                  </w:divsChild>
                                                </w:div>
                                                <w:div w:id="809978994">
                                                  <w:marLeft w:val="0"/>
                                                  <w:marRight w:val="0"/>
                                                  <w:marTop w:val="0"/>
                                                  <w:marBottom w:val="200"/>
                                                  <w:divBdr>
                                                    <w:top w:val="none" w:sz="0" w:space="0" w:color="auto"/>
                                                    <w:left w:val="none" w:sz="0" w:space="0" w:color="auto"/>
                                                    <w:bottom w:val="none" w:sz="0" w:space="0" w:color="auto"/>
                                                    <w:right w:val="none" w:sz="0" w:space="0" w:color="auto"/>
                                                  </w:divBdr>
                                                </w:div>
                                                <w:div w:id="826287390">
                                                  <w:marLeft w:val="705"/>
                                                  <w:marRight w:val="0"/>
                                                  <w:marTop w:val="0"/>
                                                  <w:marBottom w:val="240"/>
                                                  <w:divBdr>
                                                    <w:top w:val="none" w:sz="0" w:space="0" w:color="auto"/>
                                                    <w:left w:val="none" w:sz="0" w:space="0" w:color="auto"/>
                                                    <w:bottom w:val="none" w:sz="0" w:space="0" w:color="auto"/>
                                                    <w:right w:val="none" w:sz="0" w:space="0" w:color="auto"/>
                                                  </w:divBdr>
                                                </w:div>
                                                <w:div w:id="906038371">
                                                  <w:marLeft w:val="705"/>
                                                  <w:marRight w:val="0"/>
                                                  <w:marTop w:val="0"/>
                                                  <w:marBottom w:val="200"/>
                                                  <w:divBdr>
                                                    <w:top w:val="none" w:sz="0" w:space="0" w:color="auto"/>
                                                    <w:left w:val="none" w:sz="0" w:space="0" w:color="auto"/>
                                                    <w:bottom w:val="none" w:sz="0" w:space="0" w:color="auto"/>
                                                    <w:right w:val="none" w:sz="0" w:space="0" w:color="auto"/>
                                                  </w:divBdr>
                                                </w:div>
                                                <w:div w:id="147818707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718834">
      <w:bodyDiv w:val="1"/>
      <w:marLeft w:val="0"/>
      <w:marRight w:val="0"/>
      <w:marTop w:val="0"/>
      <w:marBottom w:val="0"/>
      <w:divBdr>
        <w:top w:val="none" w:sz="0" w:space="0" w:color="auto"/>
        <w:left w:val="none" w:sz="0" w:space="0" w:color="auto"/>
        <w:bottom w:val="none" w:sz="0" w:space="0" w:color="auto"/>
        <w:right w:val="none" w:sz="0" w:space="0" w:color="auto"/>
      </w:divBdr>
    </w:div>
    <w:div w:id="854807532">
      <w:bodyDiv w:val="1"/>
      <w:marLeft w:val="0"/>
      <w:marRight w:val="0"/>
      <w:marTop w:val="0"/>
      <w:marBottom w:val="0"/>
      <w:divBdr>
        <w:top w:val="none" w:sz="0" w:space="0" w:color="auto"/>
        <w:left w:val="none" w:sz="0" w:space="0" w:color="auto"/>
        <w:bottom w:val="none" w:sz="0" w:space="0" w:color="auto"/>
        <w:right w:val="none" w:sz="0" w:space="0" w:color="auto"/>
      </w:divBdr>
    </w:div>
    <w:div w:id="855926147">
      <w:bodyDiv w:val="1"/>
      <w:marLeft w:val="0"/>
      <w:marRight w:val="0"/>
      <w:marTop w:val="0"/>
      <w:marBottom w:val="0"/>
      <w:divBdr>
        <w:top w:val="none" w:sz="0" w:space="0" w:color="auto"/>
        <w:left w:val="none" w:sz="0" w:space="0" w:color="auto"/>
        <w:bottom w:val="none" w:sz="0" w:space="0" w:color="auto"/>
        <w:right w:val="none" w:sz="0" w:space="0" w:color="auto"/>
      </w:divBdr>
    </w:div>
    <w:div w:id="866411133">
      <w:bodyDiv w:val="1"/>
      <w:marLeft w:val="0"/>
      <w:marRight w:val="0"/>
      <w:marTop w:val="0"/>
      <w:marBottom w:val="0"/>
      <w:divBdr>
        <w:top w:val="none" w:sz="0" w:space="0" w:color="auto"/>
        <w:left w:val="none" w:sz="0" w:space="0" w:color="auto"/>
        <w:bottom w:val="none" w:sz="0" w:space="0" w:color="auto"/>
        <w:right w:val="none" w:sz="0" w:space="0" w:color="auto"/>
      </w:divBdr>
    </w:div>
    <w:div w:id="915557319">
      <w:bodyDiv w:val="1"/>
      <w:marLeft w:val="0"/>
      <w:marRight w:val="0"/>
      <w:marTop w:val="0"/>
      <w:marBottom w:val="0"/>
      <w:divBdr>
        <w:top w:val="none" w:sz="0" w:space="0" w:color="auto"/>
        <w:left w:val="none" w:sz="0" w:space="0" w:color="auto"/>
        <w:bottom w:val="none" w:sz="0" w:space="0" w:color="auto"/>
        <w:right w:val="none" w:sz="0" w:space="0" w:color="auto"/>
      </w:divBdr>
    </w:div>
    <w:div w:id="916592035">
      <w:bodyDiv w:val="1"/>
      <w:marLeft w:val="0"/>
      <w:marRight w:val="0"/>
      <w:marTop w:val="0"/>
      <w:marBottom w:val="0"/>
      <w:divBdr>
        <w:top w:val="none" w:sz="0" w:space="0" w:color="auto"/>
        <w:left w:val="none" w:sz="0" w:space="0" w:color="auto"/>
        <w:bottom w:val="none" w:sz="0" w:space="0" w:color="auto"/>
        <w:right w:val="none" w:sz="0" w:space="0" w:color="auto"/>
      </w:divBdr>
    </w:div>
    <w:div w:id="939262163">
      <w:bodyDiv w:val="1"/>
      <w:marLeft w:val="0"/>
      <w:marRight w:val="0"/>
      <w:marTop w:val="0"/>
      <w:marBottom w:val="0"/>
      <w:divBdr>
        <w:top w:val="none" w:sz="0" w:space="0" w:color="auto"/>
        <w:left w:val="none" w:sz="0" w:space="0" w:color="auto"/>
        <w:bottom w:val="none" w:sz="0" w:space="0" w:color="auto"/>
        <w:right w:val="none" w:sz="0" w:space="0" w:color="auto"/>
      </w:divBdr>
      <w:divsChild>
        <w:div w:id="345407248">
          <w:marLeft w:val="0"/>
          <w:marRight w:val="0"/>
          <w:marTop w:val="0"/>
          <w:marBottom w:val="0"/>
          <w:divBdr>
            <w:top w:val="none" w:sz="0" w:space="0" w:color="auto"/>
            <w:left w:val="none" w:sz="0" w:space="0" w:color="auto"/>
            <w:bottom w:val="none" w:sz="0" w:space="0" w:color="auto"/>
            <w:right w:val="none" w:sz="0" w:space="0" w:color="auto"/>
          </w:divBdr>
          <w:divsChild>
            <w:div w:id="1455637766">
              <w:marLeft w:val="0"/>
              <w:marRight w:val="0"/>
              <w:marTop w:val="0"/>
              <w:marBottom w:val="0"/>
              <w:divBdr>
                <w:top w:val="none" w:sz="0" w:space="0" w:color="auto"/>
                <w:left w:val="none" w:sz="0" w:space="0" w:color="auto"/>
                <w:bottom w:val="none" w:sz="0" w:space="0" w:color="auto"/>
                <w:right w:val="none" w:sz="0" w:space="0" w:color="auto"/>
              </w:divBdr>
              <w:divsChild>
                <w:div w:id="1663048825">
                  <w:marLeft w:val="0"/>
                  <w:marRight w:val="0"/>
                  <w:marTop w:val="0"/>
                  <w:marBottom w:val="0"/>
                  <w:divBdr>
                    <w:top w:val="none" w:sz="0" w:space="0" w:color="auto"/>
                    <w:left w:val="none" w:sz="0" w:space="0" w:color="auto"/>
                    <w:bottom w:val="none" w:sz="0" w:space="0" w:color="auto"/>
                    <w:right w:val="none" w:sz="0" w:space="0" w:color="auto"/>
                  </w:divBdr>
                  <w:divsChild>
                    <w:div w:id="260380412">
                      <w:marLeft w:val="0"/>
                      <w:marRight w:val="0"/>
                      <w:marTop w:val="0"/>
                      <w:marBottom w:val="0"/>
                      <w:divBdr>
                        <w:top w:val="none" w:sz="0" w:space="0" w:color="auto"/>
                        <w:left w:val="none" w:sz="0" w:space="0" w:color="auto"/>
                        <w:bottom w:val="none" w:sz="0" w:space="0" w:color="auto"/>
                        <w:right w:val="none" w:sz="0" w:space="0" w:color="auto"/>
                      </w:divBdr>
                      <w:divsChild>
                        <w:div w:id="1503205048">
                          <w:marLeft w:val="0"/>
                          <w:marRight w:val="0"/>
                          <w:marTop w:val="0"/>
                          <w:marBottom w:val="0"/>
                          <w:divBdr>
                            <w:top w:val="none" w:sz="0" w:space="0" w:color="auto"/>
                            <w:left w:val="none" w:sz="0" w:space="0" w:color="auto"/>
                            <w:bottom w:val="none" w:sz="0" w:space="0" w:color="auto"/>
                            <w:right w:val="none" w:sz="0" w:space="0" w:color="auto"/>
                          </w:divBdr>
                          <w:divsChild>
                            <w:div w:id="2118743941">
                              <w:marLeft w:val="0"/>
                              <w:marRight w:val="0"/>
                              <w:marTop w:val="0"/>
                              <w:marBottom w:val="0"/>
                              <w:divBdr>
                                <w:top w:val="none" w:sz="0" w:space="0" w:color="auto"/>
                                <w:left w:val="none" w:sz="0" w:space="0" w:color="auto"/>
                                <w:bottom w:val="none" w:sz="0" w:space="0" w:color="auto"/>
                                <w:right w:val="none" w:sz="0" w:space="0" w:color="auto"/>
                              </w:divBdr>
                              <w:divsChild>
                                <w:div w:id="1427114011">
                                  <w:marLeft w:val="0"/>
                                  <w:marRight w:val="0"/>
                                  <w:marTop w:val="0"/>
                                  <w:marBottom w:val="0"/>
                                  <w:divBdr>
                                    <w:top w:val="none" w:sz="0" w:space="0" w:color="auto"/>
                                    <w:left w:val="none" w:sz="0" w:space="0" w:color="auto"/>
                                    <w:bottom w:val="none" w:sz="0" w:space="0" w:color="auto"/>
                                    <w:right w:val="none" w:sz="0" w:space="0" w:color="auto"/>
                                  </w:divBdr>
                                  <w:divsChild>
                                    <w:div w:id="1067605815">
                                      <w:marLeft w:val="0"/>
                                      <w:marRight w:val="0"/>
                                      <w:marTop w:val="0"/>
                                      <w:marBottom w:val="0"/>
                                      <w:divBdr>
                                        <w:top w:val="none" w:sz="0" w:space="0" w:color="auto"/>
                                        <w:left w:val="none" w:sz="0" w:space="0" w:color="auto"/>
                                        <w:bottom w:val="none" w:sz="0" w:space="0" w:color="auto"/>
                                        <w:right w:val="none" w:sz="0" w:space="0" w:color="auto"/>
                                      </w:divBdr>
                                      <w:divsChild>
                                        <w:div w:id="1927030521">
                                          <w:marLeft w:val="0"/>
                                          <w:marRight w:val="0"/>
                                          <w:marTop w:val="0"/>
                                          <w:marBottom w:val="0"/>
                                          <w:divBdr>
                                            <w:top w:val="none" w:sz="0" w:space="0" w:color="auto"/>
                                            <w:left w:val="none" w:sz="0" w:space="0" w:color="auto"/>
                                            <w:bottom w:val="none" w:sz="0" w:space="0" w:color="auto"/>
                                            <w:right w:val="none" w:sz="0" w:space="0" w:color="auto"/>
                                          </w:divBdr>
                                          <w:divsChild>
                                            <w:div w:id="16973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935970">
      <w:bodyDiv w:val="1"/>
      <w:marLeft w:val="0"/>
      <w:marRight w:val="0"/>
      <w:marTop w:val="0"/>
      <w:marBottom w:val="0"/>
      <w:divBdr>
        <w:top w:val="none" w:sz="0" w:space="0" w:color="auto"/>
        <w:left w:val="none" w:sz="0" w:space="0" w:color="auto"/>
        <w:bottom w:val="none" w:sz="0" w:space="0" w:color="auto"/>
        <w:right w:val="none" w:sz="0" w:space="0" w:color="auto"/>
      </w:divBdr>
    </w:div>
    <w:div w:id="957644615">
      <w:bodyDiv w:val="1"/>
      <w:marLeft w:val="0"/>
      <w:marRight w:val="0"/>
      <w:marTop w:val="0"/>
      <w:marBottom w:val="0"/>
      <w:divBdr>
        <w:top w:val="none" w:sz="0" w:space="0" w:color="auto"/>
        <w:left w:val="none" w:sz="0" w:space="0" w:color="auto"/>
        <w:bottom w:val="none" w:sz="0" w:space="0" w:color="auto"/>
        <w:right w:val="none" w:sz="0" w:space="0" w:color="auto"/>
      </w:divBdr>
    </w:div>
    <w:div w:id="997422316">
      <w:bodyDiv w:val="1"/>
      <w:marLeft w:val="0"/>
      <w:marRight w:val="0"/>
      <w:marTop w:val="0"/>
      <w:marBottom w:val="0"/>
      <w:divBdr>
        <w:top w:val="none" w:sz="0" w:space="0" w:color="auto"/>
        <w:left w:val="none" w:sz="0" w:space="0" w:color="auto"/>
        <w:bottom w:val="none" w:sz="0" w:space="0" w:color="auto"/>
        <w:right w:val="none" w:sz="0" w:space="0" w:color="auto"/>
      </w:divBdr>
    </w:div>
    <w:div w:id="1002244224">
      <w:bodyDiv w:val="1"/>
      <w:marLeft w:val="0"/>
      <w:marRight w:val="0"/>
      <w:marTop w:val="0"/>
      <w:marBottom w:val="0"/>
      <w:divBdr>
        <w:top w:val="none" w:sz="0" w:space="0" w:color="auto"/>
        <w:left w:val="none" w:sz="0" w:space="0" w:color="auto"/>
        <w:bottom w:val="none" w:sz="0" w:space="0" w:color="auto"/>
        <w:right w:val="none" w:sz="0" w:space="0" w:color="auto"/>
      </w:divBdr>
    </w:div>
    <w:div w:id="1022971968">
      <w:bodyDiv w:val="1"/>
      <w:marLeft w:val="0"/>
      <w:marRight w:val="0"/>
      <w:marTop w:val="0"/>
      <w:marBottom w:val="0"/>
      <w:divBdr>
        <w:top w:val="none" w:sz="0" w:space="0" w:color="auto"/>
        <w:left w:val="none" w:sz="0" w:space="0" w:color="auto"/>
        <w:bottom w:val="none" w:sz="0" w:space="0" w:color="auto"/>
        <w:right w:val="none" w:sz="0" w:space="0" w:color="auto"/>
      </w:divBdr>
    </w:div>
    <w:div w:id="1066759162">
      <w:bodyDiv w:val="1"/>
      <w:marLeft w:val="0"/>
      <w:marRight w:val="0"/>
      <w:marTop w:val="0"/>
      <w:marBottom w:val="0"/>
      <w:divBdr>
        <w:top w:val="none" w:sz="0" w:space="0" w:color="auto"/>
        <w:left w:val="none" w:sz="0" w:space="0" w:color="auto"/>
        <w:bottom w:val="none" w:sz="0" w:space="0" w:color="auto"/>
        <w:right w:val="none" w:sz="0" w:space="0" w:color="auto"/>
      </w:divBdr>
    </w:div>
    <w:div w:id="1072895885">
      <w:bodyDiv w:val="1"/>
      <w:marLeft w:val="0"/>
      <w:marRight w:val="0"/>
      <w:marTop w:val="0"/>
      <w:marBottom w:val="0"/>
      <w:divBdr>
        <w:top w:val="none" w:sz="0" w:space="0" w:color="auto"/>
        <w:left w:val="none" w:sz="0" w:space="0" w:color="auto"/>
        <w:bottom w:val="none" w:sz="0" w:space="0" w:color="auto"/>
        <w:right w:val="none" w:sz="0" w:space="0" w:color="auto"/>
      </w:divBdr>
    </w:div>
    <w:div w:id="1095639417">
      <w:bodyDiv w:val="1"/>
      <w:marLeft w:val="0"/>
      <w:marRight w:val="0"/>
      <w:marTop w:val="0"/>
      <w:marBottom w:val="0"/>
      <w:divBdr>
        <w:top w:val="none" w:sz="0" w:space="0" w:color="auto"/>
        <w:left w:val="none" w:sz="0" w:space="0" w:color="auto"/>
        <w:bottom w:val="none" w:sz="0" w:space="0" w:color="auto"/>
        <w:right w:val="none" w:sz="0" w:space="0" w:color="auto"/>
      </w:divBdr>
    </w:div>
    <w:div w:id="1114981245">
      <w:bodyDiv w:val="1"/>
      <w:marLeft w:val="0"/>
      <w:marRight w:val="0"/>
      <w:marTop w:val="0"/>
      <w:marBottom w:val="0"/>
      <w:divBdr>
        <w:top w:val="none" w:sz="0" w:space="0" w:color="auto"/>
        <w:left w:val="none" w:sz="0" w:space="0" w:color="auto"/>
        <w:bottom w:val="none" w:sz="0" w:space="0" w:color="auto"/>
        <w:right w:val="none" w:sz="0" w:space="0" w:color="auto"/>
      </w:divBdr>
    </w:div>
    <w:div w:id="1117063621">
      <w:bodyDiv w:val="1"/>
      <w:marLeft w:val="0"/>
      <w:marRight w:val="0"/>
      <w:marTop w:val="0"/>
      <w:marBottom w:val="0"/>
      <w:divBdr>
        <w:top w:val="none" w:sz="0" w:space="0" w:color="auto"/>
        <w:left w:val="none" w:sz="0" w:space="0" w:color="auto"/>
        <w:bottom w:val="none" w:sz="0" w:space="0" w:color="auto"/>
        <w:right w:val="none" w:sz="0" w:space="0" w:color="auto"/>
      </w:divBdr>
    </w:div>
    <w:div w:id="1201893197">
      <w:bodyDiv w:val="1"/>
      <w:marLeft w:val="0"/>
      <w:marRight w:val="0"/>
      <w:marTop w:val="0"/>
      <w:marBottom w:val="0"/>
      <w:divBdr>
        <w:top w:val="none" w:sz="0" w:space="0" w:color="auto"/>
        <w:left w:val="none" w:sz="0" w:space="0" w:color="auto"/>
        <w:bottom w:val="none" w:sz="0" w:space="0" w:color="auto"/>
        <w:right w:val="none" w:sz="0" w:space="0" w:color="auto"/>
      </w:divBdr>
    </w:div>
    <w:div w:id="1221330798">
      <w:bodyDiv w:val="1"/>
      <w:marLeft w:val="0"/>
      <w:marRight w:val="0"/>
      <w:marTop w:val="0"/>
      <w:marBottom w:val="0"/>
      <w:divBdr>
        <w:top w:val="none" w:sz="0" w:space="0" w:color="auto"/>
        <w:left w:val="none" w:sz="0" w:space="0" w:color="auto"/>
        <w:bottom w:val="none" w:sz="0" w:space="0" w:color="auto"/>
        <w:right w:val="none" w:sz="0" w:space="0" w:color="auto"/>
      </w:divBdr>
    </w:div>
    <w:div w:id="1263025362">
      <w:bodyDiv w:val="1"/>
      <w:marLeft w:val="0"/>
      <w:marRight w:val="0"/>
      <w:marTop w:val="0"/>
      <w:marBottom w:val="0"/>
      <w:divBdr>
        <w:top w:val="none" w:sz="0" w:space="0" w:color="auto"/>
        <w:left w:val="none" w:sz="0" w:space="0" w:color="auto"/>
        <w:bottom w:val="none" w:sz="0" w:space="0" w:color="auto"/>
        <w:right w:val="none" w:sz="0" w:space="0" w:color="auto"/>
      </w:divBdr>
    </w:div>
    <w:div w:id="1276863447">
      <w:bodyDiv w:val="1"/>
      <w:marLeft w:val="0"/>
      <w:marRight w:val="0"/>
      <w:marTop w:val="0"/>
      <w:marBottom w:val="0"/>
      <w:divBdr>
        <w:top w:val="none" w:sz="0" w:space="0" w:color="auto"/>
        <w:left w:val="none" w:sz="0" w:space="0" w:color="auto"/>
        <w:bottom w:val="none" w:sz="0" w:space="0" w:color="auto"/>
        <w:right w:val="none" w:sz="0" w:space="0" w:color="auto"/>
      </w:divBdr>
    </w:div>
    <w:div w:id="1326015367">
      <w:bodyDiv w:val="1"/>
      <w:marLeft w:val="0"/>
      <w:marRight w:val="0"/>
      <w:marTop w:val="0"/>
      <w:marBottom w:val="0"/>
      <w:divBdr>
        <w:top w:val="none" w:sz="0" w:space="0" w:color="auto"/>
        <w:left w:val="none" w:sz="0" w:space="0" w:color="auto"/>
        <w:bottom w:val="none" w:sz="0" w:space="0" w:color="auto"/>
        <w:right w:val="none" w:sz="0" w:space="0" w:color="auto"/>
      </w:divBdr>
    </w:div>
    <w:div w:id="1326131589">
      <w:bodyDiv w:val="1"/>
      <w:marLeft w:val="0"/>
      <w:marRight w:val="0"/>
      <w:marTop w:val="0"/>
      <w:marBottom w:val="0"/>
      <w:divBdr>
        <w:top w:val="none" w:sz="0" w:space="0" w:color="auto"/>
        <w:left w:val="none" w:sz="0" w:space="0" w:color="auto"/>
        <w:bottom w:val="none" w:sz="0" w:space="0" w:color="auto"/>
        <w:right w:val="none" w:sz="0" w:space="0" w:color="auto"/>
      </w:divBdr>
    </w:div>
    <w:div w:id="1333147778">
      <w:bodyDiv w:val="1"/>
      <w:marLeft w:val="0"/>
      <w:marRight w:val="0"/>
      <w:marTop w:val="0"/>
      <w:marBottom w:val="0"/>
      <w:divBdr>
        <w:top w:val="none" w:sz="0" w:space="0" w:color="auto"/>
        <w:left w:val="none" w:sz="0" w:space="0" w:color="auto"/>
        <w:bottom w:val="none" w:sz="0" w:space="0" w:color="auto"/>
        <w:right w:val="none" w:sz="0" w:space="0" w:color="auto"/>
      </w:divBdr>
    </w:div>
    <w:div w:id="1371372438">
      <w:bodyDiv w:val="1"/>
      <w:marLeft w:val="0"/>
      <w:marRight w:val="0"/>
      <w:marTop w:val="0"/>
      <w:marBottom w:val="0"/>
      <w:divBdr>
        <w:top w:val="none" w:sz="0" w:space="0" w:color="auto"/>
        <w:left w:val="none" w:sz="0" w:space="0" w:color="auto"/>
        <w:bottom w:val="none" w:sz="0" w:space="0" w:color="auto"/>
        <w:right w:val="none" w:sz="0" w:space="0" w:color="auto"/>
      </w:divBdr>
    </w:div>
    <w:div w:id="1375079614">
      <w:bodyDiv w:val="1"/>
      <w:marLeft w:val="0"/>
      <w:marRight w:val="0"/>
      <w:marTop w:val="0"/>
      <w:marBottom w:val="0"/>
      <w:divBdr>
        <w:top w:val="none" w:sz="0" w:space="0" w:color="auto"/>
        <w:left w:val="none" w:sz="0" w:space="0" w:color="auto"/>
        <w:bottom w:val="none" w:sz="0" w:space="0" w:color="auto"/>
        <w:right w:val="none" w:sz="0" w:space="0" w:color="auto"/>
      </w:divBdr>
    </w:div>
    <w:div w:id="1376737710">
      <w:bodyDiv w:val="1"/>
      <w:marLeft w:val="0"/>
      <w:marRight w:val="0"/>
      <w:marTop w:val="0"/>
      <w:marBottom w:val="0"/>
      <w:divBdr>
        <w:top w:val="none" w:sz="0" w:space="0" w:color="auto"/>
        <w:left w:val="none" w:sz="0" w:space="0" w:color="auto"/>
        <w:bottom w:val="none" w:sz="0" w:space="0" w:color="auto"/>
        <w:right w:val="none" w:sz="0" w:space="0" w:color="auto"/>
      </w:divBdr>
    </w:div>
    <w:div w:id="1378433826">
      <w:bodyDiv w:val="1"/>
      <w:marLeft w:val="0"/>
      <w:marRight w:val="0"/>
      <w:marTop w:val="0"/>
      <w:marBottom w:val="0"/>
      <w:divBdr>
        <w:top w:val="none" w:sz="0" w:space="0" w:color="auto"/>
        <w:left w:val="none" w:sz="0" w:space="0" w:color="auto"/>
        <w:bottom w:val="none" w:sz="0" w:space="0" w:color="auto"/>
        <w:right w:val="none" w:sz="0" w:space="0" w:color="auto"/>
      </w:divBdr>
    </w:div>
    <w:div w:id="1383746455">
      <w:bodyDiv w:val="1"/>
      <w:marLeft w:val="0"/>
      <w:marRight w:val="0"/>
      <w:marTop w:val="0"/>
      <w:marBottom w:val="0"/>
      <w:divBdr>
        <w:top w:val="none" w:sz="0" w:space="0" w:color="auto"/>
        <w:left w:val="none" w:sz="0" w:space="0" w:color="auto"/>
        <w:bottom w:val="none" w:sz="0" w:space="0" w:color="auto"/>
        <w:right w:val="none" w:sz="0" w:space="0" w:color="auto"/>
      </w:divBdr>
    </w:div>
    <w:div w:id="1384475972">
      <w:bodyDiv w:val="1"/>
      <w:marLeft w:val="0"/>
      <w:marRight w:val="0"/>
      <w:marTop w:val="0"/>
      <w:marBottom w:val="0"/>
      <w:divBdr>
        <w:top w:val="none" w:sz="0" w:space="0" w:color="auto"/>
        <w:left w:val="none" w:sz="0" w:space="0" w:color="auto"/>
        <w:bottom w:val="none" w:sz="0" w:space="0" w:color="auto"/>
        <w:right w:val="none" w:sz="0" w:space="0" w:color="auto"/>
      </w:divBdr>
    </w:div>
    <w:div w:id="1419866152">
      <w:bodyDiv w:val="1"/>
      <w:marLeft w:val="0"/>
      <w:marRight w:val="0"/>
      <w:marTop w:val="0"/>
      <w:marBottom w:val="0"/>
      <w:divBdr>
        <w:top w:val="none" w:sz="0" w:space="0" w:color="auto"/>
        <w:left w:val="none" w:sz="0" w:space="0" w:color="auto"/>
        <w:bottom w:val="none" w:sz="0" w:space="0" w:color="auto"/>
        <w:right w:val="none" w:sz="0" w:space="0" w:color="auto"/>
      </w:divBdr>
    </w:div>
    <w:div w:id="1431002298">
      <w:bodyDiv w:val="1"/>
      <w:marLeft w:val="0"/>
      <w:marRight w:val="0"/>
      <w:marTop w:val="0"/>
      <w:marBottom w:val="0"/>
      <w:divBdr>
        <w:top w:val="none" w:sz="0" w:space="0" w:color="auto"/>
        <w:left w:val="none" w:sz="0" w:space="0" w:color="auto"/>
        <w:bottom w:val="none" w:sz="0" w:space="0" w:color="auto"/>
        <w:right w:val="none" w:sz="0" w:space="0" w:color="auto"/>
      </w:divBdr>
    </w:div>
    <w:div w:id="1454984569">
      <w:bodyDiv w:val="1"/>
      <w:marLeft w:val="0"/>
      <w:marRight w:val="0"/>
      <w:marTop w:val="0"/>
      <w:marBottom w:val="0"/>
      <w:divBdr>
        <w:top w:val="none" w:sz="0" w:space="0" w:color="auto"/>
        <w:left w:val="none" w:sz="0" w:space="0" w:color="auto"/>
        <w:bottom w:val="none" w:sz="0" w:space="0" w:color="auto"/>
        <w:right w:val="none" w:sz="0" w:space="0" w:color="auto"/>
      </w:divBdr>
    </w:div>
    <w:div w:id="1472481482">
      <w:bodyDiv w:val="1"/>
      <w:marLeft w:val="0"/>
      <w:marRight w:val="0"/>
      <w:marTop w:val="0"/>
      <w:marBottom w:val="0"/>
      <w:divBdr>
        <w:top w:val="none" w:sz="0" w:space="0" w:color="auto"/>
        <w:left w:val="none" w:sz="0" w:space="0" w:color="auto"/>
        <w:bottom w:val="none" w:sz="0" w:space="0" w:color="auto"/>
        <w:right w:val="none" w:sz="0" w:space="0" w:color="auto"/>
      </w:divBdr>
    </w:div>
    <w:div w:id="1489252802">
      <w:bodyDiv w:val="1"/>
      <w:marLeft w:val="0"/>
      <w:marRight w:val="0"/>
      <w:marTop w:val="0"/>
      <w:marBottom w:val="0"/>
      <w:divBdr>
        <w:top w:val="none" w:sz="0" w:space="0" w:color="auto"/>
        <w:left w:val="none" w:sz="0" w:space="0" w:color="auto"/>
        <w:bottom w:val="none" w:sz="0" w:space="0" w:color="auto"/>
        <w:right w:val="none" w:sz="0" w:space="0" w:color="auto"/>
      </w:divBdr>
    </w:div>
    <w:div w:id="1490897962">
      <w:bodyDiv w:val="1"/>
      <w:marLeft w:val="0"/>
      <w:marRight w:val="0"/>
      <w:marTop w:val="0"/>
      <w:marBottom w:val="0"/>
      <w:divBdr>
        <w:top w:val="none" w:sz="0" w:space="0" w:color="auto"/>
        <w:left w:val="none" w:sz="0" w:space="0" w:color="auto"/>
        <w:bottom w:val="none" w:sz="0" w:space="0" w:color="auto"/>
        <w:right w:val="none" w:sz="0" w:space="0" w:color="auto"/>
      </w:divBdr>
    </w:div>
    <w:div w:id="1496216387">
      <w:bodyDiv w:val="1"/>
      <w:marLeft w:val="0"/>
      <w:marRight w:val="0"/>
      <w:marTop w:val="0"/>
      <w:marBottom w:val="0"/>
      <w:divBdr>
        <w:top w:val="none" w:sz="0" w:space="0" w:color="auto"/>
        <w:left w:val="none" w:sz="0" w:space="0" w:color="auto"/>
        <w:bottom w:val="none" w:sz="0" w:space="0" w:color="auto"/>
        <w:right w:val="none" w:sz="0" w:space="0" w:color="auto"/>
      </w:divBdr>
    </w:div>
    <w:div w:id="1503817726">
      <w:bodyDiv w:val="1"/>
      <w:marLeft w:val="0"/>
      <w:marRight w:val="0"/>
      <w:marTop w:val="0"/>
      <w:marBottom w:val="0"/>
      <w:divBdr>
        <w:top w:val="none" w:sz="0" w:space="0" w:color="auto"/>
        <w:left w:val="none" w:sz="0" w:space="0" w:color="auto"/>
        <w:bottom w:val="none" w:sz="0" w:space="0" w:color="auto"/>
        <w:right w:val="none" w:sz="0" w:space="0" w:color="auto"/>
      </w:divBdr>
    </w:div>
    <w:div w:id="1533807792">
      <w:bodyDiv w:val="1"/>
      <w:marLeft w:val="0"/>
      <w:marRight w:val="0"/>
      <w:marTop w:val="0"/>
      <w:marBottom w:val="0"/>
      <w:divBdr>
        <w:top w:val="none" w:sz="0" w:space="0" w:color="auto"/>
        <w:left w:val="none" w:sz="0" w:space="0" w:color="auto"/>
        <w:bottom w:val="none" w:sz="0" w:space="0" w:color="auto"/>
        <w:right w:val="none" w:sz="0" w:space="0" w:color="auto"/>
      </w:divBdr>
    </w:div>
    <w:div w:id="1569338290">
      <w:bodyDiv w:val="1"/>
      <w:marLeft w:val="0"/>
      <w:marRight w:val="0"/>
      <w:marTop w:val="0"/>
      <w:marBottom w:val="0"/>
      <w:divBdr>
        <w:top w:val="none" w:sz="0" w:space="0" w:color="auto"/>
        <w:left w:val="none" w:sz="0" w:space="0" w:color="auto"/>
        <w:bottom w:val="none" w:sz="0" w:space="0" w:color="auto"/>
        <w:right w:val="none" w:sz="0" w:space="0" w:color="auto"/>
      </w:divBdr>
    </w:div>
    <w:div w:id="1574701153">
      <w:bodyDiv w:val="1"/>
      <w:marLeft w:val="0"/>
      <w:marRight w:val="0"/>
      <w:marTop w:val="0"/>
      <w:marBottom w:val="0"/>
      <w:divBdr>
        <w:top w:val="none" w:sz="0" w:space="0" w:color="auto"/>
        <w:left w:val="none" w:sz="0" w:space="0" w:color="auto"/>
        <w:bottom w:val="none" w:sz="0" w:space="0" w:color="auto"/>
        <w:right w:val="none" w:sz="0" w:space="0" w:color="auto"/>
      </w:divBdr>
    </w:div>
    <w:div w:id="1588658419">
      <w:bodyDiv w:val="1"/>
      <w:marLeft w:val="0"/>
      <w:marRight w:val="0"/>
      <w:marTop w:val="0"/>
      <w:marBottom w:val="0"/>
      <w:divBdr>
        <w:top w:val="none" w:sz="0" w:space="0" w:color="auto"/>
        <w:left w:val="none" w:sz="0" w:space="0" w:color="auto"/>
        <w:bottom w:val="none" w:sz="0" w:space="0" w:color="auto"/>
        <w:right w:val="none" w:sz="0" w:space="0" w:color="auto"/>
      </w:divBdr>
    </w:div>
    <w:div w:id="1642930137">
      <w:bodyDiv w:val="1"/>
      <w:marLeft w:val="0"/>
      <w:marRight w:val="0"/>
      <w:marTop w:val="0"/>
      <w:marBottom w:val="0"/>
      <w:divBdr>
        <w:top w:val="none" w:sz="0" w:space="0" w:color="auto"/>
        <w:left w:val="none" w:sz="0" w:space="0" w:color="auto"/>
        <w:bottom w:val="none" w:sz="0" w:space="0" w:color="auto"/>
        <w:right w:val="none" w:sz="0" w:space="0" w:color="auto"/>
      </w:divBdr>
    </w:div>
    <w:div w:id="1642954312">
      <w:bodyDiv w:val="1"/>
      <w:marLeft w:val="0"/>
      <w:marRight w:val="0"/>
      <w:marTop w:val="0"/>
      <w:marBottom w:val="0"/>
      <w:divBdr>
        <w:top w:val="none" w:sz="0" w:space="0" w:color="auto"/>
        <w:left w:val="none" w:sz="0" w:space="0" w:color="auto"/>
        <w:bottom w:val="none" w:sz="0" w:space="0" w:color="auto"/>
        <w:right w:val="none" w:sz="0" w:space="0" w:color="auto"/>
      </w:divBdr>
    </w:div>
    <w:div w:id="1661805605">
      <w:bodyDiv w:val="1"/>
      <w:marLeft w:val="0"/>
      <w:marRight w:val="0"/>
      <w:marTop w:val="0"/>
      <w:marBottom w:val="0"/>
      <w:divBdr>
        <w:top w:val="none" w:sz="0" w:space="0" w:color="auto"/>
        <w:left w:val="none" w:sz="0" w:space="0" w:color="auto"/>
        <w:bottom w:val="none" w:sz="0" w:space="0" w:color="auto"/>
        <w:right w:val="none" w:sz="0" w:space="0" w:color="auto"/>
      </w:divBdr>
    </w:div>
    <w:div w:id="1678654281">
      <w:bodyDiv w:val="1"/>
      <w:marLeft w:val="0"/>
      <w:marRight w:val="0"/>
      <w:marTop w:val="0"/>
      <w:marBottom w:val="0"/>
      <w:divBdr>
        <w:top w:val="none" w:sz="0" w:space="0" w:color="auto"/>
        <w:left w:val="none" w:sz="0" w:space="0" w:color="auto"/>
        <w:bottom w:val="none" w:sz="0" w:space="0" w:color="auto"/>
        <w:right w:val="none" w:sz="0" w:space="0" w:color="auto"/>
      </w:divBdr>
    </w:div>
    <w:div w:id="1732578008">
      <w:bodyDiv w:val="1"/>
      <w:marLeft w:val="0"/>
      <w:marRight w:val="0"/>
      <w:marTop w:val="0"/>
      <w:marBottom w:val="0"/>
      <w:divBdr>
        <w:top w:val="none" w:sz="0" w:space="0" w:color="auto"/>
        <w:left w:val="none" w:sz="0" w:space="0" w:color="auto"/>
        <w:bottom w:val="none" w:sz="0" w:space="0" w:color="auto"/>
        <w:right w:val="none" w:sz="0" w:space="0" w:color="auto"/>
      </w:divBdr>
    </w:div>
    <w:div w:id="1734887431">
      <w:bodyDiv w:val="1"/>
      <w:marLeft w:val="0"/>
      <w:marRight w:val="0"/>
      <w:marTop w:val="0"/>
      <w:marBottom w:val="0"/>
      <w:divBdr>
        <w:top w:val="none" w:sz="0" w:space="0" w:color="auto"/>
        <w:left w:val="none" w:sz="0" w:space="0" w:color="auto"/>
        <w:bottom w:val="none" w:sz="0" w:space="0" w:color="auto"/>
        <w:right w:val="none" w:sz="0" w:space="0" w:color="auto"/>
      </w:divBdr>
    </w:div>
    <w:div w:id="1768115997">
      <w:bodyDiv w:val="1"/>
      <w:marLeft w:val="0"/>
      <w:marRight w:val="0"/>
      <w:marTop w:val="0"/>
      <w:marBottom w:val="0"/>
      <w:divBdr>
        <w:top w:val="none" w:sz="0" w:space="0" w:color="auto"/>
        <w:left w:val="none" w:sz="0" w:space="0" w:color="auto"/>
        <w:bottom w:val="none" w:sz="0" w:space="0" w:color="auto"/>
        <w:right w:val="none" w:sz="0" w:space="0" w:color="auto"/>
      </w:divBdr>
    </w:div>
    <w:div w:id="1784111403">
      <w:bodyDiv w:val="1"/>
      <w:marLeft w:val="0"/>
      <w:marRight w:val="0"/>
      <w:marTop w:val="0"/>
      <w:marBottom w:val="0"/>
      <w:divBdr>
        <w:top w:val="none" w:sz="0" w:space="0" w:color="auto"/>
        <w:left w:val="none" w:sz="0" w:space="0" w:color="auto"/>
        <w:bottom w:val="none" w:sz="0" w:space="0" w:color="auto"/>
        <w:right w:val="none" w:sz="0" w:space="0" w:color="auto"/>
      </w:divBdr>
    </w:div>
    <w:div w:id="1806314898">
      <w:bodyDiv w:val="1"/>
      <w:marLeft w:val="0"/>
      <w:marRight w:val="0"/>
      <w:marTop w:val="0"/>
      <w:marBottom w:val="0"/>
      <w:divBdr>
        <w:top w:val="none" w:sz="0" w:space="0" w:color="auto"/>
        <w:left w:val="none" w:sz="0" w:space="0" w:color="auto"/>
        <w:bottom w:val="none" w:sz="0" w:space="0" w:color="auto"/>
        <w:right w:val="none" w:sz="0" w:space="0" w:color="auto"/>
      </w:divBdr>
    </w:div>
    <w:div w:id="1842038817">
      <w:bodyDiv w:val="1"/>
      <w:marLeft w:val="0"/>
      <w:marRight w:val="0"/>
      <w:marTop w:val="0"/>
      <w:marBottom w:val="0"/>
      <w:divBdr>
        <w:top w:val="none" w:sz="0" w:space="0" w:color="auto"/>
        <w:left w:val="none" w:sz="0" w:space="0" w:color="auto"/>
        <w:bottom w:val="none" w:sz="0" w:space="0" w:color="auto"/>
        <w:right w:val="none" w:sz="0" w:space="0" w:color="auto"/>
      </w:divBdr>
    </w:div>
    <w:div w:id="1878157045">
      <w:bodyDiv w:val="1"/>
      <w:marLeft w:val="0"/>
      <w:marRight w:val="0"/>
      <w:marTop w:val="0"/>
      <w:marBottom w:val="0"/>
      <w:divBdr>
        <w:top w:val="none" w:sz="0" w:space="0" w:color="auto"/>
        <w:left w:val="none" w:sz="0" w:space="0" w:color="auto"/>
        <w:bottom w:val="none" w:sz="0" w:space="0" w:color="auto"/>
        <w:right w:val="none" w:sz="0" w:space="0" w:color="auto"/>
      </w:divBdr>
    </w:div>
    <w:div w:id="1885411402">
      <w:bodyDiv w:val="1"/>
      <w:marLeft w:val="0"/>
      <w:marRight w:val="0"/>
      <w:marTop w:val="0"/>
      <w:marBottom w:val="0"/>
      <w:divBdr>
        <w:top w:val="none" w:sz="0" w:space="0" w:color="auto"/>
        <w:left w:val="none" w:sz="0" w:space="0" w:color="auto"/>
        <w:bottom w:val="none" w:sz="0" w:space="0" w:color="auto"/>
        <w:right w:val="none" w:sz="0" w:space="0" w:color="auto"/>
      </w:divBdr>
    </w:div>
    <w:div w:id="1891921652">
      <w:bodyDiv w:val="1"/>
      <w:marLeft w:val="0"/>
      <w:marRight w:val="0"/>
      <w:marTop w:val="0"/>
      <w:marBottom w:val="0"/>
      <w:divBdr>
        <w:top w:val="none" w:sz="0" w:space="0" w:color="auto"/>
        <w:left w:val="none" w:sz="0" w:space="0" w:color="auto"/>
        <w:bottom w:val="none" w:sz="0" w:space="0" w:color="auto"/>
        <w:right w:val="none" w:sz="0" w:space="0" w:color="auto"/>
      </w:divBdr>
    </w:div>
    <w:div w:id="1926642384">
      <w:bodyDiv w:val="1"/>
      <w:marLeft w:val="0"/>
      <w:marRight w:val="0"/>
      <w:marTop w:val="0"/>
      <w:marBottom w:val="0"/>
      <w:divBdr>
        <w:top w:val="none" w:sz="0" w:space="0" w:color="auto"/>
        <w:left w:val="none" w:sz="0" w:space="0" w:color="auto"/>
        <w:bottom w:val="none" w:sz="0" w:space="0" w:color="auto"/>
        <w:right w:val="none" w:sz="0" w:space="0" w:color="auto"/>
      </w:divBdr>
    </w:div>
    <w:div w:id="1957176309">
      <w:bodyDiv w:val="1"/>
      <w:marLeft w:val="0"/>
      <w:marRight w:val="0"/>
      <w:marTop w:val="0"/>
      <w:marBottom w:val="0"/>
      <w:divBdr>
        <w:top w:val="none" w:sz="0" w:space="0" w:color="auto"/>
        <w:left w:val="none" w:sz="0" w:space="0" w:color="auto"/>
        <w:bottom w:val="none" w:sz="0" w:space="0" w:color="auto"/>
        <w:right w:val="none" w:sz="0" w:space="0" w:color="auto"/>
      </w:divBdr>
    </w:div>
    <w:div w:id="1981184156">
      <w:bodyDiv w:val="1"/>
      <w:marLeft w:val="0"/>
      <w:marRight w:val="0"/>
      <w:marTop w:val="0"/>
      <w:marBottom w:val="0"/>
      <w:divBdr>
        <w:top w:val="none" w:sz="0" w:space="0" w:color="auto"/>
        <w:left w:val="none" w:sz="0" w:space="0" w:color="auto"/>
        <w:bottom w:val="none" w:sz="0" w:space="0" w:color="auto"/>
        <w:right w:val="none" w:sz="0" w:space="0" w:color="auto"/>
      </w:divBdr>
    </w:div>
    <w:div w:id="1984692694">
      <w:bodyDiv w:val="1"/>
      <w:marLeft w:val="0"/>
      <w:marRight w:val="0"/>
      <w:marTop w:val="0"/>
      <w:marBottom w:val="0"/>
      <w:divBdr>
        <w:top w:val="none" w:sz="0" w:space="0" w:color="auto"/>
        <w:left w:val="none" w:sz="0" w:space="0" w:color="auto"/>
        <w:bottom w:val="none" w:sz="0" w:space="0" w:color="auto"/>
        <w:right w:val="none" w:sz="0" w:space="0" w:color="auto"/>
      </w:divBdr>
    </w:div>
    <w:div w:id="2004621531">
      <w:bodyDiv w:val="1"/>
      <w:marLeft w:val="0"/>
      <w:marRight w:val="0"/>
      <w:marTop w:val="0"/>
      <w:marBottom w:val="0"/>
      <w:divBdr>
        <w:top w:val="none" w:sz="0" w:space="0" w:color="auto"/>
        <w:left w:val="none" w:sz="0" w:space="0" w:color="auto"/>
        <w:bottom w:val="none" w:sz="0" w:space="0" w:color="auto"/>
        <w:right w:val="none" w:sz="0" w:space="0" w:color="auto"/>
      </w:divBdr>
    </w:div>
    <w:div w:id="2040816244">
      <w:bodyDiv w:val="1"/>
      <w:marLeft w:val="0"/>
      <w:marRight w:val="0"/>
      <w:marTop w:val="0"/>
      <w:marBottom w:val="0"/>
      <w:divBdr>
        <w:top w:val="none" w:sz="0" w:space="0" w:color="auto"/>
        <w:left w:val="none" w:sz="0" w:space="0" w:color="auto"/>
        <w:bottom w:val="none" w:sz="0" w:space="0" w:color="auto"/>
        <w:right w:val="none" w:sz="0" w:space="0" w:color="auto"/>
      </w:divBdr>
    </w:div>
    <w:div w:id="2082872803">
      <w:bodyDiv w:val="1"/>
      <w:marLeft w:val="0"/>
      <w:marRight w:val="0"/>
      <w:marTop w:val="0"/>
      <w:marBottom w:val="0"/>
      <w:divBdr>
        <w:top w:val="none" w:sz="0" w:space="0" w:color="auto"/>
        <w:left w:val="none" w:sz="0" w:space="0" w:color="auto"/>
        <w:bottom w:val="none" w:sz="0" w:space="0" w:color="auto"/>
        <w:right w:val="none" w:sz="0" w:space="0" w:color="auto"/>
      </w:divBdr>
    </w:div>
    <w:div w:id="2096170382">
      <w:bodyDiv w:val="1"/>
      <w:marLeft w:val="0"/>
      <w:marRight w:val="0"/>
      <w:marTop w:val="0"/>
      <w:marBottom w:val="0"/>
      <w:divBdr>
        <w:top w:val="none" w:sz="0" w:space="0" w:color="auto"/>
        <w:left w:val="none" w:sz="0" w:space="0" w:color="auto"/>
        <w:bottom w:val="none" w:sz="0" w:space="0" w:color="auto"/>
        <w:right w:val="none" w:sz="0" w:space="0" w:color="auto"/>
      </w:divBdr>
    </w:div>
    <w:div w:id="2117479634">
      <w:bodyDiv w:val="1"/>
      <w:marLeft w:val="0"/>
      <w:marRight w:val="0"/>
      <w:marTop w:val="0"/>
      <w:marBottom w:val="0"/>
      <w:divBdr>
        <w:top w:val="none" w:sz="0" w:space="0" w:color="auto"/>
        <w:left w:val="none" w:sz="0" w:space="0" w:color="auto"/>
        <w:bottom w:val="none" w:sz="0" w:space="0" w:color="auto"/>
        <w:right w:val="none" w:sz="0" w:space="0" w:color="auto"/>
      </w:divBdr>
    </w:div>
    <w:div w:id="2129425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7.emf"/><Relationship Id="rId39"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10.emf"/><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hyperlink" Target="http://ec.europa.eu/research/rea/" TargetMode="External"/><Relationship Id="rId19" Type="http://schemas.openxmlformats.org/officeDocument/2006/relationships/header" Target="header4.xml"/><Relationship Id="rId31" Type="http://schemas.openxmlformats.org/officeDocument/2006/relationships/image" Target="media/image12.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research/rea/" TargetMode="Externa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4A62-13D2-4236-90A8-ACD260EE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13048</Words>
  <Characters>72159</Characters>
  <Application>Microsoft Office Word</Application>
  <DocSecurity>0</DocSecurity>
  <Lines>1718</Lines>
  <Paragraphs>926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84281</CharactersWithSpaces>
  <SharedDoc>false</SharedDoc>
  <HLinks>
    <vt:vector size="162" baseType="variant">
      <vt:variant>
        <vt:i4>1179697</vt:i4>
      </vt:variant>
      <vt:variant>
        <vt:i4>149</vt:i4>
      </vt:variant>
      <vt:variant>
        <vt:i4>0</vt:i4>
      </vt:variant>
      <vt:variant>
        <vt:i4>5</vt:i4>
      </vt:variant>
      <vt:variant>
        <vt:lpwstr/>
      </vt:variant>
      <vt:variant>
        <vt:lpwstr>_Toc317071255</vt:lpwstr>
      </vt:variant>
      <vt:variant>
        <vt:i4>1179697</vt:i4>
      </vt:variant>
      <vt:variant>
        <vt:i4>143</vt:i4>
      </vt:variant>
      <vt:variant>
        <vt:i4>0</vt:i4>
      </vt:variant>
      <vt:variant>
        <vt:i4>5</vt:i4>
      </vt:variant>
      <vt:variant>
        <vt:lpwstr/>
      </vt:variant>
      <vt:variant>
        <vt:lpwstr>_Toc317071254</vt:lpwstr>
      </vt:variant>
      <vt:variant>
        <vt:i4>1179697</vt:i4>
      </vt:variant>
      <vt:variant>
        <vt:i4>137</vt:i4>
      </vt:variant>
      <vt:variant>
        <vt:i4>0</vt:i4>
      </vt:variant>
      <vt:variant>
        <vt:i4>5</vt:i4>
      </vt:variant>
      <vt:variant>
        <vt:lpwstr/>
      </vt:variant>
      <vt:variant>
        <vt:lpwstr>_Toc317071253</vt:lpwstr>
      </vt:variant>
      <vt:variant>
        <vt:i4>1179697</vt:i4>
      </vt:variant>
      <vt:variant>
        <vt:i4>131</vt:i4>
      </vt:variant>
      <vt:variant>
        <vt:i4>0</vt:i4>
      </vt:variant>
      <vt:variant>
        <vt:i4>5</vt:i4>
      </vt:variant>
      <vt:variant>
        <vt:lpwstr/>
      </vt:variant>
      <vt:variant>
        <vt:lpwstr>_Toc317071252</vt:lpwstr>
      </vt:variant>
      <vt:variant>
        <vt:i4>1179697</vt:i4>
      </vt:variant>
      <vt:variant>
        <vt:i4>125</vt:i4>
      </vt:variant>
      <vt:variant>
        <vt:i4>0</vt:i4>
      </vt:variant>
      <vt:variant>
        <vt:i4>5</vt:i4>
      </vt:variant>
      <vt:variant>
        <vt:lpwstr/>
      </vt:variant>
      <vt:variant>
        <vt:lpwstr>_Toc317071251</vt:lpwstr>
      </vt:variant>
      <vt:variant>
        <vt:i4>1179697</vt:i4>
      </vt:variant>
      <vt:variant>
        <vt:i4>119</vt:i4>
      </vt:variant>
      <vt:variant>
        <vt:i4>0</vt:i4>
      </vt:variant>
      <vt:variant>
        <vt:i4>5</vt:i4>
      </vt:variant>
      <vt:variant>
        <vt:lpwstr/>
      </vt:variant>
      <vt:variant>
        <vt:lpwstr>_Toc317071250</vt:lpwstr>
      </vt:variant>
      <vt:variant>
        <vt:i4>1245233</vt:i4>
      </vt:variant>
      <vt:variant>
        <vt:i4>113</vt:i4>
      </vt:variant>
      <vt:variant>
        <vt:i4>0</vt:i4>
      </vt:variant>
      <vt:variant>
        <vt:i4>5</vt:i4>
      </vt:variant>
      <vt:variant>
        <vt:lpwstr/>
      </vt:variant>
      <vt:variant>
        <vt:lpwstr>_Toc317071249</vt:lpwstr>
      </vt:variant>
      <vt:variant>
        <vt:i4>1245233</vt:i4>
      </vt:variant>
      <vt:variant>
        <vt:i4>107</vt:i4>
      </vt:variant>
      <vt:variant>
        <vt:i4>0</vt:i4>
      </vt:variant>
      <vt:variant>
        <vt:i4>5</vt:i4>
      </vt:variant>
      <vt:variant>
        <vt:lpwstr/>
      </vt:variant>
      <vt:variant>
        <vt:lpwstr>_Toc317071248</vt:lpwstr>
      </vt:variant>
      <vt:variant>
        <vt:i4>1245233</vt:i4>
      </vt:variant>
      <vt:variant>
        <vt:i4>101</vt:i4>
      </vt:variant>
      <vt:variant>
        <vt:i4>0</vt:i4>
      </vt:variant>
      <vt:variant>
        <vt:i4>5</vt:i4>
      </vt:variant>
      <vt:variant>
        <vt:lpwstr/>
      </vt:variant>
      <vt:variant>
        <vt:lpwstr>_Toc317071247</vt:lpwstr>
      </vt:variant>
      <vt:variant>
        <vt:i4>1245233</vt:i4>
      </vt:variant>
      <vt:variant>
        <vt:i4>95</vt:i4>
      </vt:variant>
      <vt:variant>
        <vt:i4>0</vt:i4>
      </vt:variant>
      <vt:variant>
        <vt:i4>5</vt:i4>
      </vt:variant>
      <vt:variant>
        <vt:lpwstr/>
      </vt:variant>
      <vt:variant>
        <vt:lpwstr>_Toc317071246</vt:lpwstr>
      </vt:variant>
      <vt:variant>
        <vt:i4>1245233</vt:i4>
      </vt:variant>
      <vt:variant>
        <vt:i4>89</vt:i4>
      </vt:variant>
      <vt:variant>
        <vt:i4>0</vt:i4>
      </vt:variant>
      <vt:variant>
        <vt:i4>5</vt:i4>
      </vt:variant>
      <vt:variant>
        <vt:lpwstr/>
      </vt:variant>
      <vt:variant>
        <vt:lpwstr>_Toc317071245</vt:lpwstr>
      </vt:variant>
      <vt:variant>
        <vt:i4>1245233</vt:i4>
      </vt:variant>
      <vt:variant>
        <vt:i4>83</vt:i4>
      </vt:variant>
      <vt:variant>
        <vt:i4>0</vt:i4>
      </vt:variant>
      <vt:variant>
        <vt:i4>5</vt:i4>
      </vt:variant>
      <vt:variant>
        <vt:lpwstr/>
      </vt:variant>
      <vt:variant>
        <vt:lpwstr>_Toc317071244</vt:lpwstr>
      </vt:variant>
      <vt:variant>
        <vt:i4>1245233</vt:i4>
      </vt:variant>
      <vt:variant>
        <vt:i4>77</vt:i4>
      </vt:variant>
      <vt:variant>
        <vt:i4>0</vt:i4>
      </vt:variant>
      <vt:variant>
        <vt:i4>5</vt:i4>
      </vt:variant>
      <vt:variant>
        <vt:lpwstr/>
      </vt:variant>
      <vt:variant>
        <vt:lpwstr>_Toc317071243</vt:lpwstr>
      </vt:variant>
      <vt:variant>
        <vt:i4>1245233</vt:i4>
      </vt:variant>
      <vt:variant>
        <vt:i4>71</vt:i4>
      </vt:variant>
      <vt:variant>
        <vt:i4>0</vt:i4>
      </vt:variant>
      <vt:variant>
        <vt:i4>5</vt:i4>
      </vt:variant>
      <vt:variant>
        <vt:lpwstr/>
      </vt:variant>
      <vt:variant>
        <vt:lpwstr>_Toc317071242</vt:lpwstr>
      </vt:variant>
      <vt:variant>
        <vt:i4>1245233</vt:i4>
      </vt:variant>
      <vt:variant>
        <vt:i4>65</vt:i4>
      </vt:variant>
      <vt:variant>
        <vt:i4>0</vt:i4>
      </vt:variant>
      <vt:variant>
        <vt:i4>5</vt:i4>
      </vt:variant>
      <vt:variant>
        <vt:lpwstr/>
      </vt:variant>
      <vt:variant>
        <vt:lpwstr>_Toc317071241</vt:lpwstr>
      </vt:variant>
      <vt:variant>
        <vt:i4>1245233</vt:i4>
      </vt:variant>
      <vt:variant>
        <vt:i4>59</vt:i4>
      </vt:variant>
      <vt:variant>
        <vt:i4>0</vt:i4>
      </vt:variant>
      <vt:variant>
        <vt:i4>5</vt:i4>
      </vt:variant>
      <vt:variant>
        <vt:lpwstr/>
      </vt:variant>
      <vt:variant>
        <vt:lpwstr>_Toc317071240</vt:lpwstr>
      </vt:variant>
      <vt:variant>
        <vt:i4>1310769</vt:i4>
      </vt:variant>
      <vt:variant>
        <vt:i4>53</vt:i4>
      </vt:variant>
      <vt:variant>
        <vt:i4>0</vt:i4>
      </vt:variant>
      <vt:variant>
        <vt:i4>5</vt:i4>
      </vt:variant>
      <vt:variant>
        <vt:lpwstr/>
      </vt:variant>
      <vt:variant>
        <vt:lpwstr>_Toc317071239</vt:lpwstr>
      </vt:variant>
      <vt:variant>
        <vt:i4>1310769</vt:i4>
      </vt:variant>
      <vt:variant>
        <vt:i4>47</vt:i4>
      </vt:variant>
      <vt:variant>
        <vt:i4>0</vt:i4>
      </vt:variant>
      <vt:variant>
        <vt:i4>5</vt:i4>
      </vt:variant>
      <vt:variant>
        <vt:lpwstr/>
      </vt:variant>
      <vt:variant>
        <vt:lpwstr>_Toc317071238</vt:lpwstr>
      </vt:variant>
      <vt:variant>
        <vt:i4>1310769</vt:i4>
      </vt:variant>
      <vt:variant>
        <vt:i4>41</vt:i4>
      </vt:variant>
      <vt:variant>
        <vt:i4>0</vt:i4>
      </vt:variant>
      <vt:variant>
        <vt:i4>5</vt:i4>
      </vt:variant>
      <vt:variant>
        <vt:lpwstr/>
      </vt:variant>
      <vt:variant>
        <vt:lpwstr>_Toc317071237</vt:lpwstr>
      </vt:variant>
      <vt:variant>
        <vt:i4>1310769</vt:i4>
      </vt:variant>
      <vt:variant>
        <vt:i4>35</vt:i4>
      </vt:variant>
      <vt:variant>
        <vt:i4>0</vt:i4>
      </vt:variant>
      <vt:variant>
        <vt:i4>5</vt:i4>
      </vt:variant>
      <vt:variant>
        <vt:lpwstr/>
      </vt:variant>
      <vt:variant>
        <vt:lpwstr>_Toc317071236</vt:lpwstr>
      </vt:variant>
      <vt:variant>
        <vt:i4>1310769</vt:i4>
      </vt:variant>
      <vt:variant>
        <vt:i4>29</vt:i4>
      </vt:variant>
      <vt:variant>
        <vt:i4>0</vt:i4>
      </vt:variant>
      <vt:variant>
        <vt:i4>5</vt:i4>
      </vt:variant>
      <vt:variant>
        <vt:lpwstr/>
      </vt:variant>
      <vt:variant>
        <vt:lpwstr>_Toc317071235</vt:lpwstr>
      </vt:variant>
      <vt:variant>
        <vt:i4>1310769</vt:i4>
      </vt:variant>
      <vt:variant>
        <vt:i4>23</vt:i4>
      </vt:variant>
      <vt:variant>
        <vt:i4>0</vt:i4>
      </vt:variant>
      <vt:variant>
        <vt:i4>5</vt:i4>
      </vt:variant>
      <vt:variant>
        <vt:lpwstr/>
      </vt:variant>
      <vt:variant>
        <vt:lpwstr>_Toc317071234</vt:lpwstr>
      </vt:variant>
      <vt:variant>
        <vt:i4>1310769</vt:i4>
      </vt:variant>
      <vt:variant>
        <vt:i4>20</vt:i4>
      </vt:variant>
      <vt:variant>
        <vt:i4>0</vt:i4>
      </vt:variant>
      <vt:variant>
        <vt:i4>5</vt:i4>
      </vt:variant>
      <vt:variant>
        <vt:lpwstr/>
      </vt:variant>
      <vt:variant>
        <vt:lpwstr>_Toc317071233</vt:lpwstr>
      </vt:variant>
      <vt:variant>
        <vt:i4>1310769</vt:i4>
      </vt:variant>
      <vt:variant>
        <vt:i4>14</vt:i4>
      </vt:variant>
      <vt:variant>
        <vt:i4>0</vt:i4>
      </vt:variant>
      <vt:variant>
        <vt:i4>5</vt:i4>
      </vt:variant>
      <vt:variant>
        <vt:lpwstr/>
      </vt:variant>
      <vt:variant>
        <vt:lpwstr>_Toc317071232</vt:lpwstr>
      </vt:variant>
      <vt:variant>
        <vt:i4>1310769</vt:i4>
      </vt:variant>
      <vt:variant>
        <vt:i4>8</vt:i4>
      </vt:variant>
      <vt:variant>
        <vt:i4>0</vt:i4>
      </vt:variant>
      <vt:variant>
        <vt:i4>5</vt:i4>
      </vt:variant>
      <vt:variant>
        <vt:lpwstr/>
      </vt:variant>
      <vt:variant>
        <vt:lpwstr>_Toc317071231</vt:lpwstr>
      </vt:variant>
      <vt:variant>
        <vt:i4>1310769</vt:i4>
      </vt:variant>
      <vt:variant>
        <vt:i4>2</vt:i4>
      </vt:variant>
      <vt:variant>
        <vt:i4>0</vt:i4>
      </vt:variant>
      <vt:variant>
        <vt:i4>5</vt:i4>
      </vt:variant>
      <vt:variant>
        <vt:lpwstr/>
      </vt:variant>
      <vt:variant>
        <vt:lpwstr>_Toc317071230</vt:lpwstr>
      </vt:variant>
      <vt:variant>
        <vt:i4>5767199</vt:i4>
      </vt:variant>
      <vt:variant>
        <vt:i4>0</vt:i4>
      </vt:variant>
      <vt:variant>
        <vt:i4>0</vt:i4>
      </vt:variant>
      <vt:variant>
        <vt:i4>5</vt:i4>
      </vt:variant>
      <vt:variant>
        <vt:lpwstr>http://ec.europa.eu/research/rea/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Chakarova Milena</dc:creator>
  <cp:lastModifiedBy>AGOSTINI Fabienne (REA)</cp:lastModifiedBy>
  <cp:revision>2</cp:revision>
  <cp:lastPrinted>2020-01-31T09:24:00Z</cp:lastPrinted>
  <dcterms:created xsi:type="dcterms:W3CDTF">2020-06-29T10:02:00Z</dcterms:created>
  <dcterms:modified xsi:type="dcterms:W3CDTF">2020-06-29T10:02:00Z</dcterms:modified>
</cp:coreProperties>
</file>