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8A51" w14:textId="1B6EAC9E" w:rsidR="00A354F2" w:rsidRDefault="7A30C39B" w:rsidP="00A354F2">
      <w:pPr>
        <w:pStyle w:val="Heading1"/>
      </w:pPr>
      <w:r>
        <w:t xml:space="preserve">Annex 4: </w:t>
      </w:r>
      <w:r w:rsidR="00A354F2">
        <w:t>DECLARATION OF HONOUR FOR BENEFICIARIES (DoH) (GRANTS)</w:t>
      </w:r>
      <w:r w:rsidR="004C009E">
        <w:rPr>
          <w:rStyle w:val="FootnoteReference"/>
        </w:rPr>
        <w:footnoteReference w:id="1"/>
      </w:r>
    </w:p>
    <w:p w14:paraId="7F2F7B57" w14:textId="6BBE8DEA" w:rsidR="00A354F2" w:rsidRPr="00C70551" w:rsidRDefault="00A354F2" w:rsidP="2DCDB7FB">
      <w:pPr>
        <w:spacing w:after="60"/>
        <w:jc w:val="both"/>
        <w:rPr>
          <w:rFonts w:eastAsia="Times New Roman"/>
          <w:i/>
          <w:iCs/>
          <w:spacing w:val="-3"/>
          <w:sz w:val="20"/>
          <w:lang w:eastAsia="en-GB"/>
        </w:rPr>
      </w:pPr>
      <w:r w:rsidRPr="2DCDB7FB">
        <w:rPr>
          <w:rFonts w:eastAsia="Times New Roman"/>
          <w:i/>
          <w:iCs/>
          <w:spacing w:val="-3"/>
          <w:sz w:val="20"/>
          <w:lang w:eastAsia="en-GB"/>
        </w:rPr>
        <w:t>(To be filled out by the applicant and signed by its legal representative</w:t>
      </w:r>
      <w:r w:rsidR="5AE9E285" w:rsidRPr="2DCDB7FB">
        <w:rPr>
          <w:rFonts w:eastAsia="Times New Roman"/>
          <w:i/>
          <w:iCs/>
          <w:spacing w:val="-3"/>
          <w:sz w:val="20"/>
          <w:lang w:eastAsia="en-GB"/>
        </w:rPr>
        <w:t>.</w:t>
      </w:r>
      <w:r w:rsidRPr="2DCDB7FB">
        <w:rPr>
          <w:rFonts w:eastAsia="Times New Roman"/>
          <w:i/>
          <w:iCs/>
          <w:spacing w:val="-3"/>
          <w:sz w:val="20"/>
          <w:lang w:eastAsia="en-GB"/>
        </w:rPr>
        <w:t xml:space="preserve"> </w:t>
      </w:r>
      <w:bookmarkStart w:id="0" w:name="_Hlk141922220"/>
      <w:bookmarkStart w:id="1" w:name="_Hlk141922909"/>
      <w:r w:rsidRPr="00C70551">
        <w:rPr>
          <w:rFonts w:eastAsia="Times New Roman"/>
          <w:i/>
          <w:noProof/>
          <w:color w:val="4AA55B"/>
          <w:spacing w:val="-3"/>
          <w:sz w:val="20"/>
          <w:lang w:eastAsia="en-GB"/>
        </w:rPr>
        <w:drawing>
          <wp:inline distT="0" distB="0" distL="0" distR="0" wp14:anchorId="24E4BA33" wp14:editId="75C7F7B6">
            <wp:extent cx="135255" cy="1352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DCDB7FB">
        <w:rPr>
          <w:rFonts w:eastAsia="Times New Roman"/>
          <w:i/>
          <w:iCs/>
          <w:spacing w:val="-3"/>
          <w:sz w:val="20"/>
          <w:lang w:eastAsia="en-GB"/>
        </w:rPr>
        <w:t xml:space="preserve"> </w:t>
      </w:r>
      <w:bookmarkStart w:id="2" w:name="_Hlk141922153"/>
      <w:r w:rsidRPr="2DCDB7FB">
        <w:rPr>
          <w:rFonts w:eastAsia="Times New Roman"/>
          <w:i/>
          <w:iCs/>
          <w:spacing w:val="-3"/>
          <w:sz w:val="20"/>
          <w:lang w:eastAsia="en-GB"/>
        </w:rPr>
        <w:t>Please do not forget that the granting authority must be informed of any changes that happen later on during the grant implementation and may impact the grant (or its award</w:t>
      </w:r>
      <w:bookmarkEnd w:id="2"/>
      <w:r w:rsidRPr="2DCDB7FB">
        <w:rPr>
          <w:rFonts w:eastAsia="Times New Roman"/>
          <w:i/>
          <w:iCs/>
          <w:spacing w:val="-3"/>
          <w:sz w:val="20"/>
          <w:lang w:eastAsia="en-GB"/>
        </w:rPr>
        <w:t>)</w:t>
      </w:r>
      <w:bookmarkEnd w:id="0"/>
    </w:p>
    <w:bookmarkEnd w:id="1"/>
    <w:p w14:paraId="5B9BBBBB" w14:textId="77777777" w:rsidR="00A354F2" w:rsidRPr="00C70551" w:rsidRDefault="00A354F2" w:rsidP="00A354F2"/>
    <w:p w14:paraId="007DC9FB" w14:textId="77777777" w:rsidR="00A354F2" w:rsidRPr="00C70551" w:rsidRDefault="00A354F2" w:rsidP="00A354F2">
      <w:pPr>
        <w:jc w:val="both"/>
        <w:rPr>
          <w:szCs w:val="24"/>
        </w:rPr>
      </w:pPr>
      <w:r w:rsidRPr="00C70551">
        <w:rPr>
          <w:szCs w:val="24"/>
        </w:rPr>
        <w:t>I, the undersigned:</w:t>
      </w:r>
    </w:p>
    <w:p w14:paraId="74BA5BE0" w14:textId="431D3D04" w:rsidR="00A354F2" w:rsidRPr="00C70551" w:rsidRDefault="00A354F2" w:rsidP="00A354F2">
      <w:pPr>
        <w:snapToGrid/>
        <w:ind w:left="840" w:hanging="480"/>
        <w:jc w:val="both"/>
      </w:pPr>
    </w:p>
    <w:p w14:paraId="044AF41C" w14:textId="5391D204" w:rsidR="00A354F2" w:rsidRPr="007240CC" w:rsidRDefault="00A354F2" w:rsidP="2DCDB7FB">
      <w:pPr>
        <w:snapToGrid/>
        <w:ind w:left="1080" w:hanging="600"/>
        <w:jc w:val="both"/>
      </w:pPr>
      <w:r w:rsidRPr="007947E5">
        <w:rPr>
          <w:noProof/>
          <w:lang w:eastAsia="en-GB"/>
        </w:rPr>
        <w:drawing>
          <wp:inline distT="0" distB="0" distL="0" distR="0" wp14:anchorId="1848CA99" wp14:editId="3B911EEF">
            <wp:extent cx="266700" cy="21907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/>
          <w:noProof/>
          <w:color w:val="231F20"/>
          <w:sz w:val="19"/>
          <w:lang w:eastAsia="en-GB"/>
        </w:rPr>
        <w:tab/>
      </w:r>
      <w:r w:rsidRPr="2DCDB7FB">
        <w:t>for legal persons</w:t>
      </w:r>
      <w:r w:rsidRPr="2DCDB7FB">
        <w:rPr>
          <w:rStyle w:val="FootnoteReference"/>
        </w:rPr>
        <w:footnoteReference w:id="2"/>
      </w:r>
      <w:r w:rsidRPr="2DCDB7FB">
        <w:t>: representing the following entity</w:t>
      </w:r>
      <w:r w:rsidRPr="007240CC">
        <w:rPr>
          <w:szCs w:val="24"/>
        </w:rPr>
        <w:t>:</w:t>
      </w:r>
    </w:p>
    <w:p w14:paraId="4A837CAF" w14:textId="77777777" w:rsidR="00A354F2" w:rsidRPr="006D2FDA" w:rsidRDefault="00A354F2" w:rsidP="00A354F2">
      <w:pPr>
        <w:spacing w:before="40" w:after="40"/>
        <w:ind w:left="371" w:firstLine="720"/>
        <w:jc w:val="both"/>
        <w:rPr>
          <w:szCs w:val="24"/>
          <w:highlight w:val="lightGray"/>
        </w:rPr>
      </w:pPr>
      <w:r w:rsidRPr="007240CC">
        <w:rPr>
          <w:szCs w:val="24"/>
        </w:rPr>
        <w:t>[</w:t>
      </w:r>
      <w:r w:rsidRPr="008A5B0E">
        <w:rPr>
          <w:b/>
          <w:szCs w:val="24"/>
          <w:highlight w:val="lightGray"/>
        </w:rPr>
        <w:t>insert full official name</w:t>
      </w:r>
      <w:r w:rsidRPr="00FE1DA6">
        <w:rPr>
          <w:szCs w:val="24"/>
        </w:rPr>
        <w:t>]</w:t>
      </w:r>
    </w:p>
    <w:p w14:paraId="31532D5A" w14:textId="77777777" w:rsidR="00A354F2" w:rsidRPr="006D2FDA" w:rsidRDefault="00A354F2" w:rsidP="00A354F2">
      <w:pPr>
        <w:spacing w:before="40" w:after="40"/>
        <w:ind w:left="371" w:firstLine="720"/>
        <w:jc w:val="both"/>
        <w:rPr>
          <w:szCs w:val="24"/>
          <w:highlight w:val="lightGray"/>
        </w:rPr>
      </w:pPr>
      <w:r w:rsidRPr="00FE1DA6">
        <w:rPr>
          <w:szCs w:val="24"/>
        </w:rPr>
        <w:t>[</w:t>
      </w:r>
      <w:r w:rsidRPr="001E12DA">
        <w:rPr>
          <w:szCs w:val="24"/>
          <w:highlight w:val="lightGray"/>
        </w:rPr>
        <w:t xml:space="preserve">insert </w:t>
      </w:r>
      <w:r w:rsidRPr="006D2FDA">
        <w:rPr>
          <w:szCs w:val="24"/>
          <w:highlight w:val="lightGray"/>
        </w:rPr>
        <w:t>full official address</w:t>
      </w:r>
      <w:r w:rsidRPr="00FE1DA6">
        <w:rPr>
          <w:szCs w:val="24"/>
        </w:rPr>
        <w:t>]</w:t>
      </w:r>
    </w:p>
    <w:p w14:paraId="0F8868C4" w14:textId="6BC578C2" w:rsidR="00A354F2" w:rsidRPr="00AD61D2" w:rsidRDefault="00A354F2" w:rsidP="2DCDB7FB">
      <w:pPr>
        <w:ind w:left="371" w:firstLine="720"/>
        <w:jc w:val="both"/>
        <w:rPr>
          <w:rFonts w:eastAsia="Times New Roman"/>
          <w:b/>
          <w:bCs/>
          <w:lang w:eastAsia="en-GB"/>
        </w:rPr>
      </w:pPr>
      <w:r w:rsidRPr="2DCDB7FB">
        <w:rPr>
          <w:rFonts w:eastAsia="Times New Roman"/>
          <w:b/>
          <w:bCs/>
          <w:lang w:eastAsia="en-GB"/>
        </w:rPr>
        <w:t xml:space="preserve">hereby confirm </w:t>
      </w:r>
    </w:p>
    <w:p w14:paraId="7F27EE62" w14:textId="77777777" w:rsidR="00A354F2" w:rsidRPr="007C0964" w:rsidRDefault="00A354F2" w:rsidP="00A354F2">
      <w:pPr>
        <w:rPr>
          <w:rFonts w:eastAsia="Times New Roman"/>
          <w:szCs w:val="24"/>
          <w:lang w:eastAsia="en-GB"/>
        </w:rPr>
      </w:pPr>
      <w:r w:rsidRPr="007C0964">
        <w:rPr>
          <w:rFonts w:eastAsia="Times New Roman"/>
          <w:szCs w:val="24"/>
          <w:lang w:eastAsia="en-GB"/>
        </w:rPr>
        <w:t>that</w:t>
      </w:r>
      <w:r>
        <w:rPr>
          <w:rFonts w:eastAsia="Times New Roman"/>
          <w:szCs w:val="24"/>
          <w:lang w:eastAsia="en-GB"/>
        </w:rPr>
        <w:t xml:space="preserve"> (subject to the additional declarations below):</w:t>
      </w:r>
    </w:p>
    <w:p w14:paraId="39F114DF" w14:textId="62592147" w:rsidR="00A354F2" w:rsidRDefault="00A354F2" w:rsidP="00A354F2">
      <w:pPr>
        <w:ind w:left="600" w:hanging="600"/>
        <w:jc w:val="both"/>
        <w:rPr>
          <w:szCs w:val="24"/>
        </w:rPr>
      </w:pPr>
      <w:r>
        <w:rPr>
          <w:szCs w:val="24"/>
        </w:rPr>
        <w:t>1</w:t>
      </w:r>
      <w:r w:rsidRPr="0069789B">
        <w:rPr>
          <w:szCs w:val="24"/>
        </w:rPr>
        <w:t xml:space="preserve"> </w:t>
      </w:r>
      <w:r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>
        <w:rPr>
          <w:szCs w:val="24"/>
        </w:rPr>
        <w:tab/>
        <w:t>T</w:t>
      </w:r>
      <w:r w:rsidRPr="0044077C">
        <w:rPr>
          <w:szCs w:val="24"/>
        </w:rPr>
        <w:t xml:space="preserve">he </w:t>
      </w:r>
      <w:r w:rsidRPr="001B2BDD">
        <w:rPr>
          <w:b/>
          <w:szCs w:val="24"/>
        </w:rPr>
        <w:t>information</w:t>
      </w:r>
      <w:r w:rsidRPr="0044077C">
        <w:rPr>
          <w:szCs w:val="24"/>
        </w:rPr>
        <w:t xml:space="preserve"> provided </w:t>
      </w:r>
      <w:r>
        <w:rPr>
          <w:szCs w:val="24"/>
        </w:rPr>
        <w:t xml:space="preserve">for </w:t>
      </w:r>
      <w:r w:rsidRPr="00D340AF">
        <w:rPr>
          <w:szCs w:val="24"/>
        </w:rPr>
        <w:t>action</w:t>
      </w:r>
      <w:r w:rsidRPr="00462AC2">
        <w:rPr>
          <w:bCs/>
          <w:szCs w:val="24"/>
        </w:rPr>
        <w:t xml:space="preserve"> </w:t>
      </w:r>
      <w:r w:rsidRPr="00D5226D">
        <w:rPr>
          <w:rFonts w:eastAsia="Times New Roman"/>
        </w:rPr>
        <w:t>[</w:t>
      </w:r>
      <w:r w:rsidRPr="00D5226D">
        <w:rPr>
          <w:rFonts w:eastAsia="Times New Roman"/>
          <w:b/>
          <w:highlight w:val="lightGray"/>
        </w:rPr>
        <w:t xml:space="preserve">insert </w:t>
      </w:r>
      <w:r>
        <w:rPr>
          <w:rFonts w:eastAsia="Times New Roman"/>
          <w:b/>
          <w:highlight w:val="lightGray"/>
        </w:rPr>
        <w:t>projec</w:t>
      </w:r>
      <w:r w:rsidR="00031C3C">
        <w:rPr>
          <w:rFonts w:eastAsia="Times New Roman"/>
          <w:b/>
          <w:highlight w:val="lightGray"/>
        </w:rPr>
        <w:t>t name</w:t>
      </w:r>
      <w:r w:rsidRPr="00D5226D">
        <w:rPr>
          <w:rFonts w:eastAsia="Times New Roman"/>
        </w:rPr>
        <w:t>]</w:t>
      </w:r>
      <w:r w:rsidRPr="00D5226D">
        <w:rPr>
          <w:rFonts w:eastAsia="Times New Roman"/>
          <w:b/>
          <w:bCs/>
          <w:sz w:val="21"/>
          <w:szCs w:val="21"/>
          <w:lang w:eastAsia="en-GB"/>
        </w:rPr>
        <w:t xml:space="preserve"> </w:t>
      </w:r>
      <w:r w:rsidRPr="0044077C">
        <w:rPr>
          <w:szCs w:val="24"/>
        </w:rPr>
        <w:t xml:space="preserve">is </w:t>
      </w:r>
      <w:r w:rsidRPr="001B2BDD">
        <w:rPr>
          <w:b/>
          <w:szCs w:val="24"/>
        </w:rPr>
        <w:t xml:space="preserve">correct </w:t>
      </w:r>
      <w:r w:rsidRPr="0044077C">
        <w:rPr>
          <w:szCs w:val="24"/>
        </w:rPr>
        <w:t xml:space="preserve">and </w:t>
      </w:r>
      <w:r w:rsidRPr="001B2BDD">
        <w:rPr>
          <w:b/>
          <w:szCs w:val="24"/>
        </w:rPr>
        <w:t>complete</w:t>
      </w:r>
      <w:r>
        <w:rPr>
          <w:szCs w:val="24"/>
        </w:rPr>
        <w:t>.</w:t>
      </w:r>
    </w:p>
    <w:p w14:paraId="70BA7ECF" w14:textId="4614240B" w:rsidR="00A354F2" w:rsidRDefault="00A354F2" w:rsidP="2DCDB7FB">
      <w:pPr>
        <w:ind w:left="600" w:hanging="600"/>
        <w:jc w:val="both"/>
      </w:pPr>
      <w:r>
        <w:t xml:space="preserve">2 — </w:t>
      </w:r>
      <w:r>
        <w:tab/>
        <w:t xml:space="preserve">The information concerning the legal status in the </w:t>
      </w:r>
      <w:r w:rsidR="5BA095BD">
        <w:t>Application Form A</w:t>
      </w:r>
      <w:r w:rsidR="37DDEFEA">
        <w:t xml:space="preserve"> </w:t>
      </w:r>
      <w:r w:rsidR="1EE53A60">
        <w:t xml:space="preserve">for </w:t>
      </w:r>
      <w:r>
        <w:t>my organisation is correct and complete.</w:t>
      </w:r>
    </w:p>
    <w:p w14:paraId="43F67D09" w14:textId="3ADB631F" w:rsidR="004771AA" w:rsidRPr="004771AA" w:rsidRDefault="00A354F2" w:rsidP="004771AA">
      <w:pPr>
        <w:ind w:left="600" w:hanging="600"/>
        <w:jc w:val="both"/>
      </w:pPr>
      <w:r w:rsidRPr="21E0E875">
        <w:t>3</w:t>
      </w:r>
      <w:r w:rsidRPr="0069789B">
        <w:rPr>
          <w:szCs w:val="24"/>
        </w:rPr>
        <w:t xml:space="preserve"> </w:t>
      </w:r>
      <w:r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>
        <w:rPr>
          <w:szCs w:val="24"/>
        </w:rPr>
        <w:tab/>
      </w:r>
      <w:r w:rsidRPr="21E0E875">
        <w:t>I/my organisation commit</w:t>
      </w:r>
      <w:r w:rsidR="019588BD" w:rsidRPr="21E0E875">
        <w:t>(s)</w:t>
      </w:r>
      <w:r w:rsidRPr="21E0E875">
        <w:t xml:space="preserve"> to comply</w:t>
      </w:r>
      <w:r w:rsidRPr="21E0E875">
        <w:rPr>
          <w:rStyle w:val="FootnoteReference"/>
        </w:rPr>
        <w:footnoteReference w:id="3"/>
      </w:r>
      <w:r w:rsidRPr="21E0E875">
        <w:t xml:space="preserve"> with the </w:t>
      </w:r>
      <w:r w:rsidRPr="21E0E875">
        <w:rPr>
          <w:b/>
          <w:bCs/>
        </w:rPr>
        <w:t>eligibility</w:t>
      </w:r>
      <w:r w:rsidRPr="21E0E875">
        <w:t xml:space="preserve"> criteria and all other conditions set out in the call conditions </w:t>
      </w:r>
      <w:r w:rsidRPr="00957A30">
        <w:rPr>
          <w:bCs/>
          <w:szCs w:val="24"/>
        </w:rPr>
        <w:t>—</w:t>
      </w:r>
      <w:r w:rsidRPr="21E0E875">
        <w:t xml:space="preserve"> for the entire duration of the action.</w:t>
      </w:r>
    </w:p>
    <w:p w14:paraId="331D84B1" w14:textId="77777777" w:rsidR="00A354F2" w:rsidRPr="0069789B" w:rsidRDefault="00A354F2" w:rsidP="00A354F2">
      <w:pPr>
        <w:ind w:left="600" w:hanging="600"/>
        <w:jc w:val="both"/>
        <w:rPr>
          <w:szCs w:val="24"/>
        </w:rPr>
      </w:pPr>
      <w:r>
        <w:rPr>
          <w:szCs w:val="24"/>
        </w:rPr>
        <w:t>4</w:t>
      </w:r>
      <w:r w:rsidRPr="0069789B">
        <w:rPr>
          <w:szCs w:val="24"/>
        </w:rPr>
        <w:t xml:space="preserve"> </w:t>
      </w:r>
      <w:r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>
        <w:rPr>
          <w:szCs w:val="24"/>
        </w:rPr>
        <w:tab/>
        <w:t>I/m</w:t>
      </w:r>
      <w:r w:rsidRPr="0069789B">
        <w:rPr>
          <w:szCs w:val="24"/>
        </w:rPr>
        <w:t>y organisation:</w:t>
      </w:r>
    </w:p>
    <w:p w14:paraId="0E783CB1" w14:textId="157924AE" w:rsidR="00A354F2" w:rsidRDefault="00C95FB2" w:rsidP="2DCDB7FB">
      <w:pPr>
        <w:pStyle w:val="ListParagraph"/>
        <w:numPr>
          <w:ilvl w:val="0"/>
          <w:numId w:val="4"/>
        </w:numPr>
        <w:snapToGrid/>
        <w:ind w:left="1418"/>
        <w:contextualSpacing w:val="0"/>
        <w:jc w:val="both"/>
      </w:pPr>
      <w:r>
        <w:t>a</w:t>
      </w:r>
      <w:r w:rsidR="4B7BE19A">
        <w:t>m/</w:t>
      </w:r>
      <w:r w:rsidR="7A2BAE74">
        <w:t>is</w:t>
      </w:r>
      <w:r w:rsidR="66020B2C">
        <w:t xml:space="preserve"> </w:t>
      </w:r>
      <w:r w:rsidR="00A354F2">
        <w:t>committed to participate in the action</w:t>
      </w:r>
    </w:p>
    <w:p w14:paraId="5F2BAD4A" w14:textId="61A2DFFD" w:rsidR="004771AA" w:rsidRDefault="00C95FB2" w:rsidP="2DCDB7FB">
      <w:pPr>
        <w:pStyle w:val="ListParagraph"/>
        <w:numPr>
          <w:ilvl w:val="0"/>
          <w:numId w:val="4"/>
        </w:numPr>
        <w:snapToGrid/>
        <w:ind w:left="1418"/>
        <w:contextualSpacing w:val="0"/>
        <w:jc w:val="both"/>
      </w:pPr>
      <w:r>
        <w:t>a</w:t>
      </w:r>
      <w:r w:rsidR="1A0755C2">
        <w:t>m/</w:t>
      </w:r>
      <w:r w:rsidR="638222CF">
        <w:t>is</w:t>
      </w:r>
      <w:r w:rsidR="3EAD1153">
        <w:t xml:space="preserve"> </w:t>
      </w:r>
      <w:r w:rsidR="004771AA">
        <w:t>involved in media literacy activities and can provide evidence of our prior activities in this field</w:t>
      </w:r>
    </w:p>
    <w:p w14:paraId="35BD033B" w14:textId="530DA15A" w:rsidR="00A354F2" w:rsidRPr="0069789B" w:rsidRDefault="00A354F2" w:rsidP="2DCDB7FB">
      <w:pPr>
        <w:pStyle w:val="ListParagraph"/>
        <w:numPr>
          <w:ilvl w:val="0"/>
          <w:numId w:val="4"/>
        </w:numPr>
        <w:snapToGrid/>
        <w:ind w:left="1418"/>
        <w:contextualSpacing w:val="0"/>
        <w:jc w:val="both"/>
      </w:pPr>
      <w:r>
        <w:t>have</w:t>
      </w:r>
      <w:r w:rsidR="27677528">
        <w:t>/has</w:t>
      </w:r>
      <w:r>
        <w:t xml:space="preserve"> stable and sufficient sources of funding to maintain the activities throughout the action and to provide any counterpart funding necessary</w:t>
      </w:r>
    </w:p>
    <w:p w14:paraId="2F31B95D" w14:textId="4BED02B4" w:rsidR="00A354F2" w:rsidRDefault="00A354F2" w:rsidP="2DCDB7FB">
      <w:pPr>
        <w:pStyle w:val="ListParagraph"/>
        <w:numPr>
          <w:ilvl w:val="0"/>
          <w:numId w:val="4"/>
        </w:numPr>
        <w:snapToGrid/>
        <w:ind w:left="1418"/>
        <w:contextualSpacing w:val="0"/>
        <w:jc w:val="both"/>
      </w:pPr>
      <w:r>
        <w:lastRenderedPageBreak/>
        <w:t>have</w:t>
      </w:r>
      <w:r w:rsidR="3479BE69">
        <w:t>/has</w:t>
      </w:r>
      <w:r>
        <w:t xml:space="preserve"> or will have the necessary</w:t>
      </w:r>
      <w:r w:rsidR="0005751D">
        <w:t xml:space="preserve"> know-how, qualifications and</w:t>
      </w:r>
      <w:r>
        <w:t xml:space="preserve"> resources needed to implement the action</w:t>
      </w:r>
    </w:p>
    <w:p w14:paraId="21A0F0D7" w14:textId="27923DBF" w:rsidR="00A354F2" w:rsidRPr="00370DF7" w:rsidRDefault="00A354F2" w:rsidP="21E0E875">
      <w:pPr>
        <w:pStyle w:val="ListParagraph"/>
        <w:numPr>
          <w:ilvl w:val="0"/>
          <w:numId w:val="4"/>
        </w:numPr>
        <w:snapToGrid/>
        <w:ind w:left="1418"/>
        <w:contextualSpacing w:val="0"/>
        <w:jc w:val="both"/>
      </w:pPr>
      <w:r>
        <w:t>acknowledge full responsib</w:t>
      </w:r>
      <w:r w:rsidR="7D9E72E7">
        <w:t>ility</w:t>
      </w:r>
      <w:r>
        <w:t xml:space="preserve"> for my</w:t>
      </w:r>
      <w:r w:rsidR="13D979CD">
        <w:t>/its</w:t>
      </w:r>
      <w:r>
        <w:t xml:space="preserve"> affiliated entities which participate in the action</w:t>
      </w:r>
    </w:p>
    <w:p w14:paraId="44458F6B" w14:textId="66D58455" w:rsidR="00A354F2" w:rsidRPr="00C70551" w:rsidRDefault="00A354F2" w:rsidP="2DCDB7FB">
      <w:pPr>
        <w:snapToGrid/>
        <w:ind w:left="1418"/>
        <w:jc w:val="both"/>
      </w:pPr>
    </w:p>
    <w:p w14:paraId="5E72FE1A" w14:textId="4B57177F" w:rsidR="00A354F2" w:rsidRPr="00C70551" w:rsidRDefault="00A354F2" w:rsidP="2DCDB7FB">
      <w:pPr>
        <w:pStyle w:val="ListParagraph"/>
        <w:spacing w:after="240"/>
        <w:ind w:left="600" w:hanging="600"/>
        <w:jc w:val="both"/>
      </w:pPr>
      <w:r w:rsidRPr="2DCDB7FB">
        <w:rPr>
          <w:rFonts w:eastAsia="Times New Roman"/>
        </w:rPr>
        <w:t>5</w:t>
      </w:r>
      <w:bookmarkStart w:id="7" w:name="_Hlk141040952"/>
      <w:r w:rsidRPr="2DCDB7FB">
        <w:rPr>
          <w:rFonts w:eastAsia="Times New Roman"/>
        </w:rPr>
        <w:t xml:space="preserve"> </w:t>
      </w:r>
      <w:r>
        <w:t>—</w:t>
      </w:r>
      <w:bookmarkEnd w:id="7"/>
      <w:r w:rsidRPr="2DCDB7FB">
        <w:rPr>
          <w:rFonts w:eastAsia="Times New Roman"/>
        </w:rPr>
        <w:t xml:space="preserve"> </w:t>
      </w:r>
      <w:r>
        <w:tab/>
      </w:r>
      <w:bookmarkStart w:id="8" w:name="_Hlk154100220"/>
      <w:r w:rsidRPr="2DCDB7FB">
        <w:rPr>
          <w:rFonts w:eastAsia="Times New Roman"/>
        </w:rPr>
        <w:t xml:space="preserve">For applicants which are subject to Articles 138 and 139 of the EU Financial Regulation: </w:t>
      </w:r>
      <w:bookmarkEnd w:id="8"/>
      <w:r w:rsidRPr="2DCDB7FB">
        <w:rPr>
          <w:rFonts w:eastAsia="Times New Roman"/>
        </w:rPr>
        <w:t>I/m</w:t>
      </w:r>
      <w:r>
        <w:t>y organisation:</w:t>
      </w:r>
    </w:p>
    <w:p w14:paraId="7C8B1A56" w14:textId="4DF3C6B7" w:rsidR="00A354F2" w:rsidRPr="00C70551" w:rsidRDefault="00C95FB2" w:rsidP="00A354F2">
      <w:pPr>
        <w:pStyle w:val="ListParagraph"/>
        <w:numPr>
          <w:ilvl w:val="0"/>
          <w:numId w:val="4"/>
        </w:numPr>
        <w:snapToGrid/>
        <w:ind w:left="1418"/>
        <w:contextualSpacing w:val="0"/>
        <w:jc w:val="both"/>
      </w:pPr>
      <w:r>
        <w:t>a</w:t>
      </w:r>
      <w:r w:rsidR="1E77A112" w:rsidRPr="2DCDB7FB">
        <w:t>m/</w:t>
      </w:r>
      <w:r w:rsidR="261F93DB" w:rsidRPr="2DCDB7FB">
        <w:t>is</w:t>
      </w:r>
      <w:r w:rsidR="4609413D" w:rsidRPr="2DCDB7FB">
        <w:t xml:space="preserve"> </w:t>
      </w:r>
      <w:r w:rsidR="00A354F2" w:rsidRPr="2DCDB7FB">
        <w:t xml:space="preserve">NOT subject to an </w:t>
      </w:r>
      <w:r w:rsidR="00A354F2" w:rsidRPr="2DCDB7FB">
        <w:rPr>
          <w:b/>
          <w:bCs/>
        </w:rPr>
        <w:t>administrative sanction</w:t>
      </w:r>
      <w:r w:rsidR="00A354F2" w:rsidRPr="2DCDB7FB">
        <w:t xml:space="preserve"> (i.e. exclusion or financial penalty decision)</w:t>
      </w:r>
      <w:r w:rsidR="00A354F2" w:rsidRPr="2DCDB7FB">
        <w:rPr>
          <w:rStyle w:val="FootnoteReference"/>
        </w:rPr>
        <w:footnoteReference w:id="4"/>
      </w:r>
    </w:p>
    <w:p w14:paraId="7F7E4ED9" w14:textId="77777777" w:rsidR="00A354F2" w:rsidRPr="00C70551" w:rsidRDefault="00A354F2" w:rsidP="00A354F2">
      <w:pPr>
        <w:pStyle w:val="ListParagraph"/>
        <w:spacing w:after="240"/>
        <w:ind w:left="600"/>
        <w:jc w:val="both"/>
        <w:rPr>
          <w:szCs w:val="24"/>
        </w:rPr>
      </w:pPr>
      <w:r w:rsidRPr="00C70551">
        <w:rPr>
          <w:rFonts w:eastAsia="Times New Roman"/>
          <w:szCs w:val="24"/>
        </w:rPr>
        <w:t>I/m</w:t>
      </w:r>
      <w:r w:rsidRPr="00C70551">
        <w:rPr>
          <w:szCs w:val="24"/>
        </w:rPr>
        <w:t>y organisation (or persons with unlimited liability for debts):</w:t>
      </w:r>
    </w:p>
    <w:p w14:paraId="2BA3D38B" w14:textId="537547CF" w:rsidR="00A354F2" w:rsidRPr="00C70551" w:rsidRDefault="037D14E8" w:rsidP="00A354F2">
      <w:pPr>
        <w:pStyle w:val="ListParagraph"/>
        <w:numPr>
          <w:ilvl w:val="0"/>
          <w:numId w:val="4"/>
        </w:numPr>
        <w:snapToGrid/>
        <w:ind w:left="1418"/>
        <w:contextualSpacing w:val="0"/>
        <w:jc w:val="both"/>
      </w:pPr>
      <w:r w:rsidRPr="2DCDB7FB">
        <w:t>a</w:t>
      </w:r>
      <w:r w:rsidR="1FFA78B6" w:rsidRPr="2DCDB7FB">
        <w:t>m/</w:t>
      </w:r>
      <w:r w:rsidR="58E613C9" w:rsidRPr="2DCDB7FB">
        <w:t>is</w:t>
      </w:r>
      <w:r w:rsidR="52A1B165" w:rsidRPr="2DCDB7FB">
        <w:t xml:space="preserve"> </w:t>
      </w:r>
      <w:r w:rsidR="00A354F2" w:rsidRPr="2DCDB7FB">
        <w:t xml:space="preserve">NOT in one of the following </w:t>
      </w:r>
      <w:r w:rsidR="00A354F2" w:rsidRPr="2DCDB7FB">
        <w:rPr>
          <w:b/>
          <w:bCs/>
        </w:rPr>
        <w:t>exclusion situations</w:t>
      </w:r>
      <w:r w:rsidR="00A354F2" w:rsidRPr="2DCDB7FB">
        <w:rPr>
          <w:rStyle w:val="FootnoteReference"/>
        </w:rPr>
        <w:footnoteReference w:id="5"/>
      </w:r>
      <w:r w:rsidR="00A354F2" w:rsidRPr="00C70551">
        <w:rPr>
          <w:szCs w:val="24"/>
        </w:rPr>
        <w:t>:</w:t>
      </w:r>
    </w:p>
    <w:p w14:paraId="46F746F3" w14:textId="77777777" w:rsidR="00A354F2" w:rsidRPr="000D360B" w:rsidRDefault="00A354F2" w:rsidP="00A354F2">
      <w:pPr>
        <w:numPr>
          <w:ilvl w:val="3"/>
          <w:numId w:val="1"/>
        </w:numPr>
        <w:ind w:left="1800"/>
        <w:jc w:val="both"/>
        <w:rPr>
          <w:bCs/>
          <w:szCs w:val="24"/>
        </w:rPr>
      </w:pPr>
      <w:r w:rsidRPr="000D360B">
        <w:rPr>
          <w:bCs/>
          <w:szCs w:val="24"/>
        </w:rPr>
        <w:t>bankrupt, being wound up, having the affairs administered by the courts, entered into an arrangement with creditors, suspended business activities or subject to any other similar proceedings or procedures</w:t>
      </w:r>
    </w:p>
    <w:p w14:paraId="1769AEBF" w14:textId="77777777" w:rsidR="00A354F2" w:rsidRPr="00C70551" w:rsidRDefault="00A354F2" w:rsidP="00A354F2">
      <w:pPr>
        <w:numPr>
          <w:ilvl w:val="2"/>
          <w:numId w:val="5"/>
        </w:numPr>
        <w:jc w:val="both"/>
        <w:rPr>
          <w:szCs w:val="24"/>
        </w:rPr>
      </w:pPr>
      <w:r w:rsidRPr="000D360B">
        <w:rPr>
          <w:bCs/>
          <w:szCs w:val="24"/>
        </w:rPr>
        <w:t>in breach of social security or tax obligations</w:t>
      </w:r>
    </w:p>
    <w:p w14:paraId="4C61A064" w14:textId="77777777" w:rsidR="00A354F2" w:rsidRPr="00C70551" w:rsidRDefault="00A354F2" w:rsidP="00A354F2">
      <w:pPr>
        <w:pStyle w:val="ListParagraph"/>
        <w:spacing w:after="240"/>
        <w:ind w:left="600"/>
        <w:jc w:val="both"/>
        <w:rPr>
          <w:szCs w:val="24"/>
        </w:rPr>
      </w:pPr>
      <w:r w:rsidRPr="00C70551">
        <w:rPr>
          <w:rFonts w:eastAsia="Times New Roman"/>
          <w:szCs w:val="24"/>
        </w:rPr>
        <w:t>I/m</w:t>
      </w:r>
      <w:r w:rsidRPr="00C70551">
        <w:rPr>
          <w:szCs w:val="24"/>
        </w:rPr>
        <w:t>y organisation (or persons having powers of representation, decision-making or control, beneficial owners or persons who are essential for the award/implementation of the action):</w:t>
      </w:r>
    </w:p>
    <w:p w14:paraId="5852EF59" w14:textId="7AA55109" w:rsidR="00A354F2" w:rsidRPr="00C70551" w:rsidRDefault="1CFBEA9C" w:rsidP="00A354F2">
      <w:pPr>
        <w:pStyle w:val="ListParagraph"/>
        <w:numPr>
          <w:ilvl w:val="0"/>
          <w:numId w:val="4"/>
        </w:numPr>
        <w:snapToGrid/>
        <w:ind w:left="1418"/>
        <w:contextualSpacing w:val="0"/>
        <w:jc w:val="both"/>
      </w:pPr>
      <w:r w:rsidRPr="2DCDB7FB">
        <w:t>A</w:t>
      </w:r>
      <w:r w:rsidR="173CB674" w:rsidRPr="2DCDB7FB">
        <w:t>m/</w:t>
      </w:r>
      <w:r w:rsidR="480ACACF" w:rsidRPr="2DCDB7FB">
        <w:t>is</w:t>
      </w:r>
      <w:r w:rsidRPr="2DCDB7FB">
        <w:t xml:space="preserve"> </w:t>
      </w:r>
      <w:r w:rsidR="00A354F2" w:rsidRPr="2DCDB7FB">
        <w:t xml:space="preserve">NOT in one of the following </w:t>
      </w:r>
      <w:r w:rsidR="00A354F2" w:rsidRPr="2DCDB7FB">
        <w:rPr>
          <w:b/>
          <w:bCs/>
        </w:rPr>
        <w:t>exclusion situations</w:t>
      </w:r>
      <w:r w:rsidR="00A354F2" w:rsidRPr="2DCDB7FB">
        <w:rPr>
          <w:rStyle w:val="FootnoteReference"/>
        </w:rPr>
        <w:footnoteReference w:id="6"/>
      </w:r>
      <w:r w:rsidR="00A354F2" w:rsidRPr="00C70551">
        <w:rPr>
          <w:szCs w:val="24"/>
        </w:rPr>
        <w:t>:</w:t>
      </w:r>
    </w:p>
    <w:p w14:paraId="00B50D11" w14:textId="77777777" w:rsidR="00A354F2" w:rsidRPr="000D360B" w:rsidRDefault="00A354F2" w:rsidP="00A354F2">
      <w:pPr>
        <w:numPr>
          <w:ilvl w:val="2"/>
          <w:numId w:val="5"/>
        </w:numPr>
        <w:jc w:val="both"/>
        <w:rPr>
          <w:szCs w:val="24"/>
        </w:rPr>
      </w:pPr>
      <w:r w:rsidRPr="2DCDB7FB">
        <w:t>guilty of grave professional misconduct</w:t>
      </w:r>
      <w:r w:rsidRPr="2DCDB7FB">
        <w:rPr>
          <w:rStyle w:val="FootnoteReference"/>
        </w:rPr>
        <w:footnoteReference w:id="7"/>
      </w:r>
      <w:r w:rsidRPr="000D360B">
        <w:rPr>
          <w:szCs w:val="24"/>
        </w:rPr>
        <w:t xml:space="preserve"> </w:t>
      </w:r>
    </w:p>
    <w:p w14:paraId="3CC2EF96" w14:textId="77777777" w:rsidR="00A354F2" w:rsidRPr="00C70551" w:rsidRDefault="00A354F2" w:rsidP="00A354F2">
      <w:pPr>
        <w:numPr>
          <w:ilvl w:val="2"/>
          <w:numId w:val="5"/>
        </w:numPr>
        <w:jc w:val="both"/>
        <w:rPr>
          <w:szCs w:val="24"/>
        </w:rPr>
      </w:pPr>
      <w:r w:rsidRPr="000D360B">
        <w:rPr>
          <w:szCs w:val="24"/>
        </w:rPr>
        <w:t>committed fraud, corruption, links to a criminal organisation, money laundering, terrorism-related crimes (including terrorism financing), child labour or</w:t>
      </w:r>
      <w:r w:rsidRPr="00C70551">
        <w:rPr>
          <w:szCs w:val="24"/>
        </w:rPr>
        <w:t xml:space="preserve"> human trafficking </w:t>
      </w:r>
    </w:p>
    <w:p w14:paraId="1D6E1FFE" w14:textId="77777777" w:rsidR="00A354F2" w:rsidRPr="000D360B" w:rsidRDefault="00A354F2" w:rsidP="00A354F2">
      <w:pPr>
        <w:numPr>
          <w:ilvl w:val="1"/>
          <w:numId w:val="1"/>
        </w:numPr>
        <w:ind w:left="1800" w:hanging="357"/>
        <w:jc w:val="both"/>
        <w:rPr>
          <w:szCs w:val="24"/>
        </w:rPr>
      </w:pPr>
      <w:r w:rsidRPr="000D360B">
        <w:rPr>
          <w:szCs w:val="24"/>
        </w:rPr>
        <w:t>shown significant deficiencies in complying with main obligations under an EU procurement contract, grant agreement, prize, expert contract, or similar</w:t>
      </w:r>
    </w:p>
    <w:p w14:paraId="24CE11B1" w14:textId="77777777" w:rsidR="00A354F2" w:rsidRDefault="00A354F2" w:rsidP="00A354F2">
      <w:pPr>
        <w:numPr>
          <w:ilvl w:val="1"/>
          <w:numId w:val="1"/>
        </w:numPr>
        <w:ind w:left="1800" w:hanging="357"/>
        <w:jc w:val="both"/>
        <w:rPr>
          <w:szCs w:val="24"/>
        </w:rPr>
      </w:pPr>
      <w:r w:rsidRPr="000D360B">
        <w:rPr>
          <w:szCs w:val="24"/>
        </w:rPr>
        <w:t>guilty of irregularities within the meaning of Article 1(2) of Regulation No 2988</w:t>
      </w:r>
      <w:r>
        <w:rPr>
          <w:szCs w:val="24"/>
        </w:rPr>
        <w:t>/95</w:t>
      </w:r>
    </w:p>
    <w:p w14:paraId="1089728B" w14:textId="77777777" w:rsidR="00A354F2" w:rsidRPr="00F078D7" w:rsidRDefault="00A354F2" w:rsidP="00A354F2">
      <w:pPr>
        <w:numPr>
          <w:ilvl w:val="1"/>
          <w:numId w:val="1"/>
        </w:numPr>
        <w:ind w:left="1800" w:hanging="357"/>
        <w:jc w:val="both"/>
        <w:rPr>
          <w:szCs w:val="24"/>
        </w:rPr>
      </w:pPr>
      <w:r>
        <w:rPr>
          <w:szCs w:val="24"/>
        </w:rPr>
        <w:lastRenderedPageBreak/>
        <w:t>created</w:t>
      </w:r>
      <w:r w:rsidRPr="008017D6">
        <w:rPr>
          <w:szCs w:val="24"/>
        </w:rPr>
        <w:t xml:space="preserve"> under a different jurisdiction with the intent to circumvent fiscal, social or other legal </w:t>
      </w:r>
      <w:r w:rsidRPr="00044212">
        <w:rPr>
          <w:szCs w:val="24"/>
        </w:rPr>
        <w:t xml:space="preserve">obligations in the country of origin (including creation of </w:t>
      </w:r>
      <w:r w:rsidRPr="00F078D7">
        <w:rPr>
          <w:szCs w:val="24"/>
        </w:rPr>
        <w:t>another entity with this purpose)</w:t>
      </w:r>
    </w:p>
    <w:p w14:paraId="03FBFDAA" w14:textId="77777777" w:rsidR="00A354F2" w:rsidRPr="00F078D7" w:rsidRDefault="00A354F2" w:rsidP="00A354F2">
      <w:pPr>
        <w:numPr>
          <w:ilvl w:val="1"/>
          <w:numId w:val="1"/>
        </w:numPr>
        <w:ind w:left="1800" w:hanging="357"/>
        <w:jc w:val="both"/>
        <w:rPr>
          <w:szCs w:val="24"/>
        </w:rPr>
      </w:pPr>
      <w:bookmarkStart w:id="12" w:name="_Hlk181358457"/>
      <w:r w:rsidRPr="2DCDB7FB">
        <w:t>intentionally and without proper justification resisted</w:t>
      </w:r>
      <w:r w:rsidRPr="2DCDB7FB">
        <w:rPr>
          <w:rStyle w:val="FootnoteReference"/>
        </w:rPr>
        <w:footnoteReference w:id="8"/>
      </w:r>
      <w:r w:rsidRPr="2DCDB7FB">
        <w:t xml:space="preserve"> an investigation, check or audit carried out by an EU authorising officer (or their representative or auditor), OLAF, the EPPO, or the European Court of Auditors.</w:t>
      </w:r>
      <w:bookmarkEnd w:id="12"/>
    </w:p>
    <w:p w14:paraId="753F1AF3" w14:textId="37D49635" w:rsidR="00A354F2" w:rsidRPr="00F078D7" w:rsidRDefault="32D73088" w:rsidP="00A354F2">
      <w:pPr>
        <w:ind w:left="600" w:hanging="600"/>
        <w:jc w:val="both"/>
      </w:pPr>
      <w:r>
        <w:t>6</w:t>
      </w:r>
      <w:r w:rsidR="00A354F2">
        <w:t xml:space="preserve">— </w:t>
      </w:r>
      <w:r w:rsidR="00A354F2">
        <w:tab/>
        <w:t xml:space="preserve">I/my organisation </w:t>
      </w:r>
      <w:r w:rsidR="63A7C73A">
        <w:t>am/</w:t>
      </w:r>
      <w:r w:rsidR="5DF8C769">
        <w:t xml:space="preserve">is </w:t>
      </w:r>
      <w:r w:rsidR="00A354F2">
        <w:t xml:space="preserve">NOT subject to a </w:t>
      </w:r>
      <w:r w:rsidR="00A354F2" w:rsidRPr="21E0E875">
        <w:rPr>
          <w:b/>
          <w:bCs/>
        </w:rPr>
        <w:t>conflict of interest</w:t>
      </w:r>
      <w:r w:rsidR="00A354F2">
        <w:t xml:space="preserve"> in connection with this grant and will notify — without delay — any situation which could give rise to a conflict of interests.</w:t>
      </w:r>
    </w:p>
    <w:p w14:paraId="10F9E553" w14:textId="56B4F237" w:rsidR="00A354F2" w:rsidRPr="003E4AC0" w:rsidRDefault="5EFC4047" w:rsidP="00A354F2">
      <w:pPr>
        <w:ind w:left="600" w:hanging="600"/>
        <w:jc w:val="both"/>
      </w:pPr>
      <w:r>
        <w:t>7</w:t>
      </w:r>
      <w:r w:rsidR="00A354F2">
        <w:t xml:space="preserve">— </w:t>
      </w:r>
      <w:r w:rsidR="00A354F2">
        <w:tab/>
        <w:t>I/my organisation have</w:t>
      </w:r>
      <w:r w:rsidR="7C5ADE08">
        <w:t>/has</w:t>
      </w:r>
      <w:r w:rsidR="00A354F2">
        <w:t xml:space="preserve"> NOT and will NOT, neither directly nor indirectly, grant, seek, obtain or accept any advantage in connection with this grant that would constitute an illegal practice or involve </w:t>
      </w:r>
      <w:r w:rsidR="00A354F2" w:rsidRPr="21E0E875">
        <w:rPr>
          <w:b/>
          <w:bCs/>
        </w:rPr>
        <w:t>corruption</w:t>
      </w:r>
      <w:r w:rsidR="00A354F2">
        <w:t>.</w:t>
      </w:r>
    </w:p>
    <w:p w14:paraId="5DDF5D2B" w14:textId="403F2299" w:rsidR="00A354F2" w:rsidRPr="004A13C3" w:rsidRDefault="1C7B712A" w:rsidP="00A354F2">
      <w:pPr>
        <w:ind w:left="600" w:hanging="600"/>
        <w:jc w:val="both"/>
      </w:pPr>
      <w:r w:rsidRPr="2DCDB7FB">
        <w:t>8</w:t>
      </w:r>
      <w:r w:rsidR="00A354F2" w:rsidRPr="2DCDB7FB">
        <w:t xml:space="preserve"> —</w:t>
      </w:r>
      <w:r w:rsidR="00A354F2" w:rsidRPr="003E4AC0">
        <w:t xml:space="preserve"> </w:t>
      </w:r>
      <w:r w:rsidR="00A354F2" w:rsidRPr="2DCDB7FB">
        <w:t>I/my organisation have</w:t>
      </w:r>
      <w:r w:rsidR="12563548" w:rsidRPr="2DCDB7FB">
        <w:t>/has</w:t>
      </w:r>
      <w:r w:rsidR="00A354F2" w:rsidRPr="2DCDB7FB">
        <w:t xml:space="preserve"> </w:t>
      </w:r>
      <w:r w:rsidR="00A354F2" w:rsidRPr="2DCDB7FB">
        <w:rPr>
          <w:b/>
          <w:bCs/>
        </w:rPr>
        <w:t>not received</w:t>
      </w:r>
      <w:r w:rsidR="00A354F2" w:rsidRPr="2DCDB7FB">
        <w:t xml:space="preserve"> any </w:t>
      </w:r>
      <w:r w:rsidR="00A354F2" w:rsidRPr="2DCDB7FB">
        <w:rPr>
          <w:b/>
          <w:bCs/>
        </w:rPr>
        <w:t>other EU grant</w:t>
      </w:r>
      <w:r w:rsidR="00A354F2" w:rsidRPr="2DCDB7FB">
        <w:t xml:space="preserve"> for this action and will give notice of any future</w:t>
      </w:r>
      <w:r w:rsidR="00A354F2" w:rsidRPr="0069789B">
        <w:rPr>
          <w:szCs w:val="24"/>
        </w:rPr>
        <w:t xml:space="preserve"> </w:t>
      </w:r>
      <w:r w:rsidR="00A354F2" w:rsidRPr="2DCDB7FB">
        <w:t>EU grants related to this action</w:t>
      </w:r>
      <w:r w:rsidR="00A354F2" w:rsidRPr="21E0E875">
        <w:rPr>
          <w:i/>
          <w:iCs/>
          <w:color w:val="0088CC"/>
        </w:rPr>
        <w:t xml:space="preserve"> </w:t>
      </w:r>
      <w:r w:rsidR="00A354F2" w:rsidRPr="2DCDB7FB">
        <w:t>AND of any</w:t>
      </w:r>
      <w:r w:rsidR="00A354F2" w:rsidRPr="004A13C3">
        <w:rPr>
          <w:szCs w:val="24"/>
        </w:rPr>
        <w:t xml:space="preserve"> </w:t>
      </w:r>
      <w:r w:rsidR="00A354F2" w:rsidRPr="2DCDB7FB">
        <w:t>EU operating grant(s)</w:t>
      </w:r>
      <w:r w:rsidR="00A354F2" w:rsidRPr="2DCDB7FB">
        <w:rPr>
          <w:rStyle w:val="FootnoteReference"/>
        </w:rPr>
        <w:footnoteReference w:id="9"/>
      </w:r>
      <w:r w:rsidR="00A354F2" w:rsidRPr="2DCDB7FB">
        <w:t xml:space="preserve"> given to my organisation.</w:t>
      </w:r>
    </w:p>
    <w:p w14:paraId="5D06276A" w14:textId="16CF97C1" w:rsidR="00A354F2" w:rsidRPr="00C70551" w:rsidRDefault="7029DD4A" w:rsidP="00A354F2">
      <w:pPr>
        <w:ind w:left="600" w:hanging="600"/>
        <w:jc w:val="both"/>
      </w:pPr>
      <w:r>
        <w:t>9</w:t>
      </w:r>
      <w:r w:rsidR="00A354F2">
        <w:t xml:space="preserve"> — I/my organisation </w:t>
      </w:r>
      <w:r w:rsidR="7D8756E5">
        <w:t>am/</w:t>
      </w:r>
      <w:r w:rsidR="4FED2946">
        <w:t xml:space="preserve">is </w:t>
      </w:r>
      <w:r w:rsidR="00A354F2">
        <w:t xml:space="preserve">aware that </w:t>
      </w:r>
      <w:r w:rsidR="00A354F2" w:rsidRPr="21E0E875">
        <w:rPr>
          <w:b/>
          <w:bCs/>
        </w:rPr>
        <w:t xml:space="preserve">false declarations </w:t>
      </w:r>
      <w:r w:rsidR="00A354F2">
        <w:t xml:space="preserve">may lead to rejection, suspension, termination or reduction of the grant and to administrative sanctions (i.e. financial penalties and/or exclusion from </w:t>
      </w:r>
      <w:bookmarkStart w:id="14" w:name="_Hlk153792368"/>
      <w:r w:rsidR="00A354F2">
        <w:t xml:space="preserve">future EU </w:t>
      </w:r>
      <w:bookmarkStart w:id="15" w:name="_Hlk153792042"/>
      <w:r w:rsidR="00A354F2">
        <w:t>funding, such as grants, tenders, prizes, contribution agreements, expert contracts, etc</w:t>
      </w:r>
      <w:bookmarkEnd w:id="15"/>
      <w:r w:rsidR="00A354F2">
        <w:t>)</w:t>
      </w:r>
      <w:bookmarkEnd w:id="14"/>
      <w:r w:rsidR="00A354F2">
        <w:t>.</w:t>
      </w:r>
    </w:p>
    <w:p w14:paraId="7EDACEEB" w14:textId="3200802D" w:rsidR="00A354F2" w:rsidRPr="00C70551" w:rsidDel="0005751D" w:rsidRDefault="00A354F2" w:rsidP="2DCDB7FB">
      <w:pPr>
        <w:jc w:val="center"/>
        <w:rPr>
          <w:rFonts w:eastAsia="Times New Roman"/>
          <w:szCs w:val="24"/>
        </w:rPr>
      </w:pPr>
      <w:r w:rsidRPr="2DCDB7FB">
        <w:t>1</w:t>
      </w:r>
      <w:r w:rsidR="0CE89AF1" w:rsidRPr="2DCDB7FB">
        <w:t>0</w:t>
      </w:r>
      <w:r w:rsidRPr="2DCDB7FB">
        <w:t xml:space="preserve"> </w:t>
      </w:r>
      <w:r w:rsidRPr="00C70551">
        <w:rPr>
          <w:szCs w:val="24"/>
        </w:rPr>
        <w:t>—</w:t>
      </w:r>
      <w:r w:rsidR="3E7B849C" w:rsidRPr="2DCDB7FB">
        <w:rPr>
          <w:rFonts w:eastAsia="Times New Roman"/>
          <w:szCs w:val="24"/>
        </w:rPr>
        <w:t>Personal data submitted or otherwise collected by the EU</w:t>
      </w:r>
      <w:r w:rsidR="3E7B849C" w:rsidRPr="2DCDB7FB">
        <w:rPr>
          <w:rFonts w:eastAsia="Times New Roman"/>
          <w:color w:val="0088CC"/>
          <w:szCs w:val="24"/>
        </w:rPr>
        <w:t xml:space="preserve"> </w:t>
      </w:r>
      <w:r w:rsidR="3E7B849C" w:rsidRPr="2DCDB7FB">
        <w:rPr>
          <w:rFonts w:eastAsia="Times New Roman"/>
          <w:szCs w:val="24"/>
        </w:rPr>
        <w:t>will be subject to Regulation 2018/1725</w:t>
      </w:r>
    </w:p>
    <w:p w14:paraId="2B410A81" w14:textId="77777777" w:rsidR="00A354F2" w:rsidRDefault="00A354F2" w:rsidP="00A354F2">
      <w:pPr>
        <w:pStyle w:val="H3"/>
        <w:numPr>
          <w:ilvl w:val="0"/>
          <w:numId w:val="0"/>
        </w:numPr>
        <w:ind w:left="600" w:hanging="600"/>
      </w:pPr>
    </w:p>
    <w:p w14:paraId="793CB786" w14:textId="77777777" w:rsidR="00A354F2" w:rsidRPr="0069789B" w:rsidRDefault="00A354F2" w:rsidP="00A354F2">
      <w:pPr>
        <w:pStyle w:val="H3"/>
        <w:numPr>
          <w:ilvl w:val="0"/>
          <w:numId w:val="0"/>
        </w:numPr>
        <w:ind w:left="600" w:hanging="600"/>
      </w:pPr>
    </w:p>
    <w:p w14:paraId="29598685" w14:textId="77777777" w:rsidR="00A354F2" w:rsidRDefault="00A354F2" w:rsidP="00A354F2"/>
    <w:p w14:paraId="6A8A5316" w14:textId="77777777" w:rsidR="00A354F2" w:rsidRPr="00B80747" w:rsidRDefault="00A354F2" w:rsidP="00A354F2">
      <w:pPr>
        <w:spacing w:after="0"/>
        <w:jc w:val="both"/>
        <w:rPr>
          <w:rFonts w:eastAsia="Times New Roman"/>
        </w:rPr>
      </w:pPr>
      <w:r w:rsidRPr="00B80747">
        <w:rPr>
          <w:rFonts w:eastAsia="Times New Roman"/>
        </w:rPr>
        <w:t>SIGNATURE</w:t>
      </w:r>
    </w:p>
    <w:p w14:paraId="57A26ABA" w14:textId="77777777" w:rsidR="00A354F2" w:rsidRDefault="00A354F2" w:rsidP="00A354F2">
      <w:pPr>
        <w:spacing w:after="0"/>
        <w:rPr>
          <w:rFonts w:eastAsia="Times New Roman"/>
        </w:rPr>
      </w:pPr>
      <w:r w:rsidRPr="00B80747">
        <w:rPr>
          <w:rFonts w:eastAsia="Times New Roman"/>
        </w:rPr>
        <w:t xml:space="preserve">For the </w:t>
      </w:r>
      <w:r>
        <w:rPr>
          <w:rFonts w:eastAsia="Times New Roman"/>
        </w:rPr>
        <w:t>applicant</w:t>
      </w:r>
      <w:r w:rsidRPr="00B80747">
        <w:rPr>
          <w:rFonts w:eastAsia="Times New Roman"/>
        </w:rPr>
        <w:t xml:space="preserve"> </w:t>
      </w:r>
    </w:p>
    <w:p w14:paraId="0CE54574" w14:textId="77777777" w:rsidR="00A354F2" w:rsidRPr="00B80747" w:rsidRDefault="00A354F2" w:rsidP="00A354F2">
      <w:pPr>
        <w:spacing w:after="0"/>
        <w:rPr>
          <w:rFonts w:eastAsia="Times New Roman"/>
        </w:rPr>
      </w:pPr>
      <w:r w:rsidRPr="00B80747">
        <w:rPr>
          <w:rFonts w:eastAsia="Times New Roman"/>
        </w:rPr>
        <w:t>[</w:t>
      </w:r>
      <w:r w:rsidRPr="00B80747">
        <w:rPr>
          <w:rFonts w:eastAsia="Times New Roman"/>
          <w:highlight w:val="lightGray"/>
        </w:rPr>
        <w:t>function/forename/surname</w:t>
      </w:r>
      <w:r w:rsidRPr="00B80747">
        <w:rPr>
          <w:rFonts w:eastAsia="Times New Roman"/>
        </w:rPr>
        <w:t>]</w:t>
      </w:r>
    </w:p>
    <w:p w14:paraId="52A62B7C" w14:textId="02E29AC6" w:rsidR="00A354F2" w:rsidRDefault="00A354F2" w:rsidP="00A354F2">
      <w:pPr>
        <w:spacing w:after="0"/>
        <w:rPr>
          <w:rFonts w:eastAsia="Times New Roman"/>
        </w:rPr>
      </w:pPr>
      <w:r w:rsidRPr="2DCDB7FB">
        <w:rPr>
          <w:rFonts w:eastAsia="Times New Roman"/>
        </w:rPr>
        <w:t>[</w:t>
      </w:r>
      <w:r w:rsidRPr="2DCDB7FB">
        <w:rPr>
          <w:rFonts w:eastAsia="Times New Roman"/>
          <w:highlight w:val="lightGray"/>
        </w:rPr>
        <w:t>signature</w:t>
      </w:r>
      <w:r w:rsidRPr="2DCDB7FB">
        <w:rPr>
          <w:rFonts w:eastAsia="Times New Roman"/>
        </w:rPr>
        <w:t>]</w:t>
      </w:r>
    </w:p>
    <w:p w14:paraId="4BDF24AA" w14:textId="5E485F9E" w:rsidR="00A354F2" w:rsidRDefault="00A354F2" w:rsidP="00A354F2">
      <w:pPr>
        <w:spacing w:after="0"/>
      </w:pPr>
      <w:r w:rsidRPr="2DCDB7FB">
        <w:rPr>
          <w:rFonts w:eastAsia="Times New Roman"/>
        </w:rPr>
        <w:t>Done in [</w:t>
      </w:r>
      <w:r w:rsidRPr="2DCDB7FB">
        <w:rPr>
          <w:rFonts w:eastAsia="Times New Roman"/>
          <w:highlight w:val="lightGray"/>
        </w:rPr>
        <w:t>English</w:t>
      </w:r>
      <w:r w:rsidRPr="2DCDB7FB">
        <w:rPr>
          <w:rFonts w:eastAsia="Times New Roman"/>
        </w:rPr>
        <w:t>] on [</w:t>
      </w:r>
      <w:r w:rsidR="4EBD2854" w:rsidRPr="2DCDB7FB">
        <w:rPr>
          <w:rFonts w:eastAsia="Times New Roman"/>
          <w:highlight w:val="darkGray"/>
        </w:rPr>
        <w:t>Date</w:t>
      </w:r>
      <w:r w:rsidR="4EBD2854" w:rsidRPr="2DCDB7FB">
        <w:rPr>
          <w:rFonts w:eastAsia="Times New Roman"/>
        </w:rPr>
        <w:t>]</w:t>
      </w:r>
      <w:r>
        <w:tab/>
      </w:r>
    </w:p>
    <w:p w14:paraId="4A8E67D2" w14:textId="77777777" w:rsidR="00A354F2" w:rsidRDefault="00A354F2" w:rsidP="00A354F2"/>
    <w:p w14:paraId="318E36C4" w14:textId="77777777" w:rsidR="006877B7" w:rsidRDefault="006877B7"/>
    <w:sectPr w:rsidR="006877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D5A1" w14:textId="77777777" w:rsidR="00456F27" w:rsidRDefault="00456F27" w:rsidP="00A354F2">
      <w:pPr>
        <w:spacing w:after="0"/>
      </w:pPr>
      <w:r>
        <w:separator/>
      </w:r>
    </w:p>
  </w:endnote>
  <w:endnote w:type="continuationSeparator" w:id="0">
    <w:p w14:paraId="0AC24666" w14:textId="77777777" w:rsidR="00456F27" w:rsidRDefault="00456F27" w:rsidP="00A35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2C0E" w14:textId="77777777" w:rsidR="00EE6769" w:rsidRDefault="00EE6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4276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3C5AA75" w14:textId="2073798C" w:rsidR="00EE6769" w:rsidRDefault="00EE676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5D82E3B" w14:textId="77777777" w:rsidR="00EE6769" w:rsidRDefault="00EE67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3B31" w14:textId="77777777" w:rsidR="00EE6769" w:rsidRDefault="00EE6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0613" w14:textId="77777777" w:rsidR="00456F27" w:rsidRDefault="00456F27" w:rsidP="00A354F2">
      <w:pPr>
        <w:spacing w:after="0"/>
      </w:pPr>
      <w:r>
        <w:separator/>
      </w:r>
    </w:p>
  </w:footnote>
  <w:footnote w:type="continuationSeparator" w:id="0">
    <w:p w14:paraId="7A0F443A" w14:textId="77777777" w:rsidR="00456F27" w:rsidRDefault="00456F27" w:rsidP="00A354F2">
      <w:pPr>
        <w:spacing w:after="0"/>
      </w:pPr>
      <w:r>
        <w:continuationSeparator/>
      </w:r>
    </w:p>
  </w:footnote>
  <w:footnote w:id="1">
    <w:p w14:paraId="7FE0F9DE" w14:textId="0B20AA65" w:rsidR="004C009E" w:rsidRPr="004C009E" w:rsidRDefault="004C00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0205E">
        <w:rPr>
          <w:rStyle w:val="normaltextrun"/>
          <w:rFonts w:eastAsia="Aptos" w:cs="Aptos"/>
          <w:color w:val="000000" w:themeColor="text1"/>
        </w:rPr>
        <w:t>The Greek/Romanian/Bulgarian version is a translation of the original in English for information purposes only. In case of a discrepancy, the English original will prevail.</w:t>
      </w:r>
    </w:p>
  </w:footnote>
  <w:footnote w:id="2">
    <w:p w14:paraId="495C7803" w14:textId="77777777" w:rsidR="00A354F2" w:rsidRPr="00F078D7" w:rsidRDefault="00A354F2" w:rsidP="00A354F2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  <w:t>This includes ‘</w:t>
      </w:r>
      <w:r w:rsidRPr="00F078D7">
        <w:t xml:space="preserve">entities without legal personality’ under Article 200(2) of </w:t>
      </w:r>
      <w:r w:rsidRPr="00F078D7">
        <w:rPr>
          <w:bCs/>
          <w:lang w:val="en-US"/>
        </w:rPr>
        <w:t xml:space="preserve">Regulation (EU, Euratom) </w:t>
      </w:r>
      <w:bookmarkStart w:id="3" w:name="_Hlk181357036"/>
      <w:r w:rsidRPr="00F078D7">
        <w:rPr>
          <w:bCs/>
          <w:lang w:val="en-US"/>
        </w:rPr>
        <w:fldChar w:fldCharType="begin"/>
      </w:r>
      <w:r w:rsidRPr="00F078D7">
        <w:rPr>
          <w:bCs/>
          <w:lang w:val="en-US"/>
        </w:rPr>
        <w:instrText>HYPERLINK "https://eur-lex.europa.eu/legal-content/EN/TXT/?uri=OJ:L_202402509"</w:instrText>
      </w:r>
      <w:r w:rsidRPr="00F078D7">
        <w:rPr>
          <w:bCs/>
          <w:lang w:val="en-US"/>
        </w:rPr>
      </w:r>
      <w:r w:rsidRPr="00F078D7">
        <w:rPr>
          <w:bCs/>
          <w:lang w:val="en-US"/>
        </w:rPr>
        <w:fldChar w:fldCharType="separate"/>
      </w:r>
      <w:r w:rsidRPr="00F078D7">
        <w:rPr>
          <w:rStyle w:val="Hyperlink"/>
          <w:bCs/>
          <w:lang w:val="en-US"/>
        </w:rPr>
        <w:t>2024/2509</w:t>
      </w:r>
      <w:bookmarkEnd w:id="3"/>
      <w:r w:rsidRPr="00F078D7">
        <w:rPr>
          <w:bCs/>
          <w:lang w:val="en-US"/>
        </w:rPr>
        <w:fldChar w:fldCharType="end"/>
      </w:r>
      <w:r w:rsidRPr="00F078D7">
        <w:rPr>
          <w:bCs/>
          <w:lang w:val="en-US"/>
        </w:rPr>
        <w:t xml:space="preserve"> of the European Parliament and of the Council of </w:t>
      </w:r>
      <w:bookmarkStart w:id="4" w:name="_Hlk171767375"/>
      <w:r w:rsidRPr="00F078D7">
        <w:rPr>
          <w:bCs/>
          <w:lang w:val="en-US"/>
        </w:rPr>
        <w:t>23 September 2024</w:t>
      </w:r>
      <w:bookmarkEnd w:id="4"/>
      <w:r w:rsidRPr="00F078D7">
        <w:rPr>
          <w:bCs/>
          <w:lang w:val="en-US"/>
        </w:rPr>
        <w:t xml:space="preserve"> on the financial rules applicable to the general budget of the Union (recast) </w:t>
      </w:r>
      <w:bookmarkStart w:id="5" w:name="_Hlk181357294"/>
      <w:r w:rsidRPr="00F078D7">
        <w:rPr>
          <w:bCs/>
          <w:lang w:val="en-US"/>
        </w:rPr>
        <w:t>(‘EU Financial Regulation’) (</w:t>
      </w:r>
      <w:bookmarkStart w:id="6" w:name="_Hlk181357334"/>
      <w:r w:rsidRPr="00F078D7">
        <w:rPr>
          <w:rFonts w:eastAsiaTheme="minorHAnsi" w:cstheme="minorBidi"/>
          <w:bCs/>
          <w:lang w:eastAsia="en-US"/>
        </w:rPr>
        <w:t>OJ L, 2024/2509, 26.9.2024</w:t>
      </w:r>
      <w:bookmarkEnd w:id="6"/>
      <w:r w:rsidRPr="00F078D7">
        <w:rPr>
          <w:rFonts w:eastAsiaTheme="minorHAnsi" w:cstheme="minorBidi"/>
          <w:bCs/>
          <w:lang w:eastAsia="en-US"/>
        </w:rPr>
        <w:t>)</w:t>
      </w:r>
      <w:r w:rsidRPr="00F078D7">
        <w:t>.</w:t>
      </w:r>
      <w:bookmarkEnd w:id="5"/>
    </w:p>
  </w:footnote>
  <w:footnote w:id="3">
    <w:p w14:paraId="7B74E5F9" w14:textId="77777777" w:rsidR="00A354F2" w:rsidRPr="002A0D15" w:rsidRDefault="00A354F2" w:rsidP="00A354F2">
      <w:pPr>
        <w:pStyle w:val="FootnoteText"/>
        <w:ind w:left="360" w:hanging="360"/>
        <w:jc w:val="both"/>
      </w:pPr>
      <w:r w:rsidRPr="00F078D7">
        <w:rPr>
          <w:rStyle w:val="FootnoteReference"/>
        </w:rPr>
        <w:footnoteRef/>
      </w:r>
      <w:r w:rsidRPr="00F078D7">
        <w:t xml:space="preserve"> </w:t>
      </w:r>
      <w:r w:rsidRPr="00F078D7">
        <w:tab/>
        <w:t>‘Commit to comply’ means</w:t>
      </w:r>
      <w:r w:rsidRPr="002A0D15">
        <w:t xml:space="preserve"> comply</w:t>
      </w:r>
      <w:r>
        <w:t>ing</w:t>
      </w:r>
      <w:r w:rsidRPr="002A0D15">
        <w:t xml:space="preserve"> now and for the duration of the grant</w:t>
      </w:r>
      <w:r>
        <w:t>.</w:t>
      </w:r>
    </w:p>
  </w:footnote>
  <w:footnote w:id="4">
    <w:p w14:paraId="0D0BCC37" w14:textId="77777777" w:rsidR="00A354F2" w:rsidRPr="00F078D7" w:rsidRDefault="00A354F2" w:rsidP="00A354F2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F078D7">
        <w:rPr>
          <w:szCs w:val="24"/>
        </w:rPr>
        <w:t xml:space="preserve">See 138 </w:t>
      </w:r>
      <w:r w:rsidRPr="00F078D7">
        <w:rPr>
          <w:bCs/>
          <w:lang w:val="en-US"/>
        </w:rPr>
        <w:t xml:space="preserve">EU Financial Regulation </w:t>
      </w:r>
      <w:hyperlink r:id="rId1" w:history="1">
        <w:r w:rsidRPr="00F078D7">
          <w:rPr>
            <w:rStyle w:val="Hyperlink"/>
            <w:bCs/>
            <w:lang w:val="en-US"/>
          </w:rPr>
          <w:t>2024/2509</w:t>
        </w:r>
      </w:hyperlink>
      <w:r w:rsidRPr="00F078D7">
        <w:t>.</w:t>
      </w:r>
    </w:p>
  </w:footnote>
  <w:footnote w:id="5">
    <w:p w14:paraId="18A60717" w14:textId="77777777" w:rsidR="00A354F2" w:rsidRPr="00F078D7" w:rsidRDefault="00A354F2" w:rsidP="00A354F2">
      <w:pPr>
        <w:pStyle w:val="FootnoteText"/>
        <w:ind w:left="360" w:hanging="360"/>
      </w:pPr>
      <w:r w:rsidRPr="00F078D7">
        <w:rPr>
          <w:rStyle w:val="FootnoteReference"/>
        </w:rPr>
        <w:footnoteRef/>
      </w:r>
      <w:r w:rsidRPr="00F078D7">
        <w:t xml:space="preserve"> </w:t>
      </w:r>
      <w:r w:rsidRPr="00F078D7">
        <w:tab/>
        <w:t xml:space="preserve">See 138 and 143 </w:t>
      </w:r>
      <w:hyperlink r:id="rId2" w:history="1">
        <w:r w:rsidRPr="00F078D7">
          <w:rPr>
            <w:bCs/>
            <w:lang w:val="en-US"/>
          </w:rPr>
          <w:t>EU Financial Regulation</w:t>
        </w:r>
      </w:hyperlink>
      <w:r w:rsidRPr="00F078D7">
        <w:rPr>
          <w:bCs/>
          <w:lang w:val="en-US"/>
        </w:rPr>
        <w:t xml:space="preserve"> </w:t>
      </w:r>
      <w:hyperlink r:id="rId3" w:history="1">
        <w:r w:rsidRPr="00F078D7">
          <w:rPr>
            <w:rStyle w:val="Hyperlink"/>
            <w:bCs/>
            <w:lang w:val="en-US"/>
          </w:rPr>
          <w:t>2024/2509</w:t>
        </w:r>
      </w:hyperlink>
      <w:r w:rsidRPr="00F078D7">
        <w:t>.</w:t>
      </w:r>
    </w:p>
  </w:footnote>
  <w:footnote w:id="6">
    <w:p w14:paraId="346ABE2B" w14:textId="77777777" w:rsidR="00A354F2" w:rsidRPr="00F078D7" w:rsidRDefault="00A354F2" w:rsidP="00A354F2">
      <w:pPr>
        <w:pStyle w:val="FootnoteText"/>
        <w:ind w:left="360" w:hanging="360"/>
      </w:pPr>
      <w:r w:rsidRPr="00F078D7">
        <w:rPr>
          <w:rStyle w:val="FootnoteReference"/>
        </w:rPr>
        <w:footnoteRef/>
      </w:r>
      <w:r w:rsidRPr="00F078D7">
        <w:t xml:space="preserve"> </w:t>
      </w:r>
      <w:r w:rsidRPr="00F078D7">
        <w:tab/>
        <w:t xml:space="preserve">See 138 and 143 </w:t>
      </w:r>
      <w:hyperlink r:id="rId4" w:history="1">
        <w:r w:rsidRPr="00F078D7">
          <w:rPr>
            <w:bCs/>
            <w:lang w:val="en-US"/>
          </w:rPr>
          <w:t>EU Financial Regulation</w:t>
        </w:r>
      </w:hyperlink>
      <w:r w:rsidRPr="00F078D7">
        <w:rPr>
          <w:bCs/>
          <w:lang w:val="en-US"/>
        </w:rPr>
        <w:t xml:space="preserve"> </w:t>
      </w:r>
      <w:hyperlink r:id="rId5" w:history="1">
        <w:r w:rsidRPr="00F078D7">
          <w:rPr>
            <w:rStyle w:val="Hyperlink"/>
            <w:bCs/>
            <w:lang w:val="en-US"/>
          </w:rPr>
          <w:t>2024/2509</w:t>
        </w:r>
      </w:hyperlink>
      <w:r w:rsidRPr="00F078D7">
        <w:t>.</w:t>
      </w:r>
    </w:p>
  </w:footnote>
  <w:footnote w:id="7">
    <w:p w14:paraId="7E0E5607" w14:textId="77777777" w:rsidR="00A354F2" w:rsidRPr="000C249F" w:rsidRDefault="00A354F2" w:rsidP="00A354F2">
      <w:pPr>
        <w:pStyle w:val="FootnoteText"/>
        <w:ind w:left="360" w:hanging="360"/>
        <w:jc w:val="both"/>
      </w:pPr>
      <w:r w:rsidRPr="00F078D7">
        <w:rPr>
          <w:rStyle w:val="FootnoteReference"/>
        </w:rPr>
        <w:footnoteRef/>
      </w:r>
      <w:r w:rsidRPr="00F078D7">
        <w:t xml:space="preserve"> </w:t>
      </w:r>
      <w:r w:rsidRPr="00F078D7">
        <w:tab/>
      </w:r>
      <w:bookmarkStart w:id="9" w:name="_Hlk160806180"/>
      <w:r w:rsidRPr="00F078D7">
        <w:rPr>
          <w:lang w:val="en-IE"/>
        </w:rPr>
        <w:t>‘</w:t>
      </w:r>
      <w:r w:rsidRPr="00F078D7">
        <w:t>Professional</w:t>
      </w:r>
      <w:r w:rsidRPr="00F078D7">
        <w:rPr>
          <w:lang w:val="en-IE"/>
        </w:rPr>
        <w:t xml:space="preserve"> misconduct’ includes</w:t>
      </w:r>
      <w:r>
        <w:rPr>
          <w:lang w:val="en-IE"/>
        </w:rPr>
        <w:t>,</w:t>
      </w:r>
      <w:r w:rsidRPr="00F078D7">
        <w:rPr>
          <w:lang w:val="en-IE"/>
        </w:rPr>
        <w:t xml:space="preserve"> in particular, the following: violation of ethical standards of the profession; wrongful conduct with impact on professional credibility; breach of generally accepted professional ethical standards; false declarations/misrepresentation of information; participation in a cartel or other agreement distorting competition; violation of IPR; attempting to influence decision-making processes by taking advantage, through misrepresentation, of a conflict of interests, or to obtain confidential information from public authorities to gain an advantage; incitement to discrimination, hatred or violence or similar activities contrary to the EU values</w:t>
      </w:r>
      <w:bookmarkStart w:id="10" w:name="_Hlk171759751"/>
      <w:r w:rsidRPr="00F078D7">
        <w:rPr>
          <w:lang w:val="en-IE"/>
        </w:rPr>
        <w:t xml:space="preserve"> </w:t>
      </w:r>
      <w:bookmarkStart w:id="11" w:name="_Hlk171767455"/>
      <w:r w:rsidRPr="00F078D7">
        <w:rPr>
          <w:lang w:val="en-IE"/>
        </w:rPr>
        <w:t>where negatively affecting or risking to affect the performance of a legal commitment</w:t>
      </w:r>
      <w:bookmarkEnd w:id="9"/>
      <w:bookmarkEnd w:id="10"/>
      <w:bookmarkEnd w:id="11"/>
      <w:r w:rsidRPr="00F078D7">
        <w:t>.</w:t>
      </w:r>
    </w:p>
  </w:footnote>
  <w:footnote w:id="8">
    <w:p w14:paraId="070745A7" w14:textId="77777777" w:rsidR="00A354F2" w:rsidRPr="00F078D7" w:rsidRDefault="00A354F2" w:rsidP="00A354F2">
      <w:pPr>
        <w:pStyle w:val="FootnoteText"/>
        <w:ind w:left="360" w:hanging="360"/>
        <w:jc w:val="both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0D673C">
        <w:tab/>
      </w:r>
      <w:bookmarkStart w:id="13" w:name="_Hlk181603905"/>
      <w:r w:rsidRPr="00FF39B6">
        <w:t>‘Resisting</w:t>
      </w:r>
      <w:r w:rsidRPr="00FF39B6">
        <w:rPr>
          <w:rFonts w:eastAsia="SimSun"/>
          <w:sz w:val="24"/>
          <w:szCs w:val="24"/>
          <w:lang w:eastAsia="zh-CN"/>
        </w:rPr>
        <w:t xml:space="preserve"> </w:t>
      </w:r>
      <w:r w:rsidRPr="00FF39B6">
        <w:t>an investigation, check or audit’ means carrying out actions with the goal or effect of preventing, hindering or delaying the conduct of any of the activities needed to perform the investigation, c</w:t>
      </w:r>
      <w:r w:rsidRPr="00FF39B6">
        <w:rPr>
          <w:rFonts w:hint="eastAsia"/>
        </w:rPr>
        <w:t>heck or audit</w:t>
      </w:r>
      <w:r w:rsidRPr="00FF39B6">
        <w:t xml:space="preserve">, such as </w:t>
      </w:r>
      <w:r w:rsidRPr="00FF39B6">
        <w:rPr>
          <w:rFonts w:hint="eastAsia"/>
        </w:rPr>
        <w:t>refusing to grant the necessary access to its premises or any other areas used for business purposes, concealing or refusing to disclose information or providing false information.</w:t>
      </w:r>
      <w:bookmarkEnd w:id="13"/>
    </w:p>
  </w:footnote>
  <w:footnote w:id="9">
    <w:p w14:paraId="3D07DBEE" w14:textId="77777777" w:rsidR="00A354F2" w:rsidRPr="00F078D7" w:rsidRDefault="00A354F2" w:rsidP="00A354F2">
      <w:pPr>
        <w:pStyle w:val="FootnoteText"/>
        <w:ind w:left="360" w:hanging="360"/>
      </w:pPr>
      <w:r w:rsidRPr="00F078D7">
        <w:rPr>
          <w:rStyle w:val="FootnoteReference"/>
        </w:rPr>
        <w:footnoteRef/>
      </w:r>
      <w:r w:rsidRPr="00F078D7">
        <w:t xml:space="preserve"> </w:t>
      </w:r>
      <w:r w:rsidRPr="00F078D7">
        <w:tab/>
        <w:t xml:space="preserve">See Article 183 </w:t>
      </w:r>
      <w:r w:rsidRPr="00F078D7">
        <w:rPr>
          <w:bCs/>
          <w:lang w:val="en-US"/>
        </w:rPr>
        <w:t xml:space="preserve">EU Financial Regulation </w:t>
      </w:r>
      <w:hyperlink r:id="rId6" w:history="1">
        <w:r w:rsidRPr="00F078D7">
          <w:rPr>
            <w:rStyle w:val="Hyperlink"/>
            <w:bCs/>
            <w:lang w:val="en-US"/>
          </w:rPr>
          <w:t>2024/2509</w:t>
        </w:r>
      </w:hyperlink>
      <w:r w:rsidRPr="00F078D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CB8E" w14:textId="77777777" w:rsidR="00EE6769" w:rsidRDefault="00EE6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794F" w14:textId="6C3828BF" w:rsidR="00A354F2" w:rsidRDefault="2DCDB7FB" w:rsidP="2DCDB7FB">
    <w:pPr>
      <w:tabs>
        <w:tab w:val="center" w:pos="4536"/>
        <w:tab w:val="right" w:pos="9072"/>
      </w:tabs>
      <w:rPr>
        <w:color w:val="595959" w:themeColor="text1" w:themeTint="A6"/>
        <w:sz w:val="20"/>
      </w:rPr>
    </w:pPr>
    <w:r w:rsidRPr="2DCDB7FB">
      <w:rPr>
        <w:color w:val="595959" w:themeColor="text1" w:themeTint="A6"/>
        <w:sz w:val="20"/>
      </w:rPr>
      <w:t xml:space="preserve">Project: </w:t>
    </w:r>
    <w:r w:rsidRPr="2DCDB7FB">
      <w:rPr>
        <w:b/>
        <w:bCs/>
        <w:color w:val="595959" w:themeColor="text1" w:themeTint="A6"/>
        <w:sz w:val="20"/>
      </w:rPr>
      <w:t>‘Building community across generations through media literacy’ – small grants for intergenerational media literacy learning projects</w:t>
    </w:r>
    <w:r w:rsidRPr="2DCDB7FB">
      <w:rPr>
        <w:color w:val="595959" w:themeColor="text1" w:themeTint="A6"/>
        <w:sz w:val="20"/>
      </w:rPr>
      <w:t xml:space="preserve"> </w:t>
    </w:r>
  </w:p>
  <w:p w14:paraId="1587DB30" w14:textId="5B6EC2D0" w:rsidR="00A354F2" w:rsidRDefault="2DCDB7FB" w:rsidP="00A354F2">
    <w:pPr>
      <w:tabs>
        <w:tab w:val="center" w:pos="4536"/>
        <w:tab w:val="right" w:pos="9072"/>
      </w:tabs>
      <w:rPr>
        <w:color w:val="595959"/>
        <w:sz w:val="20"/>
      </w:rPr>
    </w:pPr>
    <w:r w:rsidRPr="2DCDB7FB">
      <w:rPr>
        <w:color w:val="595959" w:themeColor="text1" w:themeTint="A6"/>
        <w:sz w:val="20"/>
      </w:rPr>
      <w:t xml:space="preserve"> [</w:t>
    </w:r>
    <w:r w:rsidR="00657EE6">
      <w:rPr>
        <w:color w:val="595959" w:themeColor="text1" w:themeTint="A6"/>
        <w:sz w:val="20"/>
      </w:rPr>
      <w:t>Intergenerational media literacy</w:t>
    </w:r>
    <w:r w:rsidRPr="2DCDB7FB">
      <w:rPr>
        <w:color w:val="595959" w:themeColor="text1" w:themeTint="A6"/>
        <w:sz w:val="20"/>
      </w:rPr>
      <w:t>] [Annex 4]</w:t>
    </w:r>
  </w:p>
  <w:p w14:paraId="17F073FE" w14:textId="77777777" w:rsidR="00A354F2" w:rsidRPr="00B43BF2" w:rsidRDefault="00A354F2" w:rsidP="00A354F2">
    <w:pPr>
      <w:tabs>
        <w:tab w:val="center" w:pos="4536"/>
        <w:tab w:val="right" w:pos="9072"/>
      </w:tabs>
      <w:jc w:val="right"/>
      <w:rPr>
        <w:color w:val="808080"/>
        <w:sz w:val="20"/>
        <w:lang w:val="fr-BE" w:eastAsia="ko-KR"/>
      </w:rPr>
    </w:pPr>
    <w:r w:rsidRPr="00B43BF2">
      <w:rPr>
        <w:rFonts w:eastAsia="Times New Roman"/>
        <w:color w:val="808080"/>
        <w:sz w:val="20"/>
        <w:lang w:val="fr-BE" w:eastAsia="en-GB"/>
      </w:rPr>
      <w:t xml:space="preserve">EU </w:t>
    </w:r>
    <w:r w:rsidRPr="00C70551">
      <w:rPr>
        <w:rFonts w:eastAsia="Times New Roman"/>
        <w:color w:val="808080"/>
        <w:sz w:val="20"/>
        <w:lang w:val="fr-BE" w:eastAsia="en-GB"/>
      </w:rPr>
      <w:t>Grants</w:t>
    </w:r>
    <w:r w:rsidRPr="00C70551">
      <w:rPr>
        <w:rFonts w:eastAsia="Times New Roman"/>
        <w:color w:val="808080"/>
        <w:sz w:val="20"/>
        <w:lang w:val="fr-BE"/>
      </w:rPr>
      <w:t xml:space="preserve">: DoH (grants): </w:t>
    </w:r>
    <w:r w:rsidRPr="00C70551">
      <w:rPr>
        <w:color w:val="808080"/>
        <w:sz w:val="20"/>
        <w:lang w:val="fr-BE" w:eastAsia="ko-KR"/>
      </w:rPr>
      <w:t>V2.0 – 01.</w:t>
    </w:r>
    <w:r>
      <w:rPr>
        <w:color w:val="808080"/>
        <w:sz w:val="20"/>
        <w:lang w:val="fr-BE" w:eastAsia="ko-KR"/>
      </w:rPr>
      <w:t>11</w:t>
    </w:r>
    <w:r w:rsidRPr="00C70551">
      <w:rPr>
        <w:color w:val="808080"/>
        <w:sz w:val="20"/>
        <w:lang w:val="fr-BE" w:eastAsia="ko-KR"/>
      </w:rPr>
      <w:t>.2024</w:t>
    </w:r>
  </w:p>
  <w:p w14:paraId="72374170" w14:textId="77777777" w:rsidR="00A354F2" w:rsidRPr="00C95FB2" w:rsidRDefault="00A354F2">
    <w:pPr>
      <w:pStyle w:val="Header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1A61" w14:textId="77777777" w:rsidR="00EE6769" w:rsidRDefault="00EE6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7F16"/>
    <w:multiLevelType w:val="hybridMultilevel"/>
    <w:tmpl w:val="9DCE6B44"/>
    <w:lvl w:ilvl="0" w:tplc="BE50A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0C411B"/>
    <w:multiLevelType w:val="hybridMultilevel"/>
    <w:tmpl w:val="8BCC8EF8"/>
    <w:lvl w:ilvl="0" w:tplc="24C61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801BB6"/>
    <w:multiLevelType w:val="hybridMultilevel"/>
    <w:tmpl w:val="8F32D7DE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4C615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1A03D0"/>
    <w:multiLevelType w:val="hybridMultilevel"/>
    <w:tmpl w:val="3AB00464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83432"/>
    <w:multiLevelType w:val="multilevel"/>
    <w:tmpl w:val="6A2EFE0C"/>
    <w:lvl w:ilvl="0">
      <w:start w:val="1"/>
      <w:numFmt w:val="decimal"/>
      <w:pStyle w:val="H1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1909"/>
        </w:tabs>
        <w:ind w:left="1909" w:hanging="709"/>
      </w:pPr>
      <w:rPr>
        <w:rFonts w:hint="default"/>
      </w:rPr>
    </w:lvl>
    <w:lvl w:ilvl="2">
      <w:start w:val="1"/>
      <w:numFmt w:val="decimal"/>
      <w:pStyle w:val="H3"/>
      <w:lvlText w:val="%1.%2.%3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lowerLetter"/>
      <w:pStyle w:val="H4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5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6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39"/>
        </w:tabs>
        <w:ind w:left="6239" w:hanging="567"/>
      </w:pPr>
      <w:rPr>
        <w:rFonts w:hint="default"/>
      </w:rPr>
    </w:lvl>
  </w:abstractNum>
  <w:num w:numId="1" w16cid:durableId="166946103">
    <w:abstractNumId w:val="3"/>
  </w:num>
  <w:num w:numId="2" w16cid:durableId="925499932">
    <w:abstractNumId w:val="0"/>
  </w:num>
  <w:num w:numId="3" w16cid:durableId="2091925457">
    <w:abstractNumId w:val="4"/>
  </w:num>
  <w:num w:numId="4" w16cid:durableId="484051044">
    <w:abstractNumId w:val="1"/>
  </w:num>
  <w:num w:numId="5" w16cid:durableId="19000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F2"/>
    <w:rsid w:val="00031C3C"/>
    <w:rsid w:val="0005751D"/>
    <w:rsid w:val="001E1867"/>
    <w:rsid w:val="00422611"/>
    <w:rsid w:val="00456F27"/>
    <w:rsid w:val="004771AA"/>
    <w:rsid w:val="004C009E"/>
    <w:rsid w:val="00657EE6"/>
    <w:rsid w:val="006877B7"/>
    <w:rsid w:val="00743F50"/>
    <w:rsid w:val="007672EC"/>
    <w:rsid w:val="007E325C"/>
    <w:rsid w:val="008A6C0E"/>
    <w:rsid w:val="008F0056"/>
    <w:rsid w:val="00A17ABB"/>
    <w:rsid w:val="00A354F2"/>
    <w:rsid w:val="00AA6DF7"/>
    <w:rsid w:val="00BB4690"/>
    <w:rsid w:val="00BF02FB"/>
    <w:rsid w:val="00C76F3D"/>
    <w:rsid w:val="00C95FB2"/>
    <w:rsid w:val="00EE6769"/>
    <w:rsid w:val="019588BD"/>
    <w:rsid w:val="037D14E8"/>
    <w:rsid w:val="04454CD3"/>
    <w:rsid w:val="097CD6D7"/>
    <w:rsid w:val="0B508F2B"/>
    <w:rsid w:val="0B70C832"/>
    <w:rsid w:val="0B7A29B2"/>
    <w:rsid w:val="0CE89AF1"/>
    <w:rsid w:val="0D33FA67"/>
    <w:rsid w:val="12563548"/>
    <w:rsid w:val="13D979CD"/>
    <w:rsid w:val="1508F1AF"/>
    <w:rsid w:val="1598055E"/>
    <w:rsid w:val="173CB674"/>
    <w:rsid w:val="185EB3B0"/>
    <w:rsid w:val="1A0755C2"/>
    <w:rsid w:val="1C7B712A"/>
    <w:rsid w:val="1CED7728"/>
    <w:rsid w:val="1CFBEA9C"/>
    <w:rsid w:val="1DC8BAE6"/>
    <w:rsid w:val="1E77A112"/>
    <w:rsid w:val="1EE53A60"/>
    <w:rsid w:val="1FFA78B6"/>
    <w:rsid w:val="21E0E875"/>
    <w:rsid w:val="25DBC834"/>
    <w:rsid w:val="261F93DB"/>
    <w:rsid w:val="27677528"/>
    <w:rsid w:val="27C71C0E"/>
    <w:rsid w:val="28DAB4F4"/>
    <w:rsid w:val="299216BD"/>
    <w:rsid w:val="2DCDB7FB"/>
    <w:rsid w:val="31C1075A"/>
    <w:rsid w:val="3248B393"/>
    <w:rsid w:val="32D73088"/>
    <w:rsid w:val="33FB7990"/>
    <w:rsid w:val="3479BE69"/>
    <w:rsid w:val="357EB828"/>
    <w:rsid w:val="37DDEFEA"/>
    <w:rsid w:val="38A829B8"/>
    <w:rsid w:val="3ACBB1B9"/>
    <w:rsid w:val="3E7B849C"/>
    <w:rsid w:val="3EAD1153"/>
    <w:rsid w:val="402535B5"/>
    <w:rsid w:val="452ED633"/>
    <w:rsid w:val="4609413D"/>
    <w:rsid w:val="480ACACF"/>
    <w:rsid w:val="4B7BE19A"/>
    <w:rsid w:val="4EBD2854"/>
    <w:rsid w:val="4FED2946"/>
    <w:rsid w:val="503B0A3F"/>
    <w:rsid w:val="52A1B165"/>
    <w:rsid w:val="58E613C9"/>
    <w:rsid w:val="5AE9E285"/>
    <w:rsid w:val="5BA095BD"/>
    <w:rsid w:val="5DF8C769"/>
    <w:rsid w:val="5EFC4047"/>
    <w:rsid w:val="5F76E9B9"/>
    <w:rsid w:val="638222CF"/>
    <w:rsid w:val="63A7C73A"/>
    <w:rsid w:val="66020B2C"/>
    <w:rsid w:val="67564D06"/>
    <w:rsid w:val="690E2301"/>
    <w:rsid w:val="6912EE54"/>
    <w:rsid w:val="7029DD4A"/>
    <w:rsid w:val="741501D5"/>
    <w:rsid w:val="77DB1ABF"/>
    <w:rsid w:val="7A2BAE74"/>
    <w:rsid w:val="7A30C39B"/>
    <w:rsid w:val="7BFF1BE6"/>
    <w:rsid w:val="7C20C7FB"/>
    <w:rsid w:val="7C5ADE08"/>
    <w:rsid w:val="7D8756E5"/>
    <w:rsid w:val="7D9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A173"/>
  <w15:chartTrackingRefBased/>
  <w15:docId w15:val="{34C72EBF-FDCD-431E-B3C8-356C287D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F2"/>
    <w:pPr>
      <w:snapToGrid w:val="0"/>
      <w:spacing w:after="200" w:line="240" w:lineRule="auto"/>
    </w:pPr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4F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35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4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4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54F2"/>
  </w:style>
  <w:style w:type="paragraph" w:styleId="Footer">
    <w:name w:val="footer"/>
    <w:basedOn w:val="Normal"/>
    <w:link w:val="FooterChar"/>
    <w:uiPriority w:val="99"/>
    <w:unhideWhenUsed/>
    <w:rsid w:val="00A354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54F2"/>
  </w:style>
  <w:style w:type="paragraph" w:styleId="FootnoteText">
    <w:name w:val="footnote text"/>
    <w:basedOn w:val="Normal"/>
    <w:link w:val="FootnoteTextChar"/>
    <w:rsid w:val="00A354F2"/>
    <w:pPr>
      <w:spacing w:after="0"/>
    </w:pPr>
    <w:rPr>
      <w:rFonts w:eastAsia="Times New Roman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A354F2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customStyle="1" w:styleId="H1">
    <w:name w:val="H1"/>
    <w:basedOn w:val="Normal"/>
    <w:rsid w:val="00A354F2"/>
    <w:pPr>
      <w:numPr>
        <w:numId w:val="3"/>
      </w:numPr>
      <w:spacing w:before="360"/>
      <w:jc w:val="both"/>
    </w:pPr>
    <w:rPr>
      <w:rFonts w:eastAsia="Times New Roman"/>
      <w:b/>
      <w:caps/>
      <w:szCs w:val="24"/>
      <w:lang w:eastAsia="en-GB"/>
    </w:rPr>
  </w:style>
  <w:style w:type="paragraph" w:customStyle="1" w:styleId="H2">
    <w:name w:val="H2"/>
    <w:basedOn w:val="Normal"/>
    <w:rsid w:val="00A354F2"/>
    <w:pPr>
      <w:numPr>
        <w:ilvl w:val="1"/>
        <w:numId w:val="3"/>
      </w:numPr>
      <w:ind w:left="1280" w:hanging="500"/>
      <w:jc w:val="both"/>
    </w:pPr>
    <w:rPr>
      <w:rFonts w:eastAsia="Times New Roman"/>
      <w:szCs w:val="24"/>
      <w:lang w:eastAsia="en-GB"/>
    </w:rPr>
  </w:style>
  <w:style w:type="paragraph" w:customStyle="1" w:styleId="H3">
    <w:name w:val="H3"/>
    <w:basedOn w:val="Normal"/>
    <w:rsid w:val="00A354F2"/>
    <w:pPr>
      <w:numPr>
        <w:ilvl w:val="2"/>
        <w:numId w:val="3"/>
      </w:numPr>
      <w:jc w:val="both"/>
    </w:pPr>
    <w:rPr>
      <w:rFonts w:eastAsia="Times New Roman"/>
      <w:szCs w:val="24"/>
      <w:lang w:eastAsia="en-GB"/>
    </w:rPr>
  </w:style>
  <w:style w:type="paragraph" w:customStyle="1" w:styleId="H4">
    <w:name w:val="H4"/>
    <w:basedOn w:val="Normal"/>
    <w:rsid w:val="00A354F2"/>
    <w:pPr>
      <w:numPr>
        <w:ilvl w:val="3"/>
        <w:numId w:val="3"/>
      </w:numPr>
      <w:jc w:val="both"/>
    </w:pPr>
    <w:rPr>
      <w:rFonts w:eastAsia="Times New Roman"/>
      <w:szCs w:val="24"/>
      <w:lang w:eastAsia="en-GB"/>
    </w:rPr>
  </w:style>
  <w:style w:type="paragraph" w:customStyle="1" w:styleId="H5">
    <w:name w:val="H5"/>
    <w:basedOn w:val="Normal"/>
    <w:rsid w:val="00A354F2"/>
    <w:pPr>
      <w:numPr>
        <w:ilvl w:val="4"/>
        <w:numId w:val="3"/>
      </w:numPr>
      <w:jc w:val="both"/>
    </w:pPr>
    <w:rPr>
      <w:rFonts w:eastAsia="Times New Roman"/>
      <w:szCs w:val="24"/>
      <w:lang w:eastAsia="en-GB"/>
    </w:rPr>
  </w:style>
  <w:style w:type="paragraph" w:customStyle="1" w:styleId="H6">
    <w:name w:val="H6"/>
    <w:basedOn w:val="Normal"/>
    <w:rsid w:val="00A354F2"/>
    <w:pPr>
      <w:numPr>
        <w:ilvl w:val="5"/>
        <w:numId w:val="3"/>
      </w:numPr>
      <w:jc w:val="both"/>
    </w:pPr>
    <w:rPr>
      <w:rFonts w:eastAsia="Times New Roman"/>
      <w:szCs w:val="24"/>
      <w:lang w:eastAsia="en-GB"/>
    </w:rPr>
  </w:style>
  <w:style w:type="character" w:styleId="Hyperlink">
    <w:name w:val="Hyperlink"/>
    <w:uiPriority w:val="99"/>
    <w:rsid w:val="00A354F2"/>
    <w:rPr>
      <w:color w:val="0088CC"/>
      <w:u w:val="single"/>
    </w:rPr>
  </w:style>
  <w:style w:type="character" w:styleId="FootnoteReference">
    <w:name w:val="footnote reference"/>
    <w:uiPriority w:val="99"/>
    <w:semiHidden/>
    <w:unhideWhenUsed/>
    <w:rsid w:val="00A354F2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A354F2"/>
  </w:style>
  <w:style w:type="paragraph" w:styleId="Revision">
    <w:name w:val="Revision"/>
    <w:hidden/>
    <w:uiPriority w:val="99"/>
    <w:semiHidden/>
    <w:rsid w:val="0005751D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character" w:customStyle="1" w:styleId="normaltextrun">
    <w:name w:val="normaltextrun"/>
    <w:basedOn w:val="DefaultParagraphFont"/>
    <w:rsid w:val="004C0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OJ:L_202402509" TargetMode="External"/><Relationship Id="rId2" Type="http://schemas.openxmlformats.org/officeDocument/2006/relationships/hyperlink" Target="https://eur-lex.europa.eu/legal-content/EN/TXT/PDF/?uri=CELEX:32018R1046&amp;qid=1535027117240&amp;from=EN" TargetMode="External"/><Relationship Id="rId1" Type="http://schemas.openxmlformats.org/officeDocument/2006/relationships/hyperlink" Target="https://eur-lex.europa.eu/legal-content/EN/TXT/?uri=OJ:L_202402509" TargetMode="External"/><Relationship Id="rId6" Type="http://schemas.openxmlformats.org/officeDocument/2006/relationships/hyperlink" Target="https://eur-lex.europa.eu/legal-content/EN/TXT/?uri=OJ:L_202402509" TargetMode="External"/><Relationship Id="rId5" Type="http://schemas.openxmlformats.org/officeDocument/2006/relationships/hyperlink" Target="https://eur-lex.europa.eu/legal-content/EN/TXT/?uri=OJ:L_202402509" TargetMode="External"/><Relationship Id="rId4" Type="http://schemas.openxmlformats.org/officeDocument/2006/relationships/hyperlink" Target="https://eur-lex.europa.eu/legal-content/EN/TXT/PDF/?uri=CELEX:32018R1046&amp;qid=1535027117240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B8693D33EC74A9FE22179E5368A81" ma:contentTypeVersion="3" ma:contentTypeDescription="Create a new document." ma:contentTypeScope="" ma:versionID="88cd75e7cf8797d94257c5b5ecdda95f">
  <xsd:schema xmlns:xsd="http://www.w3.org/2001/XMLSchema" xmlns:xs="http://www.w3.org/2001/XMLSchema" xmlns:p="http://schemas.microsoft.com/office/2006/metadata/properties" xmlns:ns2="7fefaffb-23b9-4905-9955-fe30aefa0a8a" targetNamespace="http://schemas.microsoft.com/office/2006/metadata/properties" ma:root="true" ma:fieldsID="a54fddab09b6c8381dcddc93f2676284" ns2:_="">
    <xsd:import namespace="7fefaffb-23b9-4905-9955-fe30aefa0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affb-23b9-4905-9955-fe30aefa0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ABF25-CEE4-4B57-95B3-9E86D2E2B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E8C585-E455-4992-BDC9-E0964E4F8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affb-23b9-4905-9955-fe30aefa0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8E073-6AD7-4B06-8C9E-39D6CA353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3618</Characters>
  <Application>Microsoft Office Word</Application>
  <DocSecurity>0</DocSecurity>
  <Lines>82</Lines>
  <Paragraphs>47</Paragraphs>
  <ScaleCrop>false</ScaleCrop>
  <Company>European Commission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KROGSHEDE Andreas (COMM)</dc:creator>
  <cp:keywords/>
  <dc:description/>
  <cp:lastModifiedBy>COUGHLAN Eileen (COMM)</cp:lastModifiedBy>
  <cp:revision>3</cp:revision>
  <dcterms:created xsi:type="dcterms:W3CDTF">2025-12-06T09:24:00Z</dcterms:created>
  <dcterms:modified xsi:type="dcterms:W3CDTF">2025-12-06T09:43:00Z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2025-11-06T08:59:06Z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cbcb2e0a-ecc1-43ad-9462-f38893d01e16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  <property fmtid="{D5CDD505-2E9C-101B-9397-08002B2CF9AE}" pid="10" name="ContentTypeId">
    <vt:lpwstr>0x01010030BB8693D33EC74A9FE22179E5368A81</vt:lpwstr>
  </property>
</Properties>
</file>