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D02E5" w14:textId="30A656F2" w:rsidR="00C35403" w:rsidRPr="00791B6C" w:rsidRDefault="00C35403" w:rsidP="00C35403">
      <w:pPr>
        <w:spacing w:after="240" w:line="240" w:lineRule="auto"/>
        <w:jc w:val="center"/>
        <w:rPr>
          <w:rFonts w:ascii="Times New Roman" w:hAnsi="Times New Roman" w:cs="Times New Roman"/>
          <w:b/>
        </w:rPr>
      </w:pPr>
      <w:r>
        <w:rPr>
          <w:rFonts w:ascii="Times New Roman" w:hAnsi="Times New Roman"/>
          <w:b/>
        </w:rPr>
        <w:t>Direção-Geral da Comunicação</w:t>
      </w:r>
    </w:p>
    <w:p w14:paraId="7114C841" w14:textId="30893BC9" w:rsidR="001F08A9" w:rsidRPr="008649AA" w:rsidRDefault="001F08A9" w:rsidP="003542EC">
      <w:pPr>
        <w:spacing w:after="240" w:line="240" w:lineRule="auto"/>
        <w:jc w:val="center"/>
        <w:rPr>
          <w:rFonts w:ascii="Times New Roman" w:hAnsi="Times New Roman" w:cs="Times New Roman"/>
        </w:rPr>
      </w:pPr>
      <w:r>
        <w:rPr>
          <w:rFonts w:ascii="Times New Roman" w:hAnsi="Times New Roman"/>
        </w:rPr>
        <w:t>Publicação de uma vaga para o cargo de conselheiro principal — Centro Europeu da Resiliência Democrática (grau AD 14)</w:t>
      </w:r>
    </w:p>
    <w:p w14:paraId="4553673E" w14:textId="7157E7BC" w:rsidR="001F08A9" w:rsidRPr="008649AA" w:rsidRDefault="001F08A9" w:rsidP="003542EC">
      <w:pPr>
        <w:spacing w:after="240" w:line="240" w:lineRule="auto"/>
        <w:jc w:val="center"/>
        <w:rPr>
          <w:rFonts w:ascii="Times New Roman" w:hAnsi="Times New Roman" w:cs="Times New Roman"/>
        </w:rPr>
      </w:pPr>
      <w:r>
        <w:rPr>
          <w:rFonts w:ascii="Times New Roman" w:hAnsi="Times New Roman"/>
        </w:rPr>
        <w:t>(Artigo 29.º, n.º 2, do Estatuto dos Funcionários)</w:t>
      </w:r>
    </w:p>
    <w:p w14:paraId="42233719" w14:textId="2D9347CB" w:rsidR="006337EB" w:rsidRPr="008649AA" w:rsidRDefault="006337EB" w:rsidP="006337EB">
      <w:pPr>
        <w:spacing w:after="240" w:line="240" w:lineRule="auto"/>
        <w:jc w:val="center"/>
        <w:rPr>
          <w:rFonts w:ascii="Times New Roman" w:hAnsi="Times New Roman" w:cs="Times New Roman"/>
        </w:rPr>
      </w:pPr>
      <w:r>
        <w:rPr>
          <w:rFonts w:ascii="Times New Roman" w:hAnsi="Times New Roman"/>
        </w:rPr>
        <w:t>COM/2026/10479</w:t>
      </w:r>
    </w:p>
    <w:p w14:paraId="7BA4D778" w14:textId="77777777" w:rsidR="008649AA" w:rsidRPr="00791B6C" w:rsidRDefault="008649AA" w:rsidP="003542EC">
      <w:pPr>
        <w:spacing w:after="240" w:line="240" w:lineRule="auto"/>
        <w:jc w:val="both"/>
        <w:rPr>
          <w:rFonts w:ascii="Times New Roman" w:hAnsi="Times New Roman" w:cs="Times New Roman"/>
        </w:rPr>
      </w:pPr>
    </w:p>
    <w:p w14:paraId="24A227B3" w14:textId="76E649A9"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b/>
        </w:rPr>
        <w:t>Quem somos</w:t>
      </w:r>
    </w:p>
    <w:p w14:paraId="053F7BA5" w14:textId="6125230A" w:rsidR="00791B6C" w:rsidRDefault="0071692E" w:rsidP="00F50BCB">
      <w:pPr>
        <w:spacing w:after="240"/>
        <w:jc w:val="both"/>
      </w:pPr>
      <w:r>
        <w:rPr>
          <w:rFonts w:ascii="Arial" w:hAnsi="Arial"/>
          <w:sz w:val="18"/>
          <w:shd w:val="clear" w:color="auto" w:fill="FAFAFA"/>
        </w:rPr>
        <w:t>A Direção-Geral da Comunicação (DG COMM) é o serviço de comunicação institucional da Comissão Europeia, que funciona sob a responsabilidade da presidente. A DG COMM promove e apoia as prioridades políticas da Comissão e ajuda a aproximar a Europa dos seus cidadãos. A DG COMM é constituída pelo Serviço do Porta</w:t>
      </w:r>
      <w:r w:rsidR="00FF0CB8">
        <w:rPr>
          <w:rFonts w:ascii="Arial" w:hAnsi="Arial"/>
          <w:sz w:val="18"/>
          <w:shd w:val="clear" w:color="auto" w:fill="FAFAFA"/>
        </w:rPr>
        <w:noBreakHyphen/>
      </w:r>
      <w:r>
        <w:rPr>
          <w:rFonts w:ascii="Arial" w:hAnsi="Arial"/>
          <w:sz w:val="18"/>
          <w:shd w:val="clear" w:color="auto" w:fill="FAFAFA"/>
        </w:rPr>
        <w:t>Voz, pelas representações da Comissão nos Estados-Membros e por quatro direções. A DG COMM é também responsável pela coordenação do recém-criado Centro Europeu da Resiliência Democrática.</w:t>
      </w:r>
    </w:p>
    <w:p w14:paraId="6A13BA57" w14:textId="77777777" w:rsidR="00F50BCB" w:rsidRPr="00F50BCB" w:rsidRDefault="00F50BCB" w:rsidP="00F50BCB">
      <w:pPr>
        <w:spacing w:after="240"/>
        <w:jc w:val="both"/>
      </w:pPr>
    </w:p>
    <w:p w14:paraId="7E3F9E6B" w14:textId="63D99BD3" w:rsidR="007E1AC2" w:rsidRPr="00980BEF" w:rsidRDefault="00516AD8" w:rsidP="00980BEF">
      <w:pPr>
        <w:spacing w:after="240" w:line="240" w:lineRule="auto"/>
        <w:jc w:val="both"/>
        <w:rPr>
          <w:rFonts w:ascii="Times New Roman" w:hAnsi="Times New Roman" w:cs="Times New Roman"/>
          <w:b/>
        </w:rPr>
      </w:pPr>
      <w:r>
        <w:rPr>
          <w:rFonts w:ascii="Times New Roman" w:hAnsi="Times New Roman"/>
          <w:b/>
        </w:rPr>
        <w:t>O que propomos</w:t>
      </w:r>
      <w:bookmarkStart w:id="0" w:name="_Hlk124491912"/>
    </w:p>
    <w:bookmarkEnd w:id="0"/>
    <w:p w14:paraId="7F2300E2" w14:textId="77777777" w:rsidR="00F50BCB" w:rsidRPr="00F54076" w:rsidRDefault="00F50BCB" w:rsidP="00FF0CB8">
      <w:pPr>
        <w:pStyle w:val="Bodytext200"/>
        <w:shd w:val="clear" w:color="auto" w:fill="auto"/>
        <w:spacing w:before="0" w:after="235"/>
        <w:rPr>
          <w:color w:val="FF0000"/>
        </w:rPr>
      </w:pPr>
      <w:r>
        <w:rPr>
          <w:sz w:val="18"/>
        </w:rPr>
        <w:t>O cargo de «conselheiro principal — Centro Europeu da Resiliência Democrática» na DG COMM, cujo titular aconselhará o diretor-geral sobre questões de liderança, coordenação e desenvolvimento do recém-criado centro. As suas funções incluem assegurar a direção do secretariado do centro, constituído por pessoal afetado à DG COMM e por agentes de ligação de outros serviços, e a coordenação dos projetos do centro, em estreita cooperação com os Estados-Membros participantes. No exercício das suas funções, deverá trabalhar em estreita colaboração com os serviços da Comissão, bem como com outras instituições e organismos da UE, designadamente o Serviço Europeu para a Ação Externa, os Estados-Membros, os países candidatos e a sociedade civil. Deverá igualmente aconselhar e coordenar a interação com um vasto leque de partes interessadas, nomeadamente da sociedade civil, e grupos de reflexão. Este cargo de alto nível constitui uma oportunidade única para contribuir para o êxito desta nova iniciativa.</w:t>
      </w:r>
    </w:p>
    <w:p w14:paraId="4312D48A" w14:textId="4D045DB1" w:rsidR="00791B6C" w:rsidRPr="00F96C29" w:rsidRDefault="00791B6C" w:rsidP="003542EC">
      <w:pPr>
        <w:spacing w:after="240" w:line="240" w:lineRule="auto"/>
        <w:jc w:val="both"/>
        <w:rPr>
          <w:rFonts w:ascii="Times New Roman" w:hAnsi="Times New Roman" w:cs="Times New Roman"/>
        </w:rPr>
      </w:pPr>
    </w:p>
    <w:p w14:paraId="58D3FDFB" w14:textId="57C3620B" w:rsidR="00F50BCB" w:rsidRPr="00F50BCB" w:rsidRDefault="003542EC" w:rsidP="00F50BCB">
      <w:pPr>
        <w:spacing w:after="240" w:line="240" w:lineRule="auto"/>
        <w:jc w:val="both"/>
        <w:rPr>
          <w:rFonts w:ascii="Times New Roman" w:hAnsi="Times New Roman" w:cs="Times New Roman"/>
          <w:b/>
        </w:rPr>
      </w:pPr>
      <w:r>
        <w:rPr>
          <w:rFonts w:ascii="Times New Roman" w:hAnsi="Times New Roman"/>
          <w:b/>
        </w:rPr>
        <w:t>Perfil pretendido (critérios de seleção)</w:t>
      </w:r>
    </w:p>
    <w:p w14:paraId="1C678280" w14:textId="27B4A96A" w:rsidR="00F50BCB" w:rsidRDefault="00F50BCB" w:rsidP="00F50BCB">
      <w:pPr>
        <w:pStyle w:val="Bodytext200"/>
        <w:shd w:val="clear" w:color="auto" w:fill="auto"/>
        <w:spacing w:before="0" w:after="0"/>
        <w:jc w:val="left"/>
        <w:rPr>
          <w:b/>
          <w:bCs/>
          <w:sz w:val="18"/>
          <w:szCs w:val="18"/>
        </w:rPr>
      </w:pPr>
      <w:r>
        <w:rPr>
          <w:b/>
          <w:sz w:val="18"/>
        </w:rPr>
        <w:t>Qualidades pessoais (20 %)</w:t>
      </w:r>
    </w:p>
    <w:p w14:paraId="60068AA2" w14:textId="77777777" w:rsidR="00F50BCB" w:rsidRPr="00D40872" w:rsidRDefault="00F50BCB" w:rsidP="00F50BCB">
      <w:pPr>
        <w:pStyle w:val="Bodytext200"/>
        <w:shd w:val="clear" w:color="auto" w:fill="auto"/>
        <w:spacing w:before="0" w:after="0"/>
        <w:jc w:val="left"/>
        <w:rPr>
          <w:b/>
          <w:bCs/>
          <w:sz w:val="18"/>
          <w:szCs w:val="18"/>
        </w:rPr>
      </w:pPr>
    </w:p>
    <w:p w14:paraId="4A06209F" w14:textId="60878CBD"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Excelentes competências interpessoais, de comunicação, de estabelecimento de contactos e de negociação, a fim de criar relações de trabalho de confiança dentro da Comissão, com os Estados</w:t>
      </w:r>
      <w:r w:rsidR="00FF0CB8">
        <w:rPr>
          <w:rFonts w:ascii="Arial" w:hAnsi="Arial"/>
          <w:sz w:val="18"/>
        </w:rPr>
        <w:noBreakHyphen/>
      </w:r>
      <w:r>
        <w:rPr>
          <w:rFonts w:ascii="Arial" w:hAnsi="Arial"/>
          <w:sz w:val="18"/>
        </w:rPr>
        <w:t>Membros e com outros parceiros externos e para representar a direção-geral e o Centro Europeu da Resiliência Democrática a alto nível.</w:t>
      </w:r>
    </w:p>
    <w:p w14:paraId="488F8CFA" w14:textId="4B2F0786" w:rsidR="00FD79B3"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Grande flexibilidade e agilidade para reagir rapidamente às necessidades em constante evolução, dentro de estruturas matriciais complexas.</w:t>
      </w:r>
    </w:p>
    <w:p w14:paraId="1FB1EEA5" w14:textId="43ED9EBE" w:rsidR="00FD79B3" w:rsidRPr="00FF0CB8" w:rsidRDefault="00F50BCB" w:rsidP="00FF0CB8">
      <w:pPr>
        <w:pStyle w:val="ListParagraph"/>
        <w:numPr>
          <w:ilvl w:val="0"/>
          <w:numId w:val="3"/>
        </w:numPr>
        <w:spacing w:after="0" w:line="360" w:lineRule="auto"/>
        <w:jc w:val="both"/>
        <w:rPr>
          <w:rFonts w:ascii="Arial" w:hAnsi="Arial"/>
          <w:sz w:val="18"/>
        </w:rPr>
      </w:pPr>
      <w:r w:rsidRPr="00FF0CB8">
        <w:rPr>
          <w:rFonts w:ascii="Arial" w:hAnsi="Arial"/>
          <w:sz w:val="18"/>
        </w:rPr>
        <w:t>Excelente capacidade para coordenar e executar projetos complexos com numerosas partes interessadas, utilizando uma abordagem proativa na execução dos projetos graças a uma mentalidade típica de uma «empresa em fase de arranque».</w:t>
      </w:r>
    </w:p>
    <w:p w14:paraId="6DDBBB62" w14:textId="77777777"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Capacidade para trabalhar de forma autónoma e para tomar iniciativas, aliada a um forte sentido de cooperação.</w:t>
      </w:r>
    </w:p>
    <w:p w14:paraId="21B0840F" w14:textId="77777777" w:rsidR="00F50BCB" w:rsidRPr="00FF0CB8"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Capacidade para realizar trabalho de qualidade em ambientes complexos e de ritmo acelerado, nomeadamente no trabalho direto com os diretores e líderes políticos.</w:t>
      </w:r>
    </w:p>
    <w:p w14:paraId="38321A8F" w14:textId="77777777" w:rsidR="00FF0CB8" w:rsidRPr="00FF0CB8" w:rsidRDefault="00FF0CB8" w:rsidP="00FF0CB8">
      <w:pPr>
        <w:widowControl w:val="0"/>
        <w:spacing w:after="0" w:line="360" w:lineRule="auto"/>
        <w:jc w:val="both"/>
        <w:rPr>
          <w:rFonts w:ascii="Arial" w:hAnsi="Arial" w:cs="Arial"/>
          <w:sz w:val="18"/>
          <w:szCs w:val="18"/>
        </w:rPr>
      </w:pPr>
    </w:p>
    <w:p w14:paraId="499C4104" w14:textId="77777777" w:rsidR="00F50BCB" w:rsidRDefault="00F50BCB" w:rsidP="00F50BCB">
      <w:pPr>
        <w:pStyle w:val="Bodytext200"/>
        <w:shd w:val="clear" w:color="auto" w:fill="auto"/>
        <w:spacing w:before="0" w:after="0"/>
        <w:jc w:val="left"/>
        <w:rPr>
          <w:b/>
          <w:bCs/>
          <w:sz w:val="18"/>
          <w:szCs w:val="18"/>
        </w:rPr>
      </w:pPr>
      <w:r>
        <w:rPr>
          <w:b/>
          <w:sz w:val="18"/>
        </w:rPr>
        <w:lastRenderedPageBreak/>
        <w:t>Competências e experiência especializadas (40 %)</w:t>
      </w:r>
    </w:p>
    <w:p w14:paraId="0A77208E" w14:textId="77777777" w:rsidR="00F50BCB" w:rsidRPr="00D40872" w:rsidRDefault="00F50BCB" w:rsidP="00F50BCB">
      <w:pPr>
        <w:pStyle w:val="Bodytext200"/>
        <w:shd w:val="clear" w:color="auto" w:fill="auto"/>
        <w:spacing w:before="0" w:after="0"/>
        <w:jc w:val="left"/>
        <w:rPr>
          <w:b/>
          <w:bCs/>
          <w:sz w:val="18"/>
          <w:szCs w:val="18"/>
          <w:lang w:val="en-GB"/>
        </w:rPr>
      </w:pPr>
    </w:p>
    <w:p w14:paraId="1728A2DB" w14:textId="1FC82D18" w:rsidR="00F50BCB" w:rsidRPr="009D4886" w:rsidRDefault="00F50BCB" w:rsidP="00F50BCB">
      <w:pPr>
        <w:pStyle w:val="ListParagraph"/>
        <w:widowControl w:val="0"/>
        <w:numPr>
          <w:ilvl w:val="0"/>
          <w:numId w:val="4"/>
        </w:numPr>
        <w:spacing w:after="0" w:line="360" w:lineRule="auto"/>
        <w:jc w:val="both"/>
        <w:rPr>
          <w:rFonts w:ascii="Arial" w:hAnsi="Arial" w:cs="Arial"/>
          <w:sz w:val="18"/>
          <w:szCs w:val="18"/>
        </w:rPr>
      </w:pPr>
      <w:bookmarkStart w:id="1" w:name="_Hlk222920563"/>
      <w:r>
        <w:rPr>
          <w:rFonts w:ascii="Arial" w:hAnsi="Arial"/>
          <w:sz w:val="18"/>
        </w:rPr>
        <w:t>Excelentes competências conceptuais e analíticas combinadas com a capacidade de desenvolver estratégias e definir prioridades e objetivos.</w:t>
      </w:r>
    </w:p>
    <w:p w14:paraId="0CFC790A" w14:textId="3067DA54" w:rsidR="00F50BCB" w:rsidRDefault="00F50BCB" w:rsidP="00F50BCB">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Excelentes conhecimentos ou experiência relacionados com o apoio à integridade da informação.</w:t>
      </w:r>
    </w:p>
    <w:p w14:paraId="05FED604" w14:textId="7BBF6BB8" w:rsidR="0089341E" w:rsidRDefault="0089341E" w:rsidP="00F50BCB">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Profundo conhecimento dos desafios e ameaças que as democracias enfrentam em toda a UE e das abordagens holísticas para lhes fazer face, desde o combate à manipulação da informação e ingerência por parte de agentes estrangeiros e à desinformação até ao reforço da resiliência democrática.</w:t>
      </w:r>
    </w:p>
    <w:p w14:paraId="27AC83A0" w14:textId="77777777" w:rsidR="00EF44E3" w:rsidRDefault="0089341E" w:rsidP="0089341E">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Experiência de conceção e implementação de opções de resposta, incluindo o reforço do conhecimento da situação e o reforço da resiliência da sociedade.</w:t>
      </w:r>
    </w:p>
    <w:p w14:paraId="4CBC2111" w14:textId="1B2F8403" w:rsidR="00F50BCB" w:rsidRPr="0089341E" w:rsidRDefault="00F50BCB" w:rsidP="0089341E">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Muito boas competências e experiência substancial em matéria de colaboração com as partes interessadas a nível europeu.</w:t>
      </w:r>
    </w:p>
    <w:p w14:paraId="684D5800" w14:textId="77777777" w:rsidR="00F50BCB" w:rsidRPr="006412A7" w:rsidRDefault="00F50BCB" w:rsidP="00F50BCB">
      <w:pPr>
        <w:pStyle w:val="ListParagraph"/>
        <w:widowControl w:val="0"/>
        <w:numPr>
          <w:ilvl w:val="0"/>
          <w:numId w:val="4"/>
        </w:numPr>
        <w:spacing w:after="0" w:line="360" w:lineRule="auto"/>
        <w:jc w:val="both"/>
        <w:rPr>
          <w:rFonts w:ascii="Arial" w:hAnsi="Arial" w:cs="Arial"/>
          <w:b/>
          <w:bCs/>
          <w:sz w:val="18"/>
          <w:szCs w:val="18"/>
          <w:u w:val="single"/>
        </w:rPr>
      </w:pPr>
      <w:r>
        <w:rPr>
          <w:rFonts w:ascii="Arial" w:hAnsi="Arial"/>
          <w:sz w:val="18"/>
        </w:rPr>
        <w:t>Sólidos conhecimentos e/ou experiência em práticas e procedimentos administrativos, planeamento e gestão financeira.</w:t>
      </w:r>
    </w:p>
    <w:bookmarkEnd w:id="1"/>
    <w:p w14:paraId="7A35D522" w14:textId="77777777" w:rsidR="00F50BCB" w:rsidRPr="006412A7" w:rsidRDefault="00F50BCB" w:rsidP="00F50BCB">
      <w:pPr>
        <w:spacing w:after="0" w:line="360" w:lineRule="auto"/>
        <w:jc w:val="both"/>
        <w:rPr>
          <w:rFonts w:ascii="Arial" w:hAnsi="Arial" w:cs="Arial"/>
          <w:b/>
          <w:bCs/>
          <w:sz w:val="18"/>
          <w:szCs w:val="18"/>
          <w:u w:val="single"/>
        </w:rPr>
      </w:pPr>
    </w:p>
    <w:p w14:paraId="7E3E7115" w14:textId="08E8231C" w:rsidR="00F50BCB" w:rsidRDefault="00F50BCB" w:rsidP="00F50BCB">
      <w:pPr>
        <w:pStyle w:val="Bodytext200"/>
        <w:shd w:val="clear" w:color="auto" w:fill="auto"/>
        <w:spacing w:before="0" w:after="0"/>
        <w:jc w:val="left"/>
        <w:rPr>
          <w:b/>
          <w:bCs/>
          <w:sz w:val="18"/>
          <w:szCs w:val="18"/>
        </w:rPr>
      </w:pPr>
      <w:r>
        <w:rPr>
          <w:b/>
          <w:sz w:val="18"/>
        </w:rPr>
        <w:t>Competências de assessoria (40 %)</w:t>
      </w:r>
    </w:p>
    <w:p w14:paraId="3C853D06" w14:textId="77777777" w:rsidR="00F50BCB" w:rsidRPr="00D40872" w:rsidRDefault="00F50BCB" w:rsidP="00F50BCB">
      <w:pPr>
        <w:pStyle w:val="Bodytext200"/>
        <w:shd w:val="clear" w:color="auto" w:fill="auto"/>
        <w:spacing w:before="0" w:after="0"/>
        <w:jc w:val="left"/>
        <w:rPr>
          <w:b/>
          <w:bCs/>
          <w:sz w:val="18"/>
          <w:szCs w:val="18"/>
          <w:lang w:val="en-GB"/>
        </w:rPr>
      </w:pPr>
    </w:p>
    <w:p w14:paraId="5E82D589" w14:textId="4C97AF9B" w:rsidR="00F50BCB" w:rsidRPr="006412A7" w:rsidRDefault="00F50BCB" w:rsidP="00FF0CB8">
      <w:pPr>
        <w:pStyle w:val="ListParagraph"/>
        <w:widowControl w:val="0"/>
        <w:numPr>
          <w:ilvl w:val="0"/>
          <w:numId w:val="5"/>
        </w:numPr>
        <w:spacing w:after="0" w:line="360" w:lineRule="auto"/>
        <w:jc w:val="both"/>
        <w:rPr>
          <w:rFonts w:ascii="Arial" w:hAnsi="Arial" w:cs="Arial"/>
          <w:sz w:val="18"/>
          <w:szCs w:val="18"/>
        </w:rPr>
      </w:pPr>
      <w:r>
        <w:rPr>
          <w:rFonts w:ascii="Arial" w:hAnsi="Arial"/>
          <w:sz w:val="18"/>
        </w:rPr>
        <w:t>Capacidade para aconselhar e contribuir para a coordenação estratégica de questões transversais no domínio da resiliência democrática, em especial no que respeita ao apoio ao conhecimento da situação e à conceção de opções de resposta para salvaguardar a integridade do espaço de informação.</w:t>
      </w:r>
    </w:p>
    <w:p w14:paraId="5C46D81D" w14:textId="72389D41"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Capacidade para prestar aconselhamento estratégico aos diretores, como exigido pelo cargo.</w:t>
      </w:r>
    </w:p>
    <w:p w14:paraId="24DDA73B" w14:textId="77777777" w:rsidR="00F50BCB" w:rsidRPr="006412A7" w:rsidRDefault="00F50BCB" w:rsidP="00FF0CB8">
      <w:pPr>
        <w:pStyle w:val="ListParagraph"/>
        <w:widowControl w:val="0"/>
        <w:numPr>
          <w:ilvl w:val="0"/>
          <w:numId w:val="5"/>
        </w:numPr>
        <w:spacing w:after="0" w:line="360" w:lineRule="auto"/>
        <w:jc w:val="both"/>
        <w:rPr>
          <w:rFonts w:ascii="Arial" w:hAnsi="Arial" w:cs="Arial"/>
          <w:sz w:val="18"/>
          <w:szCs w:val="18"/>
        </w:rPr>
      </w:pPr>
      <w:r>
        <w:rPr>
          <w:rFonts w:ascii="Arial" w:hAnsi="Arial"/>
          <w:sz w:val="18"/>
        </w:rPr>
        <w:t>Capacidade para prestar aconselhamento em matéria de orientações estratégicas, políticas e comunicação sobre questões proeminentes e complexas.</w:t>
      </w:r>
    </w:p>
    <w:p w14:paraId="66653BFA" w14:textId="00F5BF8D" w:rsidR="00F50BCB" w:rsidRPr="006412A7" w:rsidRDefault="00F50BCB" w:rsidP="00FF0CB8">
      <w:pPr>
        <w:pStyle w:val="ListParagraph"/>
        <w:widowControl w:val="0"/>
        <w:numPr>
          <w:ilvl w:val="0"/>
          <w:numId w:val="5"/>
        </w:numPr>
        <w:spacing w:after="0" w:line="360" w:lineRule="auto"/>
        <w:jc w:val="both"/>
        <w:rPr>
          <w:rFonts w:ascii="Arial" w:hAnsi="Arial" w:cs="Arial"/>
          <w:sz w:val="18"/>
          <w:szCs w:val="18"/>
        </w:rPr>
      </w:pPr>
      <w:r>
        <w:rPr>
          <w:rFonts w:ascii="Arial" w:hAnsi="Arial"/>
          <w:sz w:val="18"/>
        </w:rPr>
        <w:t>Capacidade para aconselhar o diretor-geral e os diretores sobre a elaboração e a execução de estratégias de comunicação e sensibilização dirigidas a uma grande variedade de partes interessadas.</w:t>
      </w:r>
    </w:p>
    <w:p w14:paraId="1960D813" w14:textId="54BAD2D7" w:rsidR="00E53957" w:rsidRPr="00F96C29" w:rsidRDefault="00E53957" w:rsidP="112CF90A">
      <w:pPr>
        <w:spacing w:after="240" w:line="240" w:lineRule="auto"/>
        <w:jc w:val="both"/>
        <w:rPr>
          <w:rFonts w:ascii="Times New Roman" w:hAnsi="Times New Roman" w:cs="Times New Roman"/>
        </w:rPr>
      </w:pPr>
    </w:p>
    <w:p w14:paraId="58DDE128" w14:textId="77777777" w:rsidR="003542EC" w:rsidRPr="008649AA" w:rsidRDefault="003542EC" w:rsidP="003542EC">
      <w:pPr>
        <w:spacing w:after="240" w:line="240" w:lineRule="auto"/>
        <w:jc w:val="both"/>
        <w:rPr>
          <w:rFonts w:ascii="Times New Roman" w:hAnsi="Times New Roman" w:cs="Times New Roman"/>
          <w:b/>
        </w:rPr>
      </w:pPr>
      <w:r>
        <w:rPr>
          <w:rFonts w:ascii="Times New Roman" w:hAnsi="Times New Roman"/>
          <w:b/>
        </w:rPr>
        <w:t>Condições de admissão</w:t>
      </w:r>
    </w:p>
    <w:p w14:paraId="5313A45B" w14:textId="77777777" w:rsidR="003542EC" w:rsidRPr="008649AA" w:rsidRDefault="003542EC" w:rsidP="003542EC">
      <w:pPr>
        <w:spacing w:after="240" w:line="240" w:lineRule="auto"/>
        <w:jc w:val="both"/>
        <w:rPr>
          <w:rFonts w:ascii="Times New Roman" w:hAnsi="Times New Roman" w:cs="Times New Roman"/>
        </w:rPr>
      </w:pPr>
      <w:r>
        <w:rPr>
          <w:rFonts w:ascii="Times New Roman" w:hAnsi="Times New Roman"/>
        </w:rPr>
        <w:t xml:space="preserve">Só são admitidos à fase de seleção os candidatos que, </w:t>
      </w:r>
      <w:r>
        <w:rPr>
          <w:rFonts w:ascii="Times New Roman" w:hAnsi="Times New Roman"/>
          <w:b/>
        </w:rPr>
        <w:t>até ao termo do prazo de candidatura</w:t>
      </w:r>
      <w:r>
        <w:rPr>
          <w:rFonts w:ascii="Times New Roman" w:hAnsi="Times New Roman"/>
        </w:rPr>
        <w:t>, cumpram os seguintes critérios formais:</w:t>
      </w:r>
    </w:p>
    <w:p w14:paraId="33951552"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Nacionalidade</w:t>
      </w:r>
      <w:r>
        <w:rPr>
          <w:rFonts w:ascii="Times New Roman" w:hAnsi="Times New Roman"/>
        </w:rPr>
        <w:t>: ser nacional de um Estado-Membro da União Europeia.</w:t>
      </w:r>
    </w:p>
    <w:p w14:paraId="795FB198"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Título ou diploma universitário</w:t>
      </w:r>
      <w:r>
        <w:rPr>
          <w:rFonts w:ascii="Times New Roman" w:hAnsi="Times New Roman"/>
        </w:rPr>
        <w:t xml:space="preserve"> — os candidatos devem ter:</w:t>
      </w:r>
    </w:p>
    <w:p w14:paraId="672D0702" w14:textId="728CB5FA" w:rsidR="003542EC" w:rsidRPr="008649AA" w:rsidRDefault="003542EC" w:rsidP="003542EC">
      <w:pPr>
        <w:pStyle w:val="ListParagraph"/>
        <w:spacing w:after="240" w:line="240" w:lineRule="auto"/>
        <w:ind w:left="568" w:hanging="284"/>
        <w:contextualSpacing w:val="0"/>
        <w:jc w:val="both"/>
        <w:rPr>
          <w:rFonts w:ascii="Times New Roman" w:hAnsi="Times New Roman" w:cs="Times New Roman"/>
        </w:rPr>
      </w:pPr>
      <w:r>
        <w:rPr>
          <w:rFonts w:ascii="Times New Roman" w:hAnsi="Times New Roman"/>
        </w:rPr>
        <w:t>—</w:t>
      </w:r>
      <w:r>
        <w:rPr>
          <w:rFonts w:ascii="Times New Roman" w:hAnsi="Times New Roman"/>
        </w:rPr>
        <w:tab/>
        <w:t>qualificações de nível correspondente a um ciclo de estudos universitários de pelo menos quatro anos, comprovadas por um diploma;</w:t>
      </w:r>
    </w:p>
    <w:p w14:paraId="4572BC0E" w14:textId="77777777" w:rsidR="003542EC" w:rsidRDefault="003542EC" w:rsidP="003542EC">
      <w:pPr>
        <w:pStyle w:val="ListParagraph"/>
        <w:spacing w:after="240" w:line="240" w:lineRule="auto"/>
        <w:ind w:left="568" w:hanging="284"/>
        <w:contextualSpacing w:val="0"/>
        <w:jc w:val="both"/>
        <w:rPr>
          <w:rFonts w:ascii="Times New Roman" w:hAnsi="Times New Roman" w:cs="Times New Roman"/>
        </w:rPr>
      </w:pPr>
      <w:r>
        <w:rPr>
          <w:rFonts w:ascii="Times New Roman" w:hAnsi="Times New Roman"/>
        </w:rPr>
        <w:t>—</w:t>
      </w:r>
      <w:r>
        <w:rPr>
          <w:rFonts w:ascii="Times New Roman" w:hAnsi="Times New Roman"/>
        </w:rPr>
        <w:tab/>
        <w:t>ou qualificações de nível correspondente a um ciclo completo de estudos universitários de pelo menos três anos, comprovadas por um diploma, e pelo menos um ano de experiência profissional relevante (não contabilizada como experiência profissional adquirida após a obtenção do diploma relevante exigida mais abaixo).</w:t>
      </w:r>
    </w:p>
    <w:p w14:paraId="08A90C6B" w14:textId="56A12B03" w:rsidR="00FD79B3" w:rsidRDefault="00FD79B3" w:rsidP="004D0A7E">
      <w:pPr>
        <w:pStyle w:val="ListParagraph"/>
        <w:spacing w:after="0" w:line="240" w:lineRule="auto"/>
        <w:ind w:left="0"/>
        <w:contextualSpacing w:val="0"/>
        <w:jc w:val="both"/>
        <w:rPr>
          <w:rFonts w:ascii="Times New Roman" w:hAnsi="Times New Roman" w:cs="Times New Roman"/>
        </w:rPr>
      </w:pPr>
      <w:r>
        <w:rPr>
          <w:rFonts w:ascii="Times New Roman" w:hAnsi="Times New Roman"/>
        </w:rPr>
        <w:t>Só serão tidos em consideração os diplomas obtidos em Estados-Membros da UE ou que tenham sido objeto de</w:t>
      </w:r>
      <w:r w:rsidR="00FF0CB8">
        <w:rPr>
          <w:rFonts w:ascii="Times New Roman" w:hAnsi="Times New Roman"/>
        </w:rPr>
        <w:t xml:space="preserve"> </w:t>
      </w:r>
      <w:r>
        <w:rPr>
          <w:rFonts w:ascii="Times New Roman" w:hAnsi="Times New Roman"/>
        </w:rPr>
        <w:t>certificados de equivalência emitidos pelas autoridades de um dos</w:t>
      </w:r>
      <w:r w:rsidR="004D0A7E">
        <w:rPr>
          <w:rFonts w:ascii="Times New Roman" w:hAnsi="Times New Roman"/>
        </w:rPr>
        <w:t xml:space="preserve"> </w:t>
      </w:r>
      <w:r>
        <w:rPr>
          <w:rFonts w:ascii="Times New Roman" w:hAnsi="Times New Roman"/>
        </w:rPr>
        <w:t>Estados-Membros.</w:t>
      </w:r>
    </w:p>
    <w:p w14:paraId="26FF6230" w14:textId="77777777" w:rsidR="00C812E8" w:rsidRPr="008649AA" w:rsidRDefault="00C812E8" w:rsidP="00CD0EAE">
      <w:pPr>
        <w:pStyle w:val="ListParagraph"/>
        <w:spacing w:after="0" w:line="240" w:lineRule="auto"/>
        <w:ind w:left="568" w:hanging="284"/>
        <w:contextualSpacing w:val="0"/>
        <w:jc w:val="both"/>
        <w:rPr>
          <w:rFonts w:ascii="Times New Roman" w:hAnsi="Times New Roman" w:cs="Times New Roman"/>
        </w:rPr>
      </w:pPr>
    </w:p>
    <w:p w14:paraId="4922525F" w14:textId="156E927C" w:rsidR="003C4E2A" w:rsidRPr="008649AA" w:rsidRDefault="003542EC" w:rsidP="003C4E2A">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lastRenderedPageBreak/>
        <w:t>Experiência profissional</w:t>
      </w:r>
      <w:r>
        <w:rPr>
          <w:rFonts w:ascii="Times New Roman" w:hAnsi="Times New Roman"/>
        </w:rPr>
        <w:t>: os candidatos devem ter pelo menos 15 anos de experiência profissional pós-licenciatura</w:t>
      </w:r>
      <w:r w:rsidR="00E62B49" w:rsidRPr="00BE6643">
        <w:rPr>
          <w:rStyle w:val="FootnoteReference"/>
          <w:rFonts w:ascii="Times New Roman" w:hAnsi="Times New Roman" w:cs="Times New Roman"/>
          <w:b/>
        </w:rPr>
        <w:footnoteReference w:id="2"/>
      </w:r>
      <w:r>
        <w:rPr>
          <w:rFonts w:ascii="Times New Roman" w:hAnsi="Times New Roman"/>
        </w:rPr>
        <w:t xml:space="preserve"> de um nível correspondente às qualificações mencionadas anteriormente.</w:t>
      </w:r>
    </w:p>
    <w:p w14:paraId="28AAED6B" w14:textId="00D3AD4F" w:rsidR="003542EC" w:rsidRDefault="00EB4544" w:rsidP="667656FB">
      <w:pPr>
        <w:pStyle w:val="ListParagraph"/>
        <w:numPr>
          <w:ilvl w:val="0"/>
          <w:numId w:val="1"/>
        </w:numPr>
        <w:spacing w:after="240" w:line="240" w:lineRule="auto"/>
        <w:ind w:left="284" w:hanging="284"/>
        <w:jc w:val="both"/>
        <w:rPr>
          <w:rFonts w:ascii="Times New Roman" w:hAnsi="Times New Roman" w:cs="Times New Roman"/>
        </w:rPr>
      </w:pPr>
      <w:r>
        <w:rPr>
          <w:rFonts w:ascii="Times New Roman" w:hAnsi="Times New Roman"/>
          <w:u w:val="single"/>
        </w:rPr>
        <w:t>Experiência de assessoria</w:t>
      </w:r>
      <w:r>
        <w:rPr>
          <w:rFonts w:ascii="Times New Roman" w:hAnsi="Times New Roman"/>
        </w:rPr>
        <w:t>: pelo menos cinco anos da experiência profissional obtida após a licenciatura devem ter sido adquiridos no desempenho de funções de assessoria de alto nível</w:t>
      </w:r>
      <w:r w:rsidR="00A12B13">
        <w:rPr>
          <w:rStyle w:val="FootnoteReference"/>
          <w:rFonts w:ascii="Times New Roman" w:hAnsi="Times New Roman" w:cs="Times New Roman"/>
        </w:rPr>
        <w:footnoteReference w:id="3"/>
      </w:r>
      <w:r w:rsidR="005E2250">
        <w:rPr>
          <w:rFonts w:ascii="Times New Roman" w:hAnsi="Times New Roman"/>
        </w:rPr>
        <w:t>.</w:t>
      </w:r>
    </w:p>
    <w:p w14:paraId="22404CBF" w14:textId="77777777" w:rsidR="00F50BCB" w:rsidRPr="008649AA" w:rsidRDefault="00F50BCB" w:rsidP="00F50BCB">
      <w:pPr>
        <w:pStyle w:val="ListParagraph"/>
        <w:spacing w:after="240" w:line="240" w:lineRule="auto"/>
        <w:ind w:left="284"/>
        <w:jc w:val="both"/>
        <w:rPr>
          <w:rFonts w:ascii="Times New Roman" w:hAnsi="Times New Roman" w:cs="Times New Roman"/>
        </w:rPr>
      </w:pPr>
    </w:p>
    <w:p w14:paraId="4062D7D2"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Línguas</w:t>
      </w:r>
      <w:r>
        <w:rPr>
          <w:rFonts w:ascii="Times New Roman" w:hAnsi="Times New Roman"/>
        </w:rPr>
        <w:t>: os candidatos devem ter um domínio excelente de uma das línguas oficiais da União Europeia</w:t>
      </w:r>
      <w:r w:rsidRPr="008649AA">
        <w:rPr>
          <w:rStyle w:val="FootnoteReference"/>
          <w:rFonts w:ascii="Times New Roman" w:hAnsi="Times New Roman" w:cs="Times New Roman"/>
        </w:rPr>
        <w:footnoteReference w:id="4"/>
      </w:r>
      <w:r>
        <w:rPr>
          <w:rFonts w:ascii="Times New Roman" w:hAnsi="Times New Roman"/>
        </w:rPr>
        <w:t xml:space="preserve"> e um conhecimento satisfatório de outra língua oficial da União Europeia. Durante a entrevista ou entrevistas, o júri verifica se os candidatos cumprem o requisito relativo ao conhecimento satisfatório de outra língua oficial da União Europeia, pelo que as entrevistas podem decorrer total ou parcialmente nessa língua.</w:t>
      </w:r>
    </w:p>
    <w:p w14:paraId="3FFA4508" w14:textId="7C792720" w:rsidR="002F0575" w:rsidRPr="00F50BCB" w:rsidRDefault="003542EC" w:rsidP="00081B31">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Limite de idade</w:t>
      </w:r>
      <w:r>
        <w:rPr>
          <w:rFonts w:ascii="Times New Roman" w:hAnsi="Times New Roman"/>
        </w:rPr>
        <w:t>: os candidatos não devem ter atingido a idade normal da reforma que, para os funcionários da União Europeia, corresponde ao último dia do mês em que atingem 66 anos de idade (ver artigo 52.º, alínea a), do Estatuto dos Funcionários</w:t>
      </w:r>
      <w:r w:rsidRPr="00BE6643">
        <w:rPr>
          <w:rStyle w:val="FootnoteReference"/>
          <w:rFonts w:ascii="Times New Roman" w:hAnsi="Times New Roman" w:cs="Times New Roman"/>
          <w:b/>
        </w:rPr>
        <w:footnoteReference w:id="5"/>
      </w:r>
      <w:r>
        <w:rPr>
          <w:rFonts w:ascii="Times New Roman" w:hAnsi="Times New Roman"/>
        </w:rPr>
        <w:t>).</w:t>
      </w:r>
    </w:p>
    <w:p w14:paraId="7F370E9B" w14:textId="28BDFE18" w:rsidR="001F08A9" w:rsidRPr="008649AA" w:rsidRDefault="001F08A9" w:rsidP="00840D2D">
      <w:pPr>
        <w:tabs>
          <w:tab w:val="left" w:pos="3215"/>
        </w:tabs>
        <w:spacing w:after="240" w:line="240" w:lineRule="auto"/>
        <w:jc w:val="both"/>
        <w:rPr>
          <w:rFonts w:ascii="Times New Roman" w:hAnsi="Times New Roman" w:cs="Times New Roman"/>
          <w:b/>
        </w:rPr>
      </w:pPr>
      <w:r>
        <w:rPr>
          <w:rFonts w:ascii="Times New Roman" w:hAnsi="Times New Roman"/>
          <w:b/>
        </w:rPr>
        <w:t>Seleção e nomeação</w:t>
      </w:r>
    </w:p>
    <w:p w14:paraId="17005BFE" w14:textId="60698EA1" w:rsidR="009D3D62" w:rsidRPr="008649AA" w:rsidRDefault="009D3D62" w:rsidP="00533A8D">
      <w:pPr>
        <w:pStyle w:val="Corpsdutexte0"/>
        <w:shd w:val="clear" w:color="auto" w:fill="auto"/>
        <w:spacing w:before="0" w:after="240" w:line="240" w:lineRule="auto"/>
        <w:ind w:firstLine="0"/>
        <w:jc w:val="both"/>
        <w:rPr>
          <w:rFonts w:ascii="Times New Roman" w:hAnsi="Times New Roman" w:cs="Times New Roman"/>
        </w:rPr>
      </w:pPr>
      <w:r>
        <w:rPr>
          <w:rFonts w:ascii="Times New Roman" w:hAnsi="Times New Roman"/>
          <w:sz w:val="22"/>
        </w:rPr>
        <w:t>A seleção e nomeação realizam-se em conformidade com os processos de seleção e recrutamento da Comissão Europeia (ver documento sobre a política relativa aos funcionários superiores</w:t>
      </w:r>
      <w:r w:rsidRPr="112CF90A">
        <w:rPr>
          <w:rStyle w:val="FootnoteReference"/>
          <w:rFonts w:ascii="Times New Roman" w:hAnsi="Times New Roman" w:cs="Times New Roman"/>
          <w:b/>
          <w:bCs/>
          <w:sz w:val="22"/>
          <w:szCs w:val="22"/>
        </w:rPr>
        <w:footnoteReference w:id="6"/>
      </w:r>
      <w:r>
        <w:rPr>
          <w:rFonts w:ascii="Times New Roman" w:hAnsi="Times New Roman"/>
          <w:sz w:val="22"/>
        </w:rPr>
        <w:t>).</w:t>
      </w:r>
    </w:p>
    <w:p w14:paraId="52025CED" w14:textId="72C4F193" w:rsidR="001F08A9" w:rsidRPr="008649AA" w:rsidRDefault="00335932" w:rsidP="003542EC">
      <w:pPr>
        <w:spacing w:after="240" w:line="240" w:lineRule="auto"/>
        <w:jc w:val="both"/>
        <w:rPr>
          <w:rFonts w:ascii="Times New Roman" w:hAnsi="Times New Roman" w:cs="Times New Roman"/>
        </w:rPr>
      </w:pPr>
      <w:r>
        <w:rPr>
          <w:rFonts w:ascii="Times New Roman" w:hAnsi="Times New Roman"/>
        </w:rPr>
        <w:t>No âmbito do presente processo de seleção, a Comissão Europeia constitui um júri de pré-seleção. Este júri analisa todas as candidaturas, procede a uma primeira verificação da admissibilidade e, tendo em conta os critérios de seleção acima referidos, identifica os candidatos com o perfil mais adequado, que podem ser convocados para uma entrevista com o júri de pré-seleção.</w:t>
      </w:r>
      <w:r>
        <w:t xml:space="preserve"> </w:t>
      </w:r>
      <w:r>
        <w:rPr>
          <w:rFonts w:ascii="Times New Roman" w:hAnsi="Times New Roman"/>
        </w:rPr>
        <w:t>Os candidatos podem ter de apresentar documentos comprovativos das informações constantes da sua candidatura em qualquer momento do processo de seleção. A não apresentação desses documentos no prazo definido no pedido de apresentação dos documentos em questão pode levar à exclusão dos candidatos do processo de seleção.</w:t>
      </w:r>
    </w:p>
    <w:p w14:paraId="3FB3BF72"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Após as entrevistas, o júri de pré-seleção elabora as suas conclusões e propõe uma lista dos candidatos a convocar para novas entrevistas com o Comité Consultivo de Nomeações da Comissão Europeia (CCN). Tendo em conta as conclusões do júri de pré-seleção, o CCN decide quais os candidatos a convocar para uma entrevista.</w:t>
      </w:r>
    </w:p>
    <w:p w14:paraId="6DC45FF6" w14:textId="619522C8"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Os candidatos convocados para uma entrevista com o CCN são avaliados ao longo de um dia inteiro por consultores externos de recursos humanos num centro de avaliação de gestores. Tendo em conta os resultados da entrevista e o relatório do centro de avaliação, o CCN elabora uma lista restrita dos candidatos que considera aptos para a função em causa.</w:t>
      </w:r>
    </w:p>
    <w:p w14:paraId="71AE580B" w14:textId="77777777" w:rsidR="00E55604" w:rsidRDefault="001F08A9" w:rsidP="003542EC">
      <w:pPr>
        <w:spacing w:after="240" w:line="240" w:lineRule="auto"/>
        <w:jc w:val="both"/>
        <w:rPr>
          <w:rFonts w:ascii="Times New Roman" w:hAnsi="Times New Roman" w:cs="Times New Roman"/>
        </w:rPr>
      </w:pPr>
      <w:r>
        <w:rPr>
          <w:rFonts w:ascii="Times New Roman" w:hAnsi="Times New Roman"/>
        </w:rPr>
        <w:lastRenderedPageBreak/>
        <w:t>Os candidatos que figuram na lista restrita do CCN são entrevistados pelos membros da Comissão relevantes.</w:t>
      </w:r>
    </w:p>
    <w:p w14:paraId="6D87D0F9" w14:textId="77777777" w:rsidR="001F08A9" w:rsidRPr="008649AA" w:rsidRDefault="001F08A9" w:rsidP="00533A8D">
      <w:pPr>
        <w:spacing w:after="240" w:line="240" w:lineRule="auto"/>
        <w:jc w:val="both"/>
        <w:rPr>
          <w:rFonts w:ascii="Times New Roman" w:hAnsi="Times New Roman" w:cs="Times New Roman"/>
        </w:rPr>
      </w:pPr>
      <w:r>
        <w:rPr>
          <w:rFonts w:ascii="Times New Roman" w:hAnsi="Times New Roman"/>
        </w:rPr>
        <w:t>Na sequência destas entrevistas, a Comissão Europeia adota a decisão de nomeação.</w:t>
      </w:r>
    </w:p>
    <w:p w14:paraId="0E68D3DA" w14:textId="69A5DCB1" w:rsidR="00DB7D3C" w:rsidRPr="008649AA" w:rsidRDefault="00DB7D3C" w:rsidP="00DB7D3C">
      <w:pPr>
        <w:spacing w:after="240" w:line="240" w:lineRule="auto"/>
        <w:jc w:val="both"/>
        <w:rPr>
          <w:rFonts w:ascii="Times New Roman" w:hAnsi="Times New Roman" w:cs="Times New Roman"/>
        </w:rPr>
      </w:pPr>
      <w:r>
        <w:rPr>
          <w:rFonts w:ascii="Times New Roman" w:hAnsi="Times New Roman"/>
        </w:rPr>
        <w:t>O candidato selecionado deve ter cumprido as obrigações impostas pela legislação relativa ao serviço militar, oferecer as garantias de idoneidade moral requeridas para o exercício das suas funções e estar fisicamente apto para o efeito.</w:t>
      </w:r>
    </w:p>
    <w:p w14:paraId="6693FB2E" w14:textId="77777777" w:rsidR="00DB7D3C" w:rsidRPr="008649AA" w:rsidRDefault="00DB7D3C" w:rsidP="00DB7D3C">
      <w:pPr>
        <w:spacing w:after="240" w:line="240" w:lineRule="auto"/>
        <w:jc w:val="both"/>
        <w:rPr>
          <w:rFonts w:ascii="Times New Roman" w:hAnsi="Times New Roman" w:cs="Times New Roman"/>
        </w:rPr>
      </w:pPr>
      <w:r>
        <w:rPr>
          <w:rFonts w:ascii="Times New Roman" w:hAnsi="Times New Roman"/>
        </w:rPr>
        <w:t>O candidato selecionado deve ser titular de um certificado de credenciação de segurança válido ou estar em condições de o obter junto da respetiva autoridade nacional de segurança. A credenciação de segurança pessoal decorre de uma decisão administrativa tomada após a conclusão de um inquérito de segurança efetuado pela autoridade nacional de segurança competente, em conformidade com as disposições legislativas e regulamentares nacionais aplicáveis nesse domínio, que certifica que uma pessoa pode ser autorizada a aceder a informações classificadas até um nível especificado (note-se que cabe ao empregador, e não ao candidato, dar início ao procedimento para a obtenção de um certificado de credenciação de segurança).</w:t>
      </w:r>
    </w:p>
    <w:p w14:paraId="6A87DB92" w14:textId="5CBB1D39" w:rsidR="00081B31" w:rsidRPr="00F50BCB" w:rsidRDefault="002F0575" w:rsidP="00F50BCB">
      <w:pPr>
        <w:spacing w:after="240" w:line="240" w:lineRule="auto"/>
        <w:jc w:val="both"/>
        <w:rPr>
          <w:rFonts w:ascii="Times New Roman" w:hAnsi="Times New Roman" w:cs="Times New Roman"/>
        </w:rPr>
      </w:pPr>
      <w:r>
        <w:rPr>
          <w:rFonts w:ascii="Times New Roman" w:hAnsi="Times New Roman"/>
        </w:rPr>
        <w:t>O candidato selecionado só pode aceder a informações classificadas da UE (ICUE) de nível igual ou superior a CONFIDENTIEL UE/EU CONFIDENTIAL e participar em reuniões em que essas informações sejam debatidas após a emissão do certificado de credenciação de segurança pessoal pelo Estado-Membro em causa e após a conclusão do procedimento de credenciação com a transmissão das informações legalmente obrigatória pela Direção de Segurança da Comissão Europeia.</w:t>
      </w:r>
    </w:p>
    <w:p w14:paraId="78FF5C75" w14:textId="77777777" w:rsidR="006B1671" w:rsidRPr="008649AA" w:rsidRDefault="006B1671" w:rsidP="003542EC">
      <w:pPr>
        <w:spacing w:after="240" w:line="240" w:lineRule="auto"/>
        <w:jc w:val="both"/>
        <w:rPr>
          <w:rFonts w:ascii="Times New Roman" w:hAnsi="Times New Roman" w:cs="Times New Roman"/>
          <w:b/>
        </w:rPr>
      </w:pPr>
      <w:r>
        <w:rPr>
          <w:rFonts w:ascii="Times New Roman" w:hAnsi="Times New Roman"/>
          <w:b/>
        </w:rPr>
        <w:t>Igualdade de oportunidades</w:t>
      </w:r>
    </w:p>
    <w:p w14:paraId="27E64092" w14:textId="4EDF0477" w:rsidR="006B1671" w:rsidRPr="00F50BCB" w:rsidRDefault="00DB7D3C" w:rsidP="003542EC">
      <w:pPr>
        <w:spacing w:after="240" w:line="240" w:lineRule="auto"/>
        <w:jc w:val="both"/>
        <w:rPr>
          <w:rFonts w:ascii="Times New Roman" w:hAnsi="Times New Roman" w:cs="Times New Roman"/>
        </w:rPr>
      </w:pPr>
      <w:r>
        <w:rPr>
          <w:rFonts w:ascii="Times New Roman" w:hAnsi="Times New Roman"/>
        </w:rPr>
        <w:t>Em conformidade com o artigo 1.º-D do Estatuto dos Funcionários, a Comissão tem o objetivo estratégico de alcançar a igualdade de género a todos os níveis de gestão até ao final do seu atual mandato, pelo que segue uma política de igualdade de oportunidades, incentivando as candidaturas que possam contribuir para uma maior diversidade, igualdade de género e equilíbrio geral do ponto de vista geográfico.</w:t>
      </w:r>
    </w:p>
    <w:p w14:paraId="4747E719" w14:textId="7DA3A31B" w:rsidR="006B1671" w:rsidRPr="008649AA" w:rsidRDefault="006B1671" w:rsidP="003542EC">
      <w:pPr>
        <w:spacing w:after="240" w:line="240" w:lineRule="auto"/>
        <w:jc w:val="both"/>
        <w:rPr>
          <w:rFonts w:ascii="Times New Roman" w:hAnsi="Times New Roman" w:cs="Times New Roman"/>
          <w:b/>
        </w:rPr>
      </w:pPr>
      <w:r>
        <w:rPr>
          <w:rFonts w:ascii="Times New Roman" w:hAnsi="Times New Roman"/>
          <w:b/>
        </w:rPr>
        <w:t>Condições de emprego</w:t>
      </w:r>
    </w:p>
    <w:p w14:paraId="2C797D8E" w14:textId="15594168" w:rsidR="001C1F92" w:rsidRPr="008649AA" w:rsidRDefault="001C1F92" w:rsidP="001C1F92">
      <w:pPr>
        <w:spacing w:after="240" w:line="240" w:lineRule="auto"/>
        <w:jc w:val="both"/>
        <w:rPr>
          <w:rFonts w:ascii="Times New Roman" w:hAnsi="Times New Roman" w:cs="Times New Roman"/>
        </w:rPr>
      </w:pPr>
      <w:r>
        <w:rPr>
          <w:rFonts w:ascii="Times New Roman" w:hAnsi="Times New Roman"/>
        </w:rPr>
        <w:t>A remuneração e as condições de emprego são as estabelecidas no Estatuto dos Funcionários.</w:t>
      </w:r>
    </w:p>
    <w:p w14:paraId="4BD27166" w14:textId="1C2EF445" w:rsidR="00F75D74" w:rsidRPr="008649AA" w:rsidRDefault="00F75D74" w:rsidP="003542EC">
      <w:pPr>
        <w:spacing w:after="240" w:line="240" w:lineRule="auto"/>
        <w:jc w:val="both"/>
        <w:rPr>
          <w:rFonts w:ascii="Times New Roman" w:hAnsi="Times New Roman" w:cs="Times New Roman"/>
        </w:rPr>
      </w:pPr>
      <w:r>
        <w:rPr>
          <w:rFonts w:ascii="Times New Roman" w:hAnsi="Times New Roman"/>
        </w:rPr>
        <w:t>O candidato selecionado será recrutado como funcionário de grau AD 14 e classificado no escalão 1 ou 2 desse grau, em função da duração da experiência profissional anterior.</w:t>
      </w:r>
    </w:p>
    <w:p w14:paraId="63553476" w14:textId="772454AD" w:rsidR="001F08A9" w:rsidRPr="008649AA" w:rsidRDefault="00840D2D" w:rsidP="003542EC">
      <w:pPr>
        <w:spacing w:after="240" w:line="240" w:lineRule="auto"/>
        <w:jc w:val="both"/>
        <w:rPr>
          <w:rFonts w:ascii="Times New Roman" w:hAnsi="Times New Roman" w:cs="Times New Roman"/>
        </w:rPr>
      </w:pPr>
      <w:r>
        <w:rPr>
          <w:rFonts w:ascii="Times New Roman" w:hAnsi="Times New Roman"/>
        </w:rPr>
        <w:t>O candidato selecionado deve ter em conta o facto de o Estatuto dos Funcionários exigir que todos os novos funcionários concluam com êxito um período de estágio de nove meses.</w:t>
      </w:r>
    </w:p>
    <w:p w14:paraId="53302F71" w14:textId="115D054D" w:rsidR="00533A8D" w:rsidRPr="00F50BCB" w:rsidRDefault="001C1F92" w:rsidP="00F75D74">
      <w:pPr>
        <w:spacing w:after="240" w:line="240" w:lineRule="auto"/>
        <w:jc w:val="both"/>
        <w:rPr>
          <w:rFonts w:ascii="Times New Roman" w:hAnsi="Times New Roman" w:cs="Times New Roman"/>
        </w:rPr>
      </w:pPr>
      <w:r>
        <w:rPr>
          <w:rFonts w:ascii="Times New Roman" w:hAnsi="Times New Roman"/>
        </w:rPr>
        <w:t>O local de afetação é Bruxelas (Bélgica).</w:t>
      </w:r>
    </w:p>
    <w:p w14:paraId="0DF7632B" w14:textId="67990B3C" w:rsidR="00717779" w:rsidRDefault="48293947" w:rsidP="6B5B027E">
      <w:pPr>
        <w:spacing w:after="240" w:line="240" w:lineRule="auto"/>
        <w:jc w:val="both"/>
        <w:rPr>
          <w:rFonts w:ascii="Times New Roman" w:eastAsia="Times New Roman" w:hAnsi="Times New Roman" w:cs="Times New Roman"/>
          <w:b/>
          <w:bCs/>
        </w:rPr>
      </w:pPr>
      <w:r>
        <w:rPr>
          <w:rFonts w:ascii="Times New Roman" w:hAnsi="Times New Roman"/>
          <w:b/>
        </w:rPr>
        <w:t>Independência e declaração de interesses</w:t>
      </w:r>
    </w:p>
    <w:p w14:paraId="47F98F1B" w14:textId="38A11C89" w:rsidR="00717779" w:rsidRPr="00F50BCB" w:rsidRDefault="48293947" w:rsidP="6B5B027E">
      <w:pPr>
        <w:spacing w:after="240" w:line="240" w:lineRule="auto"/>
        <w:jc w:val="both"/>
        <w:rPr>
          <w:rFonts w:ascii="Times New Roman" w:eastAsia="Times New Roman" w:hAnsi="Times New Roman" w:cs="Times New Roman"/>
        </w:rPr>
      </w:pPr>
      <w:r>
        <w:rPr>
          <w:rFonts w:ascii="Times New Roman" w:hAnsi="Times New Roman"/>
        </w:rPr>
        <w:t>Os candidatos selecionados devem apresentar uma declaração em que se comprometem a agir com independência no interesse público e declarar quaisquer interesses que possam pôr em causa a sua independência.</w:t>
      </w:r>
    </w:p>
    <w:p w14:paraId="25AEF488" w14:textId="77777777" w:rsidR="00AF21B0" w:rsidRPr="008649AA" w:rsidRDefault="00AF21B0" w:rsidP="00AF21B0">
      <w:pPr>
        <w:spacing w:after="240" w:line="240" w:lineRule="auto"/>
        <w:jc w:val="both"/>
        <w:rPr>
          <w:rFonts w:ascii="Times New Roman" w:hAnsi="Times New Roman" w:cs="Times New Roman"/>
          <w:b/>
        </w:rPr>
      </w:pPr>
      <w:r>
        <w:rPr>
          <w:rFonts w:ascii="Times New Roman" w:hAnsi="Times New Roman"/>
          <w:b/>
        </w:rPr>
        <w:t>Informações importantes para os candidatos</w:t>
      </w:r>
    </w:p>
    <w:p w14:paraId="30FC2A9A" w14:textId="17D08B24" w:rsidR="00AF21B0" w:rsidRPr="00F50BCB" w:rsidRDefault="00AF21B0" w:rsidP="00AF21B0">
      <w:pPr>
        <w:spacing w:after="240" w:line="240" w:lineRule="auto"/>
        <w:jc w:val="both"/>
        <w:rPr>
          <w:rFonts w:ascii="Times New Roman" w:hAnsi="Times New Roman" w:cs="Times New Roman"/>
        </w:rPr>
      </w:pPr>
      <w:r>
        <w:rPr>
          <w:rFonts w:ascii="Times New Roman" w:hAnsi="Times New Roman"/>
        </w:rPr>
        <w:t>Recorda-se aos candidatos que as deliberações do júri são confidenciais. Os candidatos ou outras pessoas que ajam em seu nome não podem contactar, direta ou indiretamente, os membros do júri. Qualquer pedido de informação deve ser enviado para o secretariado do júri.</w:t>
      </w:r>
    </w:p>
    <w:p w14:paraId="54FB369A" w14:textId="77777777" w:rsidR="00AF21B0" w:rsidRPr="008649AA" w:rsidRDefault="00AF21B0" w:rsidP="00AF21B0">
      <w:pPr>
        <w:spacing w:after="240" w:line="240" w:lineRule="auto"/>
        <w:jc w:val="both"/>
        <w:rPr>
          <w:rFonts w:ascii="Times New Roman" w:hAnsi="Times New Roman" w:cs="Times New Roman"/>
          <w:b/>
        </w:rPr>
      </w:pPr>
      <w:r>
        <w:rPr>
          <w:rFonts w:ascii="Times New Roman" w:hAnsi="Times New Roman"/>
          <w:b/>
        </w:rPr>
        <w:lastRenderedPageBreak/>
        <w:t>Proteção de dados pessoais</w:t>
      </w:r>
    </w:p>
    <w:p w14:paraId="0494154C" w14:textId="36768F9D" w:rsidR="00AF21B0" w:rsidRPr="00F50BCB" w:rsidRDefault="00AF21B0" w:rsidP="003542EC">
      <w:pPr>
        <w:spacing w:after="240" w:line="240" w:lineRule="auto"/>
        <w:jc w:val="both"/>
        <w:rPr>
          <w:rFonts w:ascii="Times New Roman" w:hAnsi="Times New Roman" w:cs="Times New Roman"/>
        </w:rPr>
      </w:pPr>
      <w:r>
        <w:rPr>
          <w:rFonts w:ascii="Times New Roman" w:hAnsi="Times New Roman"/>
        </w:rPr>
        <w:t>A Comissão Europeia assegura que os dados pessoais dos candidatos são tratados em conformidade com o disposto no Regulamento (UE) 2018/1725 do Parlamento Europeu e do Conselho</w:t>
      </w:r>
      <w:r w:rsidRPr="00054B68">
        <w:rPr>
          <w:rStyle w:val="FootnoteReference"/>
          <w:rFonts w:ascii="Times New Roman" w:hAnsi="Times New Roman" w:cs="Times New Roman"/>
        </w:rPr>
        <w:footnoteReference w:id="7"/>
      </w:r>
      <w:r>
        <w:rPr>
          <w:rFonts w:ascii="Times New Roman" w:hAnsi="Times New Roman"/>
        </w:rPr>
        <w:t>. Estas disposições aplicam-se, em particular, à confidencialidade e à segurança desses dados.</w:t>
      </w:r>
    </w:p>
    <w:p w14:paraId="4BF3DA5F" w14:textId="77777777"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b/>
        </w:rPr>
        <w:t>Processo de candidatura</w:t>
      </w:r>
    </w:p>
    <w:p w14:paraId="650D4700"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Antes de apresentarem a candidatura, os candidatos devem verificar cuidadosamente se preenchem todas as condições de admissão, em particular no tocante aos tipos de diplomas e à experiência profissional de alto nível, bem como aos conhecimentos linguísticos exigidos. O não preenchimento de qualquer uma destas condições implica a exclusão automática do processo de seleção.</w:t>
      </w:r>
    </w:p>
    <w:p w14:paraId="4969B8B2" w14:textId="505DCB77" w:rsidR="005927E6" w:rsidRPr="008649AA" w:rsidRDefault="001F08A9" w:rsidP="003542EC">
      <w:pPr>
        <w:spacing w:after="240" w:line="240" w:lineRule="auto"/>
        <w:jc w:val="both"/>
        <w:rPr>
          <w:rFonts w:ascii="Times New Roman" w:hAnsi="Times New Roman" w:cs="Times New Roman"/>
        </w:rPr>
      </w:pPr>
      <w:r>
        <w:rPr>
          <w:rFonts w:ascii="Times New Roman" w:hAnsi="Times New Roman"/>
        </w:rPr>
        <w:t>Para se candidatarem, os interessados devem registar-se no sítio Web indicado abaixo e seguir as instruções relativas às diferentes fases do processo:</w:t>
      </w:r>
    </w:p>
    <w:p w14:paraId="77DF5B81" w14:textId="77777777" w:rsidR="001F08A9" w:rsidRPr="008649AA" w:rsidRDefault="00E25088" w:rsidP="003542EC">
      <w:pPr>
        <w:spacing w:after="240" w:line="240" w:lineRule="auto"/>
        <w:jc w:val="both"/>
        <w:rPr>
          <w:rFonts w:ascii="Times New Roman" w:hAnsi="Times New Roman" w:cs="Times New Roman"/>
        </w:rPr>
      </w:pPr>
      <w:hyperlink r:id="rId11" w:history="1">
        <w:r>
          <w:rPr>
            <w:rStyle w:val="Hyperlink"/>
            <w:rFonts w:ascii="Times New Roman" w:hAnsi="Times New Roman"/>
          </w:rPr>
          <w:t>https://ec.europa.eu/dgs/human-resources/seniormanagementvacancies/</w:t>
        </w:r>
      </w:hyperlink>
    </w:p>
    <w:p w14:paraId="4EC651B5"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Os candidatos devem ter um endereço de correio eletrónico válido. Este endereço é utilizado para confirmar o registo e para manter o contacto ao longo de todo o processo. Por conseguinte, a Comissão Europeia deve ser informada de qualquer alteração do endereço eletrónico indicado.</w:t>
      </w:r>
    </w:p>
    <w:p w14:paraId="293971AF" w14:textId="35C0D6FF" w:rsidR="001F08A9" w:rsidRDefault="001F08A9" w:rsidP="003542EC">
      <w:pPr>
        <w:spacing w:after="240" w:line="240" w:lineRule="auto"/>
        <w:jc w:val="both"/>
        <w:rPr>
          <w:rFonts w:ascii="Times New Roman" w:hAnsi="Times New Roman" w:cs="Times New Roman"/>
        </w:rPr>
      </w:pPr>
      <w:r>
        <w:rPr>
          <w:rFonts w:ascii="Times New Roman" w:hAnsi="Times New Roman"/>
        </w:rPr>
        <w:t>Os candidatos devem carregar em linha um currículo (CV) em formato PDF, de preferência utilizando o modelo do CVºEuropass</w:t>
      </w:r>
      <w:r w:rsidR="00EC7181" w:rsidRPr="008649AA">
        <w:rPr>
          <w:rStyle w:val="FootnoteReference"/>
          <w:rFonts w:ascii="Times New Roman" w:hAnsi="Times New Roman" w:cs="Times New Roman"/>
        </w:rPr>
        <w:footnoteReference w:id="8"/>
      </w:r>
      <w:r>
        <w:rPr>
          <w:rFonts w:ascii="Times New Roman" w:hAnsi="Times New Roman"/>
        </w:rPr>
        <w:t>, e uma carta de motivação (máximo: 8 000 carateres). Os CV e as cartas de motivação dos candidatos podem ser apresentados em qualquer língua oficial da União Europeia.</w:t>
      </w:r>
    </w:p>
    <w:p w14:paraId="41D36D14" w14:textId="77777777" w:rsidR="00AF21B0" w:rsidRPr="008649AA" w:rsidRDefault="00AF21B0" w:rsidP="00AF21B0">
      <w:pPr>
        <w:spacing w:after="240" w:line="240" w:lineRule="auto"/>
        <w:jc w:val="both"/>
        <w:rPr>
          <w:rFonts w:ascii="Times New Roman" w:hAnsi="Times New Roman" w:cs="Times New Roman"/>
        </w:rPr>
      </w:pPr>
      <w:r>
        <w:rPr>
          <w:rFonts w:ascii="Times New Roman" w:hAnsi="Times New Roman"/>
        </w:rPr>
        <w:t>É do interesse dos candidatos garantir a exatidão, a exaustividade e a veracidade dos dados constantes do respetivo processo de candidatura.</w:t>
      </w:r>
    </w:p>
    <w:p w14:paraId="4204BBD2" w14:textId="77777777" w:rsidR="00AF21B0" w:rsidRPr="008649AA" w:rsidRDefault="00AF21B0" w:rsidP="003542EC">
      <w:pPr>
        <w:spacing w:after="240" w:line="240" w:lineRule="auto"/>
        <w:jc w:val="both"/>
        <w:rPr>
          <w:rFonts w:ascii="Times New Roman" w:hAnsi="Times New Roman" w:cs="Times New Roman"/>
        </w:rPr>
      </w:pPr>
    </w:p>
    <w:p w14:paraId="1BCB13C1" w14:textId="77777777"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rPr>
        <w:t xml:space="preserve">Terminado o processo de registo em linha, os candidatos recebem uma mensagem eletrónica a confirmar o registo da candidatura. </w:t>
      </w:r>
      <w:r>
        <w:rPr>
          <w:rFonts w:ascii="Times New Roman" w:hAnsi="Times New Roman"/>
          <w:b/>
        </w:rPr>
        <w:t>Se o candidato não receber uma mensagem eletrónica de confirmação, tal significa que a candidatura não foi registada.</w:t>
      </w:r>
    </w:p>
    <w:p w14:paraId="58C18A09"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Os candidatos não podem acompanhar em linha a evolução da sua candidatura. A Comissão Europeia contactá-los-á diretamente para os informar da fase em que essa se encontra.</w:t>
      </w:r>
    </w:p>
    <w:p w14:paraId="13D95A95" w14:textId="501FE0CE" w:rsidR="001F08A9" w:rsidRPr="008649AA" w:rsidRDefault="00AF21B0" w:rsidP="003542EC">
      <w:pPr>
        <w:spacing w:after="240" w:line="240" w:lineRule="auto"/>
        <w:jc w:val="both"/>
        <w:rPr>
          <w:rFonts w:ascii="Times New Roman" w:hAnsi="Times New Roman" w:cs="Times New Roman"/>
        </w:rPr>
      </w:pPr>
      <w:r>
        <w:rPr>
          <w:rFonts w:ascii="Times New Roman" w:hAnsi="Times New Roman"/>
          <w:b/>
        </w:rPr>
        <w:t xml:space="preserve">Não são aceites candidaturas enviadas por correio eletrónico. </w:t>
      </w:r>
      <w:r>
        <w:rPr>
          <w:rFonts w:ascii="Times New Roman" w:hAnsi="Times New Roman"/>
        </w:rPr>
        <w:t>Para mais informações e/ou em caso de problemas técnicos, os candidatos devem enviar uma mensagem para:</w:t>
      </w:r>
      <w:r w:rsidR="00DA5E94">
        <w:rPr>
          <w:rFonts w:ascii="Times New Roman" w:hAnsi="Times New Roman"/>
        </w:rPr>
        <w:tab/>
      </w:r>
      <w:r>
        <w:rPr>
          <w:rFonts w:ascii="Times New Roman" w:hAnsi="Times New Roman"/>
        </w:rPr>
        <w:br/>
      </w:r>
      <w:hyperlink r:id="rId12" w:history="1">
        <w:r>
          <w:rPr>
            <w:rStyle w:val="Hyperlink"/>
            <w:rFonts w:ascii="Times New Roman" w:hAnsi="Times New Roman"/>
          </w:rPr>
          <w:t>HR-MANAGEMENT-ONLINE@ec.europa.eu</w:t>
        </w:r>
      </w:hyperlink>
    </w:p>
    <w:p w14:paraId="4E8FB494" w14:textId="4B4BF00D" w:rsidR="00AF21B0" w:rsidRPr="008649AA" w:rsidRDefault="00AF21B0" w:rsidP="00AF21B0">
      <w:pPr>
        <w:spacing w:after="240" w:line="240" w:lineRule="auto"/>
        <w:jc w:val="both"/>
        <w:rPr>
          <w:rFonts w:ascii="Times New Roman" w:hAnsi="Times New Roman" w:cs="Times New Roman"/>
        </w:rPr>
      </w:pPr>
      <w:r>
        <w:rPr>
          <w:rFonts w:ascii="Times New Roman" w:hAnsi="Times New Roman"/>
        </w:rPr>
        <w:t>Compete aos candidatos concluir o registo em linha no prazo previsto. Recomenda-se vivamente que não esperem pelos últimos dias para se candidatarem pois uma saturação do tráfego na Internet ou uma falha da ligação à rede pode interromper o registo em linha antes da conclusão, obrigando a repetir todo o processo. Terminado o prazo para o registo das candidaturas, deixa de ser possível introduzir dados. Não são aceites candidaturas registadas fora do prazo.</w:t>
      </w:r>
    </w:p>
    <w:p w14:paraId="1474BB68" w14:textId="77777777" w:rsidR="00717779" w:rsidRPr="008649AA" w:rsidRDefault="00717779" w:rsidP="003542EC">
      <w:pPr>
        <w:spacing w:after="240" w:line="240" w:lineRule="auto"/>
        <w:jc w:val="both"/>
        <w:rPr>
          <w:rFonts w:ascii="Times New Roman" w:hAnsi="Times New Roman" w:cs="Times New Roman"/>
        </w:rPr>
      </w:pPr>
    </w:p>
    <w:p w14:paraId="5D463DE0" w14:textId="19A9BB05" w:rsidR="00717779" w:rsidRPr="008649AA" w:rsidRDefault="001F08A9" w:rsidP="003542EC">
      <w:pPr>
        <w:spacing w:after="240" w:line="240" w:lineRule="auto"/>
        <w:jc w:val="both"/>
        <w:rPr>
          <w:rFonts w:ascii="Times New Roman" w:hAnsi="Times New Roman" w:cs="Times New Roman"/>
          <w:b/>
        </w:rPr>
      </w:pPr>
      <w:r>
        <w:rPr>
          <w:rFonts w:ascii="Times New Roman" w:hAnsi="Times New Roman"/>
          <w:b/>
        </w:rPr>
        <w:lastRenderedPageBreak/>
        <w:t>Prazo</w:t>
      </w:r>
    </w:p>
    <w:p w14:paraId="6AC0A3F2" w14:textId="3CE6F9F5"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O prazo para o registo das candidaturas é</w:t>
      </w:r>
      <w:r>
        <w:rPr>
          <w:rFonts w:ascii="Times New Roman" w:hAnsi="Times New Roman"/>
          <w:b/>
        </w:rPr>
        <w:t xml:space="preserve"> 10 de abril de 2026, às 12h00 (meio-dia), hora de Bruxelas</w:t>
      </w:r>
      <w:r>
        <w:rPr>
          <w:rFonts w:ascii="Times New Roman" w:hAnsi="Times New Roman"/>
        </w:rPr>
        <w:t>.</w:t>
      </w:r>
    </w:p>
    <w:sectPr w:rsidR="001F08A9" w:rsidRPr="008649AA">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0337A" w14:textId="77777777" w:rsidR="0049005C" w:rsidRDefault="0049005C" w:rsidP="00110276">
      <w:pPr>
        <w:spacing w:after="0" w:line="240" w:lineRule="auto"/>
      </w:pPr>
      <w:r>
        <w:separator/>
      </w:r>
    </w:p>
  </w:endnote>
  <w:endnote w:type="continuationSeparator" w:id="0">
    <w:p w14:paraId="5C4EA717" w14:textId="77777777" w:rsidR="0049005C" w:rsidRDefault="0049005C" w:rsidP="00110276">
      <w:pPr>
        <w:spacing w:after="0" w:line="240" w:lineRule="auto"/>
      </w:pPr>
      <w:r>
        <w:continuationSeparator/>
      </w:r>
    </w:p>
  </w:endnote>
  <w:endnote w:type="continuationNotice" w:id="1">
    <w:p w14:paraId="037B9AFD" w14:textId="77777777" w:rsidR="0049005C" w:rsidRDefault="004900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67596" w14:textId="77777777" w:rsidR="008649AA" w:rsidRDefault="008649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66988839"/>
      <w:docPartObj>
        <w:docPartGallery w:val="Page Numbers (Bottom of Page)"/>
        <w:docPartUnique/>
      </w:docPartObj>
    </w:sdtPr>
    <w:sdtEndPr>
      <w:rPr>
        <w:noProof/>
      </w:rPr>
    </w:sdtEndPr>
    <w:sdtContent>
      <w:p w14:paraId="3421BE27" w14:textId="08785B33" w:rsidR="00110276" w:rsidRPr="00FA7C3E" w:rsidRDefault="00397114" w:rsidP="008649AA">
        <w:pPr>
          <w:pStyle w:val="Footer"/>
          <w:jc w:val="center"/>
          <w:rPr>
            <w:rFonts w:ascii="Times New Roman" w:hAnsi="Times New Roman" w:cs="Times New Roman"/>
          </w:rPr>
        </w:pPr>
        <w:r w:rsidRPr="00FA7C3E">
          <w:rPr>
            <w:rFonts w:ascii="Times New Roman" w:hAnsi="Times New Roman" w:cs="Times New Roman"/>
          </w:rPr>
          <w:fldChar w:fldCharType="begin"/>
        </w:r>
        <w:r w:rsidRPr="00FA7C3E">
          <w:rPr>
            <w:rFonts w:ascii="Times New Roman" w:hAnsi="Times New Roman" w:cs="Times New Roman"/>
          </w:rPr>
          <w:instrText xml:space="preserve"> PAGE   \* MERGEFORMAT </w:instrText>
        </w:r>
        <w:r w:rsidRPr="00FA7C3E">
          <w:rPr>
            <w:rFonts w:ascii="Times New Roman" w:hAnsi="Times New Roman" w:cs="Times New Roman"/>
          </w:rPr>
          <w:fldChar w:fldCharType="separate"/>
        </w:r>
        <w:r w:rsidR="007A1D4C">
          <w:rPr>
            <w:rFonts w:ascii="Times New Roman" w:hAnsi="Times New Roman" w:cs="Times New Roman"/>
          </w:rPr>
          <w:t>4</w:t>
        </w:r>
        <w:r w:rsidRPr="00FA7C3E">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39161" w14:textId="77777777" w:rsidR="008649AA" w:rsidRDefault="008649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62765" w14:textId="77777777" w:rsidR="0049005C" w:rsidRDefault="0049005C" w:rsidP="00110276">
      <w:pPr>
        <w:spacing w:after="0" w:line="240" w:lineRule="auto"/>
      </w:pPr>
      <w:r>
        <w:separator/>
      </w:r>
    </w:p>
  </w:footnote>
  <w:footnote w:type="continuationSeparator" w:id="0">
    <w:p w14:paraId="00026D8F" w14:textId="77777777" w:rsidR="0049005C" w:rsidRDefault="0049005C" w:rsidP="00110276">
      <w:pPr>
        <w:spacing w:after="0" w:line="240" w:lineRule="auto"/>
      </w:pPr>
      <w:r>
        <w:continuationSeparator/>
      </w:r>
    </w:p>
  </w:footnote>
  <w:footnote w:type="continuationNotice" w:id="1">
    <w:p w14:paraId="27E08CBA" w14:textId="77777777" w:rsidR="0049005C" w:rsidRDefault="0049005C">
      <w:pPr>
        <w:spacing w:after="0" w:line="240" w:lineRule="auto"/>
      </w:pPr>
    </w:p>
  </w:footnote>
  <w:footnote w:id="2">
    <w:p w14:paraId="0E75C3F9" w14:textId="709F6D55" w:rsidR="00E62B49" w:rsidRPr="0070492C" w:rsidRDefault="00E62B49" w:rsidP="00F96C29">
      <w:pPr>
        <w:pStyle w:val="FootnoteText"/>
        <w:ind w:left="284" w:hanging="284"/>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rPr>
          <w:rFonts w:ascii="Times New Roman" w:hAnsi="Times New Roman"/>
          <w:sz w:val="16"/>
        </w:rPr>
        <w:tab/>
        <w:t>Só é tida em conta a experiência profissional que decorra de verdadeiras relações de trabalho, definidas como implicando um trabalho efetivo, genuíno e remunerado, como trabalhador por conta de outrem (qualquer que seja o tipo de contrato) ou como prestador de serviços. As atividades profissionais exercidas a tempo parcial são calculadas proporcionalmente, tendo por base a percentagem certificada de horas de trabalho em relação a um tempo inteiro. São contados os períodos de licença de maternidade, paternidade e adoção concedidas no âmbito de um contrato de trabalho. Os doutoramentos obtidos contam como experiência profissional máxima de três anos, mesmo que não tenham sido remunerados. Cada período de tempo só conta uma vez.</w:t>
      </w:r>
    </w:p>
  </w:footnote>
  <w:footnote w:id="3">
    <w:p w14:paraId="3CC17E68" w14:textId="2BDEC5EB" w:rsidR="00A12B13" w:rsidRPr="00F96C29" w:rsidRDefault="00A12B13" w:rsidP="00F96C29">
      <w:pPr>
        <w:pStyle w:val="pf0"/>
        <w:ind w:left="240" w:hanging="240"/>
        <w:jc w:val="both"/>
      </w:pPr>
      <w:r w:rsidRPr="00F96C29">
        <w:rPr>
          <w:rStyle w:val="FootnoteReference"/>
          <w:rFonts w:eastAsiaTheme="minorHAnsi"/>
          <w:sz w:val="16"/>
          <w:szCs w:val="16"/>
          <w:lang w:eastAsia="en-US"/>
        </w:rPr>
        <w:footnoteRef/>
      </w:r>
      <w:r w:rsidR="00F96C29">
        <w:t xml:space="preserve"> </w:t>
      </w:r>
      <w:r w:rsidR="00F96C29">
        <w:tab/>
      </w:r>
      <w:r w:rsidRPr="00F96C29">
        <w:rPr>
          <w:sz w:val="16"/>
        </w:rPr>
        <w:t>Os candidatos devem indicar claramente no currículo, em relação a todos os anos em que adquiriram experiência de assessoria, os elementos seguintes:</w:t>
      </w:r>
      <w:r>
        <w:rPr>
          <w:sz w:val="16"/>
        </w:rPr>
        <w:t xml:space="preserve"> 1) a designação e a natureza dos cargos exercidos; 2) o domínio exato e o nível do cargo exercido na organização (número de graus hierárquicos superiores e inferiores); 3) a estrutura hierárquica de cada cargo exercido.</w:t>
      </w:r>
    </w:p>
  </w:footnote>
  <w:footnote w:id="4">
    <w:p w14:paraId="3118960B" w14:textId="115C1BB4" w:rsidR="008649AA" w:rsidRPr="00F96C29" w:rsidRDefault="003542EC" w:rsidP="00FA7C3E">
      <w:pPr>
        <w:pStyle w:val="FootnoteText"/>
        <w:ind w:left="284" w:hanging="284"/>
        <w:jc w:val="both"/>
        <w:rPr>
          <w:rStyle w:val="Hyperlink"/>
        </w:rPr>
      </w:pPr>
      <w:r>
        <w:rPr>
          <w:rStyle w:val="FootnoteReference"/>
          <w:rFonts w:ascii="Times New Roman" w:hAnsi="Times New Roman" w:cs="Times New Roman"/>
          <w:sz w:val="16"/>
          <w:szCs w:val="16"/>
        </w:rPr>
        <w:footnoteRef/>
      </w:r>
      <w:r>
        <w:rPr>
          <w:rFonts w:ascii="Times New Roman" w:hAnsi="Times New Roman"/>
          <w:sz w:val="16"/>
        </w:rPr>
        <w:t xml:space="preserve"> </w:t>
      </w:r>
      <w:r>
        <w:rPr>
          <w:rFonts w:ascii="Times New Roman" w:hAnsi="Times New Roman"/>
          <w:sz w:val="16"/>
        </w:rPr>
        <w:tab/>
      </w:r>
      <w:hyperlink r:id="rId1" w:history="1">
        <w:r w:rsidRPr="00F96C29">
          <w:rPr>
            <w:rStyle w:val="Hyperlink"/>
            <w:rFonts w:ascii="Times New Roman" w:hAnsi="Times New Roman"/>
            <w:sz w:val="16"/>
          </w:rPr>
          <w:t>https://eur-lex.europa.eu/legal-content/PT/TXT/PDF/?uri=CELEX:01958R0001-20130701&amp;qid=1408533709461&amp;from=PT</w:t>
        </w:r>
      </w:hyperlink>
      <w:hyperlink r:id="rId2" w:history="1">
        <w:r>
          <w:rPr>
            <w:rStyle w:val="Hyperlink"/>
            <w:rFonts w:ascii="Times New Roman" w:hAnsi="Times New Roman"/>
            <w:sz w:val="16"/>
          </w:rPr>
          <w:t>https://eur-lex.europa.eu/legal-content/PT/TXT/?uri=CELEX%3A01958R0001-20130701</w:t>
        </w:r>
      </w:hyperlink>
    </w:p>
  </w:footnote>
  <w:footnote w:id="5">
    <w:p w14:paraId="32AC9A16" w14:textId="159F7C9E" w:rsidR="000E34E6" w:rsidRPr="0070492C" w:rsidRDefault="003542EC" w:rsidP="000E34E6">
      <w:pPr>
        <w:pStyle w:val="FootnoteText"/>
        <w:ind w:left="284" w:hanging="284"/>
        <w:jc w:val="both"/>
        <w:rPr>
          <w:rFonts w:ascii="Times New Roman" w:hAnsi="Times New Roman" w:cs="Times New Roman"/>
          <w:color w:val="0000FF" w:themeColor="hyperlink"/>
          <w:sz w:val="16"/>
          <w:szCs w:val="16"/>
          <w:u w:val="single"/>
        </w:rPr>
      </w:pPr>
      <w:r>
        <w:rPr>
          <w:rStyle w:val="FootnoteReference"/>
          <w:rFonts w:ascii="Times New Roman" w:hAnsi="Times New Roman" w:cs="Times New Roman"/>
          <w:sz w:val="16"/>
          <w:szCs w:val="16"/>
        </w:rPr>
        <w:footnoteRef/>
      </w:r>
      <w:r>
        <w:rPr>
          <w:rFonts w:ascii="Times New Roman" w:hAnsi="Times New Roman"/>
          <w:sz w:val="16"/>
        </w:rPr>
        <w:t xml:space="preserve"> </w:t>
      </w:r>
      <w:r>
        <w:rPr>
          <w:rFonts w:ascii="Times New Roman" w:hAnsi="Times New Roman"/>
          <w:sz w:val="16"/>
        </w:rPr>
        <w:tab/>
      </w:r>
      <w:hyperlink r:id="rId3" w:history="1">
        <w:r>
          <w:rPr>
            <w:rStyle w:val="Hyperlink"/>
            <w:rFonts w:ascii="Times New Roman" w:hAnsi="Times New Roman"/>
            <w:sz w:val="16"/>
          </w:rPr>
          <w:t>https://eur-lex.europa.eu/legal-content/PT/TXT/?uri=CELEX%3A01962R0031-20140701</w:t>
        </w:r>
      </w:hyperlink>
    </w:p>
  </w:footnote>
  <w:footnote w:id="6">
    <w:p w14:paraId="49D07674" w14:textId="77777777" w:rsidR="00512EDC" w:rsidRDefault="009D3D62" w:rsidP="00512EDC">
      <w:pPr>
        <w:pStyle w:val="FootnoteText"/>
        <w:ind w:left="284" w:hanging="284"/>
        <w:jc w:val="both"/>
      </w:pPr>
      <w:r>
        <w:rPr>
          <w:rStyle w:val="FootnoteReference"/>
          <w:rFonts w:ascii="Times New Roman" w:hAnsi="Times New Roman" w:cs="Times New Roman"/>
          <w:sz w:val="16"/>
          <w:szCs w:val="16"/>
        </w:rPr>
        <w:footnoteRef/>
      </w:r>
      <w:r>
        <w:rPr>
          <w:rFonts w:ascii="Times New Roman" w:hAnsi="Times New Roman"/>
          <w:sz w:val="16"/>
        </w:rPr>
        <w:t xml:space="preserve"> </w:t>
      </w:r>
      <w:r>
        <w:rPr>
          <w:rStyle w:val="Hyperlink"/>
          <w:rFonts w:ascii="Times New Roman" w:hAnsi="Times New Roman"/>
          <w:sz w:val="16"/>
          <w:u w:val="none"/>
        </w:rPr>
        <w:tab/>
      </w:r>
      <w:hyperlink r:id="rId4">
        <w:r>
          <w:rPr>
            <w:rStyle w:val="Hyperlink"/>
            <w:rFonts w:ascii="Calibri" w:hAnsi="Calibri"/>
            <w:color w:val="0000FF"/>
            <w:sz w:val="16"/>
          </w:rPr>
          <w:t>https://commission.europa.eu/publications/documents-senior-management-selection-procedures_en</w:t>
        </w:r>
      </w:hyperlink>
      <w:r>
        <w:rPr>
          <w:rFonts w:ascii="Calibri" w:hAnsi="Calibri"/>
          <w:sz w:val="16"/>
        </w:rPr>
        <w:t xml:space="preserve"> (existe apenas em inglês).</w:t>
      </w:r>
    </w:p>
    <w:p w14:paraId="4C919712" w14:textId="5D5D12A3" w:rsidR="009D3D62" w:rsidRDefault="009D3D62" w:rsidP="009D3D62">
      <w:pPr>
        <w:pStyle w:val="FootnoteText"/>
        <w:ind w:left="284" w:hanging="284"/>
        <w:jc w:val="both"/>
      </w:pPr>
    </w:p>
  </w:footnote>
  <w:footnote w:id="7">
    <w:p w14:paraId="48531ABE" w14:textId="5649D1B0" w:rsidR="00AF21B0" w:rsidRPr="004B637B" w:rsidRDefault="00AF21B0" w:rsidP="00DA5E94">
      <w:pPr>
        <w:pStyle w:val="FootnoteText"/>
        <w:ind w:left="284" w:hanging="284"/>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rPr>
          <w:rFonts w:ascii="Times New Roman" w:hAnsi="Times New Roman"/>
          <w:sz w:val="16"/>
        </w:rPr>
        <w:tab/>
        <w:t xml:space="preserve">Regulamento (UE) 2018/1725 do Parlamento Europeu e do Conselho, de 23 de outubro de 2018, relativo à proteção das pessoas singulares no que diz respeito ao tratamento de dados pessoais pelas instituições e pelos órgãos e organismos da União e à livre circulação desses dados, e que revoga o Regulamento (CE) </w:t>
      </w:r>
      <w:r w:rsidR="00052B8F">
        <w:rPr>
          <w:rFonts w:ascii="Times New Roman" w:hAnsi="Times New Roman"/>
          <w:sz w:val="16"/>
        </w:rPr>
        <w:t>n.º</w:t>
      </w:r>
      <w:r>
        <w:rPr>
          <w:rFonts w:ascii="Times New Roman" w:hAnsi="Times New Roman"/>
          <w:sz w:val="16"/>
        </w:rPr>
        <w:t xml:space="preserve"> 45/2001 e a Decisão </w:t>
      </w:r>
      <w:r w:rsidR="00052B8F">
        <w:rPr>
          <w:rFonts w:ascii="Times New Roman" w:hAnsi="Times New Roman"/>
          <w:sz w:val="16"/>
        </w:rPr>
        <w:t>n.º</w:t>
      </w:r>
      <w:r>
        <w:rPr>
          <w:rFonts w:ascii="Times New Roman" w:hAnsi="Times New Roman"/>
          <w:sz w:val="16"/>
        </w:rPr>
        <w:t xml:space="preserve"> 1247/2002/CE (JO L 295 de 21.11.2018, p. 39).</w:t>
      </w:r>
    </w:p>
  </w:footnote>
  <w:footnote w:id="8">
    <w:p w14:paraId="24BBB1E7" w14:textId="1F787686" w:rsidR="00EC7181" w:rsidRPr="00EC7181" w:rsidRDefault="00EC7181" w:rsidP="00DA5E94">
      <w:pPr>
        <w:pStyle w:val="FootnoteText"/>
        <w:ind w:left="284" w:hanging="284"/>
        <w:jc w:val="both"/>
        <w:rPr>
          <w:rFonts w:ascii="Arial" w:hAnsi="Arial" w:cs="Arial"/>
          <w:sz w:val="16"/>
        </w:rPr>
      </w:pPr>
      <w:r>
        <w:rPr>
          <w:rStyle w:val="FootnoteReference"/>
          <w:rFonts w:ascii="Times New Roman" w:hAnsi="Times New Roman" w:cs="Times New Roman"/>
          <w:sz w:val="18"/>
          <w:szCs w:val="18"/>
        </w:rPr>
        <w:footnoteRef/>
      </w:r>
      <w:r>
        <w:rPr>
          <w:rFonts w:ascii="Times New Roman" w:hAnsi="Times New Roman"/>
          <w:sz w:val="18"/>
        </w:rPr>
        <w:tab/>
        <w:t xml:space="preserve">Para informações sobre a elaboração de um CV Europass em linha, consultar: </w:t>
      </w:r>
      <w:hyperlink r:id="rId5" w:history="1">
        <w:r>
          <w:rPr>
            <w:rStyle w:val="Hyperlink"/>
            <w:rFonts w:ascii="Times New Roman" w:hAnsi="Times New Roman"/>
            <w:sz w:val="18"/>
          </w:rPr>
          <w:t>https://europa.eu/europass/pt/create-europass-cv</w:t>
        </w:r>
      </w:hyperlink>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DFCA2" w14:textId="77777777" w:rsidR="008649AA" w:rsidRDefault="008649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DAF97" w14:textId="77777777" w:rsidR="008649AA" w:rsidRPr="00791B6C" w:rsidRDefault="008649AA" w:rsidP="00791B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25500" w14:textId="77777777" w:rsidR="008649AA" w:rsidRDefault="008649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855DC"/>
    <w:multiLevelType w:val="hybridMultilevel"/>
    <w:tmpl w:val="3438A318"/>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1B787412"/>
    <w:multiLevelType w:val="hybridMultilevel"/>
    <w:tmpl w:val="3C7CC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82D3457"/>
    <w:multiLevelType w:val="hybridMultilevel"/>
    <w:tmpl w:val="329A9D04"/>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54C8440D"/>
    <w:multiLevelType w:val="hybridMultilevel"/>
    <w:tmpl w:val="C8E0C05C"/>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6E1C76AA"/>
    <w:multiLevelType w:val="hybridMultilevel"/>
    <w:tmpl w:val="42E83662"/>
    <w:lvl w:ilvl="0" w:tplc="70B2C3B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90272120">
    <w:abstractNumId w:val="1"/>
  </w:num>
  <w:num w:numId="2" w16cid:durableId="1526821776">
    <w:abstractNumId w:val="4"/>
  </w:num>
  <w:num w:numId="3" w16cid:durableId="826435464">
    <w:abstractNumId w:val="0"/>
  </w:num>
  <w:num w:numId="4" w16cid:durableId="499465882">
    <w:abstractNumId w:val="2"/>
  </w:num>
  <w:num w:numId="5" w16cid:durableId="2809190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1F08A9"/>
    <w:rsid w:val="00015138"/>
    <w:rsid w:val="000217A2"/>
    <w:rsid w:val="00022B52"/>
    <w:rsid w:val="000300B2"/>
    <w:rsid w:val="00036471"/>
    <w:rsid w:val="00052B8F"/>
    <w:rsid w:val="0005385F"/>
    <w:rsid w:val="00053F39"/>
    <w:rsid w:val="00053F88"/>
    <w:rsid w:val="000616AE"/>
    <w:rsid w:val="0006221C"/>
    <w:rsid w:val="00066A55"/>
    <w:rsid w:val="0008087C"/>
    <w:rsid w:val="00081B31"/>
    <w:rsid w:val="00087865"/>
    <w:rsid w:val="00090FF8"/>
    <w:rsid w:val="000942A9"/>
    <w:rsid w:val="000A0F90"/>
    <w:rsid w:val="000A2AC7"/>
    <w:rsid w:val="000A50F2"/>
    <w:rsid w:val="000B0F5C"/>
    <w:rsid w:val="000B11FF"/>
    <w:rsid w:val="000B3003"/>
    <w:rsid w:val="000C68F8"/>
    <w:rsid w:val="000E0AD2"/>
    <w:rsid w:val="000E34E6"/>
    <w:rsid w:val="000F067E"/>
    <w:rsid w:val="00110276"/>
    <w:rsid w:val="00110B02"/>
    <w:rsid w:val="00110E1A"/>
    <w:rsid w:val="00137B4B"/>
    <w:rsid w:val="00152AD6"/>
    <w:rsid w:val="00160239"/>
    <w:rsid w:val="00165B03"/>
    <w:rsid w:val="00166DB6"/>
    <w:rsid w:val="0017173B"/>
    <w:rsid w:val="001850C7"/>
    <w:rsid w:val="001C1F92"/>
    <w:rsid w:val="001C51C3"/>
    <w:rsid w:val="001D65F1"/>
    <w:rsid w:val="001E60EC"/>
    <w:rsid w:val="001E7033"/>
    <w:rsid w:val="001F08A9"/>
    <w:rsid w:val="001F0D85"/>
    <w:rsid w:val="001F6033"/>
    <w:rsid w:val="00202605"/>
    <w:rsid w:val="00207183"/>
    <w:rsid w:val="002136B6"/>
    <w:rsid w:val="002158B3"/>
    <w:rsid w:val="00223DFE"/>
    <w:rsid w:val="00225717"/>
    <w:rsid w:val="002549D3"/>
    <w:rsid w:val="002639DA"/>
    <w:rsid w:val="002951C3"/>
    <w:rsid w:val="002A4798"/>
    <w:rsid w:val="002B4A17"/>
    <w:rsid w:val="002D4BD2"/>
    <w:rsid w:val="002D555F"/>
    <w:rsid w:val="002F0575"/>
    <w:rsid w:val="002F33A6"/>
    <w:rsid w:val="00304F6A"/>
    <w:rsid w:val="00333364"/>
    <w:rsid w:val="00333D88"/>
    <w:rsid w:val="00335932"/>
    <w:rsid w:val="00337A3F"/>
    <w:rsid w:val="003542EC"/>
    <w:rsid w:val="00364BC9"/>
    <w:rsid w:val="00373D30"/>
    <w:rsid w:val="0038141A"/>
    <w:rsid w:val="00382EB8"/>
    <w:rsid w:val="00383276"/>
    <w:rsid w:val="00392069"/>
    <w:rsid w:val="00392C54"/>
    <w:rsid w:val="00397114"/>
    <w:rsid w:val="003A663B"/>
    <w:rsid w:val="003A73FE"/>
    <w:rsid w:val="003C3F76"/>
    <w:rsid w:val="003C4E2A"/>
    <w:rsid w:val="003C52B5"/>
    <w:rsid w:val="003C53E5"/>
    <w:rsid w:val="003C746D"/>
    <w:rsid w:val="003D77D9"/>
    <w:rsid w:val="003E0FBA"/>
    <w:rsid w:val="003E6769"/>
    <w:rsid w:val="003F6148"/>
    <w:rsid w:val="0040258C"/>
    <w:rsid w:val="004057A1"/>
    <w:rsid w:val="004058D7"/>
    <w:rsid w:val="00411546"/>
    <w:rsid w:val="00420DBB"/>
    <w:rsid w:val="00444D9B"/>
    <w:rsid w:val="00452D92"/>
    <w:rsid w:val="004548BC"/>
    <w:rsid w:val="004560FF"/>
    <w:rsid w:val="004741CB"/>
    <w:rsid w:val="00474471"/>
    <w:rsid w:val="00486B94"/>
    <w:rsid w:val="0049005C"/>
    <w:rsid w:val="004A0814"/>
    <w:rsid w:val="004A0A1A"/>
    <w:rsid w:val="004B7570"/>
    <w:rsid w:val="004D0A7E"/>
    <w:rsid w:val="004D4745"/>
    <w:rsid w:val="004E15E3"/>
    <w:rsid w:val="00500872"/>
    <w:rsid w:val="0050511F"/>
    <w:rsid w:val="00512EDC"/>
    <w:rsid w:val="00516AD8"/>
    <w:rsid w:val="0052441F"/>
    <w:rsid w:val="0053286A"/>
    <w:rsid w:val="00533A8D"/>
    <w:rsid w:val="005345AC"/>
    <w:rsid w:val="00543B01"/>
    <w:rsid w:val="00544F8A"/>
    <w:rsid w:val="005532AE"/>
    <w:rsid w:val="00580CED"/>
    <w:rsid w:val="0058143F"/>
    <w:rsid w:val="00584A6F"/>
    <w:rsid w:val="0059062F"/>
    <w:rsid w:val="00590E8D"/>
    <w:rsid w:val="005927E6"/>
    <w:rsid w:val="00594EC6"/>
    <w:rsid w:val="005A1B4F"/>
    <w:rsid w:val="005B38A5"/>
    <w:rsid w:val="005C6A7D"/>
    <w:rsid w:val="005E03D7"/>
    <w:rsid w:val="005E2250"/>
    <w:rsid w:val="005F1749"/>
    <w:rsid w:val="005F1F8F"/>
    <w:rsid w:val="006009C2"/>
    <w:rsid w:val="0061609B"/>
    <w:rsid w:val="00623094"/>
    <w:rsid w:val="006313D5"/>
    <w:rsid w:val="006337EB"/>
    <w:rsid w:val="00634CA0"/>
    <w:rsid w:val="00635356"/>
    <w:rsid w:val="00637D6E"/>
    <w:rsid w:val="00645389"/>
    <w:rsid w:val="00656536"/>
    <w:rsid w:val="00656A3D"/>
    <w:rsid w:val="006656A3"/>
    <w:rsid w:val="0066676D"/>
    <w:rsid w:val="00671290"/>
    <w:rsid w:val="00672239"/>
    <w:rsid w:val="00684C88"/>
    <w:rsid w:val="006A0D27"/>
    <w:rsid w:val="006B13FD"/>
    <w:rsid w:val="006B1671"/>
    <w:rsid w:val="006C5E29"/>
    <w:rsid w:val="006D029B"/>
    <w:rsid w:val="006D50E6"/>
    <w:rsid w:val="006D77E7"/>
    <w:rsid w:val="006F03AE"/>
    <w:rsid w:val="0070371D"/>
    <w:rsid w:val="0070492C"/>
    <w:rsid w:val="00707EE5"/>
    <w:rsid w:val="00715087"/>
    <w:rsid w:val="00715AEB"/>
    <w:rsid w:val="0071692E"/>
    <w:rsid w:val="00716E5C"/>
    <w:rsid w:val="00717779"/>
    <w:rsid w:val="00721EA7"/>
    <w:rsid w:val="00724515"/>
    <w:rsid w:val="00765C90"/>
    <w:rsid w:val="007841C3"/>
    <w:rsid w:val="007914B1"/>
    <w:rsid w:val="00791B6C"/>
    <w:rsid w:val="0079689A"/>
    <w:rsid w:val="00796B44"/>
    <w:rsid w:val="007A047F"/>
    <w:rsid w:val="007A1D4C"/>
    <w:rsid w:val="007C4290"/>
    <w:rsid w:val="007C5095"/>
    <w:rsid w:val="007C6679"/>
    <w:rsid w:val="007E1A6A"/>
    <w:rsid w:val="007E1AC2"/>
    <w:rsid w:val="007E7FE2"/>
    <w:rsid w:val="007F1F11"/>
    <w:rsid w:val="007F231B"/>
    <w:rsid w:val="007F7D8B"/>
    <w:rsid w:val="00800764"/>
    <w:rsid w:val="00805BB3"/>
    <w:rsid w:val="0081601E"/>
    <w:rsid w:val="00833159"/>
    <w:rsid w:val="00840D2D"/>
    <w:rsid w:val="008452B6"/>
    <w:rsid w:val="00863686"/>
    <w:rsid w:val="008649AA"/>
    <w:rsid w:val="008746AD"/>
    <w:rsid w:val="00875B2C"/>
    <w:rsid w:val="00875BB5"/>
    <w:rsid w:val="00887522"/>
    <w:rsid w:val="0089341E"/>
    <w:rsid w:val="0089790D"/>
    <w:rsid w:val="008A1E62"/>
    <w:rsid w:val="008A2556"/>
    <w:rsid w:val="008A2F08"/>
    <w:rsid w:val="008B1DAC"/>
    <w:rsid w:val="008C2C91"/>
    <w:rsid w:val="008C7C76"/>
    <w:rsid w:val="008F03C9"/>
    <w:rsid w:val="00910175"/>
    <w:rsid w:val="00920841"/>
    <w:rsid w:val="009241F8"/>
    <w:rsid w:val="0093789F"/>
    <w:rsid w:val="00944C37"/>
    <w:rsid w:val="009542F2"/>
    <w:rsid w:val="00956520"/>
    <w:rsid w:val="00980BEF"/>
    <w:rsid w:val="0098431F"/>
    <w:rsid w:val="009923ED"/>
    <w:rsid w:val="009926E1"/>
    <w:rsid w:val="009A285E"/>
    <w:rsid w:val="009C1DF7"/>
    <w:rsid w:val="009C53E3"/>
    <w:rsid w:val="009D311C"/>
    <w:rsid w:val="009D3D62"/>
    <w:rsid w:val="009E233A"/>
    <w:rsid w:val="009E4AA2"/>
    <w:rsid w:val="00A06542"/>
    <w:rsid w:val="00A12B13"/>
    <w:rsid w:val="00A20253"/>
    <w:rsid w:val="00A25EF5"/>
    <w:rsid w:val="00A32C85"/>
    <w:rsid w:val="00A43620"/>
    <w:rsid w:val="00A46634"/>
    <w:rsid w:val="00A6608F"/>
    <w:rsid w:val="00A6701B"/>
    <w:rsid w:val="00A750F9"/>
    <w:rsid w:val="00A772AD"/>
    <w:rsid w:val="00A804DA"/>
    <w:rsid w:val="00A807CD"/>
    <w:rsid w:val="00AA6D65"/>
    <w:rsid w:val="00AD0B51"/>
    <w:rsid w:val="00AD136F"/>
    <w:rsid w:val="00AF21B0"/>
    <w:rsid w:val="00AF69F7"/>
    <w:rsid w:val="00B02089"/>
    <w:rsid w:val="00B16F5D"/>
    <w:rsid w:val="00B34AEC"/>
    <w:rsid w:val="00B47C44"/>
    <w:rsid w:val="00B50CD5"/>
    <w:rsid w:val="00B54695"/>
    <w:rsid w:val="00B60BA3"/>
    <w:rsid w:val="00B66F8E"/>
    <w:rsid w:val="00B84D68"/>
    <w:rsid w:val="00B86141"/>
    <w:rsid w:val="00B939BE"/>
    <w:rsid w:val="00BA22B2"/>
    <w:rsid w:val="00BA2FD6"/>
    <w:rsid w:val="00BC0135"/>
    <w:rsid w:val="00BD2190"/>
    <w:rsid w:val="00BD708C"/>
    <w:rsid w:val="00BE43E2"/>
    <w:rsid w:val="00BE6643"/>
    <w:rsid w:val="00BE71CE"/>
    <w:rsid w:val="00C006DF"/>
    <w:rsid w:val="00C01233"/>
    <w:rsid w:val="00C0456C"/>
    <w:rsid w:val="00C05241"/>
    <w:rsid w:val="00C05262"/>
    <w:rsid w:val="00C07B5A"/>
    <w:rsid w:val="00C14508"/>
    <w:rsid w:val="00C35403"/>
    <w:rsid w:val="00C5267D"/>
    <w:rsid w:val="00C812E8"/>
    <w:rsid w:val="00C8633F"/>
    <w:rsid w:val="00C93D13"/>
    <w:rsid w:val="00C93F1A"/>
    <w:rsid w:val="00CB4D0D"/>
    <w:rsid w:val="00CD0EAE"/>
    <w:rsid w:val="00CD4A50"/>
    <w:rsid w:val="00CD7E6A"/>
    <w:rsid w:val="00CE642F"/>
    <w:rsid w:val="00CF3924"/>
    <w:rsid w:val="00D17155"/>
    <w:rsid w:val="00D22C3B"/>
    <w:rsid w:val="00D26E55"/>
    <w:rsid w:val="00D3685D"/>
    <w:rsid w:val="00D528A2"/>
    <w:rsid w:val="00D64A09"/>
    <w:rsid w:val="00D64A62"/>
    <w:rsid w:val="00D67CC1"/>
    <w:rsid w:val="00D947DF"/>
    <w:rsid w:val="00D94F93"/>
    <w:rsid w:val="00D95A76"/>
    <w:rsid w:val="00DA5E94"/>
    <w:rsid w:val="00DB7D3C"/>
    <w:rsid w:val="00DC04EE"/>
    <w:rsid w:val="00DC20EC"/>
    <w:rsid w:val="00DC36A2"/>
    <w:rsid w:val="00DC4454"/>
    <w:rsid w:val="00DE4051"/>
    <w:rsid w:val="00E018DF"/>
    <w:rsid w:val="00E029FC"/>
    <w:rsid w:val="00E0356F"/>
    <w:rsid w:val="00E17025"/>
    <w:rsid w:val="00E202A9"/>
    <w:rsid w:val="00E25088"/>
    <w:rsid w:val="00E27C98"/>
    <w:rsid w:val="00E34962"/>
    <w:rsid w:val="00E37B0D"/>
    <w:rsid w:val="00E403B4"/>
    <w:rsid w:val="00E438F6"/>
    <w:rsid w:val="00E53957"/>
    <w:rsid w:val="00E55604"/>
    <w:rsid w:val="00E56B74"/>
    <w:rsid w:val="00E62B49"/>
    <w:rsid w:val="00E632D6"/>
    <w:rsid w:val="00E70197"/>
    <w:rsid w:val="00E73E74"/>
    <w:rsid w:val="00E84962"/>
    <w:rsid w:val="00E928AF"/>
    <w:rsid w:val="00EA0A29"/>
    <w:rsid w:val="00EB3E51"/>
    <w:rsid w:val="00EB4544"/>
    <w:rsid w:val="00EC409A"/>
    <w:rsid w:val="00EC5C79"/>
    <w:rsid w:val="00EC7181"/>
    <w:rsid w:val="00ED12ED"/>
    <w:rsid w:val="00ED38EF"/>
    <w:rsid w:val="00EF0B03"/>
    <w:rsid w:val="00EF44E3"/>
    <w:rsid w:val="00EF6CA7"/>
    <w:rsid w:val="00F06448"/>
    <w:rsid w:val="00F06D5E"/>
    <w:rsid w:val="00F112FF"/>
    <w:rsid w:val="00F14E9D"/>
    <w:rsid w:val="00F15DD1"/>
    <w:rsid w:val="00F25909"/>
    <w:rsid w:val="00F313DA"/>
    <w:rsid w:val="00F3793C"/>
    <w:rsid w:val="00F46720"/>
    <w:rsid w:val="00F50BCB"/>
    <w:rsid w:val="00F73B84"/>
    <w:rsid w:val="00F74422"/>
    <w:rsid w:val="00F75D74"/>
    <w:rsid w:val="00F87CE8"/>
    <w:rsid w:val="00F96C29"/>
    <w:rsid w:val="00F9754C"/>
    <w:rsid w:val="00FA7C3E"/>
    <w:rsid w:val="00FB480B"/>
    <w:rsid w:val="00FC05AC"/>
    <w:rsid w:val="00FC2322"/>
    <w:rsid w:val="00FD231F"/>
    <w:rsid w:val="00FD79B3"/>
    <w:rsid w:val="00FE403C"/>
    <w:rsid w:val="00FF0CB8"/>
    <w:rsid w:val="07209309"/>
    <w:rsid w:val="0AD65D6C"/>
    <w:rsid w:val="0FA7AE60"/>
    <w:rsid w:val="10748841"/>
    <w:rsid w:val="112CF90A"/>
    <w:rsid w:val="19AFFE42"/>
    <w:rsid w:val="1A72BD23"/>
    <w:rsid w:val="27785E20"/>
    <w:rsid w:val="2A644769"/>
    <w:rsid w:val="35CB8E77"/>
    <w:rsid w:val="3B817282"/>
    <w:rsid w:val="3D120AC9"/>
    <w:rsid w:val="3E465A7B"/>
    <w:rsid w:val="437EE1BD"/>
    <w:rsid w:val="48293947"/>
    <w:rsid w:val="49F0D5E5"/>
    <w:rsid w:val="56D94482"/>
    <w:rsid w:val="56F4AC42"/>
    <w:rsid w:val="57A6567A"/>
    <w:rsid w:val="5927D403"/>
    <w:rsid w:val="62316AE1"/>
    <w:rsid w:val="667656FB"/>
    <w:rsid w:val="69DB8CF8"/>
    <w:rsid w:val="6A777BD3"/>
    <w:rsid w:val="6AA040A0"/>
    <w:rsid w:val="6B5B027E"/>
    <w:rsid w:val="6D2FC9DC"/>
    <w:rsid w:val="6F705860"/>
    <w:rsid w:val="76481B4B"/>
    <w:rsid w:val="7AB14B6F"/>
    <w:rsid w:val="7EA3CD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1FA"/>
  <w15:docId w15:val="{FEBC8B3C-6E66-4CF9-8029-C85388C68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F08A9"/>
    <w:rPr>
      <w:sz w:val="16"/>
      <w:szCs w:val="16"/>
    </w:rPr>
  </w:style>
  <w:style w:type="paragraph" w:styleId="CommentText">
    <w:name w:val="annotation text"/>
    <w:basedOn w:val="Normal"/>
    <w:link w:val="CommentTextChar"/>
    <w:uiPriority w:val="99"/>
    <w:unhideWhenUsed/>
    <w:rsid w:val="001F08A9"/>
    <w:pPr>
      <w:spacing w:line="240" w:lineRule="auto"/>
    </w:pPr>
    <w:rPr>
      <w:sz w:val="20"/>
      <w:szCs w:val="20"/>
    </w:rPr>
  </w:style>
  <w:style w:type="character" w:customStyle="1" w:styleId="CommentTextChar">
    <w:name w:val="Comment Text Char"/>
    <w:basedOn w:val="DefaultParagraphFont"/>
    <w:link w:val="CommentText"/>
    <w:uiPriority w:val="99"/>
    <w:rsid w:val="001F08A9"/>
    <w:rPr>
      <w:sz w:val="20"/>
      <w:szCs w:val="20"/>
    </w:rPr>
  </w:style>
  <w:style w:type="paragraph" w:styleId="CommentSubject">
    <w:name w:val="annotation subject"/>
    <w:basedOn w:val="CommentText"/>
    <w:next w:val="CommentText"/>
    <w:link w:val="CommentSubjectChar"/>
    <w:uiPriority w:val="99"/>
    <w:semiHidden/>
    <w:unhideWhenUsed/>
    <w:rsid w:val="001F08A9"/>
    <w:rPr>
      <w:b/>
      <w:bCs/>
    </w:rPr>
  </w:style>
  <w:style w:type="character" w:customStyle="1" w:styleId="CommentSubjectChar">
    <w:name w:val="Comment Subject Char"/>
    <w:basedOn w:val="CommentTextChar"/>
    <w:link w:val="CommentSubject"/>
    <w:uiPriority w:val="99"/>
    <w:semiHidden/>
    <w:rsid w:val="001F08A9"/>
    <w:rPr>
      <w:b/>
      <w:bCs/>
      <w:sz w:val="20"/>
      <w:szCs w:val="20"/>
    </w:rPr>
  </w:style>
  <w:style w:type="paragraph" w:styleId="BalloonText">
    <w:name w:val="Balloon Text"/>
    <w:basedOn w:val="Normal"/>
    <w:link w:val="BalloonTextChar"/>
    <w:uiPriority w:val="99"/>
    <w:semiHidden/>
    <w:unhideWhenUsed/>
    <w:rsid w:val="001F08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08A9"/>
    <w:rPr>
      <w:rFonts w:ascii="Tahoma" w:hAnsi="Tahoma" w:cs="Tahoma"/>
      <w:sz w:val="16"/>
      <w:szCs w:val="16"/>
    </w:rPr>
  </w:style>
  <w:style w:type="paragraph" w:styleId="Header">
    <w:name w:val="header"/>
    <w:basedOn w:val="Normal"/>
    <w:link w:val="HeaderChar"/>
    <w:uiPriority w:val="99"/>
    <w:unhideWhenUsed/>
    <w:rsid w:val="001102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110276"/>
  </w:style>
  <w:style w:type="paragraph" w:styleId="Footer">
    <w:name w:val="footer"/>
    <w:basedOn w:val="Normal"/>
    <w:link w:val="FooterChar"/>
    <w:uiPriority w:val="99"/>
    <w:unhideWhenUsed/>
    <w:rsid w:val="001102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110276"/>
  </w:style>
  <w:style w:type="paragraph" w:styleId="ListParagraph">
    <w:name w:val="List Paragraph"/>
    <w:basedOn w:val="Normal"/>
    <w:uiPriority w:val="34"/>
    <w:qFormat/>
    <w:rsid w:val="00516AD8"/>
    <w:pPr>
      <w:ind w:left="720"/>
      <w:contextualSpacing/>
    </w:pPr>
  </w:style>
  <w:style w:type="paragraph" w:styleId="FootnoteText">
    <w:name w:val="footnote text"/>
    <w:basedOn w:val="Normal"/>
    <w:link w:val="FootnoteTextChar"/>
    <w:unhideWhenUsed/>
    <w:rsid w:val="00516AD8"/>
    <w:pPr>
      <w:spacing w:after="0" w:line="240" w:lineRule="auto"/>
    </w:pPr>
    <w:rPr>
      <w:sz w:val="20"/>
      <w:szCs w:val="20"/>
    </w:rPr>
  </w:style>
  <w:style w:type="character" w:customStyle="1" w:styleId="FootnoteTextChar">
    <w:name w:val="Footnote Text Char"/>
    <w:basedOn w:val="DefaultParagraphFont"/>
    <w:link w:val="FootnoteText"/>
    <w:rsid w:val="00516AD8"/>
    <w:rPr>
      <w:sz w:val="20"/>
      <w:szCs w:val="20"/>
    </w:rPr>
  </w:style>
  <w:style w:type="character" w:styleId="FootnoteReference">
    <w:name w:val="footnote reference"/>
    <w:basedOn w:val="DefaultParagraphFont"/>
    <w:semiHidden/>
    <w:unhideWhenUsed/>
    <w:rsid w:val="00516AD8"/>
    <w:rPr>
      <w:vertAlign w:val="superscript"/>
    </w:rPr>
  </w:style>
  <w:style w:type="character" w:styleId="Hyperlink">
    <w:name w:val="Hyperlink"/>
    <w:basedOn w:val="DefaultParagraphFont"/>
    <w:uiPriority w:val="99"/>
    <w:unhideWhenUsed/>
    <w:rsid w:val="00516AD8"/>
    <w:rPr>
      <w:color w:val="0000FF" w:themeColor="hyperlink"/>
      <w:u w:val="single"/>
    </w:rPr>
  </w:style>
  <w:style w:type="character" w:styleId="FollowedHyperlink">
    <w:name w:val="FollowedHyperlink"/>
    <w:basedOn w:val="DefaultParagraphFont"/>
    <w:uiPriority w:val="99"/>
    <w:semiHidden/>
    <w:unhideWhenUsed/>
    <w:rsid w:val="003C52B5"/>
    <w:rPr>
      <w:color w:val="800080" w:themeColor="followedHyperlink"/>
      <w:u w:val="single"/>
    </w:rPr>
  </w:style>
  <w:style w:type="character" w:customStyle="1" w:styleId="Corpsdutexte">
    <w:name w:val="Corps du texte_"/>
    <w:link w:val="Corpsdutexte0"/>
    <w:uiPriority w:val="99"/>
    <w:locked/>
    <w:rsid w:val="00E53957"/>
    <w:rPr>
      <w:rFonts w:ascii="Arial" w:hAnsi="Arial" w:cs="Arial"/>
      <w:sz w:val="16"/>
      <w:szCs w:val="16"/>
      <w:shd w:val="clear" w:color="auto" w:fill="FFFFFF"/>
    </w:rPr>
  </w:style>
  <w:style w:type="paragraph" w:customStyle="1" w:styleId="Corpsdutexte0">
    <w:name w:val="Corps du texte"/>
    <w:basedOn w:val="Normal"/>
    <w:link w:val="Corpsdutexte"/>
    <w:uiPriority w:val="99"/>
    <w:rsid w:val="00E53957"/>
    <w:pPr>
      <w:widowControl w:val="0"/>
      <w:shd w:val="clear" w:color="auto" w:fill="FFFFFF"/>
      <w:spacing w:before="60" w:after="420" w:line="240" w:lineRule="atLeast"/>
      <w:ind w:hanging="280"/>
      <w:jc w:val="center"/>
    </w:pPr>
    <w:rPr>
      <w:rFonts w:ascii="Arial" w:hAnsi="Arial" w:cs="Arial"/>
      <w:sz w:val="16"/>
      <w:szCs w:val="16"/>
    </w:rPr>
  </w:style>
  <w:style w:type="character" w:customStyle="1" w:styleId="Bodytext2">
    <w:name w:val="Body text|2_"/>
    <w:basedOn w:val="DefaultParagraphFont"/>
    <w:link w:val="Bodytext20"/>
    <w:rsid w:val="002549D3"/>
    <w:rPr>
      <w:rFonts w:ascii="Arial" w:eastAsia="Arial" w:hAnsi="Arial" w:cs="Arial"/>
      <w:sz w:val="20"/>
      <w:szCs w:val="20"/>
      <w:shd w:val="clear" w:color="auto" w:fill="FFFFFF"/>
    </w:rPr>
  </w:style>
  <w:style w:type="paragraph" w:customStyle="1" w:styleId="Bodytext20">
    <w:name w:val="Body text|2"/>
    <w:basedOn w:val="Normal"/>
    <w:link w:val="Bodytext2"/>
    <w:qFormat/>
    <w:rsid w:val="002549D3"/>
    <w:pPr>
      <w:widowControl w:val="0"/>
      <w:shd w:val="clear" w:color="auto" w:fill="FFFFFF"/>
      <w:spacing w:before="80" w:after="80" w:line="224" w:lineRule="exact"/>
      <w:jc w:val="both"/>
    </w:pPr>
    <w:rPr>
      <w:rFonts w:ascii="Arial" w:eastAsia="Arial" w:hAnsi="Arial" w:cs="Arial"/>
      <w:sz w:val="20"/>
      <w:szCs w:val="20"/>
    </w:rPr>
  </w:style>
  <w:style w:type="paragraph" w:customStyle="1" w:styleId="pf0">
    <w:name w:val="pf0"/>
    <w:basedOn w:val="Normal"/>
    <w:rsid w:val="000E0AD2"/>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customStyle="1" w:styleId="cf01">
    <w:name w:val="cf01"/>
    <w:basedOn w:val="DefaultParagraphFont"/>
    <w:rsid w:val="000E0AD2"/>
    <w:rPr>
      <w:rFonts w:ascii="Segoe UI" w:hAnsi="Segoe UI" w:cs="Segoe UI" w:hint="default"/>
      <w:sz w:val="18"/>
      <w:szCs w:val="18"/>
    </w:rPr>
  </w:style>
  <w:style w:type="paragraph" w:styleId="Revision">
    <w:name w:val="Revision"/>
    <w:hidden/>
    <w:uiPriority w:val="99"/>
    <w:semiHidden/>
    <w:rsid w:val="002D555F"/>
    <w:pPr>
      <w:spacing w:after="0" w:line="240" w:lineRule="auto"/>
    </w:pPr>
  </w:style>
  <w:style w:type="paragraph" w:customStyle="1" w:styleId="Bodytext200">
    <w:name w:val="Body text|20"/>
    <w:basedOn w:val="Normal"/>
    <w:qFormat/>
    <w:rsid w:val="00F50BCB"/>
    <w:pPr>
      <w:widowControl w:val="0"/>
      <w:shd w:val="clear" w:color="auto" w:fill="FFFFFF"/>
      <w:spacing w:before="80" w:after="80" w:line="224" w:lineRule="exact"/>
      <w:jc w:val="both"/>
    </w:pPr>
    <w:rPr>
      <w:rFonts w:ascii="Arial" w:eastAsia="Arial" w:hAnsi="Arial" w:cs="Arial"/>
      <w:color w:val="000000"/>
      <w:sz w:val="20"/>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3633935">
      <w:bodyDiv w:val="1"/>
      <w:marLeft w:val="0"/>
      <w:marRight w:val="0"/>
      <w:marTop w:val="0"/>
      <w:marBottom w:val="0"/>
      <w:divBdr>
        <w:top w:val="none" w:sz="0" w:space="0" w:color="auto"/>
        <w:left w:val="none" w:sz="0" w:space="0" w:color="auto"/>
        <w:bottom w:val="none" w:sz="0" w:space="0" w:color="auto"/>
        <w:right w:val="none" w:sz="0" w:space="0" w:color="auto"/>
      </w:divBdr>
    </w:div>
    <w:div w:id="1090466266">
      <w:bodyDiv w:val="1"/>
      <w:marLeft w:val="0"/>
      <w:marRight w:val="0"/>
      <w:marTop w:val="0"/>
      <w:marBottom w:val="0"/>
      <w:divBdr>
        <w:top w:val="none" w:sz="0" w:space="0" w:color="auto"/>
        <w:left w:val="none" w:sz="0" w:space="0" w:color="auto"/>
        <w:bottom w:val="none" w:sz="0" w:space="0" w:color="auto"/>
        <w:right w:val="none" w:sz="0" w:space="0" w:color="auto"/>
      </w:divBdr>
    </w:div>
    <w:div w:id="1129515501">
      <w:bodyDiv w:val="1"/>
      <w:marLeft w:val="0"/>
      <w:marRight w:val="0"/>
      <w:marTop w:val="0"/>
      <w:marBottom w:val="0"/>
      <w:divBdr>
        <w:top w:val="none" w:sz="0" w:space="0" w:color="auto"/>
        <w:left w:val="none" w:sz="0" w:space="0" w:color="auto"/>
        <w:bottom w:val="none" w:sz="0" w:space="0" w:color="auto"/>
        <w:right w:val="none" w:sz="0" w:space="0" w:color="auto"/>
      </w:divBdr>
    </w:div>
    <w:div w:id="169176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R-MANAGEMENT-ONLINE@ec.europa.eu"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dgs/human-resources/seniormanagementvacanci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PT/TXT/?uri=CELEX%3A01962R0031-20140701" TargetMode="External"/><Relationship Id="rId2" Type="http://schemas.openxmlformats.org/officeDocument/2006/relationships/hyperlink" Target="https://eur-lex.europa.eu/legal-content/PT/TXT/PDF/?uri=CELEX:01958R0001-20130701&amp;qid=1408533709461&amp;from=PT" TargetMode="External"/><Relationship Id="rId1" Type="http://schemas.openxmlformats.org/officeDocument/2006/relationships/hyperlink" Target="https://eur-lex.europa.eu/legal-content/PT/TXT/PDF/?uri=CELEX:01958R0001-20130701&amp;qid=1408533709461&amp;from=PT" TargetMode="External"/><Relationship Id="rId5" Type="http://schemas.openxmlformats.org/officeDocument/2006/relationships/hyperlink" Target="https://europa.eu/europass/pt/create-europass-cv" TargetMode="External"/><Relationship Id="rId4" Type="http://schemas.openxmlformats.org/officeDocument/2006/relationships/hyperlink" Target="https://commission.europa.eu/publications/documents-senior-management-selection-procedures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ligible_x003f_ xmlns="9a4971b4-25da-4884-bcca-bc4cdf98062d">true</eligible_x003f_>
    <lcf76f155ced4ddcb4097134ff3c332f xmlns="9a4971b4-25da-4884-bcca-bc4cdf98062d">
      <Terms xmlns="http://schemas.microsoft.com/office/infopath/2007/PartnerControls"/>
    </lcf76f155ced4ddcb4097134ff3c332f>
    <TaxCatchAll xmlns="cdd1361d-578d-4248-b657-ea0d2b6ad1f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21397B36352C447984A37DFD72D0E64" ma:contentTypeVersion="16" ma:contentTypeDescription="Ein neues Dokument erstellen." ma:contentTypeScope="" ma:versionID="e3375e632aa620670db350ef051cbaaf">
  <xsd:schema xmlns:xsd="http://www.w3.org/2001/XMLSchema" xmlns:xs="http://www.w3.org/2001/XMLSchema" xmlns:p="http://schemas.microsoft.com/office/2006/metadata/properties" xmlns:ns2="9a4971b4-25da-4884-bcca-bc4cdf98062d" xmlns:ns3="cdd1361d-578d-4248-b657-ea0d2b6ad1f3" targetNamespace="http://schemas.microsoft.com/office/2006/metadata/properties" ma:root="true" ma:fieldsID="61d52857a5018c8d29bd46b9d53af6ac" ns2:_="" ns3:_="">
    <xsd:import namespace="9a4971b4-25da-4884-bcca-bc4cdf98062d"/>
    <xsd:import namespace="cdd1361d-578d-4248-b657-ea0d2b6ad1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OCR" minOccurs="0"/>
                <xsd:element ref="ns2:eligible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4971b4-25da-4884-bcca-bc4cdf9806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eligible_x003f_" ma:index="23" nillable="true" ma:displayName="eligible?" ma:default="1" ma:format="Dropdown" ma:internalName="eligible_x003f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dd1361d-578d-4248-b657-ea0d2b6ad1f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6fefe9e-65ba-433a-be9e-ffdfd9a458e1}" ma:internalName="TaxCatchAll" ma:showField="CatchAllData" ma:web="cdd1361d-578d-4248-b657-ea0d2b6ad1f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AFB75-2E9B-437B-86AD-4BABCA0BEB5B}">
  <ds:schemaRefs>
    <ds:schemaRef ds:uri="http://schemas.microsoft.com/office/2006/metadata/properties"/>
    <ds:schemaRef ds:uri="http://schemas.microsoft.com/office/infopath/2007/PartnerControls"/>
    <ds:schemaRef ds:uri="9a4971b4-25da-4884-bcca-bc4cdf98062d"/>
    <ds:schemaRef ds:uri="cdd1361d-578d-4248-b657-ea0d2b6ad1f3"/>
  </ds:schemaRefs>
</ds:datastoreItem>
</file>

<file path=customXml/itemProps2.xml><?xml version="1.0" encoding="utf-8"?>
<ds:datastoreItem xmlns:ds="http://schemas.openxmlformats.org/officeDocument/2006/customXml" ds:itemID="{372FC0D7-C62B-4325-9FFD-90011EC8AFE1}">
  <ds:schemaRefs>
    <ds:schemaRef ds:uri="http://schemas.microsoft.com/sharepoint/v3/contenttype/forms"/>
  </ds:schemaRefs>
</ds:datastoreItem>
</file>

<file path=customXml/itemProps3.xml><?xml version="1.0" encoding="utf-8"?>
<ds:datastoreItem xmlns:ds="http://schemas.openxmlformats.org/officeDocument/2006/customXml" ds:itemID="{BB82D817-DBB7-497E-B0B2-895E54F5F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4971b4-25da-4884-bcca-bc4cdf98062d"/>
    <ds:schemaRef ds:uri="cdd1361d-578d-4248-b657-ea0d2b6ad1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233081-6A2C-422E-9A48-24ABB82F8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6</Pages>
  <Words>2097</Words>
  <Characters>12000</Characters>
  <Application>Microsoft Office Word</Application>
  <DocSecurity>0</DocSecurity>
  <Lines>196</Lines>
  <Paragraphs>89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14008</CharactersWithSpaces>
  <SharedDoc>false</SharedDoc>
  <HLinks>
    <vt:vector size="42" baseType="variant">
      <vt:variant>
        <vt:i4>2162757</vt:i4>
      </vt:variant>
      <vt:variant>
        <vt:i4>3</vt:i4>
      </vt:variant>
      <vt:variant>
        <vt:i4>0</vt:i4>
      </vt:variant>
      <vt:variant>
        <vt:i4>5</vt:i4>
      </vt:variant>
      <vt:variant>
        <vt:lpwstr>mailto:HR-MANAGEMENT-ONLINE@ec.europa.eu</vt:lpwstr>
      </vt:variant>
      <vt:variant>
        <vt:lpwstr/>
      </vt:variant>
      <vt:variant>
        <vt:i4>2228341</vt:i4>
      </vt:variant>
      <vt:variant>
        <vt:i4>0</vt:i4>
      </vt:variant>
      <vt:variant>
        <vt:i4>0</vt:i4>
      </vt:variant>
      <vt:variant>
        <vt:i4>5</vt:i4>
      </vt:variant>
      <vt:variant>
        <vt:lpwstr>https://ec.europa.eu/dgs/human-resources/seniormanagementvacancies/</vt:lpwstr>
      </vt:variant>
      <vt:variant>
        <vt:lpwstr/>
      </vt:variant>
      <vt:variant>
        <vt:i4>5963805</vt:i4>
      </vt:variant>
      <vt:variant>
        <vt:i4>12</vt:i4>
      </vt:variant>
      <vt:variant>
        <vt:i4>0</vt:i4>
      </vt:variant>
      <vt:variant>
        <vt:i4>5</vt:i4>
      </vt:variant>
      <vt:variant>
        <vt:lpwstr>https://europa.eu/europass/en/create-europass-cv</vt:lpwstr>
      </vt:variant>
      <vt:variant>
        <vt:lpwstr/>
      </vt:variant>
      <vt:variant>
        <vt:i4>6750220</vt:i4>
      </vt:variant>
      <vt:variant>
        <vt:i4>9</vt:i4>
      </vt:variant>
      <vt:variant>
        <vt:i4>0</vt:i4>
      </vt:variant>
      <vt:variant>
        <vt:i4>5</vt:i4>
      </vt:variant>
      <vt:variant>
        <vt:lpwstr>https://commission.europa.eu/jobs-european-commission/job-opportunities/managers-european-commission_en</vt:lpwstr>
      </vt:variant>
      <vt:variant>
        <vt:lpwstr>documents</vt:lpwstr>
      </vt:variant>
      <vt:variant>
        <vt:i4>7143527</vt:i4>
      </vt:variant>
      <vt:variant>
        <vt:i4>6</vt:i4>
      </vt:variant>
      <vt:variant>
        <vt:i4>0</vt:i4>
      </vt:variant>
      <vt:variant>
        <vt:i4>5</vt:i4>
      </vt:variant>
      <vt:variant>
        <vt:lpwstr>https://eur-lex.europa.eu/legal-content/EN/TXT/?uri=CELEX%3A01962R0031-20140701</vt:lpwstr>
      </vt:variant>
      <vt:variant>
        <vt:lpwstr/>
      </vt:variant>
      <vt:variant>
        <vt:i4>7209065</vt:i4>
      </vt:variant>
      <vt:variant>
        <vt:i4>3</vt:i4>
      </vt:variant>
      <vt:variant>
        <vt:i4>0</vt:i4>
      </vt:variant>
      <vt:variant>
        <vt:i4>5</vt:i4>
      </vt:variant>
      <vt:variant>
        <vt:lpwstr>https://eur-lex.europa.eu/legal-content/EN/TXT/?uri=CELEX%3A01958R0001-20130701</vt:lpwstr>
      </vt:variant>
      <vt:variant>
        <vt:lpwstr/>
      </vt:variant>
      <vt:variant>
        <vt:i4>3538999</vt:i4>
      </vt:variant>
      <vt:variant>
        <vt:i4>0</vt:i4>
      </vt:variant>
      <vt:variant>
        <vt:i4>0</vt:i4>
      </vt:variant>
      <vt:variant>
        <vt:i4>5</vt:i4>
      </vt:variant>
      <vt:variant>
        <vt:lpwstr>http://eur-lex.europa.eu/legal-content/EN/TXT/PDF/?uri=CELEX:01958R0001-20130701&amp;qid=1408533709461&amp;from=EN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HR.C.1</dc:creator>
  <cp:keywords/>
  <cp:lastModifiedBy>OLIVEIRA Lucinda (DGT)</cp:lastModifiedBy>
  <cp:revision>7</cp:revision>
  <cp:lastPrinted>2018-05-18T17:34:00Z</cp:lastPrinted>
  <dcterms:created xsi:type="dcterms:W3CDTF">2026-03-03T15:48:00Z</dcterms:created>
  <dcterms:modified xsi:type="dcterms:W3CDTF">2026-03-05T10:31:00Z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UpdateToken">
    <vt:lpwstr>24</vt:lpwstr>
  </property>
  <property fmtid="{D5CDD505-2E9C-101B-9397-08002B2CF9AE}" pid="3" name="Offisync_ServerID">
    <vt:lpwstr>0d3b22a6-6203-4efc-8e8e-b5279256493b</vt:lpwstr>
  </property>
  <property fmtid="{D5CDD505-2E9C-101B-9397-08002B2CF9AE}" pid="4" name="Offisync_ProviderInitializationData">
    <vt:lpwstr>https://webgate.ec.europa.eu/connected</vt:lpwstr>
  </property>
  <property fmtid="{D5CDD505-2E9C-101B-9397-08002B2CF9AE}" pid="5" name="Jive_LatestUserAccountName">
    <vt:lpwstr>kytoltu</vt:lpwstr>
  </property>
  <property fmtid="{D5CDD505-2E9C-101B-9397-08002B2CF9AE}" pid="6" name="Jive_VersionGuid">
    <vt:lpwstr>33754013-f31b-4bbc-8276-57afe9ff3fc9</vt:lpwstr>
  </property>
  <property fmtid="{D5CDD505-2E9C-101B-9397-08002B2CF9AE}" pid="7" name="Offisync_UniqueId">
    <vt:lpwstr>162037</vt:lpwstr>
  </property>
  <property fmtid="{D5CDD505-2E9C-101B-9397-08002B2CF9AE}" pid="8" name="Jive_ModifiedButNotPublished">
    <vt:lpwstr/>
  </property>
  <property fmtid="{D5CDD505-2E9C-101B-9397-08002B2CF9AE}" pid="9" name="Jive_PrevVersionNumber">
    <vt:lpwstr/>
  </property>
  <property fmtid="{D5CDD505-2E9C-101B-9397-08002B2CF9AE}" pid="10" name="Jive_VersionGuid_v2.5">
    <vt:lpwstr/>
  </property>
  <property fmtid="{D5CDD505-2E9C-101B-9397-08002B2CF9AE}" pid="11" name="Jive_LatestFileFullName">
    <vt:lpwstr/>
  </property>
  <property fmtid="{D5CDD505-2E9C-101B-9397-08002B2CF9AE}" pid="12" name="MSIP_Label_6bd9ddd1-4d20-43f6-abfa-fc3c07406f94_Enabled">
    <vt:lpwstr>true</vt:lpwstr>
  </property>
  <property fmtid="{D5CDD505-2E9C-101B-9397-08002B2CF9AE}" pid="13" name="MSIP_Label_6bd9ddd1-4d20-43f6-abfa-fc3c07406f94_SetDate">
    <vt:lpwstr>2023-01-13T07:40:32Z</vt:lpwstr>
  </property>
  <property fmtid="{D5CDD505-2E9C-101B-9397-08002B2CF9AE}" pid="14" name="MSIP_Label_6bd9ddd1-4d20-43f6-abfa-fc3c07406f94_Method">
    <vt:lpwstr>Standard</vt:lpwstr>
  </property>
  <property fmtid="{D5CDD505-2E9C-101B-9397-08002B2CF9AE}" pid="15" name="MSIP_Label_6bd9ddd1-4d20-43f6-abfa-fc3c07406f94_Name">
    <vt:lpwstr>Commission Use</vt:lpwstr>
  </property>
  <property fmtid="{D5CDD505-2E9C-101B-9397-08002B2CF9AE}" pid="16" name="MSIP_Label_6bd9ddd1-4d20-43f6-abfa-fc3c07406f94_SiteId">
    <vt:lpwstr>b24c8b06-522c-46fe-9080-70926f8dddb1</vt:lpwstr>
  </property>
  <property fmtid="{D5CDD505-2E9C-101B-9397-08002B2CF9AE}" pid="17" name="MSIP_Label_6bd9ddd1-4d20-43f6-abfa-fc3c07406f94_ActionId">
    <vt:lpwstr>1034dbf8-9560-4bc9-86a2-8e60141f00e3</vt:lpwstr>
  </property>
  <property fmtid="{D5CDD505-2E9C-101B-9397-08002B2CF9AE}" pid="18" name="MSIP_Label_6bd9ddd1-4d20-43f6-abfa-fc3c07406f94_ContentBits">
    <vt:lpwstr>0</vt:lpwstr>
  </property>
  <property fmtid="{D5CDD505-2E9C-101B-9397-08002B2CF9AE}" pid="19" name="ContentTypeId">
    <vt:lpwstr>0x010100221397B36352C447984A37DFD72D0E64</vt:lpwstr>
  </property>
</Properties>
</file>