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Dirección General de Comunicación</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Publicación de una vacante para el puesto de consejero/a principal — Centro Europeo para la Resiliencia Democrática (grado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(Artículo 29, apartado 2, del Estatuto de los funcionarios)</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Quiénes somos</w:t>
      </w:r>
    </w:p>
    <w:p w14:paraId="053F7BA5" w14:textId="368DE841" w:rsidR="00791B6C" w:rsidRDefault="0071692E" w:rsidP="00F50BCB">
      <w:pPr>
        <w:spacing w:after="240"/>
        <w:jc w:val="both"/>
      </w:pPr>
      <w:r>
        <w:rPr>
          <w:rFonts w:ascii="Arial" w:hAnsi="Arial"/>
          <w:sz w:val="18"/>
          <w:shd w:val="clear" w:color="auto" w:fill="FAFAFA"/>
        </w:rPr>
        <w:t>La Dirección General de Comunicación (DG COMM) es el servicio de comunicación institucional de la Comisión Europea, que actúa bajo la responsabilidad de la Presidenta. Tenemos por cometido promover y apoyar las prioridades políticas de la Comisión y contribuir a acercar Europa a sus ciudadanos. La DG COMM está compuesta por el Servicio del Portavoz, las Representaciones de la Comisión en los Estados miembros y cuatro direcciones. La DG COMM es responsable de la coordinación del Centro Europeo para la Resiliencia Democrática, creado recientemente.</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Qué ofrecemos</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Un puesto de consejero/a principal para el Centro Europeo para la Resiliencia Democrática en la DG COMM, cuyas funciones consistirán en asesorar al director general respecto a la dirección, la coordinación y el futuro desarrollo del Centro de nueva creación. También se ocupará de liderar la secretaría del Centro, compuesta por personal asignado a la DG COMM y funcionarios de enlace en otros servicios. Las tareas incluyen la coordinación de los proyectos del Centro, en estrecha cooperación con los Estados miembros participantes. Deberá colaborar estrechamente con los servicios de la Comisión, otras instituciones y órganos de la UE, en particular con el Servicio Europeo de Acción Exterior, con los Estados miembros, los países candidatos y la sociedad civil. También deberá asesorar respecto a las relaciones con una amplia gama de partes interesadas, en particular de la sociedad civil, y grupos de reflexión, y coordinará dichas relaciones. Se trata de un puesto de alto nivel que ofrece una oportunidad única para contribuir al éxito de esta nueva iniciativa.</w:t>
      </w:r>
    </w:p>
    <w:p w14:paraId="4312D48A" w14:textId="4D045DB1" w:rsidR="00791B6C" w:rsidRPr="0043446E"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Qué buscamos (criterios de selección)</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Cualidades personales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Excelentes aptitudes interpersonales, de comunicación, creación de redes y negociación, a fin de establecer relaciones de trabajo basadas en la confianza tanto en el seno de la Comisión como con los Estados miembros y con socios externos, además de representar a la Dirección General y al Centro Europeo para la Resiliencia Democrática a un alto nivel.</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Gran flexibilidad y agilidad para reaccionar rápidamente a las necesidades cambiantes dentro de estructuras matriciales complejas.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Excelente capacidad para coordinar y ejecutar proyectos complejos con múltiples partes interesadas, utilizando un enfoque proactivo para dicha ejecución con una mentalidad innovadora.</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Capacidad para trabajar de forma independiente y tomar la iniciativa, combinada con un sólido espíritu de cooperación.</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Capacidad para realizar un trabajo de calidad en entornos rápidos y complejos, incluido en colaboración directa con la alta dirección y con los dirigentes políticos.</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lastRenderedPageBreak/>
        <w:t>Capacidades especializadas y experiencia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Excelentes competencias conceptuales y analíticas, y aptitud para desarrollar estrategias y fijar prioridades y objetivos. </w:t>
      </w:r>
    </w:p>
    <w:p w14:paraId="0CFC790A" w14:textId="6926CCDB"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Excelentes conocimientos o experiencia relacionados con el apoyo a la integridad informativa.</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Conocimiento profundo de los retos y amenazas a los que se enfrentan las democracias en toda la UE y de los enfoques integrales para abordarlos, desde la lucha contra la manipulación de información e injerencia por parte de agentes extranjeros y la desinformación hasta el refuerzo de la resiliencia democrática.</w:t>
      </w:r>
    </w:p>
    <w:p w14:paraId="64F235BA" w14:textId="77777777" w:rsidR="0043446E" w:rsidRPr="0043446E"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Experiencia en el diseño y la aplicación de opciones de respuesta, incluido el refuerzo del conocimiento de la situación y el impulso de la resiliencia de la sociedad.</w:t>
      </w:r>
    </w:p>
    <w:p w14:paraId="4CBC2111" w14:textId="1DEB3F90" w:rsidR="00F50BCB" w:rsidRPr="0089341E"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Muy buenas capacidades para trabajar con las partes interesadas a nivel europeo, así como considerable experiencia en este ámbito.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Sólidos conocimientos o experiencia en prácticas y procedimientos administrativos, planificación y gestión financiera.</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Capacidades de asesoramiento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Capacidad para asesorar y contribuir a la coordinación estratégica de cuestiones transversales en el ámbito de la resiliencia democrática, en particular en apoyo del conocimiento de la situación y el diseño de opciones de respuesta para salvaguardar la integridad del espacio informativo.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Capacidad para proporcionar asesoramiento estratégico a la alta dirección según lo requiera el cargo.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Capacidad para combinar asesoramiento estratégico, político y de comunicación sobre asuntos importantes y complejos.</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Capacidad para asesorar al director general y a la alta dirección sobre el desarrollo y la aplicación de estrategias de comunicación y divulgación en las que esté implicada una amplia variedad de partes interesadas. </w:t>
      </w:r>
    </w:p>
    <w:p w14:paraId="1960D813" w14:textId="54BAD2D7" w:rsidR="00E53957" w:rsidRPr="0043446E"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Condiciones de admisión</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Solamente podrán ser admitidas a la fase de selección las candidaturas que cumplan los siguientes requisitos formales </w:t>
      </w:r>
      <w:r>
        <w:rPr>
          <w:rFonts w:ascii="Times New Roman" w:hAnsi="Times New Roman"/>
          <w:b/>
        </w:rPr>
        <w:t>antes de que finalice el plazo para la presentación de candidaturas</w:t>
      </w:r>
      <w:r>
        <w:rPr>
          <w:rFonts w:ascii="Times New Roman" w:hAnsi="Times New Roman"/>
        </w:rPr>
        <w:t>:</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Nacionalidad</w:t>
      </w:r>
      <w:r>
        <w:rPr>
          <w:rFonts w:ascii="Times New Roman" w:hAnsi="Times New Roman"/>
        </w:rPr>
        <w:t>: las personas candidatas deberán ser ciudadanas de uno de los Estados miembros de la Unión Europea.</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Título universitario</w:t>
      </w:r>
      <w:r>
        <w:rPr>
          <w:rFonts w:ascii="Times New Roman" w:hAnsi="Times New Roman"/>
        </w:rPr>
        <w:t>: las personas candidatas deberán tener,</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bien un nivel de formación correspondiente a estudios universitarios completos acreditados por un título, cuando la duración normal de la enseñanza universitaria sea de cuatro años o más;</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o bien un nivel de formación correspondiente a estudios universitarios completos acreditados por un título y una experiencia profesional apropiada de al menos un año, cuando la duración normal de la enseñanza universitaria sea de al menos tres años (esta experiencia profesional de un año no podrá incluirse en la experiencia posterior a la obtención del título universitario que se exige a continuación).</w:t>
      </w:r>
    </w:p>
    <w:p w14:paraId="6E262506"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lastRenderedPageBreak/>
        <w:t>Solo se tomarán en consideración los títulos que hayan sido expedidos en los Estados miembros de la UE o que sean objeto de certificados de convalidación expedidos por las autoridades de alguno de dichos Estados miembros.</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Experiencia profesional</w:t>
      </w:r>
      <w:r>
        <w:rPr>
          <w:rFonts w:ascii="Times New Roman" w:hAnsi="Times New Roman"/>
        </w:rPr>
        <w:t>: las personas candidatas deberán tener al menos quince años de experiencia profesional posterior a la obtención del título universitario</w:t>
      </w:r>
      <w:r>
        <w:rPr>
          <w:rStyle w:val="FootnoteReference"/>
          <w:rFonts w:ascii="Times New Roman" w:hAnsi="Times New Roman" w:cs="Times New Roman"/>
          <w:b/>
        </w:rPr>
        <w:footnoteReference w:id="2"/>
      </w:r>
      <w:r>
        <w:rPr>
          <w:rFonts w:ascii="Times New Roman" w:hAnsi="Times New Roman"/>
        </w:rPr>
        <w:t xml:space="preserve">, a un nivel al que den acceso las titulaciones antes mencionadas.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Experiencia en asesoramiento</w:t>
      </w:r>
      <w:r>
        <w:rPr>
          <w:rFonts w:ascii="Times New Roman" w:hAnsi="Times New Roman"/>
        </w:rPr>
        <w:t>: al menos cinco de los años de experiencia profesional posterior a la obtención del título universitario deberán haberse adquirido en un cargo de asesoramiento de alto nivel</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Lenguas</w:t>
      </w:r>
      <w:r>
        <w:rPr>
          <w:rFonts w:ascii="Times New Roman" w:hAnsi="Times New Roman"/>
        </w:rPr>
        <w:t>: las personas candidatas deberán tener un conocimiento profundo de una de las lenguas oficiales de la Unión Europea</w:t>
      </w:r>
      <w:r>
        <w:rPr>
          <w:rStyle w:val="FootnoteReference"/>
          <w:rFonts w:ascii="Times New Roman" w:hAnsi="Times New Roman" w:cs="Times New Roman"/>
        </w:rPr>
        <w:footnoteReference w:id="4"/>
      </w:r>
      <w:r>
        <w:rPr>
          <w:rFonts w:ascii="Times New Roman" w:hAnsi="Times New Roman"/>
        </w:rPr>
        <w:t xml:space="preserve"> y un conocimiento satisfactorio de otra de ellas. Los comités de selección comprobarán durante las entrevistas si las personas candidatas cumplen el requisito de poseer un conocimiento satisfactorio de otra lengua oficial de la UE. A tal efecto, la entrevista (o parte de ella) podrá realizarse en esa otra lengua.</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Límite de edad</w:t>
      </w:r>
      <w:r>
        <w:rPr>
          <w:rFonts w:ascii="Times New Roman" w:hAnsi="Times New Roman"/>
        </w:rPr>
        <w:t>: las personas candidatas no deberán haber alcanzado la edad preceptiva de jubilación, que, para los funcionarios de la Unión Europea, se define como la del último día del mes durante el cual hayan cumplido 66 años [véase el artículo 52, letra a), del Estatuto de los funcionarios</w:t>
      </w:r>
      <w:r>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Selección y nombramiento</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La selección y el nombramiento se llevarán a cabo con arreglo a los procedimientos de selección y contratación de personal de la Comisión Europea (véase el documento sobre la política relativa a los altos funcionarios</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Como parte de este procedimiento de selección, la Comisión Europea creará un comité de preselección. Este comité analizará todas las candidaturas, realizará una primera verificación para determinar si cumplen las condiciones de admisión y decidirá cuáles de ellas encajan mejor con el perfil definido en los criterios de selección antes mencionados y quiénes deben recibir una invitación a una entrevista con el propio comité.</w:t>
      </w:r>
      <w:r>
        <w:t xml:space="preserve"> </w:t>
      </w:r>
      <w:r>
        <w:rPr>
          <w:rFonts w:ascii="Times New Roman" w:hAnsi="Times New Roman"/>
        </w:rPr>
        <w:t xml:space="preserve">En cualquier momento del procedimiento podrá pedirse a las personas candidatas que presenten documentos justificativos de la información que figure en su </w:t>
      </w:r>
      <w:r>
        <w:rPr>
          <w:rFonts w:ascii="Times New Roman" w:hAnsi="Times New Roman"/>
        </w:rPr>
        <w:lastRenderedPageBreak/>
        <w:t>candidatura. El incumplimiento de la obligación de presentar dichos documentos en el plazo fijado en la solicitud podrá dar lugar a la exclusión de la selección.</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Tras las entrevistas, el comité de preselección extraerá sus conclusiones y propondrá una lista de personas que serán convocadas a otra entrevista con el Comité Consultivo para los Nombramientos (en lo sucesivo, «CCN») de la Comisión Europea. Teniendo en cuenta las conclusiones del comité de preselección, el CCN decidirá cuáles de ellas serán invitadas a una entrevista.</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Las personas convocadas a la entrevista con el CCN serán evaluadas durante una jornada completa en un centro de evaluación de competencias de gestión por consultores externos de contratación de personal. En función de los resultados de la entrevista y el informe del centro de evaluación, el CCN confeccionará una lista restringida con las personas que considere aptas para el puesto.</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Las personas incluidas en la lista restringida del CCN serán entrevistadas por el miembro o los miembros competentes de la Comisión.</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Tras las entrevistas, la Comisión Europea tomará la decisión relativa al nombramiento.</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La persona seleccionada deberá haber cumplido todas las obligaciones impuestas por la legislación en relación con el servicio militar, ofrecer las debidas garantías de moralidad para el ejercicio de sus funciones y ser físicamente apta para llevarlas a cabo.</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La persona seleccionada deberá poseer, o estar en condiciones de obtener, un certificado válido de habilitación de seguridad expedido por su autoridad nacional de seguridad. La habilitación personal de seguridad es una decisión administrativa que se toma al término de un cribado de seguridad realizado por la autoridad nacional de seguridad competente, de conformidad con las disposiciones legales y reglamentarias nacionales de seguridad vigentes, en la que se certifica que el interesado puede ser autorizado a acceder a información clasificada hasta un nivel determinado (obsérvese que el procedimiento necesario para obtener la habilitación de seguridad solo puede iniciarse a petición de la persona o entidad empleadora, no del interesado).</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Hasta que el Estado miembro de que se trate no haya concedido la habilitación personal de seguridad y completado el procedimiento de habilitación siguiendo las instrucciones de la Dirección de Seguridad de la Comisión Europea legalmente exigidas, la persona candidata no podrá acceder a información clasificada de la UE (ICUE) de grado CONFIDENTIEL UE / EU CONFIDENTIAL o superior, ni asistir a ninguna reunión en la que se examine dicha ICUE.</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Igualdad de oportunidades</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 xml:space="preserve">De conformidad con el artículo 1 </w:t>
      </w:r>
      <w:r>
        <w:rPr>
          <w:rFonts w:ascii="Times New Roman" w:hAnsi="Times New Roman"/>
          <w:i/>
        </w:rPr>
        <w:t>quinquies</w:t>
      </w:r>
      <w:r>
        <w:rPr>
          <w:rFonts w:ascii="Times New Roman" w:hAnsi="Times New Roman"/>
        </w:rPr>
        <w:t xml:space="preserve"> del Estatuto de los funcionarios, la Comisión Europea persigue en sus políticas el objetivo de lograr la igualdad de género en todos los niveles de dirección antes de que finalice su mandato actual y aplica una política de igualdad de oportunidades que fomenta la presentación de candidaturas que puedan contribuir a una mayor diversidad, a la igualdad de género y al equilibrio geográfico general.</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Condiciones de empleo</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Los sueldos y las condiciones de empleo figuran en el Estatuto de los funcionarios.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La persona seleccionada será contratada como funcionario/a de grado AD14 y, dependiendo de la duración de su experiencia profesional anterior, se clasificará en el escalón 1 o en el escalón 2 dentro de ese grado.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La persona seleccionada deberá tener en cuenta el requisito de superar con éxito el período de prueba de nueve meses que impone el Estatuto de los funcionarios a todo el personal nuevo.</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lastRenderedPageBreak/>
        <w:t>El lugar de destino es Bruselas (Bélgica).</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Independencia y declaración de intereses</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Las personas candidatas deberán hacer una declaración por la que se comprometan a actuar con independencia y en interés público, y deberán declarar cualquier interés que pudiera considerarse perjudicial para su independencia.</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Información importante para las personas candidatas</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Se recuerda a las personas candidatas que la labor de los comités de selección es confidencial. Está prohibido que las personas candidatas se pongan en contacto directo o indirecto con sus miembros o que cualquier otra persona lo haga en su nombre. Todas las consultas deberán dirigirse a la secretaría del comité correspondiente.</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Protección de datos personales</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La Comisión se asegurará de que los datos personales de las personas candidatas sean tratados de acuerdo con el Reglamento (UE) 2018/1725 del Parlamento Europeo y del Consejo</w:t>
      </w:r>
      <w:r>
        <w:rPr>
          <w:rStyle w:val="FootnoteReference"/>
          <w:rFonts w:ascii="Times New Roman" w:hAnsi="Times New Roman" w:cs="Times New Roman"/>
        </w:rPr>
        <w:footnoteReference w:id="7"/>
      </w:r>
      <w:r>
        <w:rPr>
          <w:rFonts w:ascii="Times New Roman" w:hAnsi="Times New Roman"/>
        </w:rPr>
        <w:t>. Este principio se aplica, en particular, a la confidencialidad y a la seguridad de dichos datos.</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Procedimiento de presentación de candidaturas</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Antes de presentar su candidatura, las personas candidatas deberán comprobar cuidadosamente si cumplen todas las condiciones de admisión (véase «Condiciones de admisión»), especialmente por lo que respecta a los tipos de titulación y a la experiencia profesional de alto nivel, así como a los requisitos lingüísticos. El incumplimiento de cualquiera de las condiciones de admisión supondrá la exclusión automática del proceso de selección.</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Quienes deseen presentar su candidatura deberán inscribirse a través de internet en el sitio web que se indica a continuación y seguir las instrucciones relativas a las diferentes etapas del proceso: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Será imprescindible disponer de una dirección de correo electrónico válida, que se utilizará para confirmar la presentación de la candidatura y como medio de contacto con las personas candidatas durante las diferentes fases del proceso. Por lo tanto, deberá comunicarse a la Comisión Europea todo cambio en la dirección de correo electrónico.</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Para finalizar la presentación de su candidatura, las personas candidatas deberán adjuntar un currículo en formato PDF, usando preferentemente el modelo CV Europass</w:t>
      </w:r>
      <w:r>
        <w:rPr>
          <w:rStyle w:val="FootnoteReference"/>
          <w:rFonts w:ascii="Times New Roman" w:hAnsi="Times New Roman" w:cs="Times New Roman"/>
        </w:rPr>
        <w:footnoteReference w:id="8"/>
      </w:r>
      <w:r>
        <w:rPr>
          <w:rFonts w:ascii="Times New Roman" w:hAnsi="Times New Roman"/>
        </w:rPr>
        <w:t>, y redactar, en línea, una carta de motivación (de 8 000 caracteres como máximo). El currículo y la carta de motivación podrán presentarse en cualquiera de las lenguas oficiales de la Unión Europea.</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Por su propio interés, las personas candidatas han de asegurarse de que su solicitud sea precisa, completa y veraz.</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lastRenderedPageBreak/>
        <w:t xml:space="preserve">Una vez finalizada la presentación de la candidatura en línea, las personas candidatas recibirán un correo electrónico de confirmación de que su candidatura ha quedado registrada. </w:t>
      </w:r>
      <w:r>
        <w:rPr>
          <w:rFonts w:ascii="Times New Roman" w:hAnsi="Times New Roman"/>
          <w:b/>
        </w:rPr>
        <w:t>De no recibirlo, deben saber que la candidatura no ha quedado registrada.</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Téngase en cuenta que no es posible realizar un seguimiento en línea de la tramitación de las candidaturas. La Comisión Europea se pondrá en contacto directamente con las personas candidatas para informarles del estado de su candidatura.</w:t>
      </w:r>
    </w:p>
    <w:p w14:paraId="13D95A95" w14:textId="2EF2CE81"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Las candidaturas presentadas por correo electrónico no serán aceptadas. </w:t>
      </w:r>
      <w:r>
        <w:rPr>
          <w:rFonts w:ascii="Times New Roman" w:hAnsi="Times New Roman"/>
        </w:rPr>
        <w:t>Para obtener más información, o en caso de problemas técnicos, se puede enviar un correo electrónico a:</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Es responsabilidad de las personas candidatas completar la candidatura en línea dentro del plazo previsto. Recomendamos encarecidamente no esperar a los últimos días para presentar la candidatura, ya que una sobrecarga de las líneas o un fallo en la conexión a internet podrían dar lugar a una interrupción de la operación de presentación en línea, obligando a repetir todo el proceso. Una vez finalizado el plazo de presentación de candidaturas, ya no se podrá introducir ningún dato. No se aceptarán las candidaturas presentadas fuera de plazo.</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Plazo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El plazo para la presentación de candidaturas finaliza el </w:t>
      </w:r>
      <w:r>
        <w:rPr>
          <w:rFonts w:ascii="Times New Roman" w:hAnsi="Times New Roman"/>
          <w:b/>
        </w:rPr>
        <w:t>10 de abril de 2026 a las 12.00 horas del mediodía (hora de Bruselas)</w:t>
      </w:r>
      <w:r>
        <w:rPr>
          <w:rFonts w:ascii="Times New Roman" w:hAnsi="Times New Roman"/>
        </w:rPr>
        <w:t>, momento a partir del cual ya no será posible presentarla.</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La experiencia profesional solo se tendrá en cuenta si refleja una relación laboral real, definida como trabajo efectivo y genuino, remunerada y en calidad de empleado (con cualquier tipo de contrato) o de proveedor de servicios. Las actividades profesionales realizadas a tiempo parcial se prorratearán en función del porcentaje certificado de horas trabajadas a tiempo completo. Los permisos por maternidad, paternidad o adopción se tendrán en cuenta si se producen en el marco de un contrato de trabajo. Los doctorados, incluso si no fueran remunerados, se equipararán a experiencia profesional, si bien por una duración máxima de tres años y siempre que el doctorado en cuestión se haya completado con éxito. Un mismo período no podrá computarse más de una vez.</w:t>
      </w:r>
    </w:p>
  </w:footnote>
  <w:footnote w:id="3">
    <w:p w14:paraId="57046BE9" w14:textId="36BEECD4" w:rsidR="00590E8D" w:rsidRPr="000217A2" w:rsidRDefault="00A12B13" w:rsidP="00011634">
      <w:pPr>
        <w:pStyle w:val="pf0"/>
        <w:ind w:left="284" w:hanging="284"/>
        <w:rPr>
          <w:rFonts w:eastAsiaTheme="minorHAnsi"/>
          <w:sz w:val="16"/>
          <w:szCs w:val="16"/>
        </w:rPr>
      </w:pPr>
      <w:r w:rsidRPr="00821407">
        <w:rPr>
          <w:rStyle w:val="FootnoteReference"/>
          <w:sz w:val="16"/>
          <w:szCs w:val="16"/>
        </w:rPr>
        <w:footnoteRef/>
      </w:r>
      <w:r w:rsidR="00011634">
        <w:rPr>
          <w:sz w:val="16"/>
        </w:rPr>
        <w:t xml:space="preserve"> </w:t>
      </w:r>
      <w:r w:rsidR="00011634">
        <w:rPr>
          <w:sz w:val="16"/>
        </w:rPr>
        <w:tab/>
      </w:r>
      <w:r>
        <w:rPr>
          <w:sz w:val="16"/>
        </w:rPr>
        <w:t>Las personas candidatas deberán indicar claramente en su currículo, en relación con todos los años exigidos de experiencia en asesoramiento, la siguiente información: 1) título y función de los puestos desempeñados; 2) ámbito exacto y nivel del puesto dentro de la organización (número de niveles jerárquicos por encima y por debajo); 3) líneas jerárquicas de cada puesto ocupado.</w:t>
      </w:r>
    </w:p>
    <w:p w14:paraId="3CC17E68" w14:textId="5FACAAE6" w:rsidR="00A12B13" w:rsidRPr="0043446E" w:rsidRDefault="00A12B13">
      <w:pPr>
        <w:pStyle w:val="FootnoteText"/>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sidRPr="008C55ED">
          <w:rPr>
            <w:rStyle w:val="Hyperlink"/>
            <w:rFonts w:ascii="Times New Roman" w:hAnsi="Times New Roman" w:cs="Times New Roman"/>
            <w:sz w:val="16"/>
            <w:szCs w:val="16"/>
          </w:rPr>
          <w:t>http://eur-lex.europa.eu/legal-content/ES/TXT/PDF/?uri=CELEX:01958R0001-20130701&amp;qid=1408533709461&amp;from=ES</w:t>
        </w:r>
      </w:hyperlink>
      <w:hyperlink r:id="rId2" w:history="1">
        <w:r w:rsidRPr="008C55ED">
          <w:rPr>
            <w:rStyle w:val="Hyperlink"/>
            <w:rFonts w:ascii="Times New Roman" w:hAnsi="Times New Roman" w:cs="Times New Roman"/>
            <w:sz w:val="16"/>
            <w:szCs w:val="16"/>
          </w:rPr>
          <w:t>https://eur-lex.europa.eu/legal-content/ES/TXT/?uri=CELEX%3A01958R0001-20130701</w:t>
        </w:r>
      </w:hyperlink>
      <w:r w:rsidRPr="008C55ED">
        <w:rPr>
          <w:rFonts w:ascii="Times New Roman" w:hAnsi="Times New Roman" w:cs="Times New Roman"/>
          <w:sz w:val="16"/>
          <w:szCs w:val="16"/>
        </w:rPr>
        <w:t>.</w:t>
      </w:r>
      <w:r>
        <w:rPr>
          <w:rStyle w:val="Hyperlink"/>
          <w:rFonts w:ascii="Times New Roman" w:hAnsi="Times New Roman"/>
          <w:sz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https://eur-lex.europa.eu/legal-content/ES/TXT/?uri=CELEX%3A01962R0031-20140701</w:t>
        </w:r>
      </w:hyperlink>
      <w:r>
        <w:rPr>
          <w:rStyle w:val="Hyperlink"/>
          <w:rFonts w:ascii="Times New Roman" w:hAnsi="Times New Roman"/>
          <w:sz w:val="16"/>
        </w:rPr>
        <w:t xml:space="preserve"> </w:t>
      </w:r>
    </w:p>
  </w:footnote>
  <w:footnote w:id="6">
    <w:p w14:paraId="49D07674" w14:textId="77777777" w:rsidR="00512EDC" w:rsidRPr="00011634" w:rsidRDefault="009D3D62" w:rsidP="00512EDC">
      <w:pPr>
        <w:pStyle w:val="FootnoteText"/>
        <w:ind w:left="284" w:hanging="284"/>
        <w:jc w:val="both"/>
        <w:rPr>
          <w:rFonts w:ascii="Times New Roman" w:hAnsi="Times New Roman" w:cs="Times New Roman"/>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t xml:space="preserve"> </w:t>
      </w:r>
      <w:r w:rsidRPr="00011634">
        <w:rPr>
          <w:rFonts w:ascii="Times New Roman" w:hAnsi="Times New Roman" w:cs="Times New Roman"/>
          <w:sz w:val="16"/>
        </w:rPr>
        <w:t>(únicamente disponible en inglés)</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Reglamento (UE) 2018/1725 del Parlamento Europeo y del Consejo, de 23 de octubre de 2018, relativo a la protección de las personas físicas en lo que respecta al tratamiento de datos personales por las instituciones, órganos y organismos de la Unión, y a la libre circulación de esos datos, y por el que se derogan el Reglamento (CE) n.º 45/2001 y la Decisión n.º 1247/2002/CE (DO L 295 de 21.11.2018, p. 39).</w:t>
      </w:r>
    </w:p>
  </w:footnote>
  <w:footnote w:id="8">
    <w:p w14:paraId="24BBB1E7" w14:textId="21736824" w:rsidR="00EC7181" w:rsidRPr="00011634" w:rsidRDefault="00EC7181" w:rsidP="00BE6643">
      <w:pPr>
        <w:pStyle w:val="FootnoteText"/>
        <w:ind w:left="284" w:hanging="284"/>
        <w:rPr>
          <w:rFonts w:ascii="Times New Roman" w:hAnsi="Times New Roman" w:cs="Times New Roman"/>
          <w:sz w:val="16"/>
          <w:szCs w:val="16"/>
        </w:rPr>
      </w:pPr>
      <w:r w:rsidRPr="00011634">
        <w:rPr>
          <w:rStyle w:val="FootnoteReference"/>
          <w:rFonts w:ascii="Times New Roman" w:hAnsi="Times New Roman" w:cs="Times New Roman"/>
          <w:sz w:val="16"/>
          <w:szCs w:val="16"/>
        </w:rPr>
        <w:footnoteRef/>
      </w:r>
      <w:r w:rsidRPr="00011634">
        <w:rPr>
          <w:rFonts w:ascii="Times New Roman" w:hAnsi="Times New Roman" w:cs="Times New Roman"/>
          <w:sz w:val="16"/>
          <w:szCs w:val="16"/>
        </w:rPr>
        <w:t xml:space="preserve"> </w:t>
      </w:r>
      <w:r w:rsidRPr="00011634">
        <w:rPr>
          <w:rFonts w:ascii="Times New Roman" w:hAnsi="Times New Roman" w:cs="Times New Roman"/>
          <w:sz w:val="16"/>
          <w:szCs w:val="16"/>
        </w:rPr>
        <w:tab/>
        <w:t xml:space="preserve">Se puede encontrar información sobre cómo crear un CV Europass en línea en: </w:t>
      </w:r>
      <w:hyperlink r:id="rId5" w:history="1">
        <w:r w:rsidRPr="00011634">
          <w:rPr>
            <w:rStyle w:val="Hyperlink"/>
            <w:rFonts w:ascii="Times New Roman" w:hAnsi="Times New Roman" w:cs="Times New Roman"/>
            <w:sz w:val="16"/>
            <w:szCs w:val="16"/>
          </w:rPr>
          <w:t>https://europa.eu/europass/es/create-europass-cv</w:t>
        </w:r>
      </w:hyperlink>
      <w:r w:rsidRPr="00011634">
        <w:rPr>
          <w:rFonts w:ascii="Times New Roman" w:hAnsi="Times New Roman" w:cs="Times New Roman"/>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markup="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1634"/>
    <w:rsid w:val="00015138"/>
    <w:rsid w:val="000217A2"/>
    <w:rsid w:val="00022B52"/>
    <w:rsid w:val="000300B2"/>
    <w:rsid w:val="00036471"/>
    <w:rsid w:val="0005385F"/>
    <w:rsid w:val="00053F88"/>
    <w:rsid w:val="000616AE"/>
    <w:rsid w:val="0006221C"/>
    <w:rsid w:val="00066A55"/>
    <w:rsid w:val="0008087C"/>
    <w:rsid w:val="00081B31"/>
    <w:rsid w:val="0008340B"/>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13525"/>
    <w:rsid w:val="00420DBB"/>
    <w:rsid w:val="0043446E"/>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A3B8A"/>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872BE"/>
    <w:rsid w:val="007914B1"/>
    <w:rsid w:val="00791B6C"/>
    <w:rsid w:val="0079689A"/>
    <w:rsid w:val="00796B44"/>
    <w:rsid w:val="007A047F"/>
    <w:rsid w:val="007A1D4C"/>
    <w:rsid w:val="007B4B2C"/>
    <w:rsid w:val="007C4290"/>
    <w:rsid w:val="007C5095"/>
    <w:rsid w:val="007C6679"/>
    <w:rsid w:val="007E1A6A"/>
    <w:rsid w:val="007E1AC2"/>
    <w:rsid w:val="007E7FE2"/>
    <w:rsid w:val="007F1F11"/>
    <w:rsid w:val="007F231B"/>
    <w:rsid w:val="007F7D8B"/>
    <w:rsid w:val="00800764"/>
    <w:rsid w:val="00805BB3"/>
    <w:rsid w:val="0081601E"/>
    <w:rsid w:val="00821407"/>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55ED"/>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2D11"/>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S/TXT/?uri=CELEX%3A01962R0031-20140701" TargetMode="External"/><Relationship Id="rId2" Type="http://schemas.openxmlformats.org/officeDocument/2006/relationships/hyperlink" Target="https://eur-lex.europa.eu/legal-content/ES/TXT/?uri=CELEX%3A01958R0001-20130701" TargetMode="External"/><Relationship Id="rId1" Type="http://schemas.openxmlformats.org/officeDocument/2006/relationships/hyperlink" Target="http://eur-lex.europa.eu/legal-content/ES/TXT/PDF/?uri=CELEX:01958R0001-20130701&amp;qid=1408533709461&amp;from=ES" TargetMode="External"/><Relationship Id="rId5" Type="http://schemas.openxmlformats.org/officeDocument/2006/relationships/hyperlink" Target="https://europa.eu/europass/es/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2.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3.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FC0D7-C62B-4325-9FFD-90011EC8A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2306</Words>
  <Characters>13310</Characters>
  <Application>Microsoft Office Word</Application>
  <DocSecurity>0</DocSecurity>
  <Lines>211</Lines>
  <Paragraphs>104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15512</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MARTINEZ MARTOS Dolores (DGT)</cp:lastModifiedBy>
  <cp:revision>9</cp:revision>
  <cp:lastPrinted>2018-05-18T17:34:00Z</cp:lastPrinted>
  <dcterms:created xsi:type="dcterms:W3CDTF">2026-02-26T17:46:00Z</dcterms:created>
  <dcterms:modified xsi:type="dcterms:W3CDTF">2026-03-05T08:07:00Z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