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Generaldirektoratet for Kommunikation</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Offentliggørelse af en stilling som ledende konsulent – Det Europæiske Center for Demokratisk Modstandsdygtighed (lønklasse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(Personalevedtægtens artikel 29, stk. 2)</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Hvem er vi?</w:t>
      </w:r>
    </w:p>
    <w:p w14:paraId="053F7BA5" w14:textId="368DE841" w:rsidR="00791B6C" w:rsidRDefault="0071692E" w:rsidP="00F50BCB">
      <w:pPr>
        <w:spacing w:after="240"/>
        <w:jc w:val="both"/>
      </w:pPr>
      <w:r>
        <w:rPr>
          <w:rFonts w:ascii="Arial" w:hAnsi="Arial"/>
          <w:sz w:val="18"/>
          <w:shd w:val="clear" w:color="auto" w:fill="FAFAFA"/>
        </w:rPr>
        <w:t>Generaldirektoratet for Kommunikation (GD COMM) er en institutionel kommunikationstjeneste i Europa-Kommissionen under ledelse af formanden for Europa-Kommissionen. Vi fremmer og støtter Kommissionens politiske prioriteter og bidrager til at bringe Europa tættere på borgerne. GD COMM omfatter talsmandstjenesten, Kommissionens repræsentationer i medlemsstaterne og fire direktorater. GD COMM varetager koordineringen af det nyoprettede Europæiske Center for Demokratisk Modstandsdygtighed.</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Hvad kan vi tilbyde?</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En stilling som "ledende konsulent – Det Europæiske Center for Demokratisk Modstandsdygtighed " i GD COMM. Du vil i denne rolle skulle rådgive generaldirektøren om ledelsen, koordineringen og den fremtidige udvikling af det nyoprettede center. Dette omfatter ledelse af centrets sekretariat med personale i GD COMM og forbindelsesofficerer i andre tjenestegrene. Stillingen indebærer koordinering af centrets projekter i meget tæt samarbejde med de deltagende medlemsstater. Det forventes, at du arbejder tæt sammen med Kommissionens tjenestegrene, andre EU-institutioner og organer, navnlig Tjenesten for EU's Optræden Udadtil, og med medlemsstater, kandidatlande og civilsamfundet. Du kommer også til at rådgive om og koordinere samspillet med en bred vifte af interessenter (navnlig interessenter inden for civilsamfundet) og tænketanke. Denne stilling på højt niveau giver en unik mulighed for at bidrage til en vellykket gennemførelse af dette initiativ.</w:t>
      </w:r>
    </w:p>
    <w:p w14:paraId="4312D48A" w14:textId="4D045DB1" w:rsidR="00791B6C" w:rsidRPr="002D1B0B"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Hvem søger vi? (udvælgelseskriterier)</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Personlige kvaliteter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Særdeles gode evner til at samarbejde, kommunikere, netværke og forhandle med henblik på at skabe et tæt samarbejde i Kommissionen, med medlemsstaterne og andre eksterne partnere og på at repræsentere generaldirektorat og Centret for Demokratisk Modstandsdygtighed på højt plan</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Stor fleksibilitet og evnen til at reagere hurtigt på nye behov inden for komplekse matrixstrukturer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Særdeles god evne til at koordinere og skabe resultater med hensyn til komplekse projekter med mange interessenter ved at have en proaktiv tilgang til projektgennemførelser gennem et startupmindset</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Evne til at arbejde selvstændigt og tage initiativ kombineret med en stor samarbejdsvilje</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Evne til at levere kvalitetsarbejde i et højt tempo og i komplekse miljøer, også som led i det direkte samarbejde med den øverste ledelse og den politiske ledelse</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Specialistfærdigheder og -erfaring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Særdeles gode konceptuelle og analytiske færdigheder kombineret med evnen til at lægge strategier og fastsætte prioriteter og mål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Indgående kendskab eller erfaringer med hensyn til at understøtte informationsintegritet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lastRenderedPageBreak/>
        <w:t>Indgående kendskab til udfordringer og trusler, som demokratier står over for i hele EU, og til holistiske tilgange for at imødegå disse udfordringer og trusler – fra bekæmpelse af udenlandsk informationsmanipulation og indblanding og desinformation til styrkelse af demokratisk modstandsdygtighed</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Erfaring med udarbejdelse og gennemførelse af løsningsmuligheder, herunder en forstærket situationsbevidsthed og fremme af samfundsmæssig modstandsdygtighed</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Meget gode færdigheder inden for og betydelig erfaring med interessentsamarbejde på europæisk plan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Solidt kendskab til og/eller erfaring med administrative praksisser og procedurer, planlægning og økonomisk forvaltning</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Rådgivningsfærdigheder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Evne til at rådgive og bidrage til den strategiske koordinering af tværgående spørgsmål på området for demokratisk modstandsdygtighed, navnlig til støtte for situationsbevidstheden og udarbejdelse af løsningsmuligheder for at bevare informationsområdets integritet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Evne til at yde strategisk rådgivning til den øverste ledelse som påkrævet i stillingen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Evne til at kombinere politisk og kommunikationsmæssig rådgivning om fremtrædende og vanskelige spørgsmål</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Evne til at rådgive generaldirektøren og den øverste ledelse om udviklingen og gennemførelsen af strategier for kommunikation og outreachaktiviteter, som involverer en bred vifte af interessenter. </w:t>
      </w:r>
    </w:p>
    <w:p w14:paraId="1960D813" w14:textId="54BAD2D7" w:rsidR="00E53957" w:rsidRPr="002D1B0B"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Hvad skal du kunne (formelle krav)?</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For at komme i betragtning ved udvælgelsen skal ansøgere opfylde følgende formelle krav </w:t>
      </w:r>
      <w:r>
        <w:rPr>
          <w:rFonts w:ascii="Times New Roman" w:hAnsi="Times New Roman"/>
          <w:b/>
        </w:rPr>
        <w:t>ved ansøgningsfristens udløb</w:t>
      </w:r>
      <w:r>
        <w:rPr>
          <w:rFonts w:ascii="Times New Roman" w:hAnsi="Times New Roman"/>
        </w:rPr>
        <w:t>:</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Nationalitet</w:t>
      </w:r>
      <w:r>
        <w:rPr>
          <w:rFonts w:ascii="Times New Roman" w:hAnsi="Times New Roman"/>
        </w:rPr>
        <w:t>: Som ansøger skal man være statsborger i en af Den Europæiske Unions medlemsstater.</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Uddannelse på universitetsniveau med eksamensbevis</w:t>
      </w:r>
      <w:r>
        <w:rPr>
          <w:rFonts w:ascii="Times New Roman" w:hAnsi="Times New Roman"/>
        </w:rPr>
        <w:t>: Ansøgerne skal have:</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enten en uddannelse på universitetsniveau, der er afsluttet med et eksamensbevis, og som er normeret til mindst 4 år</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eller en uddannelse på universitetsniveau, der er afsluttet med et eksamensbevis, og mindst 1 års relevant erhvervserfaring, hvis den normerede studietid er på mindst 3 år (erhvervserfaringen på 1 år kan ikke medregnes i den erfaring, der nedenfor kræves efter endt uddannelse).</w:t>
      </w:r>
    </w:p>
    <w:p w14:paraId="6E262506"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Kun eksamensbeviser, der er blevet udstedt i EU's medlemsstater, eller som er omfattet af et overensstemmelsescertifikat, der er udstedt af myndighederne i et af disse medlemsstater, kan tages i betragtning.</w:t>
      </w:r>
    </w:p>
    <w:p w14:paraId="5D4BEC0D"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Erhvervserfaring</w:t>
      </w:r>
      <w:r>
        <w:rPr>
          <w:rFonts w:ascii="Times New Roman" w:hAnsi="Times New Roman"/>
        </w:rPr>
        <w:t>: Ansøgerne skal have mindst 15 års erhvervserfaring efter endt uddannelse</w:t>
      </w:r>
      <w:r>
        <w:rPr>
          <w:rStyle w:val="FootnoteReference"/>
          <w:rFonts w:ascii="Times New Roman" w:hAnsi="Times New Roman" w:cs="Times New Roman"/>
          <w:b/>
        </w:rPr>
        <w:footnoteReference w:id="2"/>
      </w:r>
      <w:r>
        <w:rPr>
          <w:rFonts w:ascii="Times New Roman" w:hAnsi="Times New Roman"/>
        </w:rPr>
        <w:t xml:space="preserve"> på et niveau, som ovennævnte kvalifikationer giver adgang til.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lastRenderedPageBreak/>
        <w:t>Rådgivningsmæssig erfaring</w:t>
      </w:r>
      <w:r>
        <w:rPr>
          <w:rFonts w:ascii="Times New Roman" w:hAnsi="Times New Roman"/>
        </w:rPr>
        <w:t>: Mindst 5 år af erhvervserfaringen efter endt uddannelse skal være erhvervet fra en rådgivningsfunktion på højt niveau</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Sprog</w:t>
      </w:r>
      <w:r>
        <w:rPr>
          <w:rFonts w:ascii="Times New Roman" w:hAnsi="Times New Roman"/>
        </w:rPr>
        <w:t>: Ansøgere skal have et indgående kendskab til et af Den Europæiske Unions officielle sprog</w:t>
      </w:r>
      <w:r>
        <w:rPr>
          <w:rStyle w:val="FootnoteReference"/>
          <w:rFonts w:ascii="Times New Roman" w:hAnsi="Times New Roman" w:cs="Times New Roman"/>
        </w:rPr>
        <w:footnoteReference w:id="4"/>
      </w:r>
      <w:r>
        <w:rPr>
          <w:rFonts w:ascii="Times New Roman" w:hAnsi="Times New Roman"/>
        </w:rPr>
        <w:t xml:space="preserve"> og et tilfredsstillende kendskab til et andet af disse officielle sprog. Udvælgelsespanelerne vil under samtalen eller samtalerne kontrollere, om ansøgerne opfylder kravet om et tilfredsstillende kendskab til et andet officielt EU-sprog. En del af eller hele samtalen kan således finde sted på dette andet sprog.</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Aldersgrænse</w:t>
      </w:r>
      <w:r>
        <w:rPr>
          <w:rFonts w:ascii="Times New Roman" w:hAnsi="Times New Roman"/>
        </w:rPr>
        <w:t>: Som ansøger skal man være under pensionsalderen, som for EU-tjenestemænd er udgangen af den måned, hvor tjenestemanden fylder 66 år, jf. personalevedtægtens artikel 52, litra a)</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Udvælgelse og udnævnelse</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 xml:space="preserve">Udvælgelsen og udnævnelsen foregår efter Europa-Kommissionens udvælgelses- og ansættelsesprocedurer (se: "Document on Senior Officials Policy" </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Som led i udvælgelsen nedsætter Europa-Kommissionen et forhåndsudvælgelsespanel. Dette panel gennemgår alle ansøgningerne, foretager en indledende kontrol af, om de formelle krav er opfyldt, og udvælger de ansøgere, der har den bedst egnede profil under hensyntagen til de ovennævnte udvælgelseskriterier, og som kan indkaldes til samtale med forhåndsudvælgelsespanelet.</w:t>
      </w:r>
      <w:r>
        <w:t xml:space="preserve"> </w:t>
      </w:r>
      <w:r>
        <w:rPr>
          <w:rFonts w:ascii="Times New Roman" w:hAnsi="Times New Roman"/>
        </w:rPr>
        <w:t>Ansøgerne kan blive bedt om at fremlægge dokumentation til støtte for oplysningerne i deres ansøgning på et hvilket som helst tidspunkt under proceduren. Hvis disse dokumenter ikke fremlægges inden for den frist, der er fastsat i anmodningen, kan det føre til udelukkelse fra udvælgelsen.</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Efter samtalerne udarbejder forhåndsudvælgelsespanelet sine konklusioner og foreslår en liste over de ansøgere, der går videre til yderligere samtaler med Europa-Kommissionens Rådgivende Udvalg for Udnævnelser ("udvalget"). Udvalget afgør under hensyn til forhåndsudvælgelsespanelets konklusioner, hvilke ansøgere der indkaldes til en samtale.</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Ansøgere, der indkaldes til en samtale med udvalget, skal deltage i et assessmentcenter for ledere af en dags varighed, der ledes af eksterne rekrutteringskonsulenter. På grundlag af samtalen og rapporten fra assessmentcentret opstiller udvalget en liste over de ansøgere, som det anser for egnede til stillingen.</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Ansøgerne på denne liste vil blive indkaldt til samtale med det eller de relevante medlemmer af Kommissionen.</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Efter disse samtaler træffer Europa-Kommissionen afgørelse om udnævnelsen.</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lastRenderedPageBreak/>
        <w:t>Den udvalgte ansøger skal have opfyldt sine forpligtelser efter lovgivningen om værnepligt, opfylde de vandelskrav, der stilles for at udføre de pågældende opgaver, og være fysisk i stand til at udføre sine opgaver.</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Den udvalgte ansøger skal have eller kunne få udstedt et gyldigt sikkerhedsgodkendelsescertifikat fra den nationale sikkerhedsmyndighed. En personelsikkerhedsgodkendelse er en administrativ afgørelse, der træffes, efter at den kompetente nationale sikkerhedsmyndighed i overensstemmelse med gældende national sikkerhedslovgivning har foretaget en sikkerhedsundersøgelse, som bekræfter, at den pågældende person kan sikkerhedsgodkendes til at få adgang til klassificerede oplysninger på et bestemt niveau. (Bemærk at proceduren for at blive sikkerhedsgodkendt kun kan indledes af arbejdsgiveren og ikke af den enkelte ansøger).</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Først når den relevante medlemsstat har givet personelsikkerhedsgodkendelse, og først når sikkerhedsgodkendelsesproceduren er afsluttet med den lovpligtige orientering fra Europa-Kommissionens sikkerhedsdirektorat, vil ansøgeren kunne få adgang til EU-klassificerede informationer (EUCI) i klassifikationsgraden CONFIDENTIEL UE/EU CONFIDENTIAL eller højere og kunne deltage i møder, hvor sådanne EUCI drøftes.</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Lige muligheder</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Kommissionen forfølger i overensstemmelse med personalevedtægtens artikel 1d et strategisk mål om at opnå ligestilling mellem kønnene på alle ledelsesniveauer inden udgangen af sit nuværende mandat og anvender en politik for lige muligheder for at tilskynde til ansøgninger, som kan bidrage til større mangfoldighed, ligestilling mellem kønnene og generel geografisk balance.</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Ansættelsesvilkår</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Løn- og ansættelsesvilkårene er fastsat i personalevedtægten.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Den udvalgte ansøger vil blive ansat som en tjenestemand i lønklasse 14 og vil afhængigt af varigheden af sin erhvervserfaring blive indplaceret på trin 1 eller trin 2 i denne lønklasse.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Der gøres opmærksom på, at alle nyansatte ifølge personalevedtægten skal gennemgå en prøvetid på ni måneder.</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Tjenestestedet er Bruxelles, Belgien.</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Uafhængighed og interesseerklæring</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Ansøgere skal afgive en erklæring om, at de forpligter sig til at optræde uafhængigt i almenhedens interesse og skal afgive en erklæring om særlige interesser, som kan have betydning for deres uafhængighed.</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Vigtige oplysninger til ansøgerne</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Ansøgere gøres opmærksomme på, at udvælgelsespanelernes arbejde er fortroligt. Ansøgere og andre, der optræder på deres vegne, må ikke henvende sig direkte eller indirekte til et panels medlemmer. Alle spørgsmål skal rettes til det pågældende panels sekretariat.</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Beskyttelse af personoplysninger</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Europa-Kommissionen sikrer, at ansøgernes personoplysninger behandles i overensstemmelse med Europa-Parlamentets og Rådets forordning (EU) 2018/1725</w:t>
      </w:r>
      <w:r>
        <w:rPr>
          <w:rStyle w:val="FootnoteReference"/>
          <w:rFonts w:ascii="Times New Roman" w:hAnsi="Times New Roman" w:cs="Times New Roman"/>
        </w:rPr>
        <w:footnoteReference w:id="7"/>
      </w:r>
      <w:r>
        <w:rPr>
          <w:rFonts w:ascii="Times New Roman" w:hAnsi="Times New Roman"/>
        </w:rPr>
        <w:t>. Dette gælder især oplysningernes fortrolighed og sikkerhed.</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Ansøgningsprocedure</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Ansøgerne opfordres til, inden de indsender ansøgningen, omhyggeligt at kontrollere, om de opfylder alle de formelle krav (se ovenfor), navnlig hvad angår kravene til eksamensbevis, erhvervserfaring på højt niveau samt sprogfærdigheder. Hvis et af de formelle krav ikke er opfyldt, udelukkes ansøgeren automatisk fra udvælgelsesproceduren.</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Hvis du er interesseret i at ansøge, bedes du registrere dig på nedenstående websted og følge anvisningerne for de forskellige trin i proceduren: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Ansøgere skal have en gyldig e-mailadresse. Den benyttes til at bekræfte din registrering og til al kontakt med dig undervejs på de forskellige trin i proceduren. Enhver ændring af e-mailadressen skal derfor meddeles Europa-Kommissionen.</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Ansøgningen er først fuldendt, når der er uploadet et CV i pdf-format, helst i Europass-CV-formatet</w:t>
      </w:r>
      <w:r>
        <w:rPr>
          <w:rStyle w:val="FootnoteReference"/>
          <w:rFonts w:ascii="Times New Roman" w:hAnsi="Times New Roman" w:cs="Times New Roman"/>
        </w:rPr>
        <w:footnoteReference w:id="8"/>
      </w:r>
      <w:r>
        <w:rPr>
          <w:rFonts w:ascii="Times New Roman" w:hAnsi="Times New Roman"/>
        </w:rPr>
        <w:t>, og skrevet en motiveret ansøgning online (højst 8 000 skrifttegn). Ansøgerne kan indgive deres CV og motiverede ansøgning på hvilket som helst af Den Europæiske Unions officielle sprog.</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Det er i ansøgerens interesse at sikre, at ansøgningen er korrekt, fyldestgørende og sandfærdig.</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Når ansøgningen er registreret online, modtager ansøgeren en e-mail med bekræftelse af registreringen. </w:t>
      </w:r>
      <w:r>
        <w:rPr>
          <w:rFonts w:ascii="Times New Roman" w:hAnsi="Times New Roman"/>
          <w:b/>
        </w:rPr>
        <w:t>Hvis ansøgeren ikke modtager en bekræftelse, er ansøgningen ikke blevet registreret.</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Bemærk, at det ikke er muligt at følge ansøgningens videre forløb online. Ansøgerne vil blive kontaktet direkte af Europa-Kommissionen med oplysning om ansøgningens status.</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Ansøgninger indsendt pr. e-mail tages ikke i betragtning. </w:t>
      </w:r>
      <w:r>
        <w:rPr>
          <w:rFonts w:ascii="Times New Roman" w:hAnsi="Times New Roman"/>
        </w:rPr>
        <w:t xml:space="preserve">Hvis der ønskes yderligere oplysninger, og/eller der opstår tekniske problemer, kan du sende en e-mail til: </w:t>
      </w:r>
      <w: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Ansøgerne har selv ansvaret for at indsende onlineansøgningen inden fristens udløb. Det anbefales på det kraftigste at gøre dette i god tid, eftersom stor trafik på internettet eller eventuelle problemer med internetforbindelsen kan føre til, at onlineregistreringen afbrydes, hvorpå hele processen skal gentages. Når ansøgningsfristen er udløbet, kan der ikke længere indføres oplysninger. Ansøgninger modtaget efter fristens udløb tages ikke i betragtning.</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Ansøgningsfrist </w:t>
      </w:r>
    </w:p>
    <w:p w14:paraId="661DD29D" w14:textId="785B7EE3" w:rsidR="007E7FE2"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Ansøgningsfristen er den </w:t>
      </w:r>
      <w:r>
        <w:rPr>
          <w:rFonts w:ascii="Times New Roman" w:hAnsi="Times New Roman"/>
          <w:b/>
        </w:rPr>
        <w:t>10. april 2026 kl. 12.00 (middag) lokal tid i Bruxelles</w:t>
      </w:r>
      <w:r>
        <w:rPr>
          <w:rFonts w:ascii="Times New Roman" w:hAnsi="Times New Roman"/>
        </w:rPr>
        <w:t>, hvorefter det ikke længere vil være muligt at søge.</w:t>
      </w: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Erhvervserfaring tages kun i betragtning, hvis der er tale om et faktisk ansættelsesforhold forstået som et reelt lønnet arbejde som ansat (alle kontrakttyper) eller udbyder af en tjeneste. Erhvervsaktiviteter på deltidsbasis medregnes forholdsmæssigt på basis af den attesterede procentdel af fuldtidsarbejdstimer. Barselsorlov/forældreorlov/adoptionsorlov tages i betragtning, hvis den falder inden for rammerne af en ansættelseskontrakt. Ph.d.-studier, også ulønnede, sidestilles med erhvervserfaring, men for en periode på højst tre år, forudsat at ph.d.-studierne gennemføres. En given periode kan kun medregnes én gang.</w:t>
      </w:r>
    </w:p>
  </w:footnote>
  <w:footnote w:id="3">
    <w:p w14:paraId="57046BE9" w14:textId="77777777" w:rsidR="00590E8D" w:rsidRPr="002D1B0B" w:rsidRDefault="00A12B13" w:rsidP="00590E8D">
      <w:pPr>
        <w:pStyle w:val="pf0"/>
        <w:rPr>
          <w:rFonts w:eastAsiaTheme="minorHAnsi"/>
          <w:sz w:val="16"/>
          <w:szCs w:val="16"/>
        </w:rPr>
      </w:pPr>
      <w:r w:rsidRPr="002D1B0B">
        <w:rPr>
          <w:rStyle w:val="FootnoteReference"/>
          <w:sz w:val="16"/>
          <w:szCs w:val="16"/>
        </w:rPr>
        <w:footnoteRef/>
      </w:r>
      <w:r w:rsidRPr="002D1B0B">
        <w:rPr>
          <w:sz w:val="16"/>
          <w:szCs w:val="16"/>
        </w:rPr>
        <w:t xml:space="preserve"> Ansøgerne skal for alle de år, hvor rådgivningserfaringen er opnået, tydeligt anføre følgende i deres CV: 1) stillingsbetegnelse og arbejdsopgaver, 2) det præcise område og niveau i organisationen, hvor stillingen var placeret (antal overordnede og underordnede niveauer) og 3) rapporteringslinjen for hver stilling, ansøgeren har haft.</w:t>
      </w:r>
    </w:p>
    <w:p w14:paraId="3CC17E68" w14:textId="5FACAAE6" w:rsidR="00A12B13" w:rsidRPr="002D1B0B" w:rsidRDefault="00A12B13">
      <w:pPr>
        <w:pStyle w:val="FootnoteText"/>
      </w:pPr>
    </w:p>
  </w:footnote>
  <w:footnote w:id="4">
    <w:p w14:paraId="3118960B" w14:textId="19F0D8CF" w:rsidR="008649AA" w:rsidRPr="002D1B0B"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sidRPr="002D1B0B">
          <w:rPr>
            <w:rStyle w:val="Hyperlink"/>
            <w:rFonts w:ascii="Times New Roman" w:hAnsi="Times New Roman" w:cs="Times New Roman"/>
            <w:sz w:val="16"/>
            <w:szCs w:val="16"/>
          </w:rPr>
          <w:t>http://eur-lex.europa.eu/legal-content/da/TXT/PDF/?uri=CELEX:01958R0001-20130701&amp;qid=1408533709461&amp;from=DA</w:t>
        </w:r>
      </w:hyperlink>
      <w:hyperlink r:id="rId2" w:history="1">
        <w:r w:rsidRPr="002D1B0B">
          <w:rPr>
            <w:rStyle w:val="Hyperlink"/>
            <w:rFonts w:ascii="Times New Roman" w:hAnsi="Times New Roman" w:cs="Times New Roman"/>
            <w:sz w:val="16"/>
            <w:szCs w:val="16"/>
          </w:rPr>
          <w:t>https://eur-lex.europa.eu/legal-content/da/TXT/?uri=CELEX%3A01958R0001-20130701</w:t>
        </w:r>
      </w:hyperlink>
      <w:r w:rsidRPr="002D1B0B">
        <w:rPr>
          <w:rFonts w:ascii="Times New Roman" w:hAnsi="Times New Roman" w:cs="Times New Roman"/>
          <w:sz w:val="16"/>
          <w:szCs w:val="16"/>
        </w:rPr>
        <w:t>.</w:t>
      </w:r>
      <w:r w:rsidRPr="002D1B0B">
        <w:rPr>
          <w:rStyle w:val="Hyperlink"/>
          <w:rFonts w:ascii="Times New Roman" w:hAnsi="Times New Roman" w:cs="Times New Roman"/>
          <w:sz w:val="16"/>
          <w:szCs w:val="16"/>
        </w:rPr>
        <w:t xml:space="preserve"> </w:t>
      </w:r>
    </w:p>
  </w:footnote>
  <w:footnote w:id="5">
    <w:p w14:paraId="32AC9A16" w14:textId="18DF4C14" w:rsidR="000E34E6" w:rsidRPr="002D1B0B" w:rsidRDefault="003542EC" w:rsidP="000E34E6">
      <w:pPr>
        <w:pStyle w:val="FootnoteText"/>
        <w:ind w:left="284" w:hanging="284"/>
        <w:jc w:val="both"/>
        <w:rPr>
          <w:rFonts w:ascii="Times New Roman" w:hAnsi="Times New Roman" w:cs="Times New Roman"/>
          <w:color w:val="0000FF" w:themeColor="hyperlink"/>
          <w:sz w:val="16"/>
          <w:szCs w:val="16"/>
          <w:u w:val="single"/>
        </w:rPr>
      </w:pPr>
      <w:r w:rsidRPr="002D1B0B">
        <w:rPr>
          <w:rStyle w:val="FootnoteReference"/>
          <w:rFonts w:ascii="Times New Roman" w:hAnsi="Times New Roman" w:cs="Times New Roman"/>
          <w:sz w:val="16"/>
          <w:szCs w:val="16"/>
        </w:rPr>
        <w:footnoteRef/>
      </w:r>
      <w:r w:rsidRPr="002D1B0B">
        <w:rPr>
          <w:rFonts w:ascii="Times New Roman" w:hAnsi="Times New Roman" w:cs="Times New Roman"/>
          <w:sz w:val="16"/>
          <w:szCs w:val="16"/>
        </w:rPr>
        <w:t xml:space="preserve"> </w:t>
      </w:r>
      <w:r w:rsidRPr="002D1B0B">
        <w:rPr>
          <w:rFonts w:ascii="Times New Roman" w:hAnsi="Times New Roman" w:cs="Times New Roman"/>
          <w:sz w:val="16"/>
          <w:szCs w:val="16"/>
        </w:rPr>
        <w:tab/>
      </w:r>
      <w:hyperlink r:id="rId3" w:history="1">
        <w:r w:rsidRPr="002D1B0B">
          <w:rPr>
            <w:rStyle w:val="Hyperlink"/>
            <w:rFonts w:ascii="Times New Roman" w:hAnsi="Times New Roman" w:cs="Times New Roman"/>
            <w:sz w:val="16"/>
            <w:szCs w:val="16"/>
          </w:rPr>
          <w:t>https://eur-lex.europa.eu/legal-content/da/TXT/?uri=CELEX%3A01962R0031-20140701</w:t>
        </w:r>
      </w:hyperlink>
      <w:r w:rsidRPr="002D1B0B">
        <w:rPr>
          <w:rFonts w:ascii="Times New Roman" w:hAnsi="Times New Roman" w:cs="Times New Roman"/>
          <w:sz w:val="16"/>
          <w:szCs w:val="16"/>
        </w:rPr>
        <w:t>.</w:t>
      </w:r>
      <w:r w:rsidRPr="002D1B0B">
        <w:rPr>
          <w:rStyle w:val="Hyperlink"/>
          <w:rFonts w:ascii="Times New Roman" w:hAnsi="Times New Roman" w:cs="Times New Roman"/>
          <w:sz w:val="16"/>
          <w:szCs w:val="16"/>
        </w:rPr>
        <w:t xml:space="preserve"> </w:t>
      </w:r>
    </w:p>
  </w:footnote>
  <w:footnote w:id="6">
    <w:p w14:paraId="49D07674" w14:textId="77777777" w:rsidR="00512EDC" w:rsidRPr="002D1B0B" w:rsidRDefault="009D3D62" w:rsidP="00512EDC">
      <w:pPr>
        <w:pStyle w:val="FootnoteText"/>
        <w:ind w:left="284" w:hanging="284"/>
        <w:jc w:val="both"/>
        <w:rPr>
          <w:rFonts w:ascii="Times New Roman" w:hAnsi="Times New Roman" w:cs="Times New Roman"/>
          <w:sz w:val="16"/>
          <w:szCs w:val="16"/>
        </w:rPr>
      </w:pPr>
      <w:r w:rsidRPr="002D1B0B">
        <w:rPr>
          <w:rStyle w:val="FootnoteReference"/>
          <w:rFonts w:ascii="Times New Roman" w:hAnsi="Times New Roman" w:cs="Times New Roman"/>
          <w:sz w:val="16"/>
          <w:szCs w:val="16"/>
        </w:rPr>
        <w:footnoteRef/>
      </w:r>
      <w:r w:rsidRPr="002D1B0B">
        <w:rPr>
          <w:rFonts w:ascii="Times New Roman" w:hAnsi="Times New Roman" w:cs="Times New Roman"/>
          <w:sz w:val="16"/>
          <w:szCs w:val="16"/>
        </w:rPr>
        <w:t xml:space="preserve"> </w:t>
      </w:r>
      <w:r w:rsidRPr="002D1B0B">
        <w:rPr>
          <w:rFonts w:ascii="Times New Roman" w:hAnsi="Times New Roman" w:cs="Times New Roman"/>
          <w:sz w:val="16"/>
          <w:szCs w:val="16"/>
        </w:rPr>
        <w:tab/>
      </w:r>
      <w:hyperlink r:id="rId4">
        <w:r w:rsidRPr="002D1B0B">
          <w:rPr>
            <w:rStyle w:val="Hyperlink"/>
            <w:rFonts w:ascii="Times New Roman" w:hAnsi="Times New Roman" w:cs="Times New Roman"/>
            <w:color w:val="0000FF"/>
            <w:sz w:val="16"/>
            <w:szCs w:val="16"/>
          </w:rPr>
          <w:t>https://commission.europa.eu/publications/documents-senior-management-selection-procedures_en</w:t>
        </w:r>
      </w:hyperlink>
      <w:r w:rsidRPr="002D1B0B">
        <w:rPr>
          <w:rFonts w:ascii="Times New Roman" w:hAnsi="Times New Roman" w:cs="Times New Roman"/>
          <w:sz w:val="16"/>
          <w:szCs w:val="16"/>
        </w:rPr>
        <w:t xml:space="preserve"> (findes kun på engelsk).</w:t>
      </w:r>
    </w:p>
    <w:p w14:paraId="4C919712" w14:textId="5D5D12A3" w:rsidR="009D3D62" w:rsidRDefault="009D3D62" w:rsidP="009D3D62">
      <w:pPr>
        <w:pStyle w:val="FootnoteText"/>
        <w:ind w:left="284" w:hanging="284"/>
        <w:jc w:val="both"/>
      </w:pPr>
    </w:p>
  </w:footnote>
  <w:footnote w:id="7">
    <w:p w14:paraId="48531ABE" w14:textId="77777777" w:rsidR="00AF21B0" w:rsidRPr="002D1B0B" w:rsidRDefault="00AF21B0" w:rsidP="00AF21B0">
      <w:pPr>
        <w:pStyle w:val="FootnoteText"/>
        <w:ind w:left="284" w:hanging="284"/>
        <w:rPr>
          <w:rFonts w:ascii="Times New Roman" w:hAnsi="Times New Roman" w:cs="Times New Roman"/>
          <w:sz w:val="16"/>
          <w:szCs w:val="16"/>
        </w:rPr>
      </w:pPr>
      <w:r w:rsidRPr="002D1B0B">
        <w:rPr>
          <w:rStyle w:val="FootnoteReference"/>
          <w:rFonts w:ascii="Times New Roman" w:hAnsi="Times New Roman" w:cs="Times New Roman"/>
          <w:sz w:val="16"/>
          <w:szCs w:val="16"/>
        </w:rPr>
        <w:footnoteRef/>
      </w:r>
      <w:r w:rsidRPr="002D1B0B">
        <w:rPr>
          <w:rFonts w:ascii="Times New Roman" w:hAnsi="Times New Roman" w:cs="Times New Roman"/>
          <w:sz w:val="16"/>
          <w:szCs w:val="16"/>
        </w:rPr>
        <w:t xml:space="preserve"> </w:t>
      </w:r>
      <w:r w:rsidRPr="002D1B0B">
        <w:rPr>
          <w:rFonts w:ascii="Times New Roman" w:hAnsi="Times New Roman" w:cs="Times New Roman"/>
          <w:sz w:val="16"/>
          <w:szCs w:val="16"/>
        </w:rPr>
        <w:tab/>
        <w:t>Europa-Parlamentets og Rådets forordning (EU) 2018/1725 af 23. oktober 2018 om beskyttelse af fysiske personer i forbindelse med behandling af personoplysninger i Unionens institutioner, organer, kontorer og agenturer og om fri udveksling af sådanne oplysninger og om ophævelse af forordning (EF) nr. 45/2001 og afgørelse nr. 1247/2002/EF (EUT L 295 af 21.11.2018, s. 39).</w:t>
      </w:r>
    </w:p>
  </w:footnote>
  <w:footnote w:id="8">
    <w:p w14:paraId="24BBB1E7" w14:textId="21736824" w:rsidR="00EC7181" w:rsidRPr="00EC7181" w:rsidRDefault="00EC7181" w:rsidP="00BE6643">
      <w:pPr>
        <w:pStyle w:val="FootnoteText"/>
        <w:ind w:left="284" w:hanging="284"/>
        <w:rPr>
          <w:rFonts w:ascii="Arial" w:hAnsi="Arial" w:cs="Arial"/>
          <w:sz w:val="16"/>
        </w:rPr>
      </w:pPr>
      <w:r w:rsidRPr="002D1B0B">
        <w:rPr>
          <w:rStyle w:val="FootnoteReference"/>
          <w:rFonts w:ascii="Times New Roman" w:hAnsi="Times New Roman" w:cs="Times New Roman"/>
          <w:sz w:val="16"/>
          <w:szCs w:val="16"/>
        </w:rPr>
        <w:footnoteRef/>
      </w:r>
      <w:r w:rsidRPr="002D1B0B">
        <w:rPr>
          <w:rFonts w:ascii="Times New Roman" w:hAnsi="Times New Roman" w:cs="Times New Roman"/>
          <w:sz w:val="16"/>
          <w:szCs w:val="16"/>
        </w:rPr>
        <w:t xml:space="preserve"> </w:t>
      </w:r>
      <w:r w:rsidRPr="002D1B0B">
        <w:rPr>
          <w:rFonts w:ascii="Times New Roman" w:hAnsi="Times New Roman" w:cs="Times New Roman"/>
          <w:sz w:val="16"/>
          <w:szCs w:val="16"/>
        </w:rPr>
        <w:tab/>
        <w:t xml:space="preserve">Oplysninger om, hvordan man opretter et Europass-CV online, findes på: </w:t>
      </w:r>
      <w:hyperlink r:id="rId5" w:history="1">
        <w:r w:rsidRPr="002D1B0B">
          <w:rPr>
            <w:rStyle w:val="Hyperlink"/>
            <w:rFonts w:ascii="Times New Roman" w:hAnsi="Times New Roman" w:cs="Times New Roman"/>
            <w:sz w:val="16"/>
            <w:szCs w:val="16"/>
          </w:rPr>
          <w:t>https://europa.eu/europass/da/create-europass-cv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446F6"/>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1B0B"/>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4379D"/>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da/TXT/?uri=CELEX%3A01962R0031-20140701" TargetMode="External"/><Relationship Id="rId2" Type="http://schemas.openxmlformats.org/officeDocument/2006/relationships/hyperlink" Target="https://eur-lex.europa.eu/legal-content/DA/TXT/?uri=CELEX%3A01958R0001-20130701" TargetMode="External"/><Relationship Id="rId1" Type="http://schemas.openxmlformats.org/officeDocument/2006/relationships/hyperlink" Target="http://eur-lex.europa.eu/legal-content/da/TXT/PDF/?uri=CELEX:01958R0001-20130701&amp;qid=1408533709461&amp;from=da" TargetMode="External"/><Relationship Id="rId5" Type="http://schemas.openxmlformats.org/officeDocument/2006/relationships/hyperlink" Target="https://europass.europa.eu/da/create-europass-cv" TargetMode="External"/><Relationship Id="rId4" Type="http://schemas.openxmlformats.org/officeDocument/2006/relationships/hyperlink" Target="https://commission.europa.eu/publications/documents-senior-management-selection-procedures_d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3.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4.xml><?xml version="1.0" encoding="utf-8"?>
<ds:datastoreItem xmlns:ds="http://schemas.openxmlformats.org/officeDocument/2006/customXml" ds:itemID="{372FC0D7-C62B-4325-9FFD-90011EC8A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1938</Words>
  <Characters>11184</Characters>
  <Application>Microsoft Office Word</Application>
  <DocSecurity>0</DocSecurity>
  <Lines>177</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13035</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OTTESEN Martin (DGT)</cp:lastModifiedBy>
  <cp:revision>3</cp:revision>
  <cp:lastPrinted>2018-05-18T17:34:00Z</cp:lastPrinted>
  <dcterms:created xsi:type="dcterms:W3CDTF">2026-03-03T15:48:00Z</dcterms:created>
  <dcterms:modified xsi:type="dcterms:W3CDTF">2026-03-05T09:27:00Z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