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BF202" w14:textId="77777777" w:rsidR="00136457" w:rsidRPr="00136457" w:rsidRDefault="00136457" w:rsidP="00136457">
      <w:pPr>
        <w:pStyle w:val="ZDGName"/>
        <w:jc w:val="center"/>
        <w:rPr>
          <w:b/>
          <w:sz w:val="22"/>
          <w:szCs w:val="22"/>
        </w:rPr>
      </w:pPr>
      <w:r>
        <w:rPr>
          <w:b/>
          <w:sz w:val="22"/>
        </w:rPr>
        <w:t xml:space="preserve">Glavna uprava za komunikacijske mreže, sadržaje i tehnologije (CNECT)</w:t>
      </w:r>
    </w:p>
    <w:p w14:paraId="34301091" w14:textId="77777777" w:rsidR="00136457" w:rsidRPr="00136457" w:rsidRDefault="00136457" w:rsidP="00136457">
      <w:pPr>
        <w:pStyle w:val="ZDGName"/>
        <w:rPr>
          <w:b/>
          <w:sz w:val="22"/>
          <w:szCs w:val="22"/>
        </w:rPr>
      </w:pPr>
    </w:p>
    <w:p w14:paraId="32F85C59" w14:textId="77777777" w:rsidR="00136457" w:rsidRDefault="00136457" w:rsidP="00136457">
      <w:pPr>
        <w:pStyle w:val="ZDGName"/>
        <w:jc w:val="center"/>
        <w:rPr>
          <w:sz w:val="22"/>
          <w:szCs w:val="22"/>
        </w:rPr>
      </w:pPr>
      <w:r>
        <w:rPr>
          <w:sz w:val="22"/>
        </w:rPr>
        <w:t xml:space="preserve">Objava slobodnog radnog mjesta direktora za digitalnu izvrsnost i znanstvenu infrastrukturu (razred AD 14)</w:t>
      </w:r>
    </w:p>
    <w:p w14:paraId="7CFB9BB8" w14:textId="77777777" w:rsidR="00136457" w:rsidRDefault="00136457" w:rsidP="00136457">
      <w:pPr>
        <w:pStyle w:val="ZDGName"/>
        <w:jc w:val="center"/>
        <w:rPr>
          <w:sz w:val="22"/>
          <w:szCs w:val="22"/>
        </w:rPr>
      </w:pPr>
    </w:p>
    <w:p w14:paraId="5B91D66E" w14:textId="77777777" w:rsidR="00136457" w:rsidRDefault="00136457" w:rsidP="00136457">
      <w:pPr>
        <w:spacing w:after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(članak 29. stavak 2. Pravilnika o osoblju)</w:t>
      </w:r>
    </w:p>
    <w:p w14:paraId="04DC2C15" w14:textId="77777777" w:rsidR="00136457" w:rsidRDefault="00136457" w:rsidP="00136457">
      <w:pPr>
        <w:spacing w:after="24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COM/2023/10440</w:t>
      </w:r>
    </w:p>
    <w:p w14:paraId="7BA4D778" w14:textId="77777777" w:rsidR="008649AA" w:rsidRPr="007915CB" w:rsidRDefault="008649AA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24A227B3" w14:textId="76E649A9" w:rsidR="001F08A9" w:rsidRPr="007915CB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O nama</w:t>
      </w:r>
    </w:p>
    <w:p w14:paraId="7E648B60" w14:textId="77777777" w:rsidR="007915CB" w:rsidRPr="007915CB" w:rsidRDefault="007915CB" w:rsidP="007915CB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GU CONNECT podupire digitalnu transformaciju našeg gospodarstva i društva te priprema i provodi politike nužne za funkcioniranje unutarnjeg tržišta i pripremu Europe za digitalno doba.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Provedba aktivnosti Glavne uprave počiva na suradnji sa svim zainteresiranim stranama (poduzećima, akademskom zajednicom, javnim organizacijama, dionicima, građanima).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Aktivno promiče i međusektorsku suradnju unutar Glavne uprave i u Komisiji.</w:t>
      </w:r>
      <w:r>
        <w:rPr>
          <w:rFonts w:ascii="Times New Roman" w:hAnsi="Times New Roman"/>
        </w:rPr>
        <w:t xml:space="preserve"> </w:t>
      </w:r>
    </w:p>
    <w:p w14:paraId="7243E7D8" w14:textId="54A2521B" w:rsidR="007915CB" w:rsidRPr="007915CB" w:rsidRDefault="007915CB" w:rsidP="007915CB">
      <w:pPr>
        <w:shd w:val="clear" w:color="auto" w:fill="FFFFFF"/>
        <w:jc w:val="both"/>
        <w:rPr>
          <w:rFonts w:ascii="Times New Roman" w:hAnsi="Times New Roman" w:cs="Times New Roman"/>
        </w:rPr>
      </w:pPr>
      <w:r>
        <w:rPr>
          <w:shd w:val="clear" w:color="auto" w:fill="FFFFFF"/>
          <w:rFonts w:ascii="Times New Roman" w:hAnsi="Times New Roman"/>
        </w:rPr>
        <w:t xml:space="preserve">Cilj je Uprave C „</w:t>
      </w:r>
      <w:r>
        <w:rPr>
          <w:shd w:val="clear" w:color="auto" w:fill="FFFFFF"/>
          <w:shd w:val="clear" w:color="auto" w:fill="FFFFFF"/>
          <w:rFonts w:ascii="Times New Roman" w:hAnsi="Times New Roman"/>
        </w:rPr>
        <w:t xml:space="preserve">Digitalna izvrsnost i znanstvena infrastruktura</w:t>
      </w:r>
      <w:r>
        <w:rPr>
          <w:shd w:val="clear" w:color="auto" w:fill="FFFFFF"/>
          <w:rFonts w:ascii="Times New Roman" w:hAnsi="Times New Roman"/>
        </w:rPr>
        <w:t xml:space="preserve">”</w:t>
      </w:r>
      <w:r>
        <w:rPr>
          <w:rFonts w:ascii="Times New Roman" w:hAnsi="Times New Roman"/>
        </w:rPr>
        <w:t xml:space="preserve"> </w:t>
      </w:r>
      <w:r>
        <w:rPr>
          <w:color w:val="000000"/>
          <w:rFonts w:ascii="Times New Roman" w:hAnsi="Times New Roman"/>
        </w:rPr>
        <w:t xml:space="preserve">osigurati vodeću poziciju u budućim tehnologijama i infrastrukturama IKT-a, poduprijeti njihovo daljnje uvođenje i opću upotrebu</w:t>
      </w:r>
      <w:r>
        <w:rPr>
          <w:rFonts w:ascii="Times New Roman" w:hAnsi="Times New Roman"/>
        </w:rPr>
        <w:t xml:space="preserve"> te potaknuti stvaranje velikog broja učinkovitih znanstvenih, industrijskih i društvenih primjena.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Uprava je odgovorna za sljedeće aktivnosti: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Vodi i koordinira provedbu</w:t>
      </w:r>
      <w:r>
        <w:t xml:space="preserve"> </w:t>
      </w:r>
      <w:r>
        <w:rPr>
          <w:rFonts w:ascii="Times New Roman" w:hAnsi="Times New Roman"/>
        </w:rPr>
        <w:t xml:space="preserve">inicijative</w:t>
      </w:r>
      <w:r>
        <w:t xml:space="preserve"> </w:t>
      </w:r>
      <w:hyperlink r:id="rId11" w:history="1">
        <w:r>
          <w:rPr>
            <w:rStyle w:val="Hyperlink"/>
            <w:rFonts w:ascii="Times New Roman" w:hAnsi="Times New Roman"/>
          </w:rPr>
          <w:t xml:space="preserve">Odredište Zemlja</w:t>
        </w:r>
      </w:hyperlink>
      <w:r>
        <w:t xml:space="preserve"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Bavi se i uspostavom</w:t>
      </w:r>
      <w:r>
        <w:t xml:space="preserve"> </w:t>
      </w:r>
      <w:hyperlink r:id="rId12" w:history="1">
        <w:r>
          <w:rPr>
            <w:rStyle w:val="Hyperlink"/>
            <w:rFonts w:ascii="Times New Roman" w:hAnsi="Times New Roman"/>
          </w:rPr>
          <w:t xml:space="preserve">europskog oblaka za otvorenu znanost</w:t>
        </w:r>
      </w:hyperlink>
      <w:r>
        <w:t xml:space="preserve"> </w:t>
      </w:r>
      <w:r>
        <w:rPr>
          <w:rFonts w:ascii="Times New Roman" w:hAnsi="Times New Roman"/>
        </w:rPr>
        <w:t xml:space="preserve">(EOSC).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Glavna uprava usto i koordinira i nadzire razvoj i primjenu </w:t>
      </w:r>
      <w:hyperlink r:id="rId13" w:history="1">
        <w:r>
          <w:rPr>
            <w:rStyle w:val="Hyperlink"/>
            <w:rFonts w:ascii="Times New Roman" w:hAnsi="Times New Roman"/>
          </w:rPr>
          <w:t xml:space="preserve">računalstva visokih performansi, kvantnog </w:t>
        </w:r>
      </w:hyperlink>
      <w:r>
        <w:rPr>
          <w:rFonts w:ascii="Times New Roman" w:hAnsi="Times New Roman"/>
        </w:rPr>
        <w:t xml:space="preserve">računalstva i komunikacija, te podatkovne infrastrukture (nadzire i Zajedničko poduzeće </w:t>
      </w:r>
      <w:hyperlink r:id="rId14" w:history="1">
        <w:r>
          <w:rPr>
            <w:rStyle w:val="Hyperlink"/>
            <w:rFonts w:ascii="Times New Roman" w:hAnsi="Times New Roman"/>
          </w:rPr>
          <w:t xml:space="preserve">EuroHPC</w:t>
        </w:r>
      </w:hyperlink>
      <w:r>
        <w:rPr>
          <w:rFonts w:ascii="Times New Roman" w:hAnsi="Times New Roman"/>
        </w:rPr>
        <w:t xml:space="preserve"> i podupire inicijativu </w:t>
      </w:r>
      <w:hyperlink r:id="rId15" w:history="1">
        <w:r>
          <w:rPr>
            <w:rStyle w:val="Hyperlink"/>
            <w:rFonts w:ascii="Times New Roman" w:hAnsi="Times New Roman"/>
          </w:rPr>
          <w:t xml:space="preserve">EuroQCI</w:t>
        </w:r>
      </w:hyperlink>
      <w:r>
        <w:rPr>
          <w:rStyle w:val="Hyperlink"/>
          <w:rFonts w:ascii="Times New Roman" w:hAnsi="Times New Roman"/>
        </w:rPr>
        <w:t xml:space="preserve">).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Glavna uprava razvija i digitalne blizance urbanih platformi koje pružaju pametna digitalna rješenja i usluge (iz pokreta living-in.eu).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Naposljetku, nadzire i </w:t>
      </w:r>
      <w:hyperlink r:id="rId16" w:history="1">
        <w:r>
          <w:rPr>
            <w:rStyle w:val="Hyperlink"/>
            <w:rFonts w:ascii="Times New Roman" w:hAnsi="Times New Roman"/>
          </w:rPr>
          <w:t xml:space="preserve">Vodeće inicijative u području budućih tehnologija i tehnologija u nastajanju (FET)</w:t>
        </w:r>
      </w:hyperlink>
      <w:r>
        <w:rPr>
          <w:rFonts w:ascii="Times New Roman" w:hAnsi="Times New Roman"/>
        </w:rPr>
        <w:t xml:space="preserve">, koje obuhvaćaju projekte Ljudski mozak, grafen i kvantne tehnologije.</w:t>
      </w:r>
    </w:p>
    <w:p w14:paraId="322240FB" w14:textId="77777777" w:rsidR="007915CB" w:rsidRPr="007915CB" w:rsidRDefault="007915CB" w:rsidP="007915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Uprava se sastoji od četiri odjela sa sjedištem u Bruxellesu i Luxembourgu.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Trenutačna zapošljava oko 70 osoba i ima godišnji proračun od otprilike 350 milijuna eura.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Direktor je smješten u Luxembourgu.</w:t>
      </w:r>
    </w:p>
    <w:p w14:paraId="6BBD398A" w14:textId="77777777" w:rsidR="00516AD8" w:rsidRPr="007915CB" w:rsidRDefault="00516AD8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Opis radnog mjesta</w:t>
      </w:r>
    </w:p>
    <w:p w14:paraId="5F27790E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Dužnosti direktora uključuju:</w:t>
      </w:r>
      <w:r>
        <w:t xml:space="preserve"> </w:t>
      </w:r>
      <w:r>
        <w:br/>
      </w:r>
    </w:p>
    <w:p w14:paraId="085BFA5C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analitički rad i oblikovanje strategija i politika za Glavnu upravu u području Uprave;</w:t>
      </w:r>
    </w:p>
    <w:p w14:paraId="4BA060F4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utvrđivanje programa rada Uprave (ciljevi, ostvarenja, rokovi) i njegovo usklađivanje s općim ciljevima Glavne uprave;</w:t>
      </w:r>
    </w:p>
    <w:p w14:paraId="62B4600F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 učinkovito planiranje i upravljanje aktivnostima Uprave, odnosno osiguravanje standarda kvalitete te praćenje rokova, tijeka rada, napretka i ostvarivanja ciljeva;</w:t>
      </w:r>
    </w:p>
    <w:p w14:paraId="3CD5FD1C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koordiniranje i provedba aktivnosti obuhvaćenih programom rada svakog odjela unutar Uprave, uz osiguravanje njihove usklađenosti s politikama EU-a/Komisije;</w:t>
      </w:r>
    </w:p>
    <w:p w14:paraId="785BF6F5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učinkovito planiranje, raspoređivanje i upravljanje ljudskim resursima Uprave;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nadzor i kontrola rada Uprave, što uključuje analizu/ocjenu ishoda i upravljanje radi djelotvorne i učinkovite raspodjela i upotrebe resursa;</w:t>
      </w:r>
    </w:p>
    <w:p w14:paraId="7B1E0265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učinkovito planiranje i upravljanje proračunskim sredstvima u cijeloj Upravi te sudjelovanje u razvoju politika upravljanja proračunskim i financijskim resursima Glavne uprave unutar općeg okvira politike Komisije;</w:t>
      </w:r>
    </w:p>
    <w:p w14:paraId="494EE463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pružanje pomoći glavnom direktoru u organizacijskim pitanjima Glavne uprave i njezinu cjelokupnom upravljanju;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predstavljanje Glavne uprave na vanjskim i unutarnjim događanjima relevantnima za Upravu ili za Glavnu upravu, što podrazumijeva sudjelovanje Uprave na sastancima relevantnih odbora i radnih skupina;</w:t>
      </w:r>
    </w:p>
    <w:p w14:paraId="729C8201" w14:textId="77777777" w:rsidR="007915CB" w:rsidRPr="007915CB" w:rsidRDefault="007915CB" w:rsidP="007915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usklađivanje i održavanje redovitih kontakata s relevantnim unutarnjim službama Komisije i vanjskim tijelima kako bi zastupali interese Glavne uprave i bili ažurni kad je riječ o razvoju politika EU-a/Komisije relevantnih za područje djelovanja Uprave.</w:t>
      </w:r>
    </w:p>
    <w:p w14:paraId="4312D48A" w14:textId="77777777" w:rsidR="00791B6C" w:rsidRPr="007915CB" w:rsidRDefault="00791B6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45B53D2" w14:textId="0444B9B1" w:rsidR="00E53957" w:rsidRPr="007915CB" w:rsidRDefault="003542EC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Traženi profil (kriteriji za odabir)</w:t>
      </w:r>
    </w:p>
    <w:p w14:paraId="5345A8E3" w14:textId="77777777" w:rsidR="009B1143" w:rsidRPr="009B1143" w:rsidRDefault="009B1143" w:rsidP="003542EC">
      <w:pPr>
        <w:spacing w:after="240" w:line="240" w:lineRule="auto"/>
        <w:jc w:val="both"/>
        <w:rPr>
          <w:u w:val="single"/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Osobne kvalitete</w:t>
      </w:r>
    </w:p>
    <w:p w14:paraId="60777D0F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Odlične komunikacijske i pregovaračke vještine, uključujući sposobnost predstavljanja Glavne uprave na najvišoj razini unutar Komisije, u državama članicama i na međunarodnim forumima.</w:t>
      </w:r>
      <w:r>
        <w:rPr>
          <w:rFonts w:ascii="Times New Roman" w:hAnsi="Times New Roman"/>
        </w:rPr>
        <w:t xml:space="preserve"> </w:t>
      </w:r>
    </w:p>
    <w:p w14:paraId="62BFFDF5" w14:textId="3C1A1CD1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Dobra prosudba i sposobnost konceptualnog i inovativnog i strateškog razmišljanja.</w:t>
      </w:r>
    </w:p>
    <w:p w14:paraId="66A8F3F0" w14:textId="49E83B6C" w:rsidR="009B1143" w:rsidRPr="009B1143" w:rsidRDefault="009B1143" w:rsidP="003542EC">
      <w:pPr>
        <w:spacing w:after="240" w:line="240" w:lineRule="auto"/>
        <w:jc w:val="both"/>
        <w:rPr>
          <w:u w:val="single"/>
          <w:rFonts w:ascii="Times New Roman" w:hAnsi="Times New Roman" w:cs="Times New Roman"/>
        </w:rPr>
      </w:pPr>
      <w:r>
        <w:t xml:space="preserve"> </w:t>
      </w:r>
      <w:r>
        <w:br/>
      </w:r>
      <w:r>
        <w:rPr>
          <w:u w:val="single"/>
          <w:rFonts w:ascii="Times New Roman" w:hAnsi="Times New Roman"/>
        </w:rPr>
        <w:t xml:space="preserve">Stručne vještine i iskustvo</w:t>
      </w:r>
      <w:r>
        <w:rPr>
          <w:u w:val="single"/>
          <w:rFonts w:ascii="Times New Roman" w:hAnsi="Times New Roman"/>
        </w:rPr>
        <w:t xml:space="preserve"> </w:t>
      </w:r>
    </w:p>
    <w:p w14:paraId="63CC6B7C" w14:textId="234C3DB6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 Dobro razumijevanje informacijskih i komunikacijskih tehnologija europskih politika istraživanja, razvoja i inovacija te, u širem smislu, digitalne ekonomije i društvenih politika.</w:t>
      </w:r>
    </w:p>
    <w:p w14:paraId="731BEE2D" w14:textId="5C0DAFD3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Dobro poznavanje istraživačke politike – poželjno je iskustvo u inicijativama koje se odnose na važne politike te u primjeni – te dokazano iskustvo u oblikovanju politika i upravljanju, po mogućnosti stečeno na položaju na visokoj razini.</w:t>
      </w:r>
    </w:p>
    <w:p w14:paraId="3F410309" w14:textId="6D3C79DF" w:rsidR="009B1143" w:rsidRPr="009B1143" w:rsidRDefault="009B1143" w:rsidP="003542EC">
      <w:pPr>
        <w:spacing w:after="240" w:line="240" w:lineRule="auto"/>
        <w:jc w:val="both"/>
        <w:rPr>
          <w:u w:val="single"/>
          <w:rFonts w:ascii="Times New Roman" w:hAnsi="Times New Roman" w:cs="Times New Roman"/>
        </w:rPr>
      </w:pPr>
      <w:r>
        <w:t xml:space="preserve"> </w:t>
      </w:r>
      <w:r>
        <w:br/>
      </w:r>
      <w:r>
        <w:rPr>
          <w:u w:val="single"/>
          <w:rFonts w:ascii="Times New Roman" w:hAnsi="Times New Roman"/>
        </w:rPr>
        <w:t xml:space="preserve">Vještine upravljanja</w:t>
      </w:r>
      <w:r>
        <w:rPr>
          <w:u w:val="single"/>
          <w:rFonts w:ascii="Times New Roman" w:hAnsi="Times New Roman"/>
        </w:rPr>
        <w:t xml:space="preserve"> </w:t>
      </w:r>
    </w:p>
    <w:p w14:paraId="7FF4F4F4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 Dokazano iskustvo u upravljanju i snažne rukovoditeljske vještine te sposobnost da predvodi, nadahne i motivira Upravu s velikim timovima i financijskim resursima.</w:t>
      </w:r>
      <w:r>
        <w:rPr>
          <w:rFonts w:ascii="Times New Roman" w:hAnsi="Times New Roman"/>
        </w:rPr>
        <w:t xml:space="preserve"> </w:t>
      </w:r>
    </w:p>
    <w:p w14:paraId="6D4BE340" w14:textId="6AF6EDB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Dodatno bi bilo poželjno iskustvo u strateškom planiranju i upravljanju programima stečeno u područjima kojima se bavi Glavna uprava ili u srodnim područjima.</w:t>
      </w:r>
    </w:p>
    <w:p w14:paraId="12F130C2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 Dokazana sposobnost kreativnog i strateškog razmišljanja, kako bi se postavili jasni ciljevi koje treba ostvariti i prenijeti u praktične i ostvarive akcijske planove,</w:t>
      </w:r>
      <w:r>
        <w:rPr>
          <w:rFonts w:ascii="Times New Roman" w:hAnsi="Times New Roman"/>
        </w:rPr>
        <w:t xml:space="preserve"> </w:t>
      </w:r>
    </w:p>
    <w:p w14:paraId="66CCF35A" w14:textId="27B89FEF" w:rsidR="007915CB" w:rsidRPr="009B1143" w:rsidRDefault="009B1143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 Sposobnost vođenja dinamičnog procesa promjene.</w:t>
      </w:r>
    </w:p>
    <w:p w14:paraId="155CE48D" w14:textId="77777777" w:rsidR="009B1143" w:rsidRDefault="009B1143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58DDE128" w14:textId="269DF8C2" w:rsidR="003542EC" w:rsidRPr="007915CB" w:rsidRDefault="003542EC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Uvjeti za sudjelovanje</w:t>
      </w:r>
    </w:p>
    <w:p w14:paraId="5313A45B" w14:textId="77777777" w:rsidR="003542EC" w:rsidRPr="007915CB" w:rsidRDefault="003542E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U postupku odabira mogu sudjelovati samo kandidati koji </w:t>
      </w:r>
      <w:r>
        <w:rPr>
          <w:b/>
          <w:rFonts w:ascii="Times New Roman" w:hAnsi="Times New Roman"/>
        </w:rPr>
        <w:t xml:space="preserve">na dan isteka roka za prijavu</w:t>
      </w:r>
      <w:r>
        <w:rPr>
          <w:rFonts w:ascii="Times New Roman" w:hAnsi="Times New Roman"/>
        </w:rPr>
        <w:t xml:space="preserve"> ispunjavaju sljedeće formalne uvjete:</w:t>
      </w:r>
    </w:p>
    <w:p w14:paraId="33951552" w14:textId="77777777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državljanstvo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kandidati moraju biti državljani jedne od država članica Europske unije,</w:t>
      </w:r>
    </w:p>
    <w:p w14:paraId="795FB198" w14:textId="77777777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diploma visokoškolskog studija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kandidati moraju imati:</w:t>
      </w:r>
    </w:p>
    <w:p w14:paraId="672D0702" w14:textId="728CB5FA" w:rsidR="003542EC" w:rsidRPr="007915CB" w:rsidRDefault="003542EC" w:rsidP="003542EC">
      <w:pPr>
        <w:pStyle w:val="ListParagraph"/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</w:t>
      </w:r>
      <w:r>
        <w:tab/>
      </w:r>
      <w:r>
        <w:rPr>
          <w:rFonts w:ascii="Times New Roman" w:hAnsi="Times New Roman"/>
        </w:rPr>
        <w:t xml:space="preserve">diplomom potvrđen stupanj obrazovanja koji odgovara završenom visokoškolskom studiju, ako je redovito trajanje studija najmanje četiri godine,</w:t>
      </w:r>
    </w:p>
    <w:p w14:paraId="4572BC0E" w14:textId="77777777" w:rsidR="003542EC" w:rsidRPr="007915CB" w:rsidRDefault="003542EC" w:rsidP="003542EC">
      <w:pPr>
        <w:pStyle w:val="ListParagraph"/>
        <w:spacing w:after="240" w:line="240" w:lineRule="auto"/>
        <w:ind w:left="568" w:hanging="284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—</w:t>
      </w:r>
      <w:r>
        <w:tab/>
      </w:r>
      <w:r>
        <w:rPr>
          <w:rFonts w:ascii="Times New Roman" w:hAnsi="Times New Roman"/>
        </w:rPr>
        <w:t xml:space="preserve">ili diplomom potvrđen stupanj obrazovanja koji odgovara završenom visokoškolskom studiju u trajanju od najmanje tri godine, uz odgovarajuće radno iskustvo od najmanje godinu dana (to jednogodišnje radno iskustvo ne ubraja se u radno iskustvo stečeno nakon završetka studija koje se traži u nastavku),</w:t>
      </w:r>
    </w:p>
    <w:p w14:paraId="4922525F" w14:textId="7B63113F" w:rsidR="003C4E2A" w:rsidRPr="007915CB" w:rsidRDefault="003542EC" w:rsidP="003C4E2A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radno iskustvo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kandidati moraju imati najmanje 15 godina radnog iskustva stečenog nakon završetka studija </w:t>
      </w:r>
      <w:r>
        <w:rPr>
          <w:rStyle w:val="FootnoteReference"/>
          <w:rFonts w:ascii="Times New Roman" w:hAnsi="Times New Roman" w:cs="Times New Roman"/>
          <w:b/>
        </w:rPr>
        <w:footnoteReference w:id="1"/>
      </w:r>
      <w:r>
        <w:rPr>
          <w:rFonts w:ascii="Times New Roman" w:hAnsi="Times New Roman"/>
        </w:rPr>
        <w:t xml:space="preserve"> na razini za koju su osposobljeni tijekom prethodno spomenutog obrazovanja.</w:t>
      </w:r>
      <w:r>
        <w:rPr>
          <w:rFonts w:ascii="Times New Roman" w:hAnsi="Times New Roman"/>
        </w:rPr>
        <w:t xml:space="preserve"> </w:t>
      </w:r>
    </w:p>
    <w:p w14:paraId="28AAED6B" w14:textId="18D2EED6" w:rsidR="003542EC" w:rsidRPr="007915CB" w:rsidRDefault="003542EC" w:rsidP="007C23AE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rukovoditeljsko iskustvo:</w:t>
      </w:r>
      <w:r>
        <w:rPr>
          <w:u w:val="single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najmanje pet godina radnog iskustva stečenog nakon završetka studija mora biti stečeno na radnome mjestu rukovoditelja visoke razine </w:t>
      </w:r>
      <w:r>
        <w:rPr>
          <w:rStyle w:val="FootnoteReference"/>
          <w:rFonts w:ascii="Times New Roman" w:hAnsi="Times New Roman" w:cs="Times New Roman"/>
          <w:b/>
        </w:rPr>
        <w:footnoteReference w:id="2"/>
      </w:r>
      <w:r>
        <w:rPr>
          <w:rFonts w:ascii="Times New Roman" w:hAnsi="Times New Roman"/>
        </w:rPr>
        <w:t xml:space="preserve">.</w:t>
      </w:r>
    </w:p>
    <w:p w14:paraId="4062D7D2" w14:textId="77777777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jezici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kandidati moraju imati temeljito znanje jednog službenog jezika EU-a</w:t>
      </w:r>
      <w:r>
        <w:rPr>
          <w:rStyle w:val="FootnoteReference"/>
          <w:rFonts w:ascii="Times New Roman" w:hAnsi="Times New Roman" w:cs="Times New Roman"/>
        </w:rPr>
        <w:footnoteReference w:id="3"/>
      </w:r>
      <w:r>
        <w:rPr>
          <w:rFonts w:ascii="Times New Roman" w:hAnsi="Times New Roman"/>
        </w:rPr>
        <w:t xml:space="preserve"> i zadovoljavajuće znanje još jednog službenog jezika EU-a.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Zadovoljavajuće znanje tog drugog službenog jezika EU-a provjerit će komisije za odabir tijekom intervjua,</w:t>
      </w:r>
      <w:r>
        <w:rPr>
          <w:rFonts w:ascii="Times New Roman" w:hAnsi="Times New Roman"/>
        </w:rPr>
        <w:t xml:space="preserve"> </w:t>
      </w:r>
      <w:commentRangeStart w:id="1"/>
      <w:r>
        <w:rPr>
          <w:rFonts w:ascii="Times New Roman" w:hAnsi="Times New Roman"/>
        </w:rPr>
        <w:t xml:space="preserve">među ostalim tako što intervju (djelomično) mogu voditi na tom drugom jeziku.</w:t>
      </w:r>
      <w:commentRangeEnd w:id="1"/>
      <w:r>
        <w:rPr>
          <w:rStyle w:val="CommentReference"/>
        </w:rPr>
        <w:commentReference w:id="1"/>
      </w:r>
    </w:p>
    <w:p w14:paraId="2AFE64BD" w14:textId="6B0093A6" w:rsidR="003542EC" w:rsidRPr="007915CB" w:rsidRDefault="003542EC" w:rsidP="003542EC">
      <w:pPr>
        <w:pStyle w:val="ListParagraph"/>
        <w:numPr>
          <w:ilvl w:val="0"/>
          <w:numId w:val="1"/>
        </w:numPr>
        <w:spacing w:after="24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>
        <w:rPr>
          <w:u w:val="single"/>
          <w:rFonts w:ascii="Times New Roman" w:hAnsi="Times New Roman"/>
        </w:rPr>
        <w:t xml:space="preserve">dobna granica</w:t>
      </w:r>
      <w:r>
        <w:rPr>
          <w:rFonts w:ascii="Times New Roman" w:hAnsi="Times New Roman"/>
        </w:rPr>
        <w:t xml:space="preserve"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kandidati moraju biti mlađi od dobi za redovno umirovljenje, koja za privremeno osoblje Europske unije nastupa zadnjeg dana u mjesecu u kojem osoba navrši 66 godina (vidjeti članak 52. točku (a) Pravilnika o osoblju </w:t>
      </w:r>
      <w:r>
        <w:rPr>
          <w:rStyle w:val="FootnoteReference"/>
          <w:rFonts w:ascii="Times New Roman" w:hAnsi="Times New Roman" w:cs="Times New Roman"/>
          <w:b/>
        </w:rPr>
        <w:footnoteReference w:id="4"/>
      </w:r>
      <w:r>
        <w:rPr>
          <w:rFonts w:ascii="Times New Roman" w:hAnsi="Times New Roman"/>
        </w:rPr>
        <w:t xml:space="preserve">).</w:t>
      </w:r>
    </w:p>
    <w:p w14:paraId="3FFA4508" w14:textId="77777777" w:rsidR="002F0575" w:rsidRPr="007915CB" w:rsidRDefault="002F0575" w:rsidP="00081B3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7F370E9B" w14:textId="28BDFE18" w:rsidR="001F08A9" w:rsidRPr="007915CB" w:rsidRDefault="001F08A9" w:rsidP="00840D2D">
      <w:pPr>
        <w:tabs>
          <w:tab w:val="left" w:pos="3215"/>
        </w:tabs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Odabir i imenovanje</w:t>
      </w:r>
    </w:p>
    <w:p w14:paraId="17005BFE" w14:textId="60698EA1" w:rsidR="009D3D62" w:rsidRPr="007915CB" w:rsidRDefault="009D3D62" w:rsidP="00533A8D">
      <w:pPr>
        <w:pStyle w:val="Corpsdutexte0"/>
        <w:shd w:val="clear" w:color="auto" w:fill="auto"/>
        <w:spacing w:before="0" w:after="240" w:line="240" w:lineRule="auto"/>
        <w:ind w:firstLine="0"/>
        <w:jc w:val="both"/>
        <w:rPr>
          <w:sz w:val="22"/>
          <w:szCs w:val="22"/>
          <w:rFonts w:ascii="Times New Roman" w:hAnsi="Times New Roman" w:cs="Times New Roman"/>
        </w:rPr>
      </w:pPr>
      <w:r>
        <w:rPr>
          <w:sz w:val="22"/>
          <w:rFonts w:ascii="Times New Roman" w:hAnsi="Times New Roman"/>
        </w:rPr>
        <w:t xml:space="preserve">Odabir i imenovanje provodit će se u skladu s postupcima odabira i zapošljavanja Europske komisije (vidjeti</w:t>
      </w:r>
      <w:r>
        <w:rPr>
          <w:sz w:val="22"/>
          <w:rFonts w:ascii="Times New Roman" w:hAnsi="Times New Roman"/>
        </w:rPr>
        <w:t xml:space="preserve"> </w:t>
      </w:r>
      <w:r>
        <w:rPr>
          <w:sz w:val="22"/>
          <w:rFonts w:ascii="Times New Roman" w:hAnsi="Times New Roman"/>
        </w:rPr>
        <w:t xml:space="preserve">Dokument o politici zapošljavanja viših dužnosnika </w:t>
      </w:r>
      <w:r>
        <w:rPr>
          <w:rStyle w:val="FootnoteReference"/>
          <w:rFonts w:ascii="Times New Roman" w:hAnsi="Times New Roman" w:cs="Times New Roman"/>
          <w:b/>
          <w:bCs/>
          <w:sz w:val="22"/>
          <w:szCs w:val="22"/>
        </w:rPr>
        <w:footnoteReference w:id="5"/>
      </w:r>
      <w:r>
        <w:rPr>
          <w:sz w:val="22"/>
          <w:rFonts w:ascii="Times New Roman" w:hAnsi="Times New Roman"/>
        </w:rPr>
        <w:t xml:space="preserve">).</w:t>
      </w:r>
    </w:p>
    <w:p w14:paraId="52025CED" w14:textId="77777777" w:rsidR="001F08A9" w:rsidRPr="007915CB" w:rsidRDefault="0033593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U okviru postupka odabira Europska komisija osniva komisiju za predodabir,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koja pregledava sve prijave, provjerava ispunjavaju li kandidati uvjete za sudjelovanje i na temelju navedenih kriterija za odabir izdvaja kandidate najboljeg profila, od kojih neke može pozvati na intervju.</w:t>
      </w:r>
    </w:p>
    <w:p w14:paraId="3FB3BF72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Na temelju provedenih intervjua komisija za predodabir donosi zaključke i predlaže kandidate za intervju s Komisijinim savjetodavnim odborom za imenovanja.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Uzimajući u obzir zaključke komisije za predodabir, taj odbor odabire kandidate koje će pozvati na intervju.</w:t>
      </w:r>
    </w:p>
    <w:p w14:paraId="6DC45FF6" w14:textId="619522C8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Kandidati koje Komisijin savjetodavni odbor za imenovanja odabere za intervju pozivaju se na cjelodnevno testiranje rukovoditeljskih vještina koje u centru za procjenu provode vanjski savjetnici za zapošljavanje.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 temelju rezultata intervjua i izvješća centra za procjenu Komisijin savjetodavni odbor za imenovanja sastavlja uži popis kandidata koje smatra prikladnima za radno mjesto.</w:t>
      </w:r>
    </w:p>
    <w:p w14:paraId="71AE580B" w14:textId="77777777" w:rsidR="00E55604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Kandidate s tog popisa intervjuiraju nadležni članovi Europske komisije.</w:t>
      </w:r>
    </w:p>
    <w:p w14:paraId="6D87D0F9" w14:textId="77777777" w:rsidR="001F08A9" w:rsidRPr="007915CB" w:rsidRDefault="001F08A9" w:rsidP="00533A8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Nakon tih intervjua Europska komisija donosi odluku o imenovanju.</w:t>
      </w:r>
    </w:p>
    <w:p w14:paraId="0E68D3DA" w14:textId="69A5DCB1" w:rsidR="00DB7D3C" w:rsidRPr="007915CB" w:rsidRDefault="00DB7D3C" w:rsidP="00DB7D3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Odabrani kandidat mora imati reguliranu vojnu obvezu ako ona postoji, predočiti odgovarajuće pisane preporuke o osobinama zbog kojih je prikladan za to radno mjesto te posjedovati fizičku sposobnost za obavljanje tih poslova.</w:t>
      </w:r>
    </w:p>
    <w:p w14:paraId="6693FB2E" w14:textId="77777777" w:rsidR="00DB7D3C" w:rsidRPr="007915CB" w:rsidRDefault="00DB7D3C" w:rsidP="00DB7D3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Odabrani kandidat treba imati ili moći dobiti valjano uvjerenje o sigurnosnoj provjeri koju je izdalo sigurnosno tijelo njegove matične države.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Uvjerenje o sigurnosnoj provjeri administrativna je odluka koja se izdaje nakon sigurnosne provjere koju provodi nadležno nacionalno sigurnosno tijelo u skladu s primjenjivim nacionalnim sigurnosnim zakonima i propisima i koja omogućuje pristup klasificiranim podacima određene razine.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(Postupak izdavanja uvjerenja o sigurnosnoj provjeri može se pokrenuti isključivo na zahtjev poslodavca, a ne kandidata).</w:t>
      </w:r>
    </w:p>
    <w:p w14:paraId="5617FB43" w14:textId="422DAFF0" w:rsidR="002F0575" w:rsidRPr="007915CB" w:rsidRDefault="002F0575" w:rsidP="00533A8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Dok država članica ne izda uvjerenje o sigurnosnoj provjeri i dok se postupak sigurnosne provjere ne okonča izdavanjem propisane informativne obavijesti Uprave za sigurnost Europske komisije, kandidat ne može pristupiti klasificiranim podacima EU-a sa stupnjem tajnosti CONFIDENTIEL UE/EU CONFIDENTIAL ili višim niti prisustvovati sastancima na kojima se o njima raspravlja.</w:t>
      </w:r>
    </w:p>
    <w:p w14:paraId="6A87DB92" w14:textId="4B224480" w:rsidR="00081B31" w:rsidRPr="007915CB" w:rsidRDefault="00081B31" w:rsidP="00F14E9D">
      <w:pPr>
        <w:tabs>
          <w:tab w:val="left" w:pos="1025"/>
        </w:tabs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78FF5C75" w14:textId="77777777" w:rsidR="006B1671" w:rsidRPr="007915CB" w:rsidRDefault="006B1671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Jednake mogućnosti</w:t>
      </w:r>
    </w:p>
    <w:p w14:paraId="778AEE56" w14:textId="6878FA06" w:rsidR="006B1671" w:rsidRPr="007915CB" w:rsidRDefault="00DB7D3C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U skladu s člankom 1.d Pravilnika o osoblju Europska komisija namjerava ostvariti strateški cilj rodne ravnopravnosti na svim razinama upravljanja do kraja tekućeg mandata. Provodi politiku jednakih mogućnosti te potiče prijave koje pridonose većoj raznolikosti, rodnoj ravnopravnosti i općoj geografskoj ravnoteži.</w:t>
      </w:r>
    </w:p>
    <w:p w14:paraId="27E64092" w14:textId="77777777" w:rsidR="006B1671" w:rsidRPr="007915CB" w:rsidRDefault="006B1671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4747E719" w14:textId="7DA3A31B" w:rsidR="006B1671" w:rsidRPr="007915CB" w:rsidRDefault="006B1671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Uvjeti zapošljavanja</w:t>
      </w:r>
    </w:p>
    <w:p w14:paraId="2C797D8E" w14:textId="5181DE39" w:rsidR="001C1F92" w:rsidRPr="007915CB" w:rsidRDefault="001C1F92" w:rsidP="001C1F92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Plaća i uvjeti zapošljavanja utvrđeni su u Pravilniku o osoblju.</w:t>
      </w:r>
      <w:r>
        <w:rPr>
          <w:rFonts w:ascii="Times New Roman" w:hAnsi="Times New Roman"/>
        </w:rPr>
        <w:t xml:space="preserve"> </w:t>
      </w:r>
    </w:p>
    <w:p w14:paraId="4BD27166" w14:textId="6E51C229" w:rsidR="00F75D74" w:rsidRPr="007915CB" w:rsidRDefault="00F75D74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Odabrani kandidat bit će zaposlen kao dužnosnik u razredu AD 14.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Ovisno o duljini radnog iskustva bit će svrstan u stupanj 1 ili 2 u tom razredu.</w:t>
      </w:r>
      <w:r>
        <w:rPr>
          <w:rFonts w:ascii="Times New Roman" w:hAnsi="Times New Roman"/>
        </w:rPr>
        <w:t xml:space="preserve"> </w:t>
      </w:r>
    </w:p>
    <w:p w14:paraId="63553476" w14:textId="772454AD" w:rsidR="001F08A9" w:rsidRPr="007915CB" w:rsidRDefault="00840D2D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Napominjemo da u skladu s Pravilnikom o osoblju odabrani kandidat mora proći probni rad u trajanju od devet mjeseci.</w:t>
      </w:r>
    </w:p>
    <w:p w14:paraId="56CA8DF9" w14:textId="144EB24F" w:rsidR="001F08A9" w:rsidRPr="007915CB" w:rsidRDefault="001C1F9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Mjesto rada je Luxembourg.</w:t>
      </w:r>
    </w:p>
    <w:p w14:paraId="7A98DD29" w14:textId="77777777" w:rsidR="00F75D74" w:rsidRPr="007915CB" w:rsidRDefault="00F75D74" w:rsidP="00F75D74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Neovisnost i izjava o mogućem sukobu interesa</w:t>
      </w:r>
    </w:p>
    <w:p w14:paraId="727853A2" w14:textId="77777777" w:rsidR="00136457" w:rsidRDefault="00136457" w:rsidP="00136457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Tijekom postupka odabira kandidati uvršteni na uži popis dužni su potpisati izjavu kojom se obvezuju da će djelovati neovisno i u javnom interesu te prijaviti sve interese koji bi mogli dovesti u pitanje njihovu neovisnost.</w:t>
      </w:r>
    </w:p>
    <w:p w14:paraId="47F98F1B" w14:textId="51ECCD7D" w:rsidR="00717779" w:rsidRPr="007915CB" w:rsidRDefault="00717779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25AEF488" w14:textId="77777777" w:rsidR="00AF21B0" w:rsidRPr="007915CB" w:rsidRDefault="00AF21B0" w:rsidP="00AF21B0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Važna obavijest za kandidate</w:t>
      </w:r>
    </w:p>
    <w:p w14:paraId="43E7DC53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Podsjećamo da je rad komisija za odabir tajan.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Kandidati ne smiju ni izravno ni neizravno kontaktirati s članovima odborâ niti to smiju učiniti treće osobe u njihovo ime.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Sve upite treba uputiti tajništvu relevantne komisije.</w:t>
      </w:r>
    </w:p>
    <w:p w14:paraId="30FC2A9A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54FB369A" w14:textId="77777777" w:rsidR="00AF21B0" w:rsidRPr="007915CB" w:rsidRDefault="00AF21B0" w:rsidP="00AF21B0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Zaštita osobnih podataka</w:t>
      </w:r>
    </w:p>
    <w:p w14:paraId="446A97EC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Komisija jamči obradu osobnih podataka kandidata u skladu s Uredbom (EU) 2018/1725 Europskog parlamenta i Vijeća </w:t>
      </w:r>
      <w:r>
        <w:rPr>
          <w:rStyle w:val="FootnoteReference"/>
          <w:rFonts w:ascii="Times New Roman" w:hAnsi="Times New Roman" w:cs="Times New Roman"/>
        </w:rPr>
        <w:footnoteReference w:id="6"/>
      </w:r>
      <w:r>
        <w:rPr>
          <w:rFonts w:ascii="Times New Roman" w:hAnsi="Times New Roman"/>
        </w:rPr>
        <w:t xml:space="preserve"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To se osobito odnosi na povjerljivost i sigurnost takvih podataka.</w:t>
      </w:r>
    </w:p>
    <w:p w14:paraId="0494154C" w14:textId="77777777" w:rsidR="00AF21B0" w:rsidRPr="007915CB" w:rsidRDefault="00AF21B0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4BF3DA5F" w14:textId="77777777" w:rsidR="001F08A9" w:rsidRPr="007915CB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Postupak prijave</w:t>
      </w:r>
    </w:p>
    <w:p w14:paraId="650D4700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Kandidati prije podnošenja prijave moraju pažljivo provjeriti ispunjavaju li sve uvjete za sudjelovanje, osobito uvjete o traženom stupnju obrazovanja, radnom iskustvu na visokoj razini i znanju jezika.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Kandidati koji ne ispunjavaju neki od tih uvjeta automatski se isključuju iz postupka odabira.</w:t>
      </w:r>
    </w:p>
    <w:p w14:paraId="4969B8B2" w14:textId="77777777" w:rsidR="005927E6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Zainteresirani kandidati moraju se prijaviti putem sljedeće poveznice, a potom slijediti upute za različite faze postupka:</w:t>
      </w:r>
      <w:r>
        <w:rPr>
          <w:rFonts w:ascii="Times New Roman" w:hAnsi="Times New Roman"/>
        </w:rPr>
        <w:t xml:space="preserve"> </w:t>
      </w:r>
    </w:p>
    <w:p w14:paraId="77DF5B81" w14:textId="77777777" w:rsidR="001F08A9" w:rsidRPr="007915CB" w:rsidRDefault="006309B5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hyperlink r:id="rId17" w:history="1">
        <w:r>
          <w:rPr>
            <w:rStyle w:val="Hyperlink"/>
            <w:rFonts w:ascii="Times New Roman" w:hAnsi="Times New Roman"/>
          </w:rPr>
          <w:t xml:space="preserve">https://ec.europa.eu/dgs/human-resources/seniormanagementvacancies/</w:t>
        </w:r>
      </w:hyperlink>
    </w:p>
    <w:p w14:paraId="4EC651B5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Kandidati moraju imati valjanu e-adresu,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koja će služiti za potvrdu prijave i korespondenciju tijekom različitih faza postupka.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O svakoj promjeni te adrese dužni su obavijestiti Europsku komisiju.</w:t>
      </w:r>
    </w:p>
    <w:p w14:paraId="293971AF" w14:textId="35C0D6FF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Da bi dovršili postupak prijave, kandidati moraju učitati svoj životopis (po mogućnosti Europass) u PDF formatu</w:t>
      </w:r>
      <w:r>
        <w:rPr>
          <w:rStyle w:val="FootnoteReference"/>
          <w:rFonts w:ascii="Times New Roman" w:hAnsi="Times New Roman" w:cs="Times New Roman"/>
        </w:rPr>
        <w:footnoteReference w:id="7"/>
      </w:r>
      <w:r>
        <w:rPr>
          <w:rFonts w:ascii="Times New Roman" w:hAnsi="Times New Roman"/>
        </w:rPr>
        <w:t xml:space="preserve"> i unijeti motivacijsko pismo (najviše 8 000 znakova).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Životopis i motivacijsko pismo kandidati mogu sastaviti na bilo kojem službenom jeziku EU-a.</w:t>
      </w:r>
    </w:p>
    <w:p w14:paraId="41D36D14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U interesu je kandidata da prijava bude točna, temeljita i istinita.</w:t>
      </w:r>
    </w:p>
    <w:p w14:paraId="4204BBD2" w14:textId="77777777" w:rsidR="00AF21B0" w:rsidRPr="007915CB" w:rsidRDefault="00AF21B0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1BCB13C1" w14:textId="77777777" w:rsidR="001F08A9" w:rsidRPr="007915CB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Nakon podnošenja elektroničke prijave kandidati će primiti e-poruku s potvrdom da je njihova prijava registrirana.</w:t>
      </w:r>
      <w:r>
        <w:rPr>
          <w:rFonts w:ascii="Times New Roman" w:hAnsi="Times New Roman"/>
        </w:rPr>
        <w:t xml:space="preserve"> </w:t>
      </w:r>
      <w:r>
        <w:rPr>
          <w:b/>
          <w:rFonts w:ascii="Times New Roman" w:hAnsi="Times New Roman"/>
        </w:rPr>
        <w:t xml:space="preserve">Ako kandidati ne prime e-poruku s potvrdom o prijavi, to znači da njihova prijava nije registrirana.</w:t>
      </w:r>
    </w:p>
    <w:p w14:paraId="58C18A09" w14:textId="77777777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Postupak obrade prijava nije moguće pratiti putem interneta.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Europska komisija izravno će obavještavati kandidate o statusu njihove prijave.</w:t>
      </w:r>
    </w:p>
    <w:p w14:paraId="13D95A95" w14:textId="08E5FBFF" w:rsidR="001F08A9" w:rsidRPr="007915CB" w:rsidRDefault="00AF21B0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Prijave poslane e-poštom neće biti prihvaćene.</w:t>
      </w:r>
      <w:r>
        <w:rPr>
          <w:b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Dodatne informacije i/ili pomoć u slučaju tehničkih problema kandidati mogu zatražiti slanjem e-poruke na adresu:</w:t>
      </w:r>
      <w:r>
        <w:rPr>
          <w:rFonts w:ascii="Times New Roman" w:hAnsi="Times New Roman"/>
        </w:rPr>
        <w:t xml:space="preserve"> </w:t>
      </w:r>
      <w:r>
        <w:t xml:space="preserve"> </w:t>
      </w:r>
      <w:r>
        <w:br/>
      </w:r>
      <w:hyperlink r:id="rId18" w:history="1">
        <w:r>
          <w:rPr>
            <w:rStyle w:val="Hyperlink"/>
            <w:rFonts w:ascii="Times New Roman" w:hAnsi="Times New Roman"/>
          </w:rPr>
          <w:t xml:space="preserve">HR-MANAGEMENT-ONLINE@ec.europa.eu</w:t>
        </w:r>
      </w:hyperlink>
    </w:p>
    <w:p w14:paraId="4E8FB494" w14:textId="77777777" w:rsidR="00AF21B0" w:rsidRPr="007915CB" w:rsidRDefault="00AF21B0" w:rsidP="00AF21B0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Kandidati moraju na vrijeme ispuniti elektroničku prijavu.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Kandidatima preporučujemo da prijavu ne odgađaju do zadnjih dana prije isteka roka jer zbog povećanog prometa ili mogućih problema s internetskom vezom može doći do prekida registracijskog postupka, pa će ga morati ponoviti.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Nakon isteka roka za prijavu unos podataka u elektronički obrazac više nije moguć.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Zakašnjele prijave neće biti prihvaćene.</w:t>
      </w:r>
    </w:p>
    <w:p w14:paraId="1474BB68" w14:textId="77777777" w:rsidR="00717779" w:rsidRPr="007915CB" w:rsidRDefault="0071777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5D463DE0" w14:textId="77777777" w:rsidR="00717779" w:rsidRPr="007915CB" w:rsidRDefault="001F08A9" w:rsidP="003542EC">
      <w:pPr>
        <w:spacing w:after="240" w:line="240" w:lineRule="auto"/>
        <w:jc w:val="both"/>
        <w:rPr>
          <w:b/>
          <w:rFonts w:ascii="Times New Roman" w:hAnsi="Times New Roman" w:cs="Times New Roman"/>
        </w:rPr>
      </w:pPr>
      <w:r>
        <w:rPr>
          <w:b/>
          <w:rFonts w:ascii="Times New Roman" w:hAnsi="Times New Roman"/>
        </w:rPr>
        <w:t xml:space="preserve">Rok za prijavu</w:t>
      </w:r>
      <w:r>
        <w:rPr>
          <w:b/>
          <w:rFonts w:ascii="Times New Roman" w:hAnsi="Times New Roman"/>
        </w:rPr>
        <w:t xml:space="preserve"> </w:t>
      </w:r>
    </w:p>
    <w:p w14:paraId="6AC0A3F2" w14:textId="4053CFAF" w:rsidR="001F08A9" w:rsidRPr="007915CB" w:rsidRDefault="001F08A9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Rok za prijavu istječe </w:t>
      </w:r>
      <w:r>
        <w:rPr>
          <w:b/>
          <w:rFonts w:ascii="Times New Roman" w:hAnsi="Times New Roman"/>
        </w:rPr>
        <w:t xml:space="preserve">27. studenoga 2023. u 12 sati (podne) prema briselskom vremenu</w:t>
      </w:r>
      <w:r>
        <w:rPr>
          <w:rFonts w:ascii="Times New Roman" w:hAnsi="Times New Roman"/>
        </w:rPr>
        <w:t xml:space="preserve">, nakon čega se više neće biti moguće prijaviti.</w:t>
      </w:r>
    </w:p>
    <w:p w14:paraId="72416418" w14:textId="77777777" w:rsidR="001C1F92" w:rsidRPr="007915CB" w:rsidRDefault="001C1F92" w:rsidP="003542EC">
      <w:pPr>
        <w:spacing w:after="240" w:line="240" w:lineRule="auto"/>
        <w:jc w:val="both"/>
        <w:rPr>
          <w:rFonts w:ascii="Times New Roman" w:hAnsi="Times New Roman" w:cs="Times New Roman"/>
          <w:b/>
        </w:rPr>
      </w:pPr>
    </w:p>
    <w:p w14:paraId="661DD29D" w14:textId="05D2B720" w:rsidR="007E7FE2" w:rsidRPr="007915CB" w:rsidRDefault="007E7FE2" w:rsidP="003542EC">
      <w:pPr>
        <w:spacing w:after="240" w:line="240" w:lineRule="auto"/>
        <w:jc w:val="both"/>
        <w:rPr>
          <w:rFonts w:ascii="Times New Roman" w:hAnsi="Times New Roman" w:cs="Times New Roman"/>
        </w:rPr>
      </w:pPr>
    </w:p>
    <w:sectPr w:rsidR="007E7FE2" w:rsidRPr="007915C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>
  <w:comment w:id="1" w:author="mrsaved" w:date="2023-10-16T15:34:01Z" w:initials="MR">
    <w:p>
      <w:pPr>
        <w:pStyle w:val="CommentText"/>
      </w:pPr>
      <w:r>
        <w:rPr>
          <w:rStyle w:val="CommentReference"/>
        </w:rPr>
        <w:annotationRef/>
      </w:r>
      <w:r>
        <w:t xml:space="preserve">je li točka?</w:t>
      </w:r>
    </w:p>
  </w:comment>
</w:comment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FD8F1" w14:textId="77777777" w:rsidR="004058D7" w:rsidRDefault="004058D7" w:rsidP="00110276">
      <w:pPr>
        <w:spacing w:after="0" w:line="240" w:lineRule="auto"/>
      </w:pPr>
      <w:r>
        <w:separator/>
      </w:r>
    </w:p>
  </w:endnote>
  <w:endnote w:type="continuationSeparator" w:id="0">
    <w:p w14:paraId="7657791C" w14:textId="77777777" w:rsidR="004058D7" w:rsidRDefault="004058D7" w:rsidP="001102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7596" w14:textId="77777777" w:rsidR="008649AA" w:rsidRDefault="008649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126698883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21BE27" w14:textId="08785B33" w:rsidR="00110276" w:rsidRPr="00FA7C3E" w:rsidRDefault="00397114" w:rsidP="008649AA"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  \* MERGEFORMAT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 xml:space="preserve">4</w:t>
        </w:r>
        <w:r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39161" w14:textId="77777777" w:rsidR="008649AA" w:rsidRDefault="008649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FBAF1" w14:textId="77777777" w:rsidR="004058D7" w:rsidRDefault="004058D7" w:rsidP="00110276">
      <w:pPr>
        <w:spacing w:after="0" w:line="240" w:lineRule="auto"/>
      </w:pPr>
      <w:r>
        <w:separator/>
      </w:r>
    </w:p>
  </w:footnote>
  <w:footnote w:type="continuationSeparator" w:id="0">
    <w:p w14:paraId="4C0FFBCC" w14:textId="77777777" w:rsidR="004058D7" w:rsidRDefault="004058D7" w:rsidP="00110276">
      <w:pPr>
        <w:spacing w:after="0" w:line="240" w:lineRule="auto"/>
      </w:pPr>
      <w:r>
        <w:continuationSeparator/>
      </w:r>
    </w:p>
  </w:footnote>
  <w:footnote w:id="1">
    <w:p w14:paraId="0E75C3F9" w14:textId="709F6D55" w:rsidR="00E62B49" w:rsidRPr="0070492C" w:rsidRDefault="00E62B49" w:rsidP="00FA7C3E">
      <w:pPr>
        <w:pStyle w:val="FootnoteText"/>
        <w:ind w:left="284" w:hanging="284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Radno iskustvo uzima se u obzir samo ako je riječ o stvarnom radnom odnosu definiranom kao stvarni, istinski rad plaćenog zaposlenika (sve vrste ugovora) ili pružatelja usluge.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Rad koji se obavljao u nepunom radnom vremenu uračunava se razmjerno, na temelju potvrđenog postotka odrađenog punog radnog vremena.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Rodiljni/roditeljski/posvojiteljski dopust uzima se u obzir ako je pokriven ugovorom o radu.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Doktorski studij ubraja se u radno iskustvo čak i ako nije bio plaćen, ali u trajanju od najviše tri godine i pod uvjetom da je uspješno završen.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Svako razdoblje uzima se u obzir samo jedanput.</w:t>
      </w:r>
    </w:p>
  </w:footnote>
  <w:footnote w:id="2">
    <w:p w14:paraId="56EBE6D8" w14:textId="5E51D7E1" w:rsidR="003542EC" w:rsidRPr="0070492C" w:rsidRDefault="003542EC" w:rsidP="00FA7C3E">
      <w:pPr>
        <w:pStyle w:val="FootnoteText"/>
        <w:ind w:left="284" w:hanging="284"/>
        <w:jc w:val="both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Za sve godine rukovoditeljskog iskustva kandidati u životopisu moraju jasno navesti sljedeće: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1. naziv rukovoditeljskog radnog mjesta i dužnosti koje su obavljali,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2. broj podređenih zaposlenika,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3. proračunska sredstva kojima su upravljali,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4. broj nadređenih i podređenih hijerarhijskih razina,</w:t>
      </w:r>
      <w:r>
        <w:rPr>
          <w:sz w:val="16"/>
          <w:rFonts w:ascii="Times New Roman" w:hAnsi="Times New Roman"/>
        </w:rPr>
        <w:t xml:space="preserve"> </w:t>
      </w:r>
      <w:r>
        <w:rPr>
          <w:sz w:val="16"/>
          <w:rFonts w:ascii="Times New Roman" w:hAnsi="Times New Roman"/>
        </w:rPr>
        <w:t xml:space="preserve">te 5. broj rukovoditelja iste razine.</w:t>
      </w:r>
    </w:p>
  </w:footnote>
  <w:footnote w:id="3">
    <w:p w14:paraId="3118960B" w14:textId="19F0D8CF" w:rsidR="008649AA" w:rsidRPr="0070492C" w:rsidRDefault="003542EC" w:rsidP="00FA7C3E">
      <w:pPr>
        <w:pStyle w:val="FootnoteText"/>
        <w:ind w:left="284" w:hanging="284"/>
        <w:jc w:val="both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hyperlink r:id="rId1" w:history="1">
        <w:r>
          <w:rPr>
            <w:rStyle w:val="Hyperlink"/>
          </w:rPr>
          <w:t xml:space="preserve">http://eur-lex.europa.eu/legal-content/EN/TXT/PDF/?uri=CELEX:01958R0001-20130701&amp;qid=1408533709461&amp;from=EN</w:t>
        </w:r>
      </w:hyperlink>
      <w:hyperlink r:id="rId2" w:history="1">
        <w:r>
          <w:rPr>
            <w:rStyle w:val="Hyperlink"/>
            <w:sz w:val="16"/>
            <w:rFonts w:ascii="Times New Roman" w:hAnsi="Times New Roman"/>
          </w:rPr>
          <w:t xml:space="preserve">https://eur-lex.europa.eu/legal-content/EN/TXT/?uri=CELEX%3A01958R0001-20130701</w:t>
        </w:r>
      </w:hyperlink>
      <w:r>
        <w:rPr>
          <w:rStyle w:val="Hyperlink"/>
          <w:sz w:val="16"/>
          <w:rFonts w:ascii="Times New Roman" w:hAnsi="Times New Roman"/>
        </w:rPr>
        <w:t xml:space="preserve"> </w:t>
      </w:r>
    </w:p>
  </w:footnote>
  <w:footnote w:id="4">
    <w:p w14:paraId="32AC9A16" w14:textId="18DF4C14" w:rsidR="000E34E6" w:rsidRPr="0070492C" w:rsidRDefault="003542EC" w:rsidP="000E34E6">
      <w:pPr>
        <w:pStyle w:val="FootnoteText"/>
        <w:ind w:left="284" w:hanging="284"/>
        <w:jc w:val="both"/>
        <w:rPr>
          <w:color w:val="0000FF" w:themeColor="hyperlink"/>
          <w:sz w:val="16"/>
          <w:szCs w:val="16"/>
          <w:u w:val="single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hyperlink r:id="rId3" w:history="1">
        <w:r>
          <w:rPr>
            <w:rStyle w:val="Hyperlink"/>
            <w:sz w:val="16"/>
            <w:rFonts w:ascii="Times New Roman" w:hAnsi="Times New Roman"/>
          </w:rPr>
          <w:t xml:space="preserve">https://eur-lex.europa.eu/legal-content/HR/TXT/?uri=CELEX%3A01962R0031-20140701</w:t>
        </w:r>
      </w:hyperlink>
      <w:r>
        <w:rPr>
          <w:rStyle w:val="Hyperlink"/>
          <w:sz w:val="16"/>
          <w:rFonts w:ascii="Times New Roman" w:hAnsi="Times New Roman"/>
        </w:rPr>
        <w:t xml:space="preserve"> </w:t>
      </w:r>
    </w:p>
  </w:footnote>
  <w:footnote w:id="5">
    <w:p w14:paraId="4C919712" w14:textId="4D16146C" w:rsidR="009D3D62" w:rsidRDefault="009D3D62" w:rsidP="009D3D62">
      <w:pPr>
        <w:pStyle w:val="FootnoteText"/>
        <w:ind w:left="284" w:hanging="284"/>
        <w:jc w:val="both"/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hyperlink r:id="rId4" w:anchor="dokumenti">
        <w:r>
          <w:rPr>
            <w:rStyle w:val="Hyperlink"/>
            <w:sz w:val="16"/>
            <w:rFonts w:ascii="Times New Roman" w:hAnsi="Times New Roman"/>
          </w:rPr>
          <w:t xml:space="preserve">https://commission.europa.eu/jobs-european-commission/job-opportunities/managers-european-commission_en#documents</w:t>
        </w:r>
      </w:hyperlink>
      <w:r>
        <w:rPr>
          <w:sz w:val="16"/>
          <w:rFonts w:ascii="Times New Roman" w:hAnsi="Times New Roman"/>
        </w:rPr>
        <w:t xml:space="preserve"> (samo na engleskom jeziku)</w:t>
      </w:r>
    </w:p>
  </w:footnote>
  <w:footnote w:id="6">
    <w:p w14:paraId="48531ABE" w14:textId="77777777" w:rsidR="00AF21B0" w:rsidRPr="004B637B" w:rsidRDefault="00AF21B0" w:rsidP="00AF21B0">
      <w:pPr>
        <w:pStyle w:val="FootnoteText"/>
        <w:ind w:left="284" w:hanging="284"/>
        <w:rPr>
          <w:sz w:val="16"/>
          <w:szCs w:val="16"/>
          <w:rFonts w:ascii="Times New Roman" w:hAnsi="Times New Roman" w:cs="Times New Roman"/>
        </w:rPr>
      </w:pPr>
      <w:r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>
        <w:rPr>
          <w:sz w:val="16"/>
          <w:rFonts w:ascii="Times New Roman" w:hAnsi="Times New Roman"/>
        </w:rPr>
        <w:t xml:space="preserve"> </w:t>
      </w:r>
      <w:r>
        <w:tab/>
      </w:r>
      <w:r>
        <w:rPr>
          <w:sz w:val="16"/>
          <w:rFonts w:ascii="Times New Roman" w:hAnsi="Times New Roman"/>
        </w:rPr>
        <w:t xml:space="preserve">Uredba (EU) 2018/1725 Europskog parlamenta i Vijeća od 23. listopada 2018. o zaštiti pojedinaca u vezi s obradom osobnih podataka u institucijama, tijelima, uredima i agencijama Unije i o slobodnom kretanju takvih podataka te o stavljanju izvan snage Uredbe (EZ) br. 45/2001 i Odluke br. 1247/2002/EZ (SL L 295, 21.11.2018., str. 39.).</w:t>
      </w:r>
    </w:p>
  </w:footnote>
  <w:footnote w:id="7">
    <w:p w14:paraId="24BBB1E7" w14:textId="21736824" w:rsidR="00EC7181" w:rsidRPr="00EC7181" w:rsidRDefault="00EC7181" w:rsidP="00BE6643">
      <w:pPr>
        <w:pStyle w:val="FootnoteText"/>
        <w:ind w:left="284" w:hanging="284"/>
        <w:rPr>
          <w:sz w:val="16"/>
          <w:rFonts w:ascii="Arial" w:hAnsi="Arial" w:cs="Arial"/>
        </w:rPr>
      </w:pPr>
      <w:r>
        <w:rPr>
          <w:rStyle w:val="FootnoteReference"/>
          <w:rFonts w:ascii="Times New Roman" w:hAnsi="Times New Roman" w:cs="Times New Roman"/>
          <w:sz w:val="18"/>
          <w:szCs w:val="18"/>
        </w:rPr>
        <w:footnoteRef/>
      </w:r>
      <w:r>
        <w:rPr>
          <w:sz w:val="18"/>
          <w:rFonts w:ascii="Times New Roman" w:hAnsi="Times New Roman"/>
        </w:rPr>
        <w:t xml:space="preserve"> </w:t>
      </w:r>
      <w:r>
        <w:tab/>
      </w:r>
      <w:r>
        <w:rPr>
          <w:sz w:val="18"/>
          <w:rFonts w:ascii="Times New Roman" w:hAnsi="Times New Roman"/>
        </w:rPr>
        <w:t xml:space="preserve">Upute za izradu životopisa Europass mogu se pronaći na:</w:t>
      </w:r>
      <w:r>
        <w:rPr>
          <w:sz w:val="18"/>
          <w:rFonts w:ascii="Times New Roman" w:hAnsi="Times New Roman"/>
        </w:rPr>
        <w:t xml:space="preserve"> </w:t>
      </w:r>
      <w:hyperlink r:id="rId5" w:history="1">
        <w:r>
          <w:rPr>
            <w:rStyle w:val="Hyperlink"/>
            <w:sz w:val="18"/>
            <w:rFonts w:ascii="Times New Roman" w:hAnsi="Times New Roman"/>
          </w:rPr>
          <w:t xml:space="preserve">https://europa.eu/europass/hr/create-europass-cv</w:t>
        </w:r>
      </w:hyperlink>
      <w:r>
        <w:rPr>
          <w:sz w:val="16"/>
          <w:rFonts w:ascii="Arial" w:hAnsi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DFCA2" w14:textId="77777777" w:rsidR="008649AA" w:rsidRDefault="008649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AF97" w14:textId="77777777" w:rsidR="008649AA" w:rsidRPr="00791B6C" w:rsidRDefault="008649AA" w:rsidP="00791B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25500" w14:textId="77777777" w:rsidR="008649AA" w:rsidRDefault="008649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87412"/>
    <w:multiLevelType w:val="hybridMultilevel"/>
    <w:tmpl w:val="3C7CC9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A25535"/>
    <w:multiLevelType w:val="hybridMultilevel"/>
    <w:tmpl w:val="3B826100"/>
    <w:lvl w:ilvl="0" w:tplc="13B690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0272120">
    <w:abstractNumId w:val="0"/>
  </w:num>
  <w:num w:numId="2" w16cid:durableId="54861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F08A9"/>
    <w:rsid w:val="00022B52"/>
    <w:rsid w:val="00036471"/>
    <w:rsid w:val="000616AE"/>
    <w:rsid w:val="0006221C"/>
    <w:rsid w:val="00081B31"/>
    <w:rsid w:val="000B11FF"/>
    <w:rsid w:val="000C68F8"/>
    <w:rsid w:val="000D2AC6"/>
    <w:rsid w:val="000E34E6"/>
    <w:rsid w:val="000F067E"/>
    <w:rsid w:val="00100151"/>
    <w:rsid w:val="00110276"/>
    <w:rsid w:val="00136457"/>
    <w:rsid w:val="00137B4B"/>
    <w:rsid w:val="00160239"/>
    <w:rsid w:val="0017173B"/>
    <w:rsid w:val="001850C7"/>
    <w:rsid w:val="001C1F92"/>
    <w:rsid w:val="001F08A9"/>
    <w:rsid w:val="001F7EC5"/>
    <w:rsid w:val="00202605"/>
    <w:rsid w:val="00207183"/>
    <w:rsid w:val="002136B6"/>
    <w:rsid w:val="00217E60"/>
    <w:rsid w:val="00223DFE"/>
    <w:rsid w:val="002549D3"/>
    <w:rsid w:val="002F0575"/>
    <w:rsid w:val="00335932"/>
    <w:rsid w:val="00337A3F"/>
    <w:rsid w:val="003535CC"/>
    <w:rsid w:val="003542EC"/>
    <w:rsid w:val="00392C54"/>
    <w:rsid w:val="00397114"/>
    <w:rsid w:val="003C4E2A"/>
    <w:rsid w:val="003C52B5"/>
    <w:rsid w:val="003C53E5"/>
    <w:rsid w:val="003E0FBA"/>
    <w:rsid w:val="004058D7"/>
    <w:rsid w:val="00420DBB"/>
    <w:rsid w:val="004741CB"/>
    <w:rsid w:val="00474471"/>
    <w:rsid w:val="004A0814"/>
    <w:rsid w:val="00500872"/>
    <w:rsid w:val="0050511F"/>
    <w:rsid w:val="00516AD8"/>
    <w:rsid w:val="00533A8D"/>
    <w:rsid w:val="00544F8A"/>
    <w:rsid w:val="00570ED2"/>
    <w:rsid w:val="005927E6"/>
    <w:rsid w:val="006009C2"/>
    <w:rsid w:val="00623094"/>
    <w:rsid w:val="006309B5"/>
    <w:rsid w:val="006337EB"/>
    <w:rsid w:val="0066676D"/>
    <w:rsid w:val="00671290"/>
    <w:rsid w:val="006A0D27"/>
    <w:rsid w:val="006B1671"/>
    <w:rsid w:val="006C5E29"/>
    <w:rsid w:val="006D50E6"/>
    <w:rsid w:val="0070371D"/>
    <w:rsid w:val="0070492C"/>
    <w:rsid w:val="00715087"/>
    <w:rsid w:val="00717779"/>
    <w:rsid w:val="007915CB"/>
    <w:rsid w:val="00791B6C"/>
    <w:rsid w:val="007A1D4C"/>
    <w:rsid w:val="007C5095"/>
    <w:rsid w:val="007C6679"/>
    <w:rsid w:val="007E1A6A"/>
    <w:rsid w:val="007E1AC2"/>
    <w:rsid w:val="007E7FE2"/>
    <w:rsid w:val="00800764"/>
    <w:rsid w:val="00805BB3"/>
    <w:rsid w:val="0081601E"/>
    <w:rsid w:val="00840D2D"/>
    <w:rsid w:val="008452B6"/>
    <w:rsid w:val="008649AA"/>
    <w:rsid w:val="00887522"/>
    <w:rsid w:val="008A2556"/>
    <w:rsid w:val="008B1DAC"/>
    <w:rsid w:val="008C2C91"/>
    <w:rsid w:val="008C7C76"/>
    <w:rsid w:val="009241F8"/>
    <w:rsid w:val="0093789F"/>
    <w:rsid w:val="00944C37"/>
    <w:rsid w:val="009B1143"/>
    <w:rsid w:val="009C1DF7"/>
    <w:rsid w:val="009C53E3"/>
    <w:rsid w:val="009D3D62"/>
    <w:rsid w:val="009F1A90"/>
    <w:rsid w:val="00A06542"/>
    <w:rsid w:val="00AA6D65"/>
    <w:rsid w:val="00AF21B0"/>
    <w:rsid w:val="00B16F5D"/>
    <w:rsid w:val="00B84D68"/>
    <w:rsid w:val="00B86141"/>
    <w:rsid w:val="00BA22B2"/>
    <w:rsid w:val="00BD2190"/>
    <w:rsid w:val="00BD708C"/>
    <w:rsid w:val="00BE6643"/>
    <w:rsid w:val="00C0456C"/>
    <w:rsid w:val="00C35403"/>
    <w:rsid w:val="00C844CD"/>
    <w:rsid w:val="00C93D13"/>
    <w:rsid w:val="00CD4A50"/>
    <w:rsid w:val="00CD7E6A"/>
    <w:rsid w:val="00D17155"/>
    <w:rsid w:val="00D22C3B"/>
    <w:rsid w:val="00D52307"/>
    <w:rsid w:val="00D64A09"/>
    <w:rsid w:val="00D64A62"/>
    <w:rsid w:val="00D67CC1"/>
    <w:rsid w:val="00D94F93"/>
    <w:rsid w:val="00DB7D3C"/>
    <w:rsid w:val="00DC04EE"/>
    <w:rsid w:val="00DC36A2"/>
    <w:rsid w:val="00E018DF"/>
    <w:rsid w:val="00E202A9"/>
    <w:rsid w:val="00E25088"/>
    <w:rsid w:val="00E32C90"/>
    <w:rsid w:val="00E34962"/>
    <w:rsid w:val="00E53957"/>
    <w:rsid w:val="00E55604"/>
    <w:rsid w:val="00E62B49"/>
    <w:rsid w:val="00E70197"/>
    <w:rsid w:val="00E73E74"/>
    <w:rsid w:val="00E84962"/>
    <w:rsid w:val="00E928AF"/>
    <w:rsid w:val="00EA0A29"/>
    <w:rsid w:val="00EC409A"/>
    <w:rsid w:val="00EC5C79"/>
    <w:rsid w:val="00EC7181"/>
    <w:rsid w:val="00EF0B03"/>
    <w:rsid w:val="00F14E9D"/>
    <w:rsid w:val="00F15DD1"/>
    <w:rsid w:val="00F313DA"/>
    <w:rsid w:val="00F46720"/>
    <w:rsid w:val="00F75D74"/>
    <w:rsid w:val="00F87CE8"/>
    <w:rsid w:val="00FA7C3E"/>
    <w:rsid w:val="00FE403C"/>
    <w:rsid w:val="07209309"/>
    <w:rsid w:val="0FA7AE60"/>
    <w:rsid w:val="112CF90A"/>
    <w:rsid w:val="27785E20"/>
    <w:rsid w:val="7EA3C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7EC71FA"/>
  <w15:docId w15:val="{448863A6-01A7-4660-B6D2-99288525B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F08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8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8A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8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8A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8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8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1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0276"/>
  </w:style>
  <w:style w:type="paragraph" w:styleId="Footer">
    <w:name w:val="footer"/>
    <w:basedOn w:val="Normal"/>
    <w:link w:val="FooterChar"/>
    <w:uiPriority w:val="99"/>
    <w:unhideWhenUsed/>
    <w:rsid w:val="001102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0276"/>
  </w:style>
  <w:style w:type="paragraph" w:styleId="ListParagraph">
    <w:name w:val="List Paragraph"/>
    <w:basedOn w:val="Normal"/>
    <w:uiPriority w:val="34"/>
    <w:qFormat/>
    <w:rsid w:val="00516AD8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516AD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16AD8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16AD8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16A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52B5"/>
    <w:rPr>
      <w:color w:val="800080" w:themeColor="followedHyperlink"/>
      <w:u w:val="single"/>
    </w:rPr>
  </w:style>
  <w:style w:type="character" w:customStyle="1" w:styleId="Corpsdutexte">
    <w:name w:val="Corps du texte_"/>
    <w:link w:val="Corpsdutexte0"/>
    <w:uiPriority w:val="99"/>
    <w:locked/>
    <w:rsid w:val="00E53957"/>
    <w:rPr>
      <w:rFonts w:ascii="Arial" w:hAnsi="Arial" w:cs="Arial"/>
      <w:sz w:val="16"/>
      <w:szCs w:val="16"/>
      <w:shd w:val="clear" w:color="auto" w:fill="FFFFFF"/>
    </w:rPr>
  </w:style>
  <w:style w:type="paragraph" w:customStyle="1" w:styleId="Corpsdutexte0">
    <w:name w:val="Corps du texte"/>
    <w:basedOn w:val="Normal"/>
    <w:link w:val="Corpsdutexte"/>
    <w:uiPriority w:val="99"/>
    <w:rsid w:val="00E53957"/>
    <w:pPr>
      <w:widowControl w:val="0"/>
      <w:shd w:val="clear" w:color="auto" w:fill="FFFFFF"/>
      <w:spacing w:before="60" w:after="420" w:line="240" w:lineRule="atLeast"/>
      <w:ind w:hanging="280"/>
      <w:jc w:val="center"/>
    </w:pPr>
    <w:rPr>
      <w:rFonts w:ascii="Arial" w:hAnsi="Arial" w:cs="Arial"/>
      <w:sz w:val="16"/>
      <w:szCs w:val="16"/>
    </w:rPr>
  </w:style>
  <w:style w:type="character" w:customStyle="1" w:styleId="Bodytext2">
    <w:name w:val="Body text|2_"/>
    <w:basedOn w:val="DefaultParagraphFont"/>
    <w:link w:val="Bodytext20"/>
    <w:rsid w:val="002549D3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549D3"/>
    <w:pPr>
      <w:widowControl w:val="0"/>
      <w:shd w:val="clear" w:color="auto" w:fill="FFFFFF"/>
      <w:spacing w:before="80" w:after="80" w:line="224" w:lineRule="exact"/>
      <w:jc w:val="both"/>
    </w:pPr>
    <w:rPr>
      <w:rFonts w:ascii="Arial" w:eastAsia="Arial" w:hAnsi="Arial" w:cs="Arial"/>
      <w:sz w:val="20"/>
      <w:szCs w:val="20"/>
    </w:rPr>
  </w:style>
  <w:style w:type="paragraph" w:customStyle="1" w:styleId="ZDGName">
    <w:name w:val="Z_DGName"/>
    <w:basedOn w:val="Normal"/>
    <w:uiPriority w:val="99"/>
    <w:semiHidden/>
    <w:rsid w:val="007915CB"/>
    <w:pPr>
      <w:widowControl w:val="0"/>
      <w:spacing w:after="0" w:line="240" w:lineRule="auto"/>
      <w:ind w:right="85"/>
    </w:pPr>
    <w:rPr>
      <w:rFonts w:ascii="Times New Roman" w:eastAsia="Times New Roman" w:hAnsi="Times New Roman" w:cs="Times New Roman"/>
      <w:sz w:val="16"/>
      <w:szCs w:val="20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217E60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6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hyperlink" Target="https://digital-strategy.ec.europa.eu/en/policies/high-performance-computing-joint-undertaking" TargetMode="External" /><Relationship Id="rId18" Type="http://schemas.openxmlformats.org/officeDocument/2006/relationships/hyperlink" Target="mailto:HR-MANAGEMENT-ONLINE@ec.europa.eu" TargetMode="External" /><Relationship Id="rId26" Type="http://schemas.openxmlformats.org/officeDocument/2006/relationships/theme" Target="theme/theme1.xml" /><Relationship Id="rId3" Type="http://schemas.openxmlformats.org/officeDocument/2006/relationships/customXml" Target="../customXml/item3.xml" /><Relationship Id="rId21" Type="http://schemas.openxmlformats.org/officeDocument/2006/relationships/footer" Target="footer1.xml" /><Relationship Id="rId7" Type="http://schemas.openxmlformats.org/officeDocument/2006/relationships/settings" Target="settings.xml" /><Relationship Id="rId12" Type="http://schemas.openxmlformats.org/officeDocument/2006/relationships/hyperlink" Target="https://digital-strategy.ec.europa.eu/en/policies/open-science-cloud" TargetMode="External" /><Relationship Id="rId17" Type="http://schemas.openxmlformats.org/officeDocument/2006/relationships/hyperlink" Target="https://ec.europa.eu/dgs/human-resources/seniormanagementvacancies/" TargetMode="External" /><Relationship Id="rId25" Type="http://schemas.openxmlformats.org/officeDocument/2006/relationships/fontTable" Target="fontTable.xml" /><Relationship Id="rId2" Type="http://schemas.openxmlformats.org/officeDocument/2006/relationships/customXml" Target="../customXml/item2.xml" /><Relationship Id="rId16" Type="http://schemas.openxmlformats.org/officeDocument/2006/relationships/hyperlink" Target="https://digital-strategy.ec.europa.eu/en/activities/flagships" TargetMode="External" /><Relationship Id="rId20" Type="http://schemas.openxmlformats.org/officeDocument/2006/relationships/header" Target="header2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yperlink" Target="https://digital-strategy.ec.europa.eu/en/policies/destination-earth" TargetMode="External" /><Relationship Id="rId24" Type="http://schemas.openxmlformats.org/officeDocument/2006/relationships/footer" Target="footer3.xml" /><Relationship Id="rId5" Type="http://schemas.openxmlformats.org/officeDocument/2006/relationships/numbering" Target="numbering.xml" /><Relationship Id="rId15" Type="http://schemas.openxmlformats.org/officeDocument/2006/relationships/hyperlink" Target="https://digital-strategy.ec.europa.eu/en/policies/european-quantum-communication-infrastructure-euroqci" TargetMode="External" /><Relationship Id="rId23" Type="http://schemas.openxmlformats.org/officeDocument/2006/relationships/header" Target="header3.xml" /><Relationship Id="rId10" Type="http://schemas.openxmlformats.org/officeDocument/2006/relationships/endnotes" Target="endnotes.xml" /><Relationship Id="rId19" Type="http://schemas.openxmlformats.org/officeDocument/2006/relationships/header" Target="header1.xml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hyperlink" Target="https://eurohpc-ju.europa.eu/index_en" TargetMode="External" /><Relationship Id="rId22" Type="http://schemas.openxmlformats.org/officeDocument/2006/relationships/footer" Target="footer2.xml" /><Relationship Id="rId27" Type="http://schemas.openxmlformats.org/officeDocument/2006/relationships/comments" Target="comments.xml" /></Relationships>
</file>

<file path=word/_rels/footnotes.xml.rels>&#65279;<?xml version="1.0" encoding="UTF-8" standalone="yes"?>
<Relationships xmlns="http://schemas.openxmlformats.org/package/2006/relationships"><Relationship Id="rId3" Type="http://schemas.openxmlformats.org/officeDocument/2006/relationships/hyperlink" Target="https://eur-lex.europa.eu/legal-content/HR/TXT/?uri=CELEX%3A01962R0031-20140701" TargetMode="External"/><Relationship Id="rId2" Type="http://schemas.openxmlformats.org/officeDocument/2006/relationships/hyperlink" Target="https://eur-lex.europa.eu/legal-content/HR/TXT/?uri=CELEX%3A01958R0001-20130701" TargetMode="External"/><Relationship Id="rId1" Type="http://schemas.openxmlformats.org/officeDocument/2006/relationships/hyperlink" Target="http://eur-lex.europa.eu/legal-content/HR/TXT/PDF/?uri=CELEX:01958R0001-20130701&amp;qid=1408533709461&amp;from=HR" TargetMode="External"/><Relationship Id="rId5" Type="http://schemas.openxmlformats.org/officeDocument/2006/relationships/hyperlink" Target="https://europa.eu/europass/hr/create-europass-cv" TargetMode="External"/><Relationship Id="rId4" Type="http://schemas.openxmlformats.org/officeDocument/2006/relationships/hyperlink" Target="https://commission.europa.eu/jobs-european-commission/job-opportunities/managers-european-commission_h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758C18408566418C0FD9B8B61EE907" ma:contentTypeVersion="4" ma:contentTypeDescription="Create a new document." ma:contentTypeScope="" ma:versionID="b49e5b301a5af27a10e5c928ceee74b8">
  <xsd:schema xmlns:xsd="http://www.w3.org/2001/XMLSchema" xmlns:xs="http://www.w3.org/2001/XMLSchema" xmlns:p="http://schemas.microsoft.com/office/2006/metadata/properties" xmlns:ns2="266b8023-4e98-4d86-a8f7-42cedb7eb419" targetNamespace="http://schemas.microsoft.com/office/2006/metadata/properties" ma:root="true" ma:fieldsID="324372e7c6f2edcc0f62b23e9674ded3" ns2:_="">
    <xsd:import namespace="266b8023-4e98-4d86-a8f7-42cedb7eb4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rocedurephase" minOccurs="0"/>
                <xsd:element ref="ns2:Publicationtyp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b8023-4e98-4d86-a8f7-42cedb7eb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rocedurephase" ma:index="10" nillable="true" ma:displayName="Procedure phase" ma:format="Dropdown" ma:internalName="Procedurephase">
      <xsd:simpleType>
        <xsd:restriction base="dms:Choice">
          <xsd:enumeration value="PUBLICATION"/>
          <xsd:enumeration value="PRE-SELECTION"/>
          <xsd:enumeration value="COMMUNICATION WITH CANDIDATES"/>
        </xsd:restriction>
      </xsd:simpleType>
    </xsd:element>
    <xsd:element name="Publicationtype" ma:index="11" nillable="true" ma:displayName="Publication type" ma:format="Dropdown" ma:internalName="Publicationtype">
      <xsd:simpleType>
        <xsd:restriction base="dms:Choice">
          <xsd:enumeration value="INTERNAL"/>
          <xsd:enumeration value="EXTERNAL"/>
          <xsd:enumeration value="INTERNAL, INTER-INST, EXTERNAL"/>
          <xsd:enumeration value="INTERNAL, INTER-INST"/>
          <xsd:enumeration value="INTER-INST, EXTER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cedurephase xmlns="266b8023-4e98-4d86-a8f7-42cedb7eb419">PUBLICATION</Procedurephase>
    <Publicationtype xmlns="266b8023-4e98-4d86-a8f7-42cedb7eb419">EXTERNAL</Publicationtyp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FC0D7-C62B-4325-9FFD-90011EC8AF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562BFB-DDB3-461D-B3C6-74B494563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b8023-4e98-4d86-a8f7-42cedb7eb4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3AFB75-2E9B-437B-86AD-4BABCA0BEB5B}">
  <ds:schemaRefs>
    <ds:schemaRef ds:uri="http://schemas.microsoft.com/office/2006/metadata/properties"/>
    <ds:schemaRef ds:uri="http://schemas.microsoft.com/office/infopath/2007/PartnerControls"/>
    <ds:schemaRef ds:uri="266b8023-4e98-4d86-a8f7-42cedb7eb419"/>
  </ds:schemaRefs>
</ds:datastoreItem>
</file>

<file path=customXml/itemProps4.xml><?xml version="1.0" encoding="utf-8"?>
<ds:datastoreItem xmlns:ds="http://schemas.openxmlformats.org/officeDocument/2006/customXml" ds:itemID="{D3233081-6A2C-422E-9A48-24ABB82F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2191</Words>
  <Characters>12711</Characters>
  <Application>Microsoft Office Word</Application>
  <DocSecurity>4</DocSecurity>
  <Lines>208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HR.C.1</dc:creator>
  <cp:lastModifiedBy>SEMERARO Maria-Rosella (HR)</cp:lastModifiedBy>
  <cp:revision>2</cp:revision>
  <cp:lastPrinted>2018-05-18T08:34:00Z</cp:lastPrinted>
  <dcterms:created xsi:type="dcterms:W3CDTF">2023-10-16T08:33:00Z</dcterms:created>
  <dcterms:modified xsi:type="dcterms:W3CDTF">2023-10-16T08:33:00Z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ffisync_UpdateToken">
    <vt:lpwstr>24</vt:lpwstr>
  </property>
  <property fmtid="{D5CDD505-2E9C-101B-9397-08002B2CF9AE}" pid="3" name="Offisync_ServerID">
    <vt:lpwstr>0d3b22a6-6203-4efc-8e8e-b5279256493b</vt:lpwstr>
  </property>
  <property fmtid="{D5CDD505-2E9C-101B-9397-08002B2CF9AE}" pid="4" name="Offisync_ProviderInitializationData">
    <vt:lpwstr>https://webgate.ec.europa.eu/connected</vt:lpwstr>
  </property>
  <property fmtid="{D5CDD505-2E9C-101B-9397-08002B2CF9AE}" pid="5" name="Jive_LatestUserAccountName">
    <vt:lpwstr>kytoltu</vt:lpwstr>
  </property>
  <property fmtid="{D5CDD505-2E9C-101B-9397-08002B2CF9AE}" pid="6" name="Jive_VersionGuid">
    <vt:lpwstr>33754013-f31b-4bbc-8276-57afe9ff3fc9</vt:lpwstr>
  </property>
  <property fmtid="{D5CDD505-2E9C-101B-9397-08002B2CF9AE}" pid="7" name="Offisync_UniqueId">
    <vt:lpwstr>162037</vt:lpwstr>
  </property>
  <property fmtid="{D5CDD505-2E9C-101B-9397-08002B2CF9AE}" pid="8" name="Jive_ModifiedButNotPublished">
    <vt:lpwstr>True</vt:lpwstr>
  </property>
  <property fmtid="{D5CDD505-2E9C-101B-9397-08002B2CF9AE}" pid="9" name="Jive_PrevVersionNumber">
    <vt:lpwstr/>
  </property>
  <property fmtid="{D5CDD505-2E9C-101B-9397-08002B2CF9AE}" pid="10" name="Jive_VersionGuid_v2.5">
    <vt:lpwstr/>
  </property>
  <property fmtid="{D5CDD505-2E9C-101B-9397-08002B2CF9AE}" pid="11" name="Jive_LatestFileFullName">
    <vt:lpwstr/>
  </property>
  <property fmtid="{D5CDD505-2E9C-101B-9397-08002B2CF9AE}" pid="12" name="MSIP_Label_6bd9ddd1-4d20-43f6-abfa-fc3c07406f94_Enabled">
    <vt:lpwstr>true</vt:lpwstr>
  </property>
  <property fmtid="{D5CDD505-2E9C-101B-9397-08002B2CF9AE}" pid="13" name="MSIP_Label_6bd9ddd1-4d20-43f6-abfa-fc3c07406f94_SetDate">
    <vt:lpwstr>2023-01-13T07:40:32Z</vt:lpwstr>
  </property>
  <property fmtid="{D5CDD505-2E9C-101B-9397-08002B2CF9AE}" pid="14" name="MSIP_Label_6bd9ddd1-4d20-43f6-abfa-fc3c07406f94_Method">
    <vt:lpwstr>Standard</vt:lpwstr>
  </property>
  <property fmtid="{D5CDD505-2E9C-101B-9397-08002B2CF9AE}" pid="15" name="MSIP_Label_6bd9ddd1-4d20-43f6-abfa-fc3c07406f94_Name">
    <vt:lpwstr>Commission Use</vt:lpwstr>
  </property>
  <property fmtid="{D5CDD505-2E9C-101B-9397-08002B2CF9AE}" pid="16" name="MSIP_Label_6bd9ddd1-4d20-43f6-abfa-fc3c07406f94_SiteId">
    <vt:lpwstr>b24c8b06-522c-46fe-9080-70926f8dddb1</vt:lpwstr>
  </property>
  <property fmtid="{D5CDD505-2E9C-101B-9397-08002B2CF9AE}" pid="17" name="MSIP_Label_6bd9ddd1-4d20-43f6-abfa-fc3c07406f94_ActionId">
    <vt:lpwstr>1034dbf8-9560-4bc9-86a2-8e60141f00e3</vt:lpwstr>
  </property>
  <property fmtid="{D5CDD505-2E9C-101B-9397-08002B2CF9AE}" pid="18" name="MSIP_Label_6bd9ddd1-4d20-43f6-abfa-fc3c07406f94_ContentBits">
    <vt:lpwstr>0</vt:lpwstr>
  </property>
  <property fmtid="{D5CDD505-2E9C-101B-9397-08002B2CF9AE}" pid="19" name="ContentTypeId">
    <vt:lpwstr>0x01010054758C18408566418C0FD9B8B61EE907</vt:lpwstr>
  </property>
</Properties>
</file>