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Sidevõrkude, sisu ja tehnoloogia peadirektoraat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Teade vaba ametikoha kohta: digipädevuse ja teadustaristu valdkonna direktor (palgaaste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(Personalieeskirjade artikli 29 lõige 2)</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Sidevõrkude, sisu ja tehnoloogia peadirektoraat</w:t>
      </w:r>
    </w:p>
    <w:p w14:paraId="7E648B60" w14:textId="0C204606" w:rsidR="007915CB" w:rsidRPr="007915CB" w:rsidRDefault="007915CB" w:rsidP="007915CB">
      <w:pPr>
        <w:shd w:val="clear" w:color="auto" w:fill="FFFFFF"/>
        <w:jc w:val="both"/>
        <w:rPr>
          <w:rFonts w:ascii="Times New Roman" w:hAnsi="Times New Roman" w:cs="Times New Roman"/>
        </w:rPr>
      </w:pPr>
      <w:r>
        <w:rPr>
          <w:rFonts w:ascii="Times New Roman" w:hAnsi="Times New Roman"/>
        </w:rPr>
        <w:t>Sidevõrkude, sisu ja tehnoloogia peadirektoraat toetab meie majanduse ja ühiskonna digiüleminekut ning kavandab ja rakendab poliitikat, mis on vajalik, et edendada siseturgu ja muuta Euroopa digiajastule vastavaks. Peadirektoraadi tegevus põhineb kahepoolsel koostööl kõigi huvitatud isikutega (ettevõtjad, akadeemilised ringkonnad, avalik-õiguslikud organisatsioonid, sidusrühmad, kodanikud). Peadirektoraat edendab aktiivselt ka valdkondadevahelist koostööd peadirektoraadis ja komisjonis.</w:t>
      </w:r>
    </w:p>
    <w:p w14:paraId="7243E7D8" w14:textId="206E21D6" w:rsidR="007915CB" w:rsidRPr="007915CB" w:rsidRDefault="007915CB" w:rsidP="007915CB">
      <w:pPr>
        <w:shd w:val="clear" w:color="auto" w:fill="FFFFFF"/>
        <w:jc w:val="both"/>
        <w:rPr>
          <w:rFonts w:ascii="Times New Roman" w:hAnsi="Times New Roman" w:cs="Times New Roman"/>
        </w:rPr>
      </w:pPr>
      <w:r>
        <w:rPr>
          <w:rFonts w:ascii="Times New Roman" w:hAnsi="Times New Roman"/>
          <w:shd w:val="clear" w:color="auto" w:fill="FFFFFF"/>
        </w:rPr>
        <w:t>Digipädevuse ja teadustaristu</w:t>
      </w:r>
      <w:r>
        <w:rPr>
          <w:rFonts w:ascii="Times New Roman" w:hAnsi="Times New Roman"/>
        </w:rPr>
        <w:t xml:space="preserve"> valdkonna direktoraadi C eesmärk on tagada juhtpositsioon tulevastes IKT-tehnoloogiates ja -taristutes, toetada nende edasist kasutuselevõttu ja laialdast kasutamist ning stimuleerida rohkearvuliste mõjukate teaduslike, tööstuslike ja ühiskondlike rakenduste loomist. Direktoraadi vastutusalasse kuuluvad järgmised tegevused. Direktoraat juhib ja koordineerib algatuse </w:t>
      </w:r>
      <w:hyperlink r:id="rId11" w:history="1">
        <w:r>
          <w:rPr>
            <w:rStyle w:val="Hyperlink"/>
            <w:rFonts w:ascii="Times New Roman" w:hAnsi="Times New Roman"/>
          </w:rPr>
          <w:t>„Destination Earth“ </w:t>
        </w:r>
      </w:hyperlink>
      <w:r>
        <w:rPr>
          <w:rFonts w:ascii="Times New Roman" w:hAnsi="Times New Roman"/>
        </w:rPr>
        <w:t xml:space="preserve">rakendamist. Samuti tegeleb ta </w:t>
      </w:r>
      <w:hyperlink r:id="rId12" w:history="1">
        <w:r>
          <w:rPr>
            <w:rStyle w:val="Hyperlink"/>
            <w:rFonts w:ascii="Times New Roman" w:hAnsi="Times New Roman"/>
          </w:rPr>
          <w:t>Euroopa avatud teaduse pilve </w:t>
        </w:r>
      </w:hyperlink>
      <w:r>
        <w:rPr>
          <w:rFonts w:ascii="Times New Roman" w:hAnsi="Times New Roman"/>
        </w:rPr>
        <w:t>loomisega. Samuti koordineerib ja jälgib direktoraat </w:t>
      </w:r>
      <w:hyperlink r:id="rId13" w:history="1">
        <w:r>
          <w:rPr>
            <w:rStyle w:val="Hyperlink"/>
            <w:rFonts w:ascii="Times New Roman" w:hAnsi="Times New Roman"/>
          </w:rPr>
          <w:t xml:space="preserve">kõrgjõudlusega andmetöötluse, kvantarvutuse </w:t>
        </w:r>
      </w:hyperlink>
      <w:r>
        <w:rPr>
          <w:rFonts w:ascii="Times New Roman" w:hAnsi="Times New Roman"/>
        </w:rPr>
        <w:t>ja -kommunikatsiooni ning andmetaristute arendamist ja kasutuselevõttu (sealhulgas ühisettevõtte </w:t>
      </w:r>
      <w:hyperlink r:id="rId14" w:history="1">
        <w:r>
          <w:rPr>
            <w:rStyle w:val="Hyperlink"/>
            <w:rFonts w:ascii="Times New Roman" w:hAnsi="Times New Roman"/>
          </w:rPr>
          <w:t>EuroHPC</w:t>
        </w:r>
      </w:hyperlink>
      <w:r>
        <w:rPr>
          <w:rFonts w:ascii="Times New Roman" w:hAnsi="Times New Roman"/>
        </w:rPr>
        <w:t xml:space="preserve"> järelevalve ja </w:t>
      </w:r>
      <w:hyperlink r:id="rId15" w:history="1">
        <w:r>
          <w:rPr>
            <w:rStyle w:val="Hyperlink"/>
            <w:rFonts w:ascii="Times New Roman" w:hAnsi="Times New Roman"/>
          </w:rPr>
          <w:t>Euroopa kvantsidetaristu (EuroQCI) algatuse</w:t>
        </w:r>
      </w:hyperlink>
      <w:r>
        <w:rPr>
          <w:rFonts w:ascii="Times New Roman" w:hAnsi="Times New Roman"/>
        </w:rPr>
        <w:t xml:space="preserve"> toetamine). Direktoraat töötab välja ka linnaplatvormide digiteisikuid, mis pakuvad (living-in.eu liikumisel põhinevaid) arukaid digilahendusi ja -teenuseid. Lisaks kuulub direktoraadi vastutusalasse </w:t>
      </w:r>
      <w:hyperlink r:id="rId16" w:history="1">
        <w:r>
          <w:rPr>
            <w:rStyle w:val="Hyperlink"/>
            <w:rFonts w:ascii="Times New Roman" w:hAnsi="Times New Roman"/>
          </w:rPr>
          <w:t>tulevaste ja kujunemisjärgus tehnoloogiate juhtprogramm</w:t>
        </w:r>
      </w:hyperlink>
      <w:r>
        <w:rPr>
          <w:rFonts w:ascii="Times New Roman" w:hAnsi="Times New Roman"/>
        </w:rPr>
        <w:t>, mis hõlmab inimaju projekti ning grafeeni- ja kvanttehnoloogiaid.</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Direktoraat koosneb neljast üksusest, mis asuvad Brüsselis ja Luxembourgis. Praegune töötajaskond koosneb umbes 70 inimesest ja selle aastaeelarve on ligikaudu 350 miljonit eurot. Direktori ametikoht asub Luxembourgis.</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Pakutav ametikoht</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Direktori ametiülesannete hulka kuulub:</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teha analüütilist tööd ning töötada välja peadirektoraadi strateegiad ja poliitika direktoraadi vastutusalasse kuuluvas valdkonnas;</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koostada direktoraadi tööprogramm (eesmärgid, väljundid, tähtajad) ning tagada selle sidusus ja kooskõla peadirektoraadi üldiste eesmärkidega;</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tagada direktoraadi tegevuse tulemuslik kavandamine ja juhtimine, sealhulgas kvaliteedistandardid, tähtaegade, töövoo, edusammude ja eesmärkide täitmise jälgimine;</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koordineerida ja rakendada direktoraadi iga üksuse tööprogrammi kuuluvaid tegevusi ning tagada nende sidusus ja kooskõla ELi/komisjoni poliitikaga;</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tagada direktoraadi personali tõhus planeerimine ja juhtimine ning neile ametiülesannete määramine; – direktoraadi töö tulemuslikkuse järelevalve ja kontroll, kaasa arvatud tulemuste ja juhtimise analüüs/hindamine, et tagada vahendite tulemuslik ja tõhus eraldamine ja kasutamine;</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tagada eelarvevahendite tulemuslik kavandamine ja haldamine kogu direktoraadis ning aidata kaasa peadirektoraadi eelarve- ja finantsvahendite juhtimispoliitika arendamisele komisjoni üldises poliitilises raamistikus;</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aidata peadirektorit peadirektoraadi korralduslikes küsimustes ja selle üldises juhtimises; esindada peadirektoraati direktoraadile või peadirektoraadile olulistel sise- või välisüritustel, sealhulgas osaleda direktoraadile olulistes komiteedes ja töörühmade kohtumistel;</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suhelda ja hoida regulaarseid kontakte komisjoni asjaomaste sisetalituste ja välisasutustega, et esindada peadirektoraadi huve ning olla kursis ELi/komisjoni poliitiliste arengutega valdkondades, mis kuuluvad direktoraadi tegevusalasse.</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Sobiv kandidaat (valikukriteeriumid)</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Isikuomadused</w:t>
      </w:r>
    </w:p>
    <w:p w14:paraId="60777D0F" w14:textId="4D2B160B" w:rsidR="009B1143" w:rsidRDefault="009B1143" w:rsidP="003542EC">
      <w:pPr>
        <w:spacing w:after="240" w:line="240" w:lineRule="auto"/>
        <w:jc w:val="both"/>
        <w:rPr>
          <w:rFonts w:ascii="Times New Roman" w:hAnsi="Times New Roman" w:cs="Times New Roman"/>
        </w:rPr>
      </w:pPr>
      <w:r>
        <w:rPr>
          <w:rFonts w:ascii="Times New Roman" w:hAnsi="Times New Roman"/>
        </w:rPr>
        <w:t>– suurepärane suhtlemis- ja läbirääkimisoskus, sealhulgas võime esindada peadirektoraati kõrgemail tasandil komisjonis, liikmesriikides ja rahvusvahelistel foorumitel;</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hea otsustusvõime, abstraktse mõtlemise võime ning suutlikkus mõelda uuenduslikult ja strateegiliselt.</w:t>
      </w:r>
    </w:p>
    <w:p w14:paraId="66A8F3F0" w14:textId="08F970E0"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Erioskused ja kogemused</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Euroopa teadus-, arendus- ja innovatsioonipoliitikaga seotud info- ja kommunikatsioonitehnoloogia ning laiemalt digitaalmajanduse ja ühiskonnapoliitika hea tundmine;</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põhjalikud teadmised teaduspoliitika alal – kogemused ulatuslike teaduspoliitika algatuste ja rakendustega oleksid kasulikud – ning tõendatud kogemus poliitika kujundamise ja juhtimise valdkonnas, mis on soovitavalt saadud kõrgel ametikohal.</w:t>
      </w:r>
    </w:p>
    <w:p w14:paraId="3F410309" w14:textId="646C02C9"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Juhtimisoskused</w:t>
      </w:r>
    </w:p>
    <w:p w14:paraId="7FF4F4F4" w14:textId="1EB3C8D1" w:rsidR="009B1143" w:rsidRDefault="009B1143" w:rsidP="003542EC">
      <w:pPr>
        <w:spacing w:after="240" w:line="240" w:lineRule="auto"/>
        <w:jc w:val="both"/>
        <w:rPr>
          <w:rFonts w:ascii="Times New Roman" w:hAnsi="Times New Roman" w:cs="Times New Roman"/>
        </w:rPr>
      </w:pPr>
      <w:r>
        <w:rPr>
          <w:rFonts w:ascii="Times New Roman" w:hAnsi="Times New Roman"/>
        </w:rPr>
        <w:t>– tõendatud juhtimiskogemus ja tugevad juhtimisoskused, võime juhtida, innustada ja motiveerida suurte finantsressurssidega direktoraadi töötajate suuri meeskondi;</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kasuks tuleb strateegilise planeerimise ja programmijuhtimise kogemus, mis on saadud peadirektoraadi haldusalasse kuuluvates valdkondades või sellega seotud valdkondades;</w:t>
      </w:r>
    </w:p>
    <w:p w14:paraId="12F130C2" w14:textId="722BADB3" w:rsidR="009B1143" w:rsidRDefault="009B1143" w:rsidP="003542EC">
      <w:pPr>
        <w:spacing w:after="240" w:line="240" w:lineRule="auto"/>
        <w:jc w:val="both"/>
        <w:rPr>
          <w:rFonts w:ascii="Times New Roman" w:hAnsi="Times New Roman" w:cs="Times New Roman"/>
        </w:rPr>
      </w:pPr>
      <w:r>
        <w:rPr>
          <w:rFonts w:ascii="Times New Roman" w:hAnsi="Times New Roman"/>
        </w:rPr>
        <w:t>– tõendatud suutlikkus mõelda loominguliselt ja strateegiliselt, et arendada välja selge visioon saavutatavatest eesmärkidest ning viia see praktiliste ja realistlike tegevuskavade kaudu ellu;</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võime juhtida dünaamilist muutuste protsessi.</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Nõuded kandidaadile (osalemistingimused)</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Kandidaat, kes soovib valikumenetluses osaleda, peab </w:t>
      </w:r>
      <w:r>
        <w:rPr>
          <w:rFonts w:ascii="Times New Roman" w:hAnsi="Times New Roman"/>
          <w:b/>
          <w:bCs/>
        </w:rPr>
        <w:t>kandideerimisavalduse esitamise lõppkuupäeval</w:t>
      </w:r>
      <w:r>
        <w:rPr>
          <w:rFonts w:ascii="Times New Roman" w:hAnsi="Times New Roman"/>
        </w:rPr>
        <w:t xml:space="preserve"> vastama järgmistele ametlikele tingimustele.</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Kodakondsus:</w:t>
      </w:r>
      <w:r>
        <w:rPr>
          <w:rFonts w:ascii="Times New Roman" w:hAnsi="Times New Roman"/>
        </w:rPr>
        <w:t xml:space="preserve"> kandidaat peab olema ühe Euroopa Liidu liikmesriigi kodanik.</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Akadeemiline kraad või diplom</w:t>
      </w:r>
      <w:r>
        <w:rPr>
          <w:rFonts w:ascii="Times New Roman" w:hAnsi="Times New Roman"/>
        </w:rPr>
        <w:t>: kandidaadil peab olema</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lastRenderedPageBreak/>
        <w:t>–</w:t>
      </w:r>
      <w:r>
        <w:tab/>
      </w:r>
      <w:r>
        <w:rPr>
          <w:rFonts w:ascii="Times New Roman" w:hAnsi="Times New Roman"/>
        </w:rPr>
        <w:t>lõpetatud ülikooliõppele vastav haridustase, mida tõendab diplom ja mille omandamiseks vajaliku ülikooliõppe kestus on tavapäraselt vähemalt neli aastat,</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või lõpetatud ülikooliõppele vastav haridustase, mida tõendab diplom, ning vähemalt üheaastane erialane töökogemus asjaomases valdkonnas, juhul kui ülikooliõpingute kestus on tavapäraselt vähemalt kolm aastat (nimetatud üheaastast erialast töökogemust ei arvestata allpool nõutud ülikoolijärgse töökogemuse hulka).</w:t>
      </w:r>
    </w:p>
    <w:p w14:paraId="4922525F" w14:textId="10B39993"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Erialane töökogemus</w:t>
      </w:r>
      <w:r>
        <w:rPr>
          <w:rFonts w:ascii="Times New Roman" w:hAnsi="Times New Roman"/>
        </w:rPr>
        <w:t>: kandidaadil peab olema vähemalt 15-aastane ülikoolijärgne erialane töökogemus</w:t>
      </w:r>
      <w:r>
        <w:rPr>
          <w:rStyle w:val="FootnoteReference"/>
          <w:rFonts w:ascii="Times New Roman" w:hAnsi="Times New Roman" w:cs="Times New Roman"/>
          <w:b/>
        </w:rPr>
        <w:footnoteReference w:id="1"/>
      </w:r>
      <w:r>
        <w:rPr>
          <w:rFonts w:ascii="Times New Roman" w:hAnsi="Times New Roman"/>
        </w:rPr>
        <w:t xml:space="preserve"> tasemel, mis vastab eespool osutatud kvalifikatsioonile.</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Juhtimiskogemus: </w:t>
      </w:r>
      <w:r>
        <w:rPr>
          <w:rFonts w:ascii="Times New Roman" w:hAnsi="Times New Roman"/>
        </w:rPr>
        <w:t>vähemalt viis aastat ülikoolijärgsest erialasest töökogemusest peab olema saadud kõrgel juhtival ametikohal</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Keeleoskus</w:t>
      </w:r>
      <w:r>
        <w:rPr>
          <w:rFonts w:ascii="Times New Roman" w:hAnsi="Times New Roman"/>
        </w:rPr>
        <w:t>: kandidaat peab oskama üht Euroopa Liidu ametlikku keelt</w:t>
      </w:r>
      <w:r>
        <w:rPr>
          <w:rStyle w:val="FootnoteReference"/>
          <w:rFonts w:ascii="Times New Roman" w:hAnsi="Times New Roman" w:cs="Times New Roman"/>
        </w:rPr>
        <w:footnoteReference w:id="3"/>
      </w:r>
      <w:r>
        <w:rPr>
          <w:rFonts w:ascii="Times New Roman" w:hAnsi="Times New Roman"/>
        </w:rPr>
        <w:t xml:space="preserve"> väga heal tasemel ja teist ametlikku keelt rahuldaval tasemel. Valikukomisjon kontrollib vestlus(t)e käigus, kas kandidaat täidab nõuet osata rahuldaval tasemel mõnda teist ELi ametlikku keelt. Selleks võib vestlus (või osa sellest) toimuda selles teises keeles.</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Vanusepiirang:</w:t>
      </w:r>
      <w:r>
        <w:rPr>
          <w:rFonts w:ascii="Times New Roman" w:hAnsi="Times New Roman"/>
        </w:rPr>
        <w:t xml:space="preserve"> kandidaadi vanus peab olema alla ametliku pensioniea, mis Euroopa Liidu ametnike puhul algab selle kuu lõpus, mille jooksul nad saavad 66-aastaseks (vt personalieeskirjade</w:t>
      </w:r>
      <w:r>
        <w:rPr>
          <w:rStyle w:val="FootnoteReference"/>
          <w:rFonts w:ascii="Times New Roman" w:hAnsi="Times New Roman" w:cs="Times New Roman"/>
          <w:b/>
        </w:rPr>
        <w:footnoteReference w:id="4"/>
      </w:r>
      <w:r>
        <w:rPr>
          <w:rFonts w:ascii="Times New Roman" w:hAnsi="Times New Roman"/>
        </w:rPr>
        <w:t xml:space="preserve"> artikli 52 punkt a).</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Valikumenetlus ja ametisse nimetamine</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Valikumenetlus ja ametisse nimetamine toimub vastavalt Euroopa Komisjoni personalivaliku- ja värbamismenetlustele (vt dokument, mis käsitleb kõrgema järgu ametnike suhtes kohaldatavat poliitikat</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Valikumenetluse raames moodustab Euroopa Komisjon eelvalikukomisjoni. Eelvalikukomisjon analüüsib kõiki kandideerimisavaldusi. Kõigepealt kontrollib ta osalemistingimuste täitmist ja teeb kindlaks kandidaadid, kellel on eespool nimetatud valikukriteeriumide põhjal parim profiil ja kes võidakse kutsuda vestlusele eelvalikukomisjoniga.</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Pärast neid vestlusi teeb eelvalikukomisjon oma otsuse ja koostab nimekirja kandidaatidest, kes kutsutakse vestlusele ametisse nimetamise küsimustega tegelevasse Euroopa Komisjoni nõuandekomiteesse. Ametisse nimetamise küsimustega tegelev nõuandekomitee otsustab eelvalikukomisjoni otsuse põhjal, kes kandidaatidest kutsutakse vestlusele.</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Kandidaadid, kes on kutsutud vestlusele nõuandekomiteesse, osalevad ka juhtimisalases hindamiskeskuses väliste personalikonsultantide korraldataval hindamisel, mis kestab terve päeva. </w:t>
      </w:r>
      <w:r>
        <w:rPr>
          <w:rFonts w:ascii="Times New Roman" w:hAnsi="Times New Roman"/>
        </w:rPr>
        <w:lastRenderedPageBreak/>
        <w:t>Vestluse ja hindamiskeskuse aruande põhjal koostab ametisse nimetamise küsimustega tegelev nõuandekomitee nimekirja kandidaatidest, keda ta peab ametikohale sobivaks.</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Nõuandekomitees välja valitud kandidaadid kutsutakse vestlusele asjaomase valdkonna eest vastutava(te) Euroopa Komisjoni volinikuga/volinikega.</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Pärast neid vestlusi teeb Euroopa Komisjon ametisse nimetamise otsuse.</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Väljavalitud kandidaat peab olema täitnud kõik seadusest tulenevad kohustused seoses sõjaväeteenistusega, esitama asjaomased iseloomustused, mis näitavad tema sobivust töökohustuste täitmiseks, ja olema füüsiliselt võimeline neid täitma.</w:t>
      </w:r>
    </w:p>
    <w:p w14:paraId="6693FB2E" w14:textId="328A21FB"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Väljavalitud kandidaadil peaks olema tema liikmesriigi julgeolekuasutuse väljastatud kehtiv salastatud teabele juurdepääsu luba või võimalus see saada. Tegemist on juurdepääsuloaga, mis antakse isikule haldusotsusega pärast seda, kui ta on läbinud liikmesriigi pädeva julgeolekuasutuse kontrolli kooskõlas kohaldatavate siseriiklike julgeolekualaste õigusnormidega, ning millega tõendatakse, et isikule võib anda juurdepääsu teatava tasemeni salastatud teabele. (Palume tähele panna, et juurdepääsuloa saamiseks vajaliku menetluse saab algatada ainult tööandja, mitte aga isik ise</w:t>
      </w:r>
      <w:r w:rsidR="004776D0">
        <w:rPr>
          <w:rFonts w:ascii="Times New Roman" w:hAnsi="Times New Roman"/>
        </w:rPr>
        <w:t>.</w:t>
      </w:r>
      <w:r>
        <w:rPr>
          <w:rFonts w:ascii="Times New Roman" w:hAnsi="Times New Roman"/>
        </w:rPr>
        <w:t>)</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Kandidaat ei saa juurdepääsu teabele, mille ELi salastatuse tase on CONFIDENTIEL UE / EU CONFIDENTIAL või kõrgem, ega tohi osaleda koosolekutel, kus sellist teavet arutatakse, enne kui asjaomane liikmesriik on andnud talle juurdepääsuloa ja julgeolekukontrolli menetlus ning õigusaktidega nõutav Euroopa Komisjoni julgeolekudirektoraadi poolne julgeolekuülevaade on lõpule viidud.</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Võrdsed võimalused</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Vastavalt personalieeskirjade artiklile 1d lähtub komisjon strateegilisest eesmärgist saavutada oma praeguse ametiaja lõpuks sooline võrdõiguslikkus kõigil juhtimistasanditel ning rakendab võrdsete võimaluste poliitikat, kutsudes üles esitama taotlusi, mis võiksid kaasa aidata suuremale mitmekesisusele, soolisele võrdõiguslikkusele ja üldisele geograafilisele tasakaalule.</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Teenistustingimused</w:t>
      </w:r>
    </w:p>
    <w:p w14:paraId="2C797D8E" w14:textId="6831820B"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Palga- ja teenistustingimused on sätestatud personalieeskirjades.</w:t>
      </w:r>
    </w:p>
    <w:p w14:paraId="4BD27166" w14:textId="4E56CD77"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Väljavalitud kandidaat nimetatakse ametisse palgaastme AD 14 ametnikuna. Talle määratakse sõltuvalt tema eelnevast erialasest töökogemusest selle palgaastme 1. või 2. järk.</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Juhime kandidaatide tähelepanu sellele, et personalieeskirjade kohaselt peavad kõik uued töötajad edukalt läbima üheksakuulise katseaja.</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Töökoht asub Luxembourgis.</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Sõltumatus ja huvide deklaratsioon</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Valikumenetluse ajal esitab väljavalitud kandidaat deklaratsiooni selle kohta, et ta tegutseb sõltumatult avalikes huvides, ning selliste huvide kohta, mida võidakse käsitada tema sõltumatust ohustavatena.</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Oluline teave kandidaatidele</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lastRenderedPageBreak/>
        <w:t>Tuletame kandidaatidele meelde, et valikukomisjonide töö on konfidentsiaalne. Kandidaatidel on keelatud otse või kaudselt, isiklikult või kellegi vahendusel valikukomisjoni liikmetega ühendust võtta. Kõik järelepärimised tuleb saata asjaomase valikukomisjoni sekretariaadile.</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Isikuandmete kaitse</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Komisjon tagab, et kandidaatide isikuandmeid töödeldakse vastavalt Euroopa Parlamendi ja nõukogu määrusele (EL) 2018/1725</w:t>
      </w:r>
      <w:r>
        <w:rPr>
          <w:rStyle w:val="FootnoteReference"/>
          <w:rFonts w:ascii="Times New Roman" w:hAnsi="Times New Roman" w:cs="Times New Roman"/>
        </w:rPr>
        <w:footnoteReference w:id="6"/>
      </w:r>
      <w:r>
        <w:rPr>
          <w:rFonts w:ascii="Times New Roman" w:hAnsi="Times New Roman"/>
        </w:rPr>
        <w:t>. Eriti pööratakse tähelepanu nimetatud andmete konfidentsiaalsusele ja turvalisusele.</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Kandideerimisavalduste esitamise kord</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Kontrollige enne kandideerimisavalduse esitamist hoolikalt, kas Te täidate kõik osalemiskriteeriumid („Nõuded kandidaadile“), eriti diplomi, kõrgel juhtival ametikohal töötamise kogemuse ning keeleoskuse kohta kehtestatud nõuded. Kandidaadid, kes nõudeid ei täida, langevad valikumenetlusest automaatselt välja.</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Kandideerimisavalduse esitamiseks tuleb registreeruda internetis järgmisel veebisaidil ja järgida valikumenetluse eri etappe käsitlevaid juhiseid: </w:t>
      </w:r>
    </w:p>
    <w:p w14:paraId="77DF5B81" w14:textId="77777777" w:rsidR="001F08A9" w:rsidRPr="007915CB" w:rsidRDefault="004776D0"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Teil peab olema toimiv e-posti aadress. Seda kasutatakse Teie registreerumise kinnitamiseks ja Teiega ühenduse pidamiseks valikumenetluse kõikides etappides. Seepärast palume Teil Euroopa Komisjoni teavitada, kui Teie e-posti aadress muutub.</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Avaldusele tuleb lisada PDF-vormingus, eelistatavalt Europassi CV formaadis</w:t>
      </w:r>
      <w:r>
        <w:rPr>
          <w:rStyle w:val="FootnoteReference"/>
          <w:rFonts w:ascii="Times New Roman" w:hAnsi="Times New Roman" w:cs="Times New Roman"/>
        </w:rPr>
        <w:footnoteReference w:id="7"/>
      </w:r>
      <w:r>
        <w:rPr>
          <w:rFonts w:ascii="Times New Roman" w:hAnsi="Times New Roman"/>
        </w:rPr>
        <w:t xml:space="preserve"> elulookirjeldus ja täita veebis motivatsioonikiri (kuni 8000 tähemärki). Elulookirjelduse ja motivatsioonikirja võib esitada ükskõik millises Euroopa Liidu ametlikus keeles.</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Teie huvides on tagada, et Teie avaldus on täpne, põhjalik ja tõene.</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Veebipõhise registreerumise lõpetamisel saate e-kirja, milles kinnitatakse, et Teie avaldus on registreeritud. </w:t>
      </w:r>
      <w:r>
        <w:rPr>
          <w:rFonts w:ascii="Times New Roman" w:hAnsi="Times New Roman"/>
          <w:b/>
        </w:rPr>
        <w:t>Kui Te e-kirjaga kinnitust ei saa, siis avalduse esitamine ebaõnnestus!</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Juhime Teie tähelepanu sellele, et avalduse läbivaatamise käiku ei saa veebis jälgida. Euroopa Komisjon võtab Teiega kandideerimisavalduse asjus otse ühendust.</w:t>
      </w:r>
    </w:p>
    <w:p w14:paraId="13D95A95" w14:textId="52B88702"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E-postiga saadetud avaldusi vastu ei võeta. </w:t>
      </w:r>
      <w:r>
        <w:rPr>
          <w:rFonts w:ascii="Times New Roman" w:hAnsi="Times New Roman"/>
        </w:rPr>
        <w:t xml:space="preserve">Kui vajate lisateavet ja/või kui esineb tehnilisi probleeme, saatke e-kiri aadressil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Õigeaegse veebis registreerumise eest vastutab kandidaat ise. Soovitame tungivalt mitte oodata avalduse esitamisega viimaste päevadeni, sest avalduse täitmine veebilehel võib interneti koormatuse või internetiühenduse häire tõttu katkeda ja sel juhul tuleb Teil kogu protsessi korrata. Pärast avalduste </w:t>
      </w:r>
      <w:r>
        <w:rPr>
          <w:rFonts w:ascii="Times New Roman" w:hAnsi="Times New Roman"/>
        </w:rPr>
        <w:lastRenderedPageBreak/>
        <w:t>esitamise lõppkuupäeva möödumist andmeid enam lisada ei saa. Hilinenud kandideerimisavaldusi vastu ei võeta.</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315368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Avalduse esitamise lõppkuupäev</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Avalduse esitamise lõppkuupäev on </w:t>
      </w:r>
      <w:r>
        <w:rPr>
          <w:rFonts w:ascii="Times New Roman" w:hAnsi="Times New Roman"/>
          <w:b/>
          <w:bCs/>
        </w:rPr>
        <w:t>27. november 2023 kell 12.00 päeval Brüsseli aja järgi</w:t>
      </w:r>
      <w:r>
        <w:rPr>
          <w:rFonts w:ascii="Times New Roman" w:hAnsi="Times New Roman"/>
        </w:rPr>
        <w:t>. Hiljem ei ole kandideerimisavaldust enam võimalik esitada.</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Erialast töökogemust võetakse arvesse üksnes juhul, kui see on saadud tegeliku töösuhte raames, mis kujutab endast tegelikku tasustatud tööd töövõtjana (mis tahes liiki tööleping) või teenusepakkujana. Osaajatööd arvestatakse protsendina tõendatud töötatud täistööajast. Emapuhkust/vanemapuhkust/lapsendamispuhkust võetakse arvesse, kui seda võeti töölepingu raames. Doktoriõpet (ka tasustamata) käsitatakse erialase töökogemusena (maksimaalselt kolm aastat), tingimusel et see on edukalt läbitud. Üht ja sama ajavahemikku arvestatakse ainult üks kord.</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Elulookirjelduses peaks kandidaat kõigi nende aastate kohta, mille jooksul ta töötas juhtival ametikohal, esitama järgmised andmed: 1) juhtiva ametikoha nimetus ja ülesanded; 2) alluvate arv nendel ametikohtadel; 3) hallatud eelarvete suurus; 4) kõrgemate ja madalamate juhtimistasandite arv ja 5) sama tasandi kolleegide arv.</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http://eur-lex.europa.eu/legal-content/ET/TXT/PDF/?uri=CELEX:01958R0001-20130701&amp;qid=1408533709461&amp;from=ET</w:t>
        </w:r>
      </w:hyperlink>
      <w:hyperlink r:id="rId2" w:history="1">
        <w:r>
          <w:rPr>
            <w:rStyle w:val="Hyperlink"/>
            <w:rFonts w:ascii="Times New Roman" w:hAnsi="Times New Roman"/>
            <w:sz w:val="16"/>
          </w:rPr>
          <w:t>https://eur-lex.europa.eu/legal-content/ET/TXT/?uri=CELEX%3A01958R0001-20130701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https://eur-lex.europa.eu/legal-content/ET/TXT/PDF/?uri=CELEX:01962R0031-20140701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kumendid">
        <w:r>
          <w:rPr>
            <w:rStyle w:val="Hyperlink"/>
            <w:rFonts w:ascii="Times New Roman" w:hAnsi="Times New Roman"/>
            <w:sz w:val="16"/>
          </w:rPr>
          <w:t>https://commission.europa.eu/jobs-european-commission/job-opportunities/managers-european-commission_en#documents</w:t>
        </w:r>
      </w:hyperlink>
      <w:r>
        <w:rPr>
          <w:rFonts w:ascii="Times New Roman" w:hAnsi="Times New Roman"/>
          <w:sz w:val="16"/>
        </w:rPr>
        <w:t xml:space="preserve"> (ainult inglise keeles)</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Euroopa Parlamendi ja nõukogu 23. oktoobri 2018. aasta määrus (EL) 2018/1725, mis käsitleb füüsiliste isikute kaitset isikuandmete töötlemisel liidu institutsioonides, organites ja asutustes ning isikuandmete vaba liikumist, ning millega tunnistatakse kehtetuks määrus (EÜ) nr 45/2001 ja otsus nr 1247/2002/EÜ (ELT L 295, 21.11.2018, lk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Europassi CV vormi kohase elulookirjelduse koostamise õpetuse leiate veebiaadressilt </w:t>
      </w:r>
      <w:hyperlink r:id="rId5" w:history="1">
        <w:r>
          <w:rPr>
            <w:rStyle w:val="Hyperlink"/>
            <w:rFonts w:ascii="Times New Roman" w:hAnsi="Times New Roman"/>
            <w:sz w:val="18"/>
          </w:rPr>
          <w:t>https://europa.eu/europass/et/create-europass-cv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C7868"/>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776D0"/>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t/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t/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t/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T/TXT/?uri=CELEX%3A01962R0031-20140701" TargetMode="External"/><Relationship Id="rId2" Type="http://schemas.openxmlformats.org/officeDocument/2006/relationships/hyperlink" Target="https://eur-lex.europa.eu/legal-content/ET/TXT/?uri=CELEX%3A01958R0001-20130701" TargetMode="External"/><Relationship Id="rId1" Type="http://schemas.openxmlformats.org/officeDocument/2006/relationships/hyperlink" Target="http://eur-lex.europa.eu/legal-content/ET/TXT/PDF/?uri=CELEX:01958R0001-20130701&amp;qid=1408533709461&amp;from=ET" TargetMode="External"/><Relationship Id="rId5" Type="http://schemas.openxmlformats.org/officeDocument/2006/relationships/hyperlink" Target="https://europa.eu/europass/et/create-europass-cv" TargetMode="External"/><Relationship Id="rId4" Type="http://schemas.openxmlformats.org/officeDocument/2006/relationships/hyperlink" Target="https://commission.europa.eu/jobs-european-commission/job-opportunities/managers-european-commission_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3.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customXml/itemProps4.xml><?xml version="1.0" encoding="utf-8"?>
<ds:datastoreItem xmlns:ds="http://schemas.openxmlformats.org/officeDocument/2006/customXml" ds:itemID="{372FC0D7-C62B-4325-9FFD-90011EC8AF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2033</Words>
  <Characters>11812</Characters>
  <Application>Microsoft Office Word</Application>
  <DocSecurity>0</DocSecurity>
  <Lines>193</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KURG Onne (DGT)</cp:lastModifiedBy>
  <cp:revision>4</cp:revision>
  <cp:lastPrinted>2018-05-18T08:34:00Z</cp:lastPrinted>
  <dcterms:created xsi:type="dcterms:W3CDTF">2023-10-16T08:33:00Z</dcterms:created>
  <dcterms:modified xsi:type="dcterms:W3CDTF">2023-10-19T10:25:00Z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