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BB213D" w:rsidRPr="003A5F9A" w14:paraId="46C0DAC8" w14:textId="77777777" w:rsidTr="007C377E">
        <w:trPr>
          <w:trHeight w:val="220"/>
        </w:trPr>
        <w:tc>
          <w:tcPr>
            <w:tcW w:w="1996" w:type="pct"/>
            <w:vMerge w:val="restart"/>
            <w:tcBorders>
              <w:right w:val="single" w:sz="12" w:space="0" w:color="auto"/>
            </w:tcBorders>
          </w:tcPr>
          <w:p w14:paraId="573C56FF" w14:textId="4887B7F9" w:rsidR="00BB213D" w:rsidRPr="00AA5A63" w:rsidRDefault="00BB213D"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auto"/>
          </w:tcPr>
          <w:p w14:paraId="40E25AC4" w14:textId="4A759B8C" w:rsidR="00BB213D" w:rsidRPr="009A500A" w:rsidRDefault="007C377E" w:rsidP="009A500A">
            <w:pPr>
              <w:pStyle w:val="Text1"/>
              <w:spacing w:before="60" w:after="60"/>
              <w:ind w:left="0"/>
              <w:rPr>
                <w:rFonts w:ascii="Verdana" w:hAnsi="Verdana" w:cs="Arial"/>
                <w:b/>
                <w:bCs/>
                <w:sz w:val="20"/>
                <w:szCs w:val="20"/>
              </w:rPr>
            </w:pPr>
            <w:r w:rsidRPr="007C377E">
              <w:rPr>
                <w:rFonts w:ascii="Verdana" w:hAnsi="Verdana" w:cs="Arial"/>
                <w:b/>
                <w:bCs/>
                <w:sz w:val="20"/>
                <w:szCs w:val="20"/>
              </w:rPr>
              <w:t>TSI 2024 Flagship technical support project</w:t>
            </w:r>
          </w:p>
        </w:tc>
      </w:tr>
      <w:tr w:rsidR="00BB213D" w:rsidRPr="003A5F9A" w14:paraId="3BC3AE59" w14:textId="77777777" w:rsidTr="007C377E">
        <w:trPr>
          <w:trHeight w:val="220"/>
        </w:trPr>
        <w:tc>
          <w:tcPr>
            <w:tcW w:w="1996" w:type="pct"/>
            <w:vMerge/>
            <w:tcBorders>
              <w:right w:val="single" w:sz="12" w:space="0" w:color="auto"/>
            </w:tcBorders>
          </w:tcPr>
          <w:p w14:paraId="745742D9" w14:textId="77777777" w:rsidR="00BB213D" w:rsidRPr="00AA5A63" w:rsidRDefault="00BB213D"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auto"/>
          </w:tcPr>
          <w:p w14:paraId="52AC6C4D" w14:textId="75EA9465" w:rsidR="00BB213D" w:rsidRPr="009A500A" w:rsidRDefault="00BB213D" w:rsidP="00BB213D">
            <w:pPr>
              <w:pStyle w:val="Text1"/>
              <w:spacing w:before="60" w:after="60"/>
              <w:ind w:left="0"/>
              <w:jc w:val="left"/>
              <w:rPr>
                <w:rFonts w:ascii="Verdana" w:hAnsi="Verdana" w:cs="Arial"/>
                <w:b/>
                <w:bCs/>
                <w:sz w:val="20"/>
                <w:szCs w:val="20"/>
              </w:rPr>
            </w:pPr>
            <w:r w:rsidRPr="009A500A">
              <w:rPr>
                <w:rFonts w:ascii="Verdana" w:hAnsi="Verdana" w:cs="Arial"/>
                <w:b/>
                <w:bCs/>
                <w:sz w:val="20"/>
                <w:szCs w:val="20"/>
              </w:rPr>
              <w:t>“</w:t>
            </w:r>
            <w:r>
              <w:rPr>
                <w:rFonts w:ascii="Verdana" w:hAnsi="Verdana" w:cs="Arial"/>
                <w:b/>
                <w:bCs/>
                <w:sz w:val="20"/>
                <w:szCs w:val="20"/>
              </w:rPr>
              <w:t>Digital Financial Literacy</w:t>
            </w:r>
            <w:r w:rsidRPr="009A500A">
              <w:rPr>
                <w:rFonts w:ascii="Verdana" w:hAnsi="Verdana" w:cs="Arial"/>
                <w:b/>
                <w:bCs/>
                <w:sz w:val="20"/>
                <w:szCs w:val="20"/>
              </w:rPr>
              <w:t>”</w:t>
            </w:r>
          </w:p>
        </w:tc>
      </w:tr>
      <w:tr w:rsidR="00A7100F" w:rsidRPr="003A5F9A" w14:paraId="09039D34" w14:textId="77777777" w:rsidTr="007C377E">
        <w:trPr>
          <w:trHeight w:val="443"/>
        </w:trPr>
        <w:tc>
          <w:tcPr>
            <w:tcW w:w="1996" w:type="pct"/>
            <w:tcBorders>
              <w:right w:val="single" w:sz="12" w:space="0" w:color="auto"/>
            </w:tcBorders>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auto"/>
          </w:tcPr>
          <w:p w14:paraId="6EECAF07" w14:textId="4ACA88B4" w:rsidR="00A7100F" w:rsidRPr="00AA5A63" w:rsidRDefault="00BB213D" w:rsidP="00C21EA8">
            <w:pPr>
              <w:pStyle w:val="Text1"/>
              <w:spacing w:before="60" w:after="60"/>
              <w:ind w:left="0"/>
              <w:jc w:val="left"/>
              <w:rPr>
                <w:rFonts w:ascii="Verdana" w:hAnsi="Verdana" w:cs="Arial"/>
                <w:b/>
                <w:bCs/>
                <w:sz w:val="20"/>
                <w:szCs w:val="20"/>
              </w:rPr>
            </w:pPr>
            <w:r>
              <w:rPr>
                <w:rFonts w:ascii="Verdana" w:hAnsi="Verdana" w:cs="Arial"/>
                <w:bCs/>
                <w:color w:val="FF0000"/>
                <w:sz w:val="20"/>
                <w:szCs w:val="20"/>
              </w:rPr>
              <w:t>[maximum 150 characters]</w:t>
            </w:r>
            <w:r w:rsidR="009A500A" w:rsidRPr="009A500A">
              <w:rPr>
                <w:rFonts w:ascii="Verdana" w:hAnsi="Verdana" w:cs="Arial"/>
                <w:b/>
                <w:bCs/>
                <w:sz w:val="20"/>
                <w:szCs w:val="20"/>
              </w:rPr>
              <w:t xml:space="preserve"> </w:t>
            </w:r>
          </w:p>
        </w:tc>
      </w:tr>
      <w:tr w:rsidR="00A7100F" w:rsidRPr="003A5F9A" w14:paraId="749D5553" w14:textId="77777777" w:rsidTr="66590D7B">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w:t>
            </w:r>
            <w:r w:rsidR="005C6F09" w:rsidRPr="00AA5A63">
              <w:rPr>
                <w:rFonts w:ascii="Verdana" w:hAnsi="Verdana" w:cs="Arial"/>
                <w:b/>
                <w:bCs/>
                <w:sz w:val="20"/>
                <w:szCs w:val="20"/>
              </w:rPr>
              <w:t>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422DF29" w14:textId="77777777" w:rsidR="00AA5A63" w:rsidRDefault="00AA5A63" w:rsidP="00060746">
      <w:pPr>
        <w:jc w:val="center"/>
        <w:rPr>
          <w:rFonts w:ascii="Verdana" w:hAnsi="Verdana"/>
          <w:b/>
          <w:sz w:val="32"/>
          <w:szCs w:val="32"/>
        </w:rPr>
      </w:pPr>
    </w:p>
    <w:p w14:paraId="51C47B19" w14:textId="77777777" w:rsidR="00A7100F" w:rsidRDefault="00A7100F" w:rsidP="00BB213D">
      <w:pPr>
        <w:rPr>
          <w:rFonts w:ascii="Verdana" w:hAnsi="Verdana"/>
          <w:b/>
          <w:sz w:val="16"/>
          <w:szCs w:val="16"/>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763E0C"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763E0C"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72932F23" w:rsidR="001240F8" w:rsidRPr="00E84FE8" w:rsidRDefault="00BB213D"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763E0C"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763E0C"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5131971C" w:rsidR="00B26DE0" w:rsidRPr="00E84FE8" w:rsidRDefault="005B19D1" w:rsidP="66590D7B">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Please indicate the name, email and country of the participating national authorities concerned by this multi-country request.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12623053" w:rsidR="00380899" w:rsidRPr="00380899" w:rsidRDefault="005B19D1"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p>
        </w:tc>
      </w:tr>
      <w:tr w:rsidR="005B19D1"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5B19D1" w:rsidRPr="00E84FE8" w:rsidRDefault="005B19D1" w:rsidP="005B19D1">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3FB599D2" w:rsidR="005B19D1" w:rsidRPr="00087BC9" w:rsidRDefault="005B19D1" w:rsidP="005B19D1">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5B19D1"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0FF4BE4C" w:rsidR="005B19D1" w:rsidRPr="002062A3" w:rsidRDefault="005B19D1" w:rsidP="005B19D1">
            <w:pPr>
              <w:spacing w:before="60" w:after="60" w:line="240" w:lineRule="auto"/>
              <w:rPr>
                <w:rFonts w:ascii="Verdana" w:eastAsia="Times New Roman" w:hAnsi="Verdana" w:cs="Arial"/>
                <w:sz w:val="20"/>
                <w:szCs w:val="20"/>
                <w:lang w:eastAsia="en-GB"/>
              </w:rPr>
            </w:pPr>
            <w:r>
              <w:rPr>
                <w:rFonts w:ascii="Verdana" w:hAnsi="Verdana" w:cs="Arial"/>
                <w:sz w:val="20"/>
                <w:szCs w:val="20"/>
              </w:rPr>
              <w:t>[This should include your own Member State.]</w:t>
            </w:r>
          </w:p>
        </w:tc>
      </w:tr>
      <w:tr w:rsidR="005B19D1"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5B19D1" w:rsidRPr="00380899" w:rsidRDefault="005B19D1" w:rsidP="005B19D1">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The below instructions are ONLY for multi-country requests to be submitted “on behalf” of other Member States’ authorities</w:t>
            </w:r>
          </w:p>
          <w:p w14:paraId="6F8CE35C" w14:textId="77777777" w:rsidR="005B19D1" w:rsidRDefault="005B19D1" w:rsidP="005B19D1">
            <w:pPr>
              <w:spacing w:before="60" w:after="60" w:line="240" w:lineRule="auto"/>
              <w:jc w:val="center"/>
              <w:rPr>
                <w:rFonts w:ascii="Verdana" w:eastAsia="Times New Roman" w:hAnsi="Verdana" w:cs="Arial"/>
                <w:b/>
                <w:bCs/>
                <w:sz w:val="20"/>
                <w:szCs w:val="20"/>
                <w:lang w:eastAsia="en-GB"/>
              </w:rPr>
            </w:pPr>
          </w:p>
          <w:p w14:paraId="13783F57" w14:textId="77777777" w:rsidR="00AD7FD9" w:rsidRDefault="00AD7FD9" w:rsidP="00AD7FD9">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0722A388" w14:textId="77777777" w:rsidR="00AD7FD9" w:rsidRDefault="00AD7FD9" w:rsidP="00AD7FD9">
            <w:pPr>
              <w:pStyle w:val="Text2"/>
              <w:spacing w:before="60" w:after="120"/>
              <w:ind w:left="0"/>
              <w:rPr>
                <w:rFonts w:ascii="Verdana" w:hAnsi="Verdana" w:cs="Arial"/>
                <w:sz w:val="20"/>
                <w:szCs w:val="20"/>
              </w:rPr>
            </w:pPr>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56E8515A" w14:textId="77777777" w:rsidR="00AD7FD9" w:rsidRDefault="00AD7FD9" w:rsidP="00AD7FD9">
            <w:pPr>
              <w:pStyle w:val="Text2"/>
              <w:numPr>
                <w:ilvl w:val="0"/>
                <w:numId w:val="26"/>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2985C556" w14:textId="77777777" w:rsidR="00AD7FD9" w:rsidRDefault="00AD7FD9" w:rsidP="00AD7FD9">
            <w:pPr>
              <w:pStyle w:val="Text2"/>
              <w:numPr>
                <w:ilvl w:val="0"/>
                <w:numId w:val="26"/>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0BF02D57" w14:textId="77777777" w:rsidR="00AD7FD9" w:rsidRDefault="00AD7FD9" w:rsidP="00AD7FD9">
            <w:pPr>
              <w:pStyle w:val="Text2"/>
              <w:numPr>
                <w:ilvl w:val="0"/>
                <w:numId w:val="26"/>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180825D2" w14:textId="77777777" w:rsidR="00AD7FD9" w:rsidRDefault="00AD7FD9" w:rsidP="00AD7FD9">
            <w:pPr>
              <w:pStyle w:val="Text2"/>
              <w:numPr>
                <w:ilvl w:val="0"/>
                <w:numId w:val="26"/>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p w14:paraId="0B9F9A25" w14:textId="77777777" w:rsidR="00AD7FD9" w:rsidRDefault="00AD7FD9" w:rsidP="00AD7FD9">
            <w:pPr>
              <w:pStyle w:val="Text2"/>
              <w:spacing w:before="60" w:after="120"/>
              <w:ind w:left="720"/>
              <w:rPr>
                <w:rFonts w:ascii="Verdana" w:hAnsi="Verdana" w:cs="Arial"/>
                <w:sz w:val="20"/>
                <w:szCs w:val="20"/>
              </w:rPr>
            </w:pPr>
          </w:p>
          <w:p w14:paraId="04E94168" w14:textId="77777777" w:rsidR="00AD7FD9" w:rsidRDefault="00AD7FD9" w:rsidP="00AD7FD9">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037EDC98" w14:textId="77777777" w:rsidR="00AD7FD9" w:rsidRDefault="00AD7FD9" w:rsidP="00AD7FD9">
            <w:pPr>
              <w:pStyle w:val="Text2"/>
              <w:numPr>
                <w:ilvl w:val="0"/>
                <w:numId w:val="26"/>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34E17455" w14:textId="77777777" w:rsidR="00AD7FD9" w:rsidRDefault="00AD7FD9" w:rsidP="00AD7FD9">
            <w:pPr>
              <w:pStyle w:val="Text2"/>
              <w:numPr>
                <w:ilvl w:val="0"/>
                <w:numId w:val="26"/>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4838B4CC" w14:textId="77777777" w:rsidR="00AD7FD9" w:rsidRDefault="00AD7FD9" w:rsidP="00AD7FD9">
            <w:pPr>
              <w:pStyle w:val="Text2"/>
              <w:numPr>
                <w:ilvl w:val="0"/>
                <w:numId w:val="26"/>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1B950408" w:rsidR="005B19D1" w:rsidRPr="00087BC9" w:rsidRDefault="005B19D1" w:rsidP="005B19D1">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77777777" w:rsidR="00EB3270" w:rsidRPr="00E24A65"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18"/>
                <w:szCs w:val="18"/>
                <w:highlight w:val="yellow"/>
                <w:lang w:eastAsia="en-GB"/>
              </w:rPr>
            </w:pPr>
            <w:r w:rsidRPr="00E24A65">
              <w:rPr>
                <w:rFonts w:ascii="Verdana" w:hAnsi="Verdana"/>
                <w:b/>
                <w:color w:val="FF0000"/>
                <w:sz w:val="18"/>
                <w:szCs w:val="18"/>
                <w:highlight w:val="yellow"/>
              </w:rPr>
              <w:t xml:space="preserve">This general overview below is intended to help the beneficiary authority describe the specific problems and needs by taking inspiration from the contextual information provided.  </w:t>
            </w:r>
          </w:p>
          <w:p w14:paraId="217CCD5E" w14:textId="77777777" w:rsidR="00EB3270" w:rsidRPr="00E24A65"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highlight w:val="yellow"/>
                <w:lang w:val="en-IE"/>
              </w:rPr>
            </w:pPr>
            <w:r w:rsidRPr="00E24A65">
              <w:rPr>
                <w:rFonts w:ascii="Verdana" w:hAnsi="Verdana"/>
                <w:b/>
                <w:color w:val="FF0000"/>
                <w:sz w:val="18"/>
                <w:szCs w:val="18"/>
                <w:highlight w:val="yellow"/>
                <w:lang w:val="en-IE"/>
              </w:rPr>
              <w:t>This general overview does not provide any information about the specific situation in the Member State submitting the request, nor about specific needs.</w:t>
            </w:r>
          </w:p>
          <w:p w14:paraId="53323576" w14:textId="552289F2" w:rsidR="00EB3270" w:rsidRPr="00E24A65"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rPr>
            </w:pPr>
            <w:r w:rsidRPr="00E24A65">
              <w:rPr>
                <w:rFonts w:ascii="Verdana" w:hAnsi="Verdana"/>
                <w:b/>
                <w:color w:val="FF0000"/>
                <w:sz w:val="18"/>
                <w:szCs w:val="18"/>
                <w:highlight w:val="yellow"/>
                <w:lang w:val="en-IE"/>
              </w:rPr>
              <w:lastRenderedPageBreak/>
              <w:t>When filling-in the request template online, y</w:t>
            </w:r>
            <w:proofErr w:type="spellStart"/>
            <w:r w:rsidRPr="00E24A65">
              <w:rPr>
                <w:rFonts w:ascii="Verdana" w:hAnsi="Verdana"/>
                <w:b/>
                <w:color w:val="FF0000"/>
                <w:sz w:val="18"/>
                <w:szCs w:val="18"/>
                <w:highlight w:val="yellow"/>
              </w:rPr>
              <w:t>ou</w:t>
            </w:r>
            <w:proofErr w:type="spellEnd"/>
            <w:r w:rsidRPr="00E24A65">
              <w:rPr>
                <w:rFonts w:ascii="Verdana" w:hAnsi="Verdana"/>
                <w:b/>
                <w:color w:val="FF0000"/>
                <w:sz w:val="18"/>
                <w:szCs w:val="18"/>
                <w:highlight w:val="yellow"/>
              </w:rPr>
              <w:t xml:space="preserve"> are invited to outline </w:t>
            </w:r>
            <w:r w:rsidRPr="00E24A65">
              <w:rPr>
                <w:rFonts w:ascii="Verdana" w:hAnsi="Verdana"/>
                <w:b/>
                <w:iCs/>
                <w:color w:val="FF0000"/>
                <w:sz w:val="18"/>
                <w:szCs w:val="18"/>
                <w:highlight w:val="yellow"/>
              </w:rPr>
              <w:t xml:space="preserve">your specific problems and needs, taking inspiration from the general overview and adapting it to your context, and to provide any additional information relevant </w:t>
            </w:r>
            <w:r w:rsidRPr="00E24A65">
              <w:rPr>
                <w:rFonts w:ascii="Verdana" w:hAnsi="Verdana"/>
                <w:b/>
                <w:color w:val="FF0000"/>
                <w:sz w:val="18"/>
                <w:szCs w:val="18"/>
                <w:highlight w:val="yellow"/>
                <w:lang w:val="en-IE"/>
              </w:rPr>
              <w:t xml:space="preserve">to your specific context. </w:t>
            </w:r>
          </w:p>
          <w:p w14:paraId="1BCD47F7" w14:textId="77777777" w:rsidR="00EB3270" w:rsidRPr="00EB3270" w:rsidRDefault="00EB3270" w:rsidP="00410FFA">
            <w:pPr>
              <w:shd w:val="clear" w:color="auto" w:fill="FFFF00"/>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628FC29D" w14:textId="33EF7651" w:rsidR="00A86967" w:rsidRPr="00A86967" w:rsidRDefault="00A86967" w:rsidP="00A86967">
            <w:pPr>
              <w:shd w:val="clear" w:color="auto" w:fill="FFFF00"/>
              <w:spacing w:after="160" w:line="259" w:lineRule="auto"/>
              <w:jc w:val="both"/>
              <w:rPr>
                <w:rFonts w:ascii="Calibri" w:eastAsia="Times New Roman" w:hAnsi="Calibri" w:cs="Calibri"/>
              </w:rPr>
            </w:pPr>
            <w:r w:rsidRPr="00A86967">
              <w:rPr>
                <w:rFonts w:ascii="Calibri" w:eastAsia="Times New Roman" w:hAnsi="Calibri" w:cs="Calibri"/>
                <w:b/>
              </w:rPr>
              <w:t>Digitalisation</w:t>
            </w:r>
            <w:r w:rsidRPr="00A86967">
              <w:rPr>
                <w:rFonts w:ascii="Calibri" w:eastAsia="Times New Roman" w:hAnsi="Calibri" w:cs="Calibri"/>
              </w:rPr>
              <w:t xml:space="preserve"> is a manifest trend in our lives and economies. It helped citizens and businesses during the COVID-19 pandemic and it transformed the way people use and providers offer financial products and services. This is most evident in </w:t>
            </w:r>
            <w:r w:rsidR="00645DB5">
              <w:rPr>
                <w:rFonts w:ascii="Calibri" w:eastAsia="Times New Roman" w:hAnsi="Calibri" w:cs="Calibri"/>
              </w:rPr>
              <w:t xml:space="preserve">a </w:t>
            </w:r>
            <w:r w:rsidRPr="00A86967">
              <w:rPr>
                <w:rFonts w:ascii="Calibri" w:eastAsia="Times New Roman" w:hAnsi="Calibri" w:cs="Calibri"/>
              </w:rPr>
              <w:t xml:space="preserve">decision-making increasingly guided </w:t>
            </w:r>
            <w:r w:rsidR="00B60ADF">
              <w:rPr>
                <w:rFonts w:ascii="Calibri" w:eastAsia="Times New Roman" w:hAnsi="Calibri" w:cs="Calibri"/>
              </w:rPr>
              <w:t xml:space="preserve">by </w:t>
            </w:r>
            <w:r w:rsidRPr="00A86967">
              <w:rPr>
                <w:rFonts w:ascii="Calibri" w:eastAsia="Times New Roman" w:hAnsi="Calibri" w:cs="Calibri"/>
              </w:rPr>
              <w:t>on-line information rather than personal interaction.</w:t>
            </w:r>
          </w:p>
          <w:p w14:paraId="4029F7DF" w14:textId="77777777" w:rsidR="00A86967" w:rsidRPr="00A86967" w:rsidRDefault="00A86967" w:rsidP="00A86967">
            <w:pPr>
              <w:shd w:val="clear" w:color="auto" w:fill="FFFF00"/>
              <w:spacing w:after="160" w:line="259" w:lineRule="auto"/>
              <w:jc w:val="both"/>
              <w:rPr>
                <w:rFonts w:ascii="Calibri" w:eastAsia="Times New Roman" w:hAnsi="Calibri" w:cs="Calibri"/>
              </w:rPr>
            </w:pPr>
            <w:r w:rsidRPr="00A86967">
              <w:rPr>
                <w:rFonts w:ascii="Calibri" w:eastAsia="Times New Roman" w:hAnsi="Calibri" w:cs="Calibri"/>
              </w:rPr>
              <w:t xml:space="preserve">While the </w:t>
            </w:r>
            <w:r w:rsidRPr="00A86967">
              <w:rPr>
                <w:rFonts w:ascii="Calibri" w:eastAsia="Times New Roman" w:hAnsi="Calibri" w:cs="Calibri"/>
                <w:b/>
                <w:bCs/>
              </w:rPr>
              <w:t>increase in online</w:t>
            </w:r>
            <w:r w:rsidRPr="00A86967">
              <w:rPr>
                <w:rFonts w:ascii="Calibri" w:eastAsia="Times New Roman" w:hAnsi="Calibri" w:cs="Calibri"/>
                <w:b/>
              </w:rPr>
              <w:t xml:space="preserve"> banking services and</w:t>
            </w:r>
            <w:r w:rsidRPr="00A86967">
              <w:rPr>
                <w:rFonts w:ascii="Calibri" w:eastAsia="Times New Roman" w:hAnsi="Calibri" w:cs="Calibri"/>
              </w:rPr>
              <w:t xml:space="preserve"> </w:t>
            </w:r>
            <w:r w:rsidRPr="00A86967">
              <w:rPr>
                <w:rFonts w:ascii="Calibri" w:eastAsia="Times New Roman" w:hAnsi="Calibri" w:cs="Calibri"/>
                <w:b/>
              </w:rPr>
              <w:t xml:space="preserve">digital payments </w:t>
            </w:r>
            <w:r w:rsidRPr="00A86967">
              <w:rPr>
                <w:rFonts w:ascii="Calibri" w:eastAsia="Times New Roman" w:hAnsi="Calibri" w:cs="Calibri"/>
              </w:rPr>
              <w:t xml:space="preserve">enables a smoother banking experience for retail customers who can access their bank accounts anytime and everywhere, it is also resulting in a shift of frauds and thefts from in-person to online. Phishing, vishing (phishing through the phone, often targeted at elderly people), scams or identity thefts are on the rise and are becoming an increasing concern. </w:t>
            </w:r>
          </w:p>
          <w:p w14:paraId="25170300" w14:textId="41CF47EA" w:rsidR="00A86967" w:rsidRPr="00A86967" w:rsidRDefault="00A86967" w:rsidP="00A86967">
            <w:pPr>
              <w:shd w:val="clear" w:color="auto" w:fill="FFFF00"/>
              <w:spacing w:after="160" w:line="259" w:lineRule="auto"/>
              <w:jc w:val="both"/>
              <w:rPr>
                <w:rFonts w:ascii="Calibri" w:eastAsia="Times New Roman" w:hAnsi="Calibri" w:cs="Calibri"/>
              </w:rPr>
            </w:pPr>
            <w:r w:rsidRPr="00A86967">
              <w:rPr>
                <w:rFonts w:ascii="Calibri" w:eastAsia="Times New Roman" w:hAnsi="Calibri" w:cs="Calibri"/>
              </w:rPr>
              <w:t xml:space="preserve">Recent trends also show a </w:t>
            </w:r>
            <w:r w:rsidRPr="00A86967">
              <w:rPr>
                <w:rFonts w:ascii="Calibri" w:eastAsia="Times New Roman" w:hAnsi="Calibri" w:cs="Calibri"/>
                <w:b/>
                <w:bCs/>
              </w:rPr>
              <w:t>rise of retail (individuals and non-professional) investors entering capital markets</w:t>
            </w:r>
            <w:r w:rsidRPr="00A86967">
              <w:rPr>
                <w:rFonts w:ascii="Calibri" w:eastAsia="Times New Roman" w:hAnsi="Calibri" w:cs="Calibri"/>
              </w:rPr>
              <w:t xml:space="preserve"> directly or indirectly. They generally tend to be younger, technophile and not necessarily aware of all the risks. The accumulation of households’ savings in the wake of the pandemic is one reason for this increase. The emergence of innovative (and cheaper) digital investment tools and products</w:t>
            </w:r>
            <w:r w:rsidRPr="00A86967">
              <w:rPr>
                <w:rFonts w:ascii="Calibri" w:eastAsia="Times New Roman" w:hAnsi="Calibri" w:cs="Calibri"/>
                <w:b/>
                <w:bCs/>
              </w:rPr>
              <w:t xml:space="preserve"> </w:t>
            </w:r>
            <w:r w:rsidRPr="00A86967">
              <w:rPr>
                <w:rFonts w:ascii="Calibri" w:eastAsia="Times New Roman" w:hAnsi="Calibri" w:cs="Calibri"/>
              </w:rPr>
              <w:t xml:space="preserve">provides new opportunities for these retail investors, but in combination with low level of financial literacy, prevalent in </w:t>
            </w:r>
            <w:r w:rsidR="00686A4C">
              <w:rPr>
                <w:rFonts w:ascii="Calibri" w:eastAsia="Times New Roman" w:hAnsi="Calibri" w:cs="Calibri"/>
              </w:rPr>
              <w:t>some</w:t>
            </w:r>
            <w:r w:rsidRPr="00A86967">
              <w:rPr>
                <w:rFonts w:ascii="Calibri" w:eastAsia="Times New Roman" w:hAnsi="Calibri" w:cs="Calibri"/>
              </w:rPr>
              <w:t xml:space="preserve"> parts of the population, also exposes them to new risks stemming from online marketing techniques or excessive risk taking</w:t>
            </w:r>
            <w:r w:rsidRPr="00A86967">
              <w:rPr>
                <w:rFonts w:ascii="Calibri" w:eastAsia="Times New Roman" w:hAnsi="Calibri" w:cs="Calibri"/>
                <w:vertAlign w:val="superscript"/>
              </w:rPr>
              <w:footnoteReference w:id="3"/>
            </w:r>
            <w:r w:rsidRPr="00A86967">
              <w:rPr>
                <w:rFonts w:ascii="Calibri" w:eastAsia="Times New Roman" w:hAnsi="Calibri" w:cs="Calibri"/>
              </w:rPr>
              <w:t xml:space="preserve">. Higher general financial literacy and, within it, higher digital financial literacy of citizens must become the necessary corollary of the trends observed in retail financial services. </w:t>
            </w:r>
          </w:p>
          <w:p w14:paraId="7EDADA6F" w14:textId="4806AA28" w:rsidR="00A86967" w:rsidRPr="00A86967" w:rsidRDefault="00A86967" w:rsidP="00A86967">
            <w:pPr>
              <w:shd w:val="clear" w:color="auto" w:fill="FFFF00"/>
              <w:spacing w:after="160" w:line="259" w:lineRule="auto"/>
              <w:jc w:val="both"/>
              <w:rPr>
                <w:rFonts w:ascii="Calibri" w:eastAsia="Times New Roman" w:hAnsi="Calibri" w:cs="Calibri"/>
              </w:rPr>
            </w:pPr>
            <w:r w:rsidRPr="00A86967">
              <w:rPr>
                <w:rFonts w:ascii="Calibri" w:eastAsia="Times New Roman" w:hAnsi="Calibri" w:cs="Calibri"/>
              </w:rPr>
              <w:t xml:space="preserve">This evolving financial landscape characterised by an increasing spread of digital means in everyday life and growing complexity of some digital financial products on the markets require citizens to be both financially and digitally literate. Hence, widespread </w:t>
            </w:r>
            <w:r w:rsidRPr="00A86967">
              <w:rPr>
                <w:rFonts w:ascii="Calibri" w:eastAsia="Times New Roman" w:hAnsi="Calibri" w:cs="Calibri"/>
                <w:b/>
              </w:rPr>
              <w:t xml:space="preserve">digital financial literacy, within general financial literacy, is increasingly important, </w:t>
            </w:r>
            <w:r w:rsidRPr="00A86967">
              <w:rPr>
                <w:rFonts w:ascii="Calibri" w:eastAsia="Times New Roman" w:hAnsi="Calibri" w:cs="Calibri"/>
              </w:rPr>
              <w:t>whereby digital financial literacy is defined as “</w:t>
            </w:r>
            <w:r w:rsidRPr="00686A4C">
              <w:rPr>
                <w:rFonts w:ascii="Calibri" w:eastAsia="Times New Roman" w:hAnsi="Calibri" w:cs="Calibri"/>
                <w:i/>
                <w:iCs/>
              </w:rPr>
              <w:t>a combination of knowledge, skills, attitudes and behaviours necessary for individuals to be aware of and safely use digital financial services and digital technologies with a view to contributing to their financial well-being</w:t>
            </w:r>
            <w:r w:rsidRPr="00A86967">
              <w:rPr>
                <w:rFonts w:ascii="Calibri" w:eastAsia="Times New Roman" w:hAnsi="Calibri" w:cs="Calibri"/>
              </w:rPr>
              <w:t>”</w:t>
            </w:r>
            <w:r w:rsidRPr="00A86967">
              <w:rPr>
                <w:rFonts w:ascii="Calibri" w:eastAsia="Times New Roman" w:hAnsi="Calibri" w:cs="Calibri"/>
                <w:vertAlign w:val="superscript"/>
              </w:rPr>
              <w:footnoteReference w:id="4"/>
            </w:r>
            <w:r w:rsidRPr="00A86967">
              <w:rPr>
                <w:rFonts w:ascii="Calibri" w:eastAsia="Times New Roman" w:hAnsi="Calibri" w:cs="Calibri"/>
              </w:rPr>
              <w:t>. The ability to assess financial information provided through digital channels and a thorough knowledge of information and communication technologies (ICT) are prerequisites for their use. This goal may be achieved through financial education, which complements consumer protection, but does not replace it.</w:t>
            </w:r>
          </w:p>
          <w:p w14:paraId="1F2B5F28" w14:textId="081987A5" w:rsidR="00393CA9" w:rsidRDefault="00393CA9" w:rsidP="00410FFA">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the needs pertinent to your request. </w:t>
            </w:r>
          </w:p>
          <w:p w14:paraId="5DEE330F" w14:textId="77777777" w:rsidR="00393CA9" w:rsidRDefault="00393CA9" w:rsidP="00410FFA">
            <w:pPr>
              <w:shd w:val="clear" w:color="auto" w:fill="FFFF00"/>
              <w:spacing w:after="0"/>
              <w:jc w:val="both"/>
              <w:rPr>
                <w:rFonts w:ascii="Verdana" w:hAnsi="Verdana" w:cs="Arial"/>
                <w:i/>
                <w:color w:val="FF0000"/>
                <w:sz w:val="20"/>
                <w:szCs w:val="20"/>
              </w:rPr>
            </w:pPr>
          </w:p>
          <w:p w14:paraId="1629A2C4" w14:textId="588060F9" w:rsidR="00393CA9" w:rsidRDefault="00393CA9" w:rsidP="00410FFA">
            <w:pPr>
              <w:shd w:val="clear" w:color="auto" w:fill="FFFF00"/>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CE704B3" w14:textId="4F3D50E2" w:rsidR="00393CA9" w:rsidRPr="00EB3270" w:rsidDel="00CA5DB7" w:rsidRDefault="00393CA9" w:rsidP="00393CA9">
            <w:pPr>
              <w:spacing w:after="0"/>
              <w:jc w:val="both"/>
              <w:rPr>
                <w:rFonts w:ascii="Verdana" w:eastAsia="Times New Roman" w:hAnsi="Verdana" w:cs="Arial"/>
                <w:sz w:val="20"/>
                <w:szCs w:val="20"/>
                <w:lang w:eastAsia="en-GB"/>
              </w:rPr>
            </w:pPr>
          </w:p>
        </w:tc>
      </w:tr>
      <w:tr w:rsidR="005B19D1" w:rsidRPr="00F64CAB" w14:paraId="77093BCA" w14:textId="77777777" w:rsidTr="008A4DC9">
        <w:trPr>
          <w:trHeight w:val="420"/>
        </w:trPr>
        <w:tc>
          <w:tcPr>
            <w:tcW w:w="9072" w:type="dxa"/>
            <w:gridSpan w:val="3"/>
            <w:shd w:val="clear" w:color="auto" w:fill="auto"/>
            <w:vAlign w:val="center"/>
          </w:tcPr>
          <w:p w14:paraId="6F5A5203" w14:textId="04938AAB" w:rsidR="005B19D1" w:rsidRPr="00334FF6" w:rsidRDefault="005B19D1"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Pr>
                <w:rFonts w:ascii="Verdana" w:eastAsia="Times New Roman" w:hAnsi="Verdana" w:cs="Arial"/>
                <w:sz w:val="20"/>
                <w:szCs w:val="20"/>
                <w:lang w:val="en-US" w:eastAsia="en-GB"/>
              </w:rPr>
              <w:lastRenderedPageBreak/>
              <w:t>[Insert Text; 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6624EB4B"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xml:space="preserve">? Is there a specific deadline (at national, </w:t>
            </w:r>
            <w:r w:rsidR="00D47430">
              <w:rPr>
                <w:rFonts w:ascii="Verdana" w:eastAsia="Times New Roman" w:hAnsi="Verdana" w:cs="Arial"/>
                <w:b/>
                <w:bCs/>
                <w:sz w:val="20"/>
                <w:szCs w:val="20"/>
                <w:lang w:val="en-US" w:eastAsia="en-GB"/>
              </w:rPr>
              <w:t xml:space="preserve">regional, </w:t>
            </w:r>
            <w:r w:rsidRPr="00EC5A01">
              <w:rPr>
                <w:rFonts w:ascii="Verdana" w:eastAsia="Times New Roman" w:hAnsi="Verdana" w:cs="Arial"/>
                <w:b/>
                <w:bCs/>
                <w:sz w:val="20"/>
                <w:szCs w:val="20"/>
                <w:lang w:val="en-US" w:eastAsia="en-GB"/>
              </w:rPr>
              <w:t>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5A671BE8"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D47430">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1082D02D" w:rsidR="00547B77" w:rsidRPr="007E03B2" w:rsidRDefault="00140C8E" w:rsidP="007E03B2">
            <w:pPr>
              <w:rPr>
                <w:rFonts w:ascii="Verdana" w:eastAsia="Times New Roman" w:hAnsi="Verdana" w:cs="Arial"/>
                <w:sz w:val="20"/>
                <w:szCs w:val="20"/>
                <w:lang w:val="en-US" w:eastAsia="en-GB"/>
              </w:rPr>
            </w:pPr>
            <w:r w:rsidRPr="007E03B2">
              <w:rPr>
                <w:rFonts w:ascii="Verdana" w:eastAsia="Times New Roman" w:hAnsi="Verdana" w:cs="Arial"/>
                <w:sz w:val="20"/>
                <w:szCs w:val="20"/>
                <w:lang w:val="en-US" w:eastAsia="en-GB"/>
              </w:rPr>
              <w:t>Financial sector and access to finance</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36DD772A"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Revenue administration and public financial management</w:t>
            </w:r>
          </w:p>
          <w:p w14:paraId="69315C20"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25A8179C" w14:textId="3491FDE4" w:rsidR="00140C8E" w:rsidRPr="00140C8E" w:rsidRDefault="007E64B3"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Sustainable g</w:t>
            </w:r>
            <w:r w:rsidR="00140C8E"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proofErr w:type="spellStart"/>
            <w:r w:rsidRPr="00140C8E">
              <w:rPr>
                <w:rFonts w:ascii="Verdana" w:eastAsia="Times New Roman" w:hAnsi="Verdana" w:cs="Arial"/>
                <w:sz w:val="20"/>
                <w:szCs w:val="20"/>
                <w:lang w:val="en-US" w:eastAsia="en-GB"/>
              </w:rPr>
              <w:t>Labour</w:t>
            </w:r>
            <w:proofErr w:type="spellEnd"/>
            <w:r w:rsidRPr="00140C8E">
              <w:rPr>
                <w:rFonts w:ascii="Verdana" w:eastAsia="Times New Roman" w:hAnsi="Verdana" w:cs="Arial"/>
                <w:sz w:val="20"/>
                <w:szCs w:val="20"/>
                <w:lang w:val="en-US" w:eastAsia="en-GB"/>
              </w:rPr>
              <w:t xml:space="preserve"> market, Education, Health and Social services</w:t>
            </w:r>
          </w:p>
          <w:p w14:paraId="67A13B8D" w14:textId="638D8D1E"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090825">
              <w:rPr>
                <w:rFonts w:ascii="Verdana" w:eastAsia="Times New Roman" w:hAnsi="Verdana" w:cs="Arial"/>
                <w:sz w:val="20"/>
                <w:szCs w:val="20"/>
                <w:lang w:val="en-US" w:eastAsia="en-GB"/>
              </w:rPr>
              <w:t>, asylum and border management</w:t>
            </w:r>
          </w:p>
          <w:p w14:paraId="2697A5AC" w14:textId="27270F43" w:rsidR="00405D81" w:rsidRPr="00140C8E" w:rsidRDefault="00013D60" w:rsidP="00C24C26">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712697">
              <w:rPr>
                <w:rFonts w:ascii="Verdana" w:hAnsi="Verdana"/>
                <w:b/>
                <w:bCs/>
                <w:sz w:val="20"/>
                <w:szCs w:val="20"/>
              </w:rPr>
              <w:t xml:space="preserve">topic(s) </w:t>
            </w:r>
            <w:r w:rsidR="00A3620D" w:rsidRPr="00712697">
              <w:rPr>
                <w:rFonts w:ascii="Verdana" w:hAnsi="Verdana"/>
                <w:b/>
                <w:bCs/>
                <w:sz w:val="20"/>
                <w:szCs w:val="20"/>
              </w:rPr>
              <w:t>(</w:t>
            </w:r>
            <w:r w:rsidRPr="00712697">
              <w:rPr>
                <w:rFonts w:ascii="Verdana" w:hAnsi="Verdana"/>
                <w:b/>
                <w:bCs/>
                <w:sz w:val="20"/>
                <w:szCs w:val="20"/>
              </w:rPr>
              <w:t>or policy actions</w:t>
            </w:r>
            <w:r w:rsidR="00A3620D" w:rsidRPr="00712697">
              <w:rPr>
                <w:rFonts w:ascii="Verdana" w:hAnsi="Verdana"/>
                <w:b/>
                <w:bCs/>
                <w:sz w:val="20"/>
                <w:szCs w:val="20"/>
              </w:rPr>
              <w:t>)</w:t>
            </w:r>
            <w:r w:rsidRPr="00712697">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4422E1">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4C40F7BE" w:rsidR="00BB27BC" w:rsidRPr="5ED146BE" w:rsidRDefault="00763E0C" w:rsidP="00775D1C">
            <w:pPr>
              <w:spacing w:after="0"/>
              <w:rPr>
                <w:rFonts w:ascii="Verdana" w:eastAsia="Times New Roman" w:hAnsi="Verdana" w:cs="Arial"/>
                <w:sz w:val="20"/>
                <w:szCs w:val="20"/>
                <w:lang w:val="en-US" w:eastAsia="en-GB"/>
              </w:rPr>
            </w:pPr>
            <w:r w:rsidRPr="5ED146BE">
              <w:rPr>
                <w:rFonts w:ascii="Verdana" w:hAnsi="Verdana" w:cs="Arial"/>
                <w:sz w:val="20"/>
                <w:lang w:val="en-US"/>
              </w:rPr>
              <w:t>[</w:t>
            </w:r>
            <w:r>
              <w:rPr>
                <w:rFonts w:ascii="Verdana" w:hAnsi="Verdana" w:cs="Arial"/>
                <w:sz w:val="20"/>
                <w:lang w:val="en-US"/>
              </w:rPr>
              <w:t xml:space="preserve">Multiple-Choice: Selection from pre-determined options based on </w:t>
            </w:r>
            <w:hyperlink r:id="rId13" w:history="1">
              <w:r w:rsidRPr="00A3620D">
                <w:rPr>
                  <w:rStyle w:val="Hyperlink"/>
                  <w:rFonts w:ascii="Verdana" w:hAnsi="Verdana" w:cs="Arial"/>
                  <w:sz w:val="20"/>
                  <w:lang w:val="en-US"/>
                </w:rPr>
                <w:t>DG REFORM list of topics</w:t>
              </w:r>
            </w:hyperlink>
            <w:r>
              <w:rPr>
                <w:rFonts w:ascii="Verdana" w:hAnsi="Verdana" w:cs="Arial"/>
                <w:sz w:val="20"/>
                <w:lang w:val="en-US"/>
              </w:rPr>
              <w:t>. Maximum: 5 options</w:t>
            </w:r>
            <w:r w:rsidRPr="5ED146BE">
              <w:rPr>
                <w:rFonts w:ascii="Verdana" w:hAnsi="Verdana" w:cs="Arial"/>
                <w:sz w:val="20"/>
                <w:lang w:val="en-US"/>
              </w:rPr>
              <w:t>]</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lastRenderedPageBreak/>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52477AE4" w:rsidR="003A5562" w:rsidRPr="00EC294B" w:rsidRDefault="00775D1C" w:rsidP="005B19D1">
            <w:pPr>
              <w:spacing w:after="0"/>
              <w:jc w:val="both"/>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004422E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00"/>
            <w:vAlign w:val="center"/>
          </w:tcPr>
          <w:p w14:paraId="263F558B" w14:textId="2AF34EFA" w:rsidR="004422E1" w:rsidRPr="007C377E" w:rsidRDefault="004422E1" w:rsidP="004422E1">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7C377E">
              <w:rPr>
                <w:rFonts w:ascii="Verdana" w:eastAsia="Times New Roman" w:hAnsi="Verdana" w:cs="Arial"/>
                <w:b/>
                <w:iCs/>
                <w:color w:val="FF0000"/>
                <w:sz w:val="18"/>
                <w:szCs w:val="18"/>
                <w:highlight w:val="yellow"/>
              </w:rPr>
              <w:t xml:space="preserve">The TSI 2024 </w:t>
            </w:r>
            <w:r w:rsidR="001861A8" w:rsidRPr="007C377E">
              <w:rPr>
                <w:rFonts w:ascii="Verdana" w:hAnsi="Verdana" w:cs="Arial"/>
                <w:b/>
                <w:bCs/>
                <w:color w:val="FF0000"/>
                <w:sz w:val="18"/>
                <w:szCs w:val="18"/>
                <w:highlight w:val="yellow"/>
              </w:rPr>
              <w:t>“</w:t>
            </w:r>
            <w:r w:rsidR="001861A8" w:rsidRPr="007C377E">
              <w:rPr>
                <w:rFonts w:ascii="Verdana" w:hAnsi="Verdana" w:cs="Arial"/>
                <w:b/>
                <w:bCs/>
                <w:color w:val="FF0000"/>
                <w:sz w:val="18"/>
                <w:szCs w:val="18"/>
              </w:rPr>
              <w:t xml:space="preserve">Digital Financial Literacy” </w:t>
            </w:r>
            <w:r w:rsidRPr="007C377E">
              <w:rPr>
                <w:rFonts w:ascii="Verdana" w:eastAsia="Times New Roman" w:hAnsi="Verdana" w:cs="Arial"/>
                <w:b/>
                <w:iCs/>
                <w:color w:val="FF0000"/>
                <w:sz w:val="18"/>
                <w:szCs w:val="18"/>
                <w:highlight w:val="yellow"/>
              </w:rPr>
              <w:t>f</w:t>
            </w:r>
            <w:r w:rsidRPr="007C377E">
              <w:rPr>
                <w:rFonts w:ascii="Verdana" w:eastAsia="Times New Roman" w:hAnsi="Verdana" w:cs="Arial"/>
                <w:b/>
                <w:color w:val="FF0000"/>
                <w:sz w:val="18"/>
                <w:szCs w:val="18"/>
                <w:highlight w:val="yellow"/>
                <w:lang w:eastAsia="en-GB"/>
              </w:rPr>
              <w:t xml:space="preserve">lagship technical support project </w:t>
            </w:r>
            <w:r w:rsidRPr="007C377E">
              <w:rPr>
                <w:rFonts w:ascii="Verdana" w:hAnsi="Verdana" w:cs="Arial"/>
                <w:b/>
                <w:bCs/>
                <w:color w:val="FF0000"/>
                <w:sz w:val="18"/>
                <w:szCs w:val="18"/>
                <w:highlight w:val="yellow"/>
              </w:rPr>
              <w:t xml:space="preserve"> </w:t>
            </w:r>
            <w:r w:rsidRPr="007C377E">
              <w:rPr>
                <w:rFonts w:ascii="Verdana" w:eastAsia="Times New Roman" w:hAnsi="Verdana" w:cs="Arial"/>
                <w:b/>
                <w:iCs/>
                <w:color w:val="FF0000"/>
                <w:sz w:val="18"/>
                <w:szCs w:val="18"/>
                <w:highlight w:val="yellow"/>
              </w:rPr>
              <w:t>identifies support measures that you can cho</w:t>
            </w:r>
            <w:r w:rsidR="001861A8" w:rsidRPr="007C377E">
              <w:rPr>
                <w:rFonts w:ascii="Verdana" w:eastAsia="Times New Roman" w:hAnsi="Verdana" w:cs="Arial"/>
                <w:b/>
                <w:iCs/>
                <w:color w:val="FF0000"/>
                <w:sz w:val="18"/>
                <w:szCs w:val="18"/>
                <w:highlight w:val="yellow"/>
              </w:rPr>
              <w:t>o</w:t>
            </w:r>
            <w:r w:rsidRPr="007C377E">
              <w:rPr>
                <w:rFonts w:ascii="Verdana" w:eastAsia="Times New Roman" w:hAnsi="Verdana" w:cs="Arial"/>
                <w:b/>
                <w:iCs/>
                <w:color w:val="FF0000"/>
                <w:sz w:val="18"/>
                <w:szCs w:val="18"/>
                <w:highlight w:val="yellow"/>
              </w:rPr>
              <w:t xml:space="preserve">se and that can be tailor-made to your specific </w:t>
            </w:r>
            <w:r w:rsidR="001861A8" w:rsidRPr="007C377E">
              <w:rPr>
                <w:rFonts w:ascii="Verdana" w:eastAsia="Times New Roman" w:hAnsi="Verdana" w:cs="Arial"/>
                <w:b/>
                <w:iCs/>
                <w:color w:val="FF0000"/>
                <w:sz w:val="18"/>
                <w:szCs w:val="18"/>
                <w:highlight w:val="yellow"/>
              </w:rPr>
              <w:t xml:space="preserve">national </w:t>
            </w:r>
            <w:r w:rsidRPr="007C377E">
              <w:rPr>
                <w:rFonts w:ascii="Verdana" w:eastAsia="Times New Roman" w:hAnsi="Verdana" w:cs="Arial"/>
                <w:b/>
                <w:iCs/>
                <w:color w:val="FF0000"/>
                <w:sz w:val="18"/>
                <w:szCs w:val="18"/>
                <w:highlight w:val="yellow"/>
              </w:rPr>
              <w:t xml:space="preserve">context. Additional measures can be added. </w:t>
            </w:r>
          </w:p>
          <w:p w14:paraId="66C16B11" w14:textId="77777777" w:rsidR="004422E1" w:rsidRPr="007C377E" w:rsidRDefault="004422E1" w:rsidP="004422E1">
            <w:pPr>
              <w:shd w:val="clear" w:color="auto" w:fill="FFFF00"/>
              <w:jc w:val="both"/>
              <w:rPr>
                <w:rFonts w:ascii="Verdana" w:eastAsia="Times New Roman" w:hAnsi="Verdana" w:cs="Arial"/>
                <w:b/>
                <w:iCs/>
                <w:color w:val="FF0000"/>
                <w:sz w:val="18"/>
                <w:szCs w:val="18"/>
                <w:highlight w:val="yellow"/>
              </w:rPr>
            </w:pPr>
            <w:r w:rsidRPr="007C377E">
              <w:rPr>
                <w:rFonts w:ascii="Verdana" w:eastAsia="Times New Roman" w:hAnsi="Verdana" w:cs="Arial"/>
                <w:b/>
                <w:iCs/>
                <w:color w:val="FF0000"/>
                <w:sz w:val="18"/>
                <w:szCs w:val="18"/>
                <w:highlight w:val="yellow"/>
              </w:rPr>
              <w:t xml:space="preserve">The list of proposed technical measures is intended to help beneficiary authorities describe the requested technical support measures by taking inspiration from the information provided.  </w:t>
            </w:r>
          </w:p>
          <w:p w14:paraId="25356682" w14:textId="53298444" w:rsidR="004422E1" w:rsidRPr="007C377E" w:rsidRDefault="004422E1" w:rsidP="004422E1">
            <w:pPr>
              <w:shd w:val="clear" w:color="auto" w:fill="FFFF00"/>
              <w:jc w:val="both"/>
              <w:rPr>
                <w:rFonts w:ascii="Verdana" w:eastAsia="Times New Roman" w:hAnsi="Verdana" w:cs="Arial"/>
                <w:b/>
                <w:iCs/>
                <w:color w:val="FF0000"/>
                <w:sz w:val="18"/>
                <w:szCs w:val="18"/>
                <w:highlight w:val="yellow"/>
              </w:rPr>
            </w:pPr>
            <w:r w:rsidRPr="007C377E">
              <w:rPr>
                <w:rFonts w:ascii="Verdana" w:eastAsia="Times New Roman" w:hAnsi="Verdana" w:cs="Arial"/>
                <w:b/>
                <w:iCs/>
                <w:color w:val="FF0000"/>
                <w:sz w:val="18"/>
                <w:szCs w:val="18"/>
                <w:highlight w:val="yellow"/>
              </w:rPr>
              <w:t xml:space="preserve">Member States submitting the request are requested to provide their national context as well as a justification for each requested measure, as to how it would help address the problems identified in section 1.1.  </w:t>
            </w:r>
          </w:p>
          <w:p w14:paraId="0CAA6252" w14:textId="77777777" w:rsidR="004422E1" w:rsidRPr="007C377E" w:rsidRDefault="004422E1" w:rsidP="004422E1">
            <w:pPr>
              <w:shd w:val="clear" w:color="auto" w:fill="FFFF00"/>
              <w:jc w:val="both"/>
              <w:rPr>
                <w:rFonts w:ascii="Verdana" w:eastAsia="Times New Roman" w:hAnsi="Verdana" w:cs="Arial"/>
                <w:b/>
                <w:iCs/>
                <w:color w:val="FF0000"/>
                <w:sz w:val="18"/>
                <w:szCs w:val="18"/>
              </w:rPr>
            </w:pPr>
            <w:r w:rsidRPr="007C377E">
              <w:rPr>
                <w:rFonts w:ascii="Verdana" w:eastAsia="Times New Roman" w:hAnsi="Verdana" w:cs="Arial"/>
                <w:b/>
                <w:iCs/>
                <w:color w:val="FF0000"/>
                <w:sz w:val="18"/>
                <w:szCs w:val="18"/>
                <w:highlight w:val="yellow"/>
              </w:rPr>
              <w:t>When filling in the request online, you are invited to only select and describe the technical support measures you are requesting, taking inspiration from the general overview, if you find it helpful, and to provide any additional information relevant to your specific context.</w:t>
            </w:r>
          </w:p>
          <w:p w14:paraId="7F8A9623" w14:textId="09F60916" w:rsidR="004422E1" w:rsidRPr="00D17D94" w:rsidRDefault="004422E1" w:rsidP="004422E1">
            <w:pPr>
              <w:jc w:val="both"/>
              <w:rPr>
                <w:rFonts w:ascii="Verdana" w:eastAsia="Times New Roman" w:hAnsi="Verdana" w:cs="Arial"/>
                <w:color w:val="000000" w:themeColor="text1"/>
                <w:sz w:val="20"/>
                <w:szCs w:val="20"/>
                <w:u w:val="single"/>
                <w:lang w:eastAsia="en-GB"/>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 </w:t>
            </w:r>
            <w:r w:rsidR="00DC7768">
              <w:rPr>
                <w:rFonts w:ascii="Verdana" w:eastAsia="Times New Roman" w:hAnsi="Verdana" w:cs="Arial"/>
                <w:b/>
                <w:iCs/>
                <w:color w:val="000000" w:themeColor="text1"/>
                <w:sz w:val="20"/>
                <w:szCs w:val="20"/>
                <w:u w:val="single"/>
              </w:rPr>
              <w:t xml:space="preserve">the </w:t>
            </w:r>
            <w:r w:rsidRPr="00D17D94">
              <w:rPr>
                <w:rFonts w:ascii="Verdana" w:eastAsia="Times New Roman" w:hAnsi="Verdana" w:cs="Arial"/>
                <w:b/>
                <w:iCs/>
                <w:color w:val="000000" w:themeColor="text1"/>
                <w:sz w:val="20"/>
                <w:szCs w:val="20"/>
                <w:u w:val="single"/>
              </w:rPr>
              <w:t>TSI Regulation:</w:t>
            </w:r>
          </w:p>
          <w:p w14:paraId="0D3B8502" w14:textId="189BC475" w:rsidR="00DC7768" w:rsidRPr="00090825" w:rsidRDefault="00DC7768" w:rsidP="00DC7768">
            <w:pPr>
              <w:spacing w:after="60" w:line="240" w:lineRule="auto"/>
              <w:ind w:left="318" w:hanging="318"/>
              <w:jc w:val="both"/>
              <w:rPr>
                <w:rFonts w:eastAsia="Calibri" w:cstheme="minorHAnsi"/>
              </w:rPr>
            </w:pPr>
            <w:r w:rsidRPr="00DC7768">
              <w:rPr>
                <w:rFonts w:ascii="Segoe UI Symbol" w:eastAsia="Calibri" w:hAnsi="Segoe UI Symbol" w:cs="Segoe UI Symbol"/>
              </w:rPr>
              <w:t xml:space="preserve">☐ </w:t>
            </w:r>
            <w:r w:rsidR="00090825" w:rsidRPr="00090825">
              <w:rPr>
                <w:rFonts w:eastAsia="Calibri" w:cstheme="minorHAnsi"/>
              </w:rPr>
              <w:t xml:space="preserve">Technical support for </w:t>
            </w:r>
            <w:r w:rsidR="004968C3" w:rsidRPr="00090825">
              <w:rPr>
                <w:rFonts w:eastAsia="Calibri" w:cstheme="minorHAnsi"/>
              </w:rPr>
              <w:t>c</w:t>
            </w:r>
            <w:r w:rsidRPr="00090825">
              <w:rPr>
                <w:rFonts w:eastAsia="Calibri" w:cstheme="minorHAnsi"/>
              </w:rPr>
              <w:t>arrying out</w:t>
            </w:r>
            <w:r w:rsidR="004968C3" w:rsidRPr="00090825">
              <w:rPr>
                <w:rFonts w:eastAsia="Calibri" w:cstheme="minorHAnsi"/>
              </w:rPr>
              <w:t xml:space="preserve"> of</w:t>
            </w:r>
            <w:r w:rsidRPr="00090825">
              <w:rPr>
                <w:rFonts w:eastAsia="Calibri" w:cstheme="minorHAnsi"/>
              </w:rPr>
              <w:t xml:space="preserve"> </w:t>
            </w:r>
            <w:r w:rsidRPr="00090825">
              <w:rPr>
                <w:rFonts w:eastAsia="Calibri" w:cstheme="minorHAnsi"/>
                <w:b/>
                <w:bCs/>
              </w:rPr>
              <w:t>ana</w:t>
            </w:r>
            <w:r w:rsidRPr="00090825">
              <w:rPr>
                <w:rFonts w:eastAsia="Calibri" w:cstheme="minorHAnsi"/>
                <w:b/>
              </w:rPr>
              <w:t>lyses</w:t>
            </w:r>
            <w:r w:rsidR="004968C3" w:rsidRPr="00090825">
              <w:rPr>
                <w:rFonts w:eastAsia="Calibri" w:cstheme="minorHAnsi"/>
                <w:b/>
              </w:rPr>
              <w:t xml:space="preserve"> and surveys</w:t>
            </w:r>
            <w:r w:rsidRPr="00090825">
              <w:rPr>
                <w:rFonts w:eastAsia="Calibri" w:cstheme="minorHAnsi"/>
                <w:b/>
              </w:rPr>
              <w:t xml:space="preserve"> of the knowledge, attitudes and behaviours of citizens </w:t>
            </w:r>
            <w:r w:rsidRPr="00090825">
              <w:rPr>
                <w:rFonts w:eastAsia="Calibri" w:cstheme="minorHAnsi"/>
              </w:rPr>
              <w:t>towards finance and in particular digital finance, investment products and payments.</w:t>
            </w:r>
          </w:p>
          <w:p w14:paraId="3F6A5912" w14:textId="3185FAF0" w:rsidR="00DC7768" w:rsidRPr="00DC7768" w:rsidRDefault="00DC7768" w:rsidP="00DC7768">
            <w:pPr>
              <w:numPr>
                <w:ilvl w:val="1"/>
                <w:numId w:val="25"/>
              </w:numPr>
              <w:spacing w:after="60" w:line="240" w:lineRule="auto"/>
              <w:jc w:val="both"/>
              <w:rPr>
                <w:rFonts w:eastAsia="Calibri" w:cstheme="minorHAnsi"/>
              </w:rPr>
            </w:pPr>
            <w:r w:rsidRPr="00FC0235">
              <w:rPr>
                <w:rFonts w:eastAsia="Calibri" w:cstheme="minorHAnsi"/>
                <w:bCs/>
              </w:rPr>
              <w:t>Provision of expertise related to</w:t>
            </w:r>
            <w:r w:rsidR="004968C3" w:rsidRPr="00FC0235">
              <w:rPr>
                <w:rFonts w:eastAsia="Calibri" w:cstheme="minorHAnsi"/>
                <w:bCs/>
              </w:rPr>
              <w:t xml:space="preserve"> policy advice on the</w:t>
            </w:r>
            <w:r w:rsidRPr="00DC7768">
              <w:rPr>
                <w:rFonts w:eastAsia="Calibri" w:cstheme="minorHAnsi"/>
                <w:b/>
              </w:rPr>
              <w:t xml:space="preserve"> </w:t>
            </w:r>
            <w:r w:rsidRPr="001E1911">
              <w:rPr>
                <w:rFonts w:eastAsia="Calibri" w:cstheme="minorHAnsi"/>
                <w:b/>
              </w:rPr>
              <w:t xml:space="preserve">review of </w:t>
            </w:r>
            <w:r w:rsidRPr="00DC7768">
              <w:rPr>
                <w:rFonts w:eastAsia="Calibri" w:cstheme="minorHAnsi"/>
                <w:b/>
              </w:rPr>
              <w:t xml:space="preserve">existing financial and, in particular, digital financial literacy and consumer protection activities </w:t>
            </w:r>
            <w:r w:rsidRPr="00DC7768">
              <w:rPr>
                <w:rFonts w:eastAsia="Calibri" w:cstheme="minorHAnsi"/>
              </w:rPr>
              <w:t>to identify needs and gaps, especially in digital financial education provisions and benchmarking against good practices;</w:t>
            </w:r>
          </w:p>
          <w:p w14:paraId="6DE7DBFB" w14:textId="77777777" w:rsidR="00DC7768" w:rsidRPr="00DC7768" w:rsidRDefault="00DC7768" w:rsidP="00DC7768">
            <w:pPr>
              <w:numPr>
                <w:ilvl w:val="1"/>
                <w:numId w:val="25"/>
              </w:numPr>
              <w:spacing w:after="60" w:line="240" w:lineRule="auto"/>
              <w:jc w:val="both"/>
              <w:rPr>
                <w:rFonts w:eastAsia="Calibri" w:cstheme="minorHAnsi"/>
              </w:rPr>
            </w:pPr>
            <w:r w:rsidRPr="00FC0235">
              <w:rPr>
                <w:rFonts w:eastAsia="Calibri" w:cstheme="minorHAnsi"/>
                <w:bCs/>
              </w:rPr>
              <w:t>Carrying out of quantitative and qualitative surveys</w:t>
            </w:r>
            <w:r w:rsidRPr="00DC7768">
              <w:rPr>
                <w:rFonts w:eastAsia="Calibri" w:cstheme="minorHAnsi"/>
              </w:rPr>
              <w:t xml:space="preserve"> of </w:t>
            </w:r>
            <w:r w:rsidRPr="00DC7768">
              <w:rPr>
                <w:rFonts w:eastAsia="Calibri" w:cstheme="minorHAnsi"/>
                <w:b/>
              </w:rPr>
              <w:t>investors in capital markets</w:t>
            </w:r>
            <w:r w:rsidRPr="00DC7768">
              <w:rPr>
                <w:rFonts w:eastAsia="Calibri" w:cstheme="minorHAnsi"/>
              </w:rPr>
              <w:t xml:space="preserve"> investigating the use of digital information channels for financial decisions, the knowledge and use of </w:t>
            </w:r>
            <w:r w:rsidRPr="00DC7768">
              <w:rPr>
                <w:rFonts w:eastAsia="Calibri" w:cstheme="minorHAnsi"/>
                <w:b/>
              </w:rPr>
              <w:t>digital financial products;</w:t>
            </w:r>
          </w:p>
          <w:p w14:paraId="72EF2138" w14:textId="77777777" w:rsidR="00DC7768" w:rsidRPr="00DC7768" w:rsidRDefault="00DC7768" w:rsidP="00DC7768">
            <w:pPr>
              <w:numPr>
                <w:ilvl w:val="1"/>
                <w:numId w:val="25"/>
              </w:numPr>
              <w:spacing w:after="60" w:line="240" w:lineRule="auto"/>
              <w:jc w:val="both"/>
              <w:rPr>
                <w:rFonts w:eastAsia="Calibri" w:cstheme="minorHAnsi"/>
                <w:bCs/>
              </w:rPr>
            </w:pPr>
            <w:r w:rsidRPr="00FC0235">
              <w:rPr>
                <w:rFonts w:eastAsia="Calibri" w:cstheme="minorHAnsi"/>
                <w:bCs/>
              </w:rPr>
              <w:t>Carrying out of quantitative and qualitative surveys</w:t>
            </w:r>
            <w:r w:rsidRPr="00DC7768">
              <w:rPr>
                <w:rFonts w:eastAsia="Calibri" w:cstheme="minorHAnsi"/>
              </w:rPr>
              <w:t xml:space="preserve"> of </w:t>
            </w:r>
            <w:r w:rsidRPr="00DC7768">
              <w:rPr>
                <w:rFonts w:eastAsia="Calibri" w:cstheme="minorHAnsi"/>
                <w:b/>
              </w:rPr>
              <w:t>customers and investors</w:t>
            </w:r>
            <w:r w:rsidRPr="00DC7768">
              <w:rPr>
                <w:rFonts w:eastAsia="Calibri" w:cstheme="minorHAnsi"/>
              </w:rPr>
              <w:t xml:space="preserve"> investigating the knowledge and use and risks of </w:t>
            </w:r>
            <w:r w:rsidRPr="00DC7768">
              <w:rPr>
                <w:rFonts w:eastAsia="Calibri" w:cstheme="minorHAnsi"/>
                <w:b/>
              </w:rPr>
              <w:t>current accounts, home banking, digital payments, digital investment and credit products</w:t>
            </w:r>
            <w:r w:rsidRPr="00DC7768">
              <w:rPr>
                <w:rFonts w:eastAsia="Calibri" w:cstheme="minorHAnsi"/>
                <w:bCs/>
              </w:rPr>
              <w:t xml:space="preserve"> and of digital information channels;</w:t>
            </w:r>
          </w:p>
          <w:p w14:paraId="058395D6" w14:textId="77777777" w:rsidR="00DC7768" w:rsidRDefault="00DC7768" w:rsidP="00A86967">
            <w:pPr>
              <w:spacing w:after="60" w:line="240" w:lineRule="auto"/>
              <w:ind w:left="318" w:hanging="318"/>
              <w:jc w:val="both"/>
              <w:rPr>
                <w:rFonts w:ascii="Segoe UI Symbol" w:eastAsia="Calibri" w:hAnsi="Segoe UI Symbol" w:cs="Segoe UI Symbol"/>
              </w:rPr>
            </w:pPr>
          </w:p>
          <w:p w14:paraId="784F21EF" w14:textId="1532EC6B" w:rsidR="00A86967" w:rsidRPr="00A86967" w:rsidRDefault="00A86967" w:rsidP="00A86967">
            <w:pPr>
              <w:spacing w:after="0" w:line="240" w:lineRule="auto"/>
              <w:jc w:val="both"/>
              <w:rPr>
                <w:rFonts w:cstheme="minorHAnsi"/>
              </w:rPr>
            </w:pPr>
            <w:r w:rsidRPr="00A86967">
              <w:rPr>
                <w:rFonts w:ascii="Segoe UI Symbol" w:eastAsia="Calibri" w:hAnsi="Segoe UI Symbol" w:cs="Segoe UI Symbol"/>
              </w:rPr>
              <w:t>☐</w:t>
            </w:r>
            <w:r>
              <w:rPr>
                <w:rFonts w:ascii="Segoe UI Symbol" w:eastAsia="Calibri" w:hAnsi="Segoe UI Symbol" w:cs="Segoe UI Symbol"/>
              </w:rPr>
              <w:t xml:space="preserve"> </w:t>
            </w:r>
            <w:r w:rsidR="00A21F24">
              <w:rPr>
                <w:rFonts w:cstheme="minorHAnsi"/>
              </w:rPr>
              <w:t>Technical s</w:t>
            </w:r>
            <w:r w:rsidRPr="00A86967">
              <w:rPr>
                <w:rFonts w:cstheme="minorHAnsi"/>
              </w:rPr>
              <w:t xml:space="preserve">upport </w:t>
            </w:r>
            <w:r w:rsidR="003A6C19">
              <w:rPr>
                <w:rFonts w:cstheme="minorHAnsi"/>
              </w:rPr>
              <w:t>f</w:t>
            </w:r>
            <w:r w:rsidR="001321D1">
              <w:rPr>
                <w:rFonts w:cstheme="minorHAnsi"/>
              </w:rPr>
              <w:t>o</w:t>
            </w:r>
            <w:r w:rsidR="003A6C19">
              <w:rPr>
                <w:rFonts w:cstheme="minorHAnsi"/>
              </w:rPr>
              <w:t>r</w:t>
            </w:r>
            <w:r w:rsidR="001321D1">
              <w:rPr>
                <w:rFonts w:cstheme="minorHAnsi"/>
              </w:rPr>
              <w:t xml:space="preserve"> </w:t>
            </w:r>
            <w:r w:rsidR="009C25F1">
              <w:rPr>
                <w:rFonts w:cstheme="minorHAnsi"/>
              </w:rPr>
              <w:t xml:space="preserve">the </w:t>
            </w:r>
            <w:r w:rsidR="009C25F1" w:rsidRPr="009C25F1">
              <w:rPr>
                <w:rFonts w:cstheme="minorHAnsi"/>
                <w:b/>
                <w:bCs/>
              </w:rPr>
              <w:t>development of</w:t>
            </w:r>
            <w:r w:rsidR="009C25F1">
              <w:rPr>
                <w:rFonts w:cstheme="minorHAnsi"/>
              </w:rPr>
              <w:t xml:space="preserve"> </w:t>
            </w:r>
            <w:r w:rsidRPr="00A86967">
              <w:rPr>
                <w:rFonts w:cstheme="minorHAnsi"/>
                <w:b/>
              </w:rPr>
              <w:t xml:space="preserve">digital financial education strategies </w:t>
            </w:r>
          </w:p>
          <w:p w14:paraId="0ED5CC88" w14:textId="00D9809E" w:rsidR="00A86967" w:rsidRPr="00231438" w:rsidRDefault="00A86967" w:rsidP="00A86967">
            <w:pPr>
              <w:pStyle w:val="ListParagraph"/>
              <w:numPr>
                <w:ilvl w:val="1"/>
                <w:numId w:val="25"/>
              </w:numPr>
              <w:spacing w:after="0" w:line="240" w:lineRule="auto"/>
              <w:jc w:val="both"/>
              <w:rPr>
                <w:rFonts w:cstheme="minorHAnsi"/>
              </w:rPr>
            </w:pPr>
            <w:r w:rsidRPr="00231438">
              <w:rPr>
                <w:rFonts w:cstheme="minorHAnsi"/>
              </w:rPr>
              <w:t xml:space="preserve">Recommendations towards a </w:t>
            </w:r>
            <w:r w:rsidRPr="00231438">
              <w:rPr>
                <w:rFonts w:cstheme="minorHAnsi"/>
                <w:b/>
              </w:rPr>
              <w:t xml:space="preserve">high-level strategy </w:t>
            </w:r>
            <w:r w:rsidRPr="00231438">
              <w:rPr>
                <w:rFonts w:cstheme="minorHAnsi"/>
              </w:rPr>
              <w:t xml:space="preserve">and </w:t>
            </w:r>
            <w:r w:rsidRPr="00231438">
              <w:rPr>
                <w:rFonts w:cstheme="minorHAnsi"/>
                <w:b/>
              </w:rPr>
              <w:t>action plan</w:t>
            </w:r>
            <w:r w:rsidRPr="00231438">
              <w:rPr>
                <w:rFonts w:cstheme="minorHAnsi"/>
              </w:rPr>
              <w:t xml:space="preserve"> for implementation, including objectives, target groups, governance mechanisms and stakeholders’ </w:t>
            </w:r>
            <w:r w:rsidR="007E03B2" w:rsidRPr="00231438">
              <w:rPr>
                <w:rFonts w:cstheme="minorHAnsi"/>
              </w:rPr>
              <w:t>roles.</w:t>
            </w:r>
          </w:p>
          <w:p w14:paraId="3B1436E0" w14:textId="6DD6BBEC" w:rsidR="00A86967" w:rsidRPr="00231438" w:rsidRDefault="00A21F24" w:rsidP="00A86967">
            <w:pPr>
              <w:pStyle w:val="ListParagraph"/>
              <w:numPr>
                <w:ilvl w:val="1"/>
                <w:numId w:val="25"/>
              </w:numPr>
              <w:spacing w:after="60" w:line="240" w:lineRule="auto"/>
              <w:jc w:val="both"/>
              <w:rPr>
                <w:rFonts w:cstheme="minorHAnsi"/>
              </w:rPr>
            </w:pPr>
            <w:r w:rsidRPr="00FC0235">
              <w:rPr>
                <w:rFonts w:cstheme="minorHAnsi"/>
              </w:rPr>
              <w:t>Development of</w:t>
            </w:r>
            <w:r>
              <w:rPr>
                <w:rFonts w:cstheme="minorHAnsi"/>
                <w:b/>
                <w:bCs/>
              </w:rPr>
              <w:t xml:space="preserve"> m</w:t>
            </w:r>
            <w:r w:rsidR="00A86967" w:rsidRPr="00231438">
              <w:rPr>
                <w:rFonts w:cstheme="minorHAnsi"/>
                <w:b/>
                <w:bCs/>
              </w:rPr>
              <w:t>ethodolog</w:t>
            </w:r>
            <w:r>
              <w:rPr>
                <w:rFonts w:cstheme="minorHAnsi"/>
                <w:b/>
                <w:bCs/>
              </w:rPr>
              <w:t>ies</w:t>
            </w:r>
            <w:r w:rsidR="00A86967" w:rsidRPr="00231438">
              <w:rPr>
                <w:rFonts w:cstheme="minorHAnsi"/>
                <w:b/>
                <w:bCs/>
              </w:rPr>
              <w:t xml:space="preserve"> for monitoring and evaluating the effectiveness of the strategy and action plan</w:t>
            </w:r>
            <w:r w:rsidR="00A86967" w:rsidRPr="004F757B">
              <w:rPr>
                <w:rFonts w:cstheme="minorHAnsi"/>
              </w:rPr>
              <w:t>, including</w:t>
            </w:r>
            <w:r w:rsidR="00A86967" w:rsidRPr="00231438">
              <w:rPr>
                <w:rFonts w:cstheme="minorHAnsi"/>
              </w:rPr>
              <w:t xml:space="preserve"> the development of key performance indicators (KPIs).</w:t>
            </w:r>
          </w:p>
          <w:p w14:paraId="118A156E" w14:textId="77777777" w:rsidR="00A86967" w:rsidRPr="00231438" w:rsidRDefault="00A86967" w:rsidP="00A86967">
            <w:pPr>
              <w:pStyle w:val="ListParagraph"/>
              <w:spacing w:after="60"/>
              <w:rPr>
                <w:rFonts w:cstheme="minorHAnsi"/>
              </w:rPr>
            </w:pPr>
          </w:p>
          <w:p w14:paraId="7964DF92" w14:textId="7D6B9A80" w:rsidR="00A86967" w:rsidRPr="00A86967" w:rsidRDefault="00A86967" w:rsidP="00A86967">
            <w:pPr>
              <w:spacing w:after="0" w:line="240" w:lineRule="auto"/>
              <w:jc w:val="both"/>
              <w:rPr>
                <w:rFonts w:cstheme="minorHAnsi"/>
              </w:rPr>
            </w:pPr>
            <w:r w:rsidRPr="00A86967">
              <w:rPr>
                <w:rFonts w:ascii="Segoe UI Symbol" w:eastAsia="Calibri" w:hAnsi="Segoe UI Symbol" w:cs="Segoe UI Symbol"/>
              </w:rPr>
              <w:t>☐</w:t>
            </w:r>
            <w:r>
              <w:rPr>
                <w:rFonts w:ascii="Segoe UI Symbol" w:eastAsia="Calibri" w:hAnsi="Segoe UI Symbol" w:cs="Segoe UI Symbol"/>
              </w:rPr>
              <w:t xml:space="preserve"> </w:t>
            </w:r>
            <w:r w:rsidR="00A21F24">
              <w:rPr>
                <w:rFonts w:eastAsia="Calibri" w:cstheme="minorHAnsi"/>
              </w:rPr>
              <w:t>Technical s</w:t>
            </w:r>
            <w:r w:rsidR="001321D1" w:rsidRPr="001321D1">
              <w:rPr>
                <w:rFonts w:eastAsia="Calibri" w:cstheme="minorHAnsi"/>
              </w:rPr>
              <w:t xml:space="preserve">upport </w:t>
            </w:r>
            <w:r w:rsidR="003A6C19">
              <w:rPr>
                <w:rFonts w:eastAsia="Calibri" w:cstheme="minorHAnsi"/>
              </w:rPr>
              <w:t>f</w:t>
            </w:r>
            <w:r w:rsidR="001321D1" w:rsidRPr="001321D1">
              <w:rPr>
                <w:rFonts w:eastAsia="Calibri" w:cstheme="minorHAnsi"/>
              </w:rPr>
              <w:t>o</w:t>
            </w:r>
            <w:r w:rsidR="003A6C19">
              <w:rPr>
                <w:rFonts w:eastAsia="Calibri" w:cstheme="minorHAnsi"/>
              </w:rPr>
              <w:t>r</w:t>
            </w:r>
            <w:r w:rsidR="001321D1" w:rsidRPr="001321D1">
              <w:rPr>
                <w:rFonts w:eastAsia="Calibri" w:cstheme="minorHAnsi"/>
              </w:rPr>
              <w:t xml:space="preserve"> the </w:t>
            </w:r>
            <w:r w:rsidR="001321D1" w:rsidRPr="001321D1">
              <w:rPr>
                <w:rFonts w:cstheme="minorHAnsi"/>
              </w:rPr>
              <w:t>d</w:t>
            </w:r>
            <w:r w:rsidRPr="001321D1">
              <w:rPr>
                <w:rFonts w:cstheme="minorHAnsi"/>
              </w:rPr>
              <w:t>evelopment</w:t>
            </w:r>
            <w:r w:rsidRPr="00A86967">
              <w:rPr>
                <w:rFonts w:cstheme="minorHAnsi"/>
              </w:rPr>
              <w:t xml:space="preserve"> of </w:t>
            </w:r>
            <w:r w:rsidRPr="004F757B">
              <w:rPr>
                <w:rFonts w:cstheme="minorHAnsi"/>
                <w:b/>
                <w:bCs/>
              </w:rPr>
              <w:t>digital financial literacy tools</w:t>
            </w:r>
          </w:p>
          <w:p w14:paraId="2DE1D03D" w14:textId="111E7CE6" w:rsidR="00A86967" w:rsidRPr="00231438" w:rsidRDefault="00A86967" w:rsidP="00A86967">
            <w:pPr>
              <w:pStyle w:val="ListParagraph"/>
              <w:numPr>
                <w:ilvl w:val="1"/>
                <w:numId w:val="25"/>
              </w:numPr>
              <w:spacing w:after="0" w:line="240" w:lineRule="auto"/>
              <w:jc w:val="both"/>
              <w:rPr>
                <w:rFonts w:cstheme="minorHAnsi"/>
              </w:rPr>
            </w:pPr>
            <w:r w:rsidRPr="00231438">
              <w:rPr>
                <w:rFonts w:cstheme="minorHAnsi"/>
              </w:rPr>
              <w:t>Desi</w:t>
            </w:r>
            <w:r w:rsidR="00962294">
              <w:rPr>
                <w:rFonts w:cstheme="minorHAnsi"/>
              </w:rPr>
              <w:t xml:space="preserve">gn </w:t>
            </w:r>
            <w:r w:rsidRPr="00231438">
              <w:rPr>
                <w:rFonts w:cstheme="minorHAnsi"/>
              </w:rPr>
              <w:t xml:space="preserve">of </w:t>
            </w:r>
            <w:r w:rsidR="004F757B">
              <w:rPr>
                <w:rFonts w:cstheme="minorHAnsi"/>
              </w:rPr>
              <w:t xml:space="preserve">a </w:t>
            </w:r>
            <w:r w:rsidRPr="00231438">
              <w:rPr>
                <w:rFonts w:cstheme="minorHAnsi"/>
                <w:b/>
              </w:rPr>
              <w:t>digital financial literacy self-assessment tool</w:t>
            </w:r>
            <w:r w:rsidRPr="00231438">
              <w:rPr>
                <w:rFonts w:cstheme="minorHAnsi"/>
              </w:rPr>
              <w:t xml:space="preserve"> (learning tool to evaluate one’s financial literacy and digital financial literacy level and awareness of the associated risks);</w:t>
            </w:r>
          </w:p>
          <w:p w14:paraId="4AFE72BA" w14:textId="0566949F" w:rsidR="00A86967" w:rsidRPr="00231438" w:rsidRDefault="00F67291" w:rsidP="00A86967">
            <w:pPr>
              <w:pStyle w:val="ListParagraph"/>
              <w:numPr>
                <w:ilvl w:val="1"/>
                <w:numId w:val="25"/>
              </w:numPr>
              <w:spacing w:after="60" w:line="240" w:lineRule="auto"/>
              <w:jc w:val="both"/>
              <w:rPr>
                <w:rFonts w:cstheme="minorHAnsi"/>
              </w:rPr>
            </w:pPr>
            <w:r>
              <w:rPr>
                <w:rFonts w:cstheme="minorHAnsi"/>
              </w:rPr>
              <w:t>Provision of expertise for the d</w:t>
            </w:r>
            <w:r w:rsidR="00A86967" w:rsidRPr="00231438">
              <w:rPr>
                <w:rFonts w:cstheme="minorHAnsi"/>
              </w:rPr>
              <w:t xml:space="preserve">efinition of </w:t>
            </w:r>
            <w:r w:rsidR="00A86967" w:rsidRPr="00231438">
              <w:rPr>
                <w:rFonts w:cstheme="minorHAnsi"/>
                <w:b/>
              </w:rPr>
              <w:t>educational content</w:t>
            </w:r>
            <w:r w:rsidR="00A86967" w:rsidRPr="00231438">
              <w:rPr>
                <w:rFonts w:cstheme="minorHAnsi"/>
              </w:rPr>
              <w:t xml:space="preserve"> for the general </w:t>
            </w:r>
            <w:r w:rsidR="00A86967" w:rsidRPr="00231438">
              <w:rPr>
                <w:rFonts w:cstheme="minorHAnsi"/>
              </w:rPr>
              <w:lastRenderedPageBreak/>
              <w:t>public or specific target audiences to be disseminated on the web and social media;</w:t>
            </w:r>
          </w:p>
          <w:p w14:paraId="1E8416C0" w14:textId="6B9ADE15" w:rsidR="00A86967" w:rsidRPr="00231438" w:rsidRDefault="00A86967" w:rsidP="00A86967">
            <w:pPr>
              <w:pStyle w:val="ListParagraph"/>
              <w:numPr>
                <w:ilvl w:val="1"/>
                <w:numId w:val="25"/>
              </w:numPr>
              <w:spacing w:after="60" w:line="240" w:lineRule="auto"/>
              <w:jc w:val="both"/>
              <w:rPr>
                <w:rFonts w:cstheme="minorHAnsi"/>
              </w:rPr>
            </w:pPr>
            <w:r w:rsidRPr="00231438">
              <w:rPr>
                <w:rFonts w:cstheme="minorHAnsi"/>
              </w:rPr>
              <w:t>De</w:t>
            </w:r>
            <w:r w:rsidR="00962294">
              <w:rPr>
                <w:rFonts w:cstheme="minorHAnsi"/>
              </w:rPr>
              <w:t xml:space="preserve">sign </w:t>
            </w:r>
            <w:r w:rsidR="004F757B">
              <w:rPr>
                <w:rFonts w:cstheme="minorHAnsi"/>
              </w:rPr>
              <w:t xml:space="preserve">of </w:t>
            </w:r>
            <w:r w:rsidRPr="00231438">
              <w:rPr>
                <w:rFonts w:cstheme="minorHAnsi"/>
              </w:rPr>
              <w:t>pilot</w:t>
            </w:r>
            <w:r w:rsidRPr="00231438">
              <w:rPr>
                <w:rFonts w:cstheme="minorHAnsi"/>
                <w:b/>
              </w:rPr>
              <w:t xml:space="preserve"> communication campaigns</w:t>
            </w:r>
            <w:r w:rsidRPr="00231438">
              <w:rPr>
                <w:rFonts w:cstheme="minorHAnsi"/>
              </w:rPr>
              <w:t xml:space="preserve"> to disseminate the financial education content, targeted at showing the interest in investing in capital markets to enhance economic growth, preventing frauds, increasing trust in digital banking services;</w:t>
            </w:r>
          </w:p>
          <w:p w14:paraId="0593F7CC" w14:textId="77777777" w:rsidR="00A86967" w:rsidRPr="00231438" w:rsidRDefault="00A86967" w:rsidP="00A86967">
            <w:pPr>
              <w:pStyle w:val="ListParagraph"/>
              <w:numPr>
                <w:ilvl w:val="1"/>
                <w:numId w:val="25"/>
              </w:numPr>
              <w:spacing w:after="60" w:line="240" w:lineRule="auto"/>
              <w:jc w:val="both"/>
              <w:rPr>
                <w:rFonts w:cstheme="minorHAnsi"/>
              </w:rPr>
            </w:pPr>
            <w:r w:rsidRPr="00231438">
              <w:rPr>
                <w:rFonts w:cstheme="minorHAnsi"/>
                <w:b/>
                <w:bCs/>
              </w:rPr>
              <w:t xml:space="preserve">Train the trainers module </w:t>
            </w:r>
            <w:r w:rsidRPr="00231438">
              <w:rPr>
                <w:rFonts w:cstheme="minorHAnsi"/>
              </w:rPr>
              <w:t>to enlarge the pool of specialists in this area.</w:t>
            </w:r>
          </w:p>
          <w:p w14:paraId="6DB20238" w14:textId="1116F038" w:rsidR="00267BE6" w:rsidRPr="00A86967" w:rsidRDefault="00267BE6" w:rsidP="004422E1">
            <w:pPr>
              <w:spacing w:after="0"/>
              <w:rPr>
                <w:rFonts w:ascii="Calibri" w:eastAsia="Times New Roman" w:hAnsi="Calibri" w:cs="Calibri"/>
                <w:b/>
                <w:bCs/>
              </w:rPr>
            </w:pPr>
          </w:p>
          <w:p w14:paraId="1F80CAA1" w14:textId="77777777" w:rsidR="006767E0" w:rsidRPr="00934FAB" w:rsidRDefault="006767E0" w:rsidP="006767E0">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4C485372" w14:textId="77777777" w:rsidR="004E5D28" w:rsidRDefault="004E5D28" w:rsidP="004422E1">
            <w:pPr>
              <w:spacing w:after="0"/>
              <w:rPr>
                <w:rFonts w:ascii="Segoe UI Symbol" w:eastAsia="Calibri" w:hAnsi="Segoe UI Symbol" w:cs="Segoe UI Symbol"/>
              </w:rPr>
            </w:pPr>
          </w:p>
          <w:p w14:paraId="783ACF6D" w14:textId="739C3FCB" w:rsidR="004422E1" w:rsidRPr="00C15E87" w:rsidRDefault="004422E1" w:rsidP="004422E1">
            <w:pPr>
              <w:spacing w:after="0"/>
              <w:rPr>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682F4DEE" w14:textId="77777777" w:rsidR="00B37E1E" w:rsidRDefault="00B37E1E" w:rsidP="00B37E1E">
            <w:pPr>
              <w:spacing w:after="0" w:line="240" w:lineRule="auto"/>
              <w:jc w:val="both"/>
              <w:rPr>
                <w:rFonts w:ascii="Verdana" w:eastAsia="Times New Roman" w:hAnsi="Verdana" w:cs="Arial"/>
                <w:sz w:val="20"/>
                <w:szCs w:val="20"/>
                <w:lang w:eastAsia="en-GB"/>
              </w:rPr>
            </w:pPr>
          </w:p>
          <w:p w14:paraId="1086D940" w14:textId="77777777" w:rsidR="006767E0" w:rsidRPr="00934FAB" w:rsidRDefault="006767E0" w:rsidP="006767E0">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0334868F" w14:textId="77777777" w:rsidR="004422E1" w:rsidRPr="00C15E87" w:rsidRDefault="004422E1" w:rsidP="004422E1">
            <w:pPr>
              <w:spacing w:after="0"/>
              <w:rPr>
                <w:rFonts w:ascii="Verdana" w:eastAsia="Times New Roman" w:hAnsi="Verdana" w:cs="Arial"/>
                <w:sz w:val="20"/>
                <w:szCs w:val="20"/>
                <w:lang w:eastAsia="en-GB"/>
              </w:rPr>
            </w:pPr>
          </w:p>
          <w:p w14:paraId="111ACD08" w14:textId="77777777" w:rsidR="004422E1" w:rsidRPr="00C15E87" w:rsidRDefault="004422E1" w:rsidP="004422E1">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4422E1" w:rsidRPr="00F64CAB" w:rsidRDefault="004422E1" w:rsidP="004422E1">
            <w:pPr>
              <w:rPr>
                <w:rFonts w:ascii="Verdana" w:eastAsia="Times New Roman" w:hAnsi="Verdana" w:cs="Arial"/>
                <w:b/>
                <w:bCs/>
                <w:sz w:val="20"/>
                <w:szCs w:val="20"/>
                <w:lang w:val="en-US" w:eastAsia="en-GB"/>
              </w:rPr>
            </w:pPr>
          </w:p>
        </w:tc>
      </w:tr>
      <w:tr w:rsidR="004422E1"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4422E1" w:rsidRPr="00F64CAB" w:rsidRDefault="004422E1" w:rsidP="004422E1">
            <w:pPr>
              <w:spacing w:after="0"/>
              <w:jc w:val="both"/>
              <w:rPr>
                <w:rFonts w:ascii="Verdana" w:eastAsia="Times New Roman" w:hAnsi="Verdana" w:cs="Arial"/>
                <w:b/>
                <w:bCs/>
                <w:sz w:val="20"/>
                <w:szCs w:val="20"/>
                <w:lang w:val="en-US" w:eastAsia="en-GB"/>
              </w:rPr>
            </w:pPr>
          </w:p>
        </w:tc>
      </w:tr>
      <w:tr w:rsidR="004422E1"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5B19D1" w:rsidRPr="00F64CAB" w14:paraId="6C6E733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9D9B892" w14:textId="42E7CF8D" w:rsidR="005B19D1" w:rsidRPr="008C2EFF" w:rsidRDefault="005B19D1" w:rsidP="004422E1">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08A8072" w14:textId="761C4129" w:rsidR="005B19D1" w:rsidRPr="008C2EFF" w:rsidRDefault="005B19D1" w:rsidP="004422E1">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5B19D1" w:rsidRPr="00F64CAB" w14:paraId="36338617" w14:textId="77777777" w:rsidTr="005B19D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BBABEB9" w14:textId="16D1977A" w:rsidR="005B19D1" w:rsidRPr="008C2EFF" w:rsidRDefault="005B19D1" w:rsidP="004422E1">
            <w:pPr>
              <w:spacing w:after="0"/>
              <w:jc w:val="both"/>
              <w:rPr>
                <w:rFonts w:ascii="Verdana" w:eastAsia="Times New Roman" w:hAnsi="Verdana" w:cs="Arial"/>
                <w:b/>
                <w:bCs/>
                <w:sz w:val="20"/>
                <w:szCs w:val="20"/>
                <w:lang w:val="en-US" w:eastAsia="en-GB"/>
              </w:rPr>
            </w:pPr>
            <w:r>
              <w:rPr>
                <w:rFonts w:ascii="Verdana" w:eastAsia="Times New Roman" w:hAnsi="Verdana" w:cs="Arial"/>
                <w:sz w:val="20"/>
                <w:szCs w:val="20"/>
                <w:lang w:val="en-US" w:eastAsia="en-GB"/>
              </w:rPr>
              <w:t>[Insert Text; between 50-100 words]</w:t>
            </w:r>
          </w:p>
        </w:tc>
      </w:tr>
      <w:tr w:rsidR="004422E1"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08A5278A"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5B19D1">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 case your entity has already received technical support under the SRSP or the TSI in the past, in an area relevant to the reform/support </w:t>
            </w:r>
            <w:r w:rsidRPr="008C2EFF">
              <w:rPr>
                <w:rFonts w:ascii="Verdana" w:eastAsia="Times New Roman" w:hAnsi="Verdana" w:cs="Arial"/>
                <w:b/>
                <w:bCs/>
                <w:sz w:val="20"/>
                <w:szCs w:val="20"/>
                <w:lang w:val="en-US" w:eastAsia="en-GB"/>
              </w:rPr>
              <w:lastRenderedPageBreak/>
              <w:t>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lastRenderedPageBreak/>
              <w:t>[Insert Text; between 200-250 words]</w:t>
            </w:r>
          </w:p>
        </w:tc>
      </w:tr>
      <w:tr w:rsidR="004422E1"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2EB8234D"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5B19D1">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4422E1"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265C4102"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5B19D1">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763E0C"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763E0C"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763E0C"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763E0C"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763E0C"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763E0C"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763E0C"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763E0C"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763E0C"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763E0C"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763E0C"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w:t>
            </w:r>
            <w:r w:rsidR="00FE7DEE">
              <w:rPr>
                <w:rFonts w:ascii="Verdana" w:hAnsi="Verdana" w:cs="Arial"/>
                <w:sz w:val="20"/>
                <w:szCs w:val="20"/>
              </w:rPr>
              <w:lastRenderedPageBreak/>
              <w:t>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lastRenderedPageBreak/>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w:t>
            </w:r>
            <w:r w:rsidRPr="00F35416">
              <w:rPr>
                <w:rFonts w:ascii="Verdana" w:hAnsi="Verdana"/>
                <w:sz w:val="20"/>
                <w:szCs w:val="20"/>
              </w:rPr>
              <w:lastRenderedPageBreak/>
              <w:t xml:space="preserve">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bookmarkEnd w:id="0"/>
    <w:p w14:paraId="5A38EA12" w14:textId="460ECC0D" w:rsidR="007A1609" w:rsidRDefault="00AD7FD9" w:rsidP="00AD7FD9">
      <w:pPr>
        <w:jc w:val="both"/>
        <w:rPr>
          <w:rFonts w:ascii="Verdana" w:hAnsi="Verdana"/>
          <w:b/>
          <w:sz w:val="20"/>
        </w:rPr>
      </w:pPr>
      <w:r w:rsidRPr="00A8277E" w:rsidDel="00AD7FD9">
        <w:rPr>
          <w:rFonts w:ascii="Verdana" w:hAnsi="Verdana"/>
          <w:b/>
          <w:noProof/>
          <w:color w:val="1F497D" w:themeColor="text2"/>
        </w:rPr>
        <w:lastRenderedPageBreak/>
        <w:t xml:space="preserve"> </w:t>
      </w:r>
    </w:p>
    <w:p w14:paraId="619CD694" w14:textId="77777777" w:rsidR="00A752AF" w:rsidRPr="003A5F9A" w:rsidRDefault="00A752AF" w:rsidP="5AD5729F">
      <w:pPr>
        <w:spacing w:after="0"/>
        <w:rPr>
          <w:rFonts w:ascii="Verdana" w:hAnsi="Verdana"/>
          <w:b/>
          <w:noProof/>
        </w:rPr>
      </w:pPr>
    </w:p>
    <w:sectPr w:rsidR="00A752AF" w:rsidRPr="003A5F9A" w:rsidSect="00130D4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BB213D" w:rsidRDefault="00BB213D" w:rsidP="00EE6AE0">
      <w:pPr>
        <w:spacing w:after="0" w:line="240" w:lineRule="auto"/>
      </w:pPr>
      <w:r>
        <w:separator/>
      </w:r>
    </w:p>
  </w:endnote>
  <w:endnote w:type="continuationSeparator" w:id="0">
    <w:p w14:paraId="300ECC39" w14:textId="77777777" w:rsidR="00BB213D" w:rsidRDefault="00BB213D" w:rsidP="00EE6AE0">
      <w:pPr>
        <w:spacing w:after="0" w:line="240" w:lineRule="auto"/>
      </w:pPr>
      <w:r>
        <w:continuationSeparator/>
      </w:r>
    </w:p>
  </w:endnote>
  <w:endnote w:type="continuationNotice" w:id="1">
    <w:p w14:paraId="7A6C72DD" w14:textId="77777777" w:rsidR="00BB213D" w:rsidRDefault="00BB213D">
      <w:pPr>
        <w:spacing w:after="0" w:line="240" w:lineRule="auto"/>
      </w:pPr>
    </w:p>
  </w:endnote>
  <w:endnote w:id="2">
    <w:p w14:paraId="7A1EDC16" w14:textId="3033F1B1" w:rsidR="00BB213D" w:rsidRPr="00F60328" w:rsidRDefault="00BB213D"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BB213D" w:rsidRDefault="00BB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48072819" w:rsidR="00BB213D" w:rsidRDefault="00BB213D">
        <w:pPr>
          <w:pStyle w:val="Footer"/>
          <w:jc w:val="right"/>
        </w:pPr>
        <w:r>
          <w:fldChar w:fldCharType="begin"/>
        </w:r>
        <w:r>
          <w:instrText xml:space="preserve"> PAGE   \* MERGEFORMAT </w:instrText>
        </w:r>
        <w:r>
          <w:fldChar w:fldCharType="separate"/>
        </w:r>
        <w:r w:rsidR="005B19D1">
          <w:rPr>
            <w:noProof/>
          </w:rPr>
          <w:t>8</w:t>
        </w:r>
        <w:r>
          <w:rPr>
            <w:noProof/>
          </w:rPr>
          <w:fldChar w:fldCharType="end"/>
        </w:r>
      </w:p>
    </w:sdtContent>
  </w:sdt>
  <w:p w14:paraId="18949379" w14:textId="77777777" w:rsidR="00BB213D" w:rsidRDefault="00BB2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BB213D" w:rsidRDefault="00BB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BB213D" w:rsidRDefault="00BB213D" w:rsidP="00EE6AE0">
      <w:pPr>
        <w:spacing w:after="0" w:line="240" w:lineRule="auto"/>
      </w:pPr>
      <w:r>
        <w:separator/>
      </w:r>
    </w:p>
  </w:footnote>
  <w:footnote w:type="continuationSeparator" w:id="0">
    <w:p w14:paraId="74AC8B31" w14:textId="77777777" w:rsidR="00BB213D" w:rsidRDefault="00BB213D" w:rsidP="00EE6AE0">
      <w:pPr>
        <w:spacing w:after="0" w:line="240" w:lineRule="auto"/>
      </w:pPr>
      <w:r>
        <w:continuationSeparator/>
      </w:r>
    </w:p>
  </w:footnote>
  <w:footnote w:type="continuationNotice" w:id="1">
    <w:p w14:paraId="27404E37" w14:textId="77777777" w:rsidR="00BB213D" w:rsidRDefault="00BB213D">
      <w:pPr>
        <w:spacing w:after="0" w:line="240" w:lineRule="auto"/>
      </w:pPr>
    </w:p>
  </w:footnote>
  <w:footnote w:id="2">
    <w:p w14:paraId="4E2C912F" w14:textId="77777777" w:rsidR="00BB213D" w:rsidRPr="0047408E" w:rsidRDefault="00BB213D">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 w:id="3">
    <w:p w14:paraId="2CFAC072" w14:textId="77777777" w:rsidR="00BB213D" w:rsidRPr="00231438" w:rsidRDefault="00BB213D" w:rsidP="00A86967">
      <w:pPr>
        <w:pStyle w:val="FootnoteText"/>
        <w:spacing w:after="0"/>
        <w:rPr>
          <w:rFonts w:asciiTheme="minorHAnsi" w:hAnsiTheme="minorHAnsi" w:cstheme="minorHAnsi"/>
        </w:rPr>
      </w:pPr>
      <w:r>
        <w:rPr>
          <w:rStyle w:val="FootnoteReference"/>
        </w:rPr>
        <w:footnoteRef/>
      </w:r>
      <w:r>
        <w:t xml:space="preserve"> </w:t>
      </w:r>
      <w:r w:rsidRPr="00231438">
        <w:rPr>
          <w:rFonts w:asciiTheme="minorHAnsi" w:hAnsiTheme="minorHAnsi" w:cstheme="minorHAnsi"/>
        </w:rPr>
        <w:t xml:space="preserve">See </w:t>
      </w:r>
      <w:r w:rsidRPr="00231438">
        <w:rPr>
          <w:rFonts w:asciiTheme="minorHAnsi" w:hAnsiTheme="minorHAnsi" w:cstheme="minorHAnsi"/>
          <w:color w:val="000000"/>
          <w:shd w:val="clear" w:color="auto" w:fill="FFFFFF"/>
        </w:rPr>
        <w:t xml:space="preserve">IOSCO report on retail distribution and digitalisation, January 2022, </w:t>
      </w:r>
      <w:hyperlink r:id="rId1" w:history="1">
        <w:r w:rsidRPr="00231438">
          <w:rPr>
            <w:rStyle w:val="Hyperlink"/>
            <w:rFonts w:asciiTheme="minorHAnsi" w:hAnsiTheme="minorHAnsi" w:cstheme="minorHAnsi"/>
            <w:shd w:val="clear" w:color="auto" w:fill="FFFFFF"/>
          </w:rPr>
          <w:t>https://www.iosco.org/library/pubdocs/pdf/IOSCOPD695.pdf</w:t>
        </w:r>
      </w:hyperlink>
      <w:r w:rsidRPr="00231438">
        <w:rPr>
          <w:rFonts w:asciiTheme="minorHAnsi" w:hAnsiTheme="minorHAnsi" w:cstheme="minorHAnsi"/>
          <w:color w:val="000000"/>
          <w:shd w:val="clear" w:color="auto" w:fill="FFFFFF"/>
        </w:rPr>
        <w:t>.</w:t>
      </w:r>
    </w:p>
  </w:footnote>
  <w:footnote w:id="4">
    <w:p w14:paraId="2AB5B373" w14:textId="4B0DA734" w:rsidR="00BB213D" w:rsidRPr="00231438" w:rsidRDefault="00BB213D" w:rsidP="00A86967">
      <w:pPr>
        <w:pStyle w:val="FootnoteText"/>
        <w:spacing w:after="0"/>
        <w:rPr>
          <w:rFonts w:asciiTheme="minorHAnsi" w:hAnsiTheme="minorHAnsi" w:cstheme="minorHAnsi"/>
          <w:lang w:val="en-IE"/>
        </w:rPr>
      </w:pPr>
      <w:r w:rsidRPr="00231438">
        <w:rPr>
          <w:rStyle w:val="FootnoteReference"/>
          <w:rFonts w:asciiTheme="minorHAnsi" w:hAnsiTheme="minorHAnsi" w:cstheme="minorHAnsi"/>
        </w:rPr>
        <w:footnoteRef/>
      </w:r>
      <w:r w:rsidRPr="00231438">
        <w:rPr>
          <w:rFonts w:asciiTheme="minorHAnsi" w:hAnsiTheme="minorHAnsi" w:cstheme="minorHAnsi"/>
        </w:rPr>
        <w:t xml:space="preserve"> </w:t>
      </w:r>
      <w:r w:rsidRPr="00231438">
        <w:rPr>
          <w:rFonts w:asciiTheme="minorHAnsi" w:hAnsiTheme="minorHAnsi" w:cstheme="minorHAnsi"/>
        </w:rPr>
        <w:tab/>
        <w:t>According to the OECD definition of financial literacy</w:t>
      </w:r>
      <w:r>
        <w:rPr>
          <w:rFonts w:asciiTheme="minorHAnsi" w:hAnsiTheme="minorHAnsi" w:cstheme="minorHAnsi"/>
        </w:rPr>
        <w:t>:</w:t>
      </w:r>
      <w:r w:rsidRPr="00231438">
        <w:rPr>
          <w:rFonts w:asciiTheme="minorHAnsi" w:hAnsiTheme="minorHAnsi" w:cstheme="minorHAnsi"/>
        </w:rPr>
        <w:t xml:space="preserve"> </w:t>
      </w:r>
      <w:hyperlink r:id="rId2" w:history="1">
        <w:r w:rsidRPr="00231438">
          <w:rPr>
            <w:rStyle w:val="Hyperlink"/>
            <w:rFonts w:asciiTheme="minorHAnsi" w:hAnsiTheme="minorHAnsi" w:cstheme="minorHAnsi"/>
          </w:rPr>
          <w:t>https://www.oecd.org/financial/education/INFE-guidance-on-digital-delivery-of-financial-education.pdf</w:t>
        </w:r>
      </w:hyperlink>
      <w:r w:rsidRPr="00231438">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BB213D" w:rsidRDefault="00BB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BB213D" w:rsidRPr="00FA4464" w:rsidRDefault="00BB213D"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BB213D" w:rsidRDefault="00BB2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BB213D" w:rsidRDefault="00BB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A01CD5"/>
    <w:multiLevelType w:val="hybridMultilevel"/>
    <w:tmpl w:val="88EADC9E"/>
    <w:lvl w:ilvl="0" w:tplc="FFFFFFFF">
      <w:start w:val="1"/>
      <w:numFmt w:val="bullet"/>
      <w:lvlText w:val=""/>
      <w:lvlJc w:val="left"/>
      <w:pPr>
        <w:ind w:left="720" w:hanging="360"/>
      </w:pPr>
      <w:rPr>
        <w:rFonts w:ascii="Symbol" w:hAnsi="Symbol" w:hint="default"/>
      </w:rPr>
    </w:lvl>
    <w:lvl w:ilvl="1" w:tplc="CBBC6C0E">
      <w:start w:val="1"/>
      <w:numFmt w:val="bullet"/>
      <w:lvlText w:val="o"/>
      <w:lvlJc w:val="left"/>
      <w:pPr>
        <w:ind w:left="1440" w:hanging="360"/>
      </w:pPr>
      <w:rPr>
        <w:rFonts w:ascii="Courier New" w:hAnsi="Courier New" w:hint="default"/>
      </w:rPr>
    </w:lvl>
    <w:lvl w:ilvl="2" w:tplc="E97E1392">
      <w:start w:val="1"/>
      <w:numFmt w:val="bullet"/>
      <w:lvlText w:val=""/>
      <w:lvlJc w:val="left"/>
      <w:pPr>
        <w:ind w:left="2160" w:hanging="360"/>
      </w:pPr>
      <w:rPr>
        <w:rFonts w:ascii="Wingdings" w:hAnsi="Wingdings" w:hint="default"/>
      </w:rPr>
    </w:lvl>
    <w:lvl w:ilvl="3" w:tplc="4E8CA846">
      <w:start w:val="1"/>
      <w:numFmt w:val="bullet"/>
      <w:lvlText w:val=""/>
      <w:lvlJc w:val="left"/>
      <w:pPr>
        <w:ind w:left="2880" w:hanging="360"/>
      </w:pPr>
      <w:rPr>
        <w:rFonts w:ascii="Symbol" w:hAnsi="Symbol" w:hint="default"/>
      </w:rPr>
    </w:lvl>
    <w:lvl w:ilvl="4" w:tplc="2870B82E">
      <w:start w:val="1"/>
      <w:numFmt w:val="bullet"/>
      <w:lvlText w:val="o"/>
      <w:lvlJc w:val="left"/>
      <w:pPr>
        <w:ind w:left="3600" w:hanging="360"/>
      </w:pPr>
      <w:rPr>
        <w:rFonts w:ascii="Courier New" w:hAnsi="Courier New" w:hint="default"/>
      </w:rPr>
    </w:lvl>
    <w:lvl w:ilvl="5" w:tplc="5C74208C">
      <w:start w:val="1"/>
      <w:numFmt w:val="bullet"/>
      <w:lvlText w:val=""/>
      <w:lvlJc w:val="left"/>
      <w:pPr>
        <w:ind w:left="4320" w:hanging="360"/>
      </w:pPr>
      <w:rPr>
        <w:rFonts w:ascii="Wingdings" w:hAnsi="Wingdings" w:hint="default"/>
      </w:rPr>
    </w:lvl>
    <w:lvl w:ilvl="6" w:tplc="22D84418">
      <w:start w:val="1"/>
      <w:numFmt w:val="bullet"/>
      <w:lvlText w:val=""/>
      <w:lvlJc w:val="left"/>
      <w:pPr>
        <w:ind w:left="5040" w:hanging="360"/>
      </w:pPr>
      <w:rPr>
        <w:rFonts w:ascii="Symbol" w:hAnsi="Symbol" w:hint="default"/>
      </w:rPr>
    </w:lvl>
    <w:lvl w:ilvl="7" w:tplc="98741F4A">
      <w:start w:val="1"/>
      <w:numFmt w:val="bullet"/>
      <w:lvlText w:val="o"/>
      <w:lvlJc w:val="left"/>
      <w:pPr>
        <w:ind w:left="5760" w:hanging="360"/>
      </w:pPr>
      <w:rPr>
        <w:rFonts w:ascii="Courier New" w:hAnsi="Courier New" w:hint="default"/>
      </w:rPr>
    </w:lvl>
    <w:lvl w:ilvl="8" w:tplc="E0CED898">
      <w:start w:val="1"/>
      <w:numFmt w:val="bullet"/>
      <w:lvlText w:val=""/>
      <w:lvlJc w:val="left"/>
      <w:pPr>
        <w:ind w:left="6480" w:hanging="360"/>
      </w:pPr>
      <w:rPr>
        <w:rFonts w:ascii="Wingdings" w:hAnsi="Wingdings" w:hint="default"/>
      </w:rPr>
    </w:lvl>
  </w:abstractNum>
  <w:abstractNum w:abstractNumId="3"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5"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0"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C43A3"/>
    <w:multiLevelType w:val="hybridMultilevel"/>
    <w:tmpl w:val="7250DB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16"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6F4930"/>
    <w:multiLevelType w:val="hybridMultilevel"/>
    <w:tmpl w:val="0C162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4158628">
    <w:abstractNumId w:val="3"/>
  </w:num>
  <w:num w:numId="2" w16cid:durableId="504370244">
    <w:abstractNumId w:val="6"/>
  </w:num>
  <w:num w:numId="3" w16cid:durableId="317348476">
    <w:abstractNumId w:val="5"/>
  </w:num>
  <w:num w:numId="4" w16cid:durableId="427703866">
    <w:abstractNumId w:val="22"/>
  </w:num>
  <w:num w:numId="5" w16cid:durableId="2086342250">
    <w:abstractNumId w:val="8"/>
  </w:num>
  <w:num w:numId="6" w16cid:durableId="1422028764">
    <w:abstractNumId w:val="9"/>
  </w:num>
  <w:num w:numId="7" w16cid:durableId="1465663483">
    <w:abstractNumId w:val="10"/>
  </w:num>
  <w:num w:numId="8" w16cid:durableId="534537546">
    <w:abstractNumId w:val="21"/>
  </w:num>
  <w:num w:numId="9" w16cid:durableId="1602567715">
    <w:abstractNumId w:val="18"/>
  </w:num>
  <w:num w:numId="10" w16cid:durableId="1839425025">
    <w:abstractNumId w:val="14"/>
  </w:num>
  <w:num w:numId="11" w16cid:durableId="997149545">
    <w:abstractNumId w:val="17"/>
  </w:num>
  <w:num w:numId="12" w16cid:durableId="1298947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697340">
    <w:abstractNumId w:val="4"/>
  </w:num>
  <w:num w:numId="14" w16cid:durableId="690034961">
    <w:abstractNumId w:val="12"/>
  </w:num>
  <w:num w:numId="15" w16cid:durableId="1399943109">
    <w:abstractNumId w:val="0"/>
  </w:num>
  <w:num w:numId="16" w16cid:durableId="1314062337">
    <w:abstractNumId w:val="16"/>
  </w:num>
  <w:num w:numId="17" w16cid:durableId="1421029033">
    <w:abstractNumId w:val="1"/>
  </w:num>
  <w:num w:numId="18" w16cid:durableId="1690065226">
    <w:abstractNumId w:val="7"/>
  </w:num>
  <w:num w:numId="19" w16cid:durableId="515924442">
    <w:abstractNumId w:val="19"/>
  </w:num>
  <w:num w:numId="20" w16cid:durableId="932513304">
    <w:abstractNumId w:val="15"/>
  </w:num>
  <w:num w:numId="21" w16cid:durableId="681902838">
    <w:abstractNumId w:val="20"/>
  </w:num>
  <w:num w:numId="22" w16cid:durableId="1077096132">
    <w:abstractNumId w:val="11"/>
  </w:num>
  <w:num w:numId="23" w16cid:durableId="1415782083">
    <w:abstractNumId w:val="2"/>
  </w:num>
  <w:num w:numId="24" w16cid:durableId="455179805">
    <w:abstractNumId w:val="13"/>
  </w:num>
  <w:num w:numId="25" w16cid:durableId="1214855202">
    <w:abstractNumId w:val="23"/>
  </w:num>
  <w:num w:numId="26" w16cid:durableId="375744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6A39"/>
    <w:rsid w:val="00010D04"/>
    <w:rsid w:val="00013D60"/>
    <w:rsid w:val="0001491A"/>
    <w:rsid w:val="00016208"/>
    <w:rsid w:val="0001731C"/>
    <w:rsid w:val="00025F52"/>
    <w:rsid w:val="00032090"/>
    <w:rsid w:val="0003499D"/>
    <w:rsid w:val="00036D70"/>
    <w:rsid w:val="00037D40"/>
    <w:rsid w:val="000433AC"/>
    <w:rsid w:val="00045DD2"/>
    <w:rsid w:val="00047AF3"/>
    <w:rsid w:val="00052F40"/>
    <w:rsid w:val="00054544"/>
    <w:rsid w:val="000573A6"/>
    <w:rsid w:val="00060746"/>
    <w:rsid w:val="00060B9E"/>
    <w:rsid w:val="00062713"/>
    <w:rsid w:val="00071AC4"/>
    <w:rsid w:val="00073CEF"/>
    <w:rsid w:val="00080242"/>
    <w:rsid w:val="00084951"/>
    <w:rsid w:val="0008727F"/>
    <w:rsid w:val="00087BC9"/>
    <w:rsid w:val="00087D96"/>
    <w:rsid w:val="00090825"/>
    <w:rsid w:val="000A0FAA"/>
    <w:rsid w:val="000A3888"/>
    <w:rsid w:val="000A48F1"/>
    <w:rsid w:val="000A6292"/>
    <w:rsid w:val="000A7759"/>
    <w:rsid w:val="000B0B04"/>
    <w:rsid w:val="000B63C0"/>
    <w:rsid w:val="000B6CF7"/>
    <w:rsid w:val="000C5361"/>
    <w:rsid w:val="000C612B"/>
    <w:rsid w:val="000D06F2"/>
    <w:rsid w:val="000D25FF"/>
    <w:rsid w:val="000D5A14"/>
    <w:rsid w:val="000E0C93"/>
    <w:rsid w:val="000E0E25"/>
    <w:rsid w:val="000E1567"/>
    <w:rsid w:val="000E57D0"/>
    <w:rsid w:val="000F257B"/>
    <w:rsid w:val="000F5BC6"/>
    <w:rsid w:val="000F67D3"/>
    <w:rsid w:val="000F6884"/>
    <w:rsid w:val="001056AC"/>
    <w:rsid w:val="001060ED"/>
    <w:rsid w:val="00106160"/>
    <w:rsid w:val="001127D2"/>
    <w:rsid w:val="001152AE"/>
    <w:rsid w:val="00117A61"/>
    <w:rsid w:val="00123EA4"/>
    <w:rsid w:val="001240F8"/>
    <w:rsid w:val="00126003"/>
    <w:rsid w:val="00127287"/>
    <w:rsid w:val="00130D40"/>
    <w:rsid w:val="001321D1"/>
    <w:rsid w:val="00132A25"/>
    <w:rsid w:val="00140C8E"/>
    <w:rsid w:val="001427C5"/>
    <w:rsid w:val="00145C07"/>
    <w:rsid w:val="00154168"/>
    <w:rsid w:val="0015773E"/>
    <w:rsid w:val="00163FA5"/>
    <w:rsid w:val="00170569"/>
    <w:rsid w:val="0017179C"/>
    <w:rsid w:val="001722E2"/>
    <w:rsid w:val="00173710"/>
    <w:rsid w:val="00177BB5"/>
    <w:rsid w:val="0018295F"/>
    <w:rsid w:val="001861A8"/>
    <w:rsid w:val="00186D3F"/>
    <w:rsid w:val="00187FF6"/>
    <w:rsid w:val="001924BA"/>
    <w:rsid w:val="00193469"/>
    <w:rsid w:val="001977ED"/>
    <w:rsid w:val="001A0B00"/>
    <w:rsid w:val="001A5290"/>
    <w:rsid w:val="001A6C1A"/>
    <w:rsid w:val="001A7979"/>
    <w:rsid w:val="001B3A5B"/>
    <w:rsid w:val="001B3D7E"/>
    <w:rsid w:val="001B4CA4"/>
    <w:rsid w:val="001B6A3A"/>
    <w:rsid w:val="001B6E02"/>
    <w:rsid w:val="001C012C"/>
    <w:rsid w:val="001C1AB3"/>
    <w:rsid w:val="001C2582"/>
    <w:rsid w:val="001C2730"/>
    <w:rsid w:val="001C44E8"/>
    <w:rsid w:val="001D017F"/>
    <w:rsid w:val="001D4B8D"/>
    <w:rsid w:val="001D6943"/>
    <w:rsid w:val="001D76F9"/>
    <w:rsid w:val="001E077E"/>
    <w:rsid w:val="001E0C62"/>
    <w:rsid w:val="001E1911"/>
    <w:rsid w:val="001E306A"/>
    <w:rsid w:val="001E4A3B"/>
    <w:rsid w:val="001E6743"/>
    <w:rsid w:val="001F1272"/>
    <w:rsid w:val="001F4161"/>
    <w:rsid w:val="001F44A1"/>
    <w:rsid w:val="001F461A"/>
    <w:rsid w:val="001F5ABC"/>
    <w:rsid w:val="002012DE"/>
    <w:rsid w:val="00201F30"/>
    <w:rsid w:val="00203C56"/>
    <w:rsid w:val="002062A3"/>
    <w:rsid w:val="00206966"/>
    <w:rsid w:val="002075D7"/>
    <w:rsid w:val="00211E64"/>
    <w:rsid w:val="002127E9"/>
    <w:rsid w:val="0021322B"/>
    <w:rsid w:val="0021614B"/>
    <w:rsid w:val="00217AFD"/>
    <w:rsid w:val="002221E3"/>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4F57"/>
    <w:rsid w:val="00266464"/>
    <w:rsid w:val="002664C5"/>
    <w:rsid w:val="00267BE6"/>
    <w:rsid w:val="00270E0E"/>
    <w:rsid w:val="00271C51"/>
    <w:rsid w:val="00271C71"/>
    <w:rsid w:val="002738E2"/>
    <w:rsid w:val="002746DF"/>
    <w:rsid w:val="0028448B"/>
    <w:rsid w:val="002848DC"/>
    <w:rsid w:val="00286CA3"/>
    <w:rsid w:val="00292CD3"/>
    <w:rsid w:val="00295EAD"/>
    <w:rsid w:val="00297F87"/>
    <w:rsid w:val="002A6200"/>
    <w:rsid w:val="002B5F8E"/>
    <w:rsid w:val="002B703C"/>
    <w:rsid w:val="002C02B1"/>
    <w:rsid w:val="002C11A9"/>
    <w:rsid w:val="002C449C"/>
    <w:rsid w:val="002C5913"/>
    <w:rsid w:val="002D64D2"/>
    <w:rsid w:val="002D670E"/>
    <w:rsid w:val="002E3AFF"/>
    <w:rsid w:val="002F1566"/>
    <w:rsid w:val="002F4656"/>
    <w:rsid w:val="002F712F"/>
    <w:rsid w:val="002F7492"/>
    <w:rsid w:val="00300A4B"/>
    <w:rsid w:val="003018BC"/>
    <w:rsid w:val="00305060"/>
    <w:rsid w:val="003061EF"/>
    <w:rsid w:val="003065BC"/>
    <w:rsid w:val="00320931"/>
    <w:rsid w:val="0032586D"/>
    <w:rsid w:val="00326FF9"/>
    <w:rsid w:val="0033195E"/>
    <w:rsid w:val="00336C9F"/>
    <w:rsid w:val="003448F1"/>
    <w:rsid w:val="00347344"/>
    <w:rsid w:val="003508A6"/>
    <w:rsid w:val="00351D5C"/>
    <w:rsid w:val="00356CC4"/>
    <w:rsid w:val="0035718D"/>
    <w:rsid w:val="003571E6"/>
    <w:rsid w:val="00377808"/>
    <w:rsid w:val="003802CB"/>
    <w:rsid w:val="00380899"/>
    <w:rsid w:val="003823AB"/>
    <w:rsid w:val="00386826"/>
    <w:rsid w:val="00386CCE"/>
    <w:rsid w:val="00387629"/>
    <w:rsid w:val="00393CA9"/>
    <w:rsid w:val="00394080"/>
    <w:rsid w:val="00394820"/>
    <w:rsid w:val="00395FCF"/>
    <w:rsid w:val="00395FF7"/>
    <w:rsid w:val="003A4B93"/>
    <w:rsid w:val="003A5562"/>
    <w:rsid w:val="003A5F9A"/>
    <w:rsid w:val="003A62A3"/>
    <w:rsid w:val="003A6379"/>
    <w:rsid w:val="003A6C19"/>
    <w:rsid w:val="003B077A"/>
    <w:rsid w:val="003B3BB0"/>
    <w:rsid w:val="003C4F83"/>
    <w:rsid w:val="003C5A57"/>
    <w:rsid w:val="003C6E67"/>
    <w:rsid w:val="003D06A2"/>
    <w:rsid w:val="003D3A3D"/>
    <w:rsid w:val="003D4D40"/>
    <w:rsid w:val="003D68FB"/>
    <w:rsid w:val="003D7B7B"/>
    <w:rsid w:val="003E0249"/>
    <w:rsid w:val="003E0A87"/>
    <w:rsid w:val="003E3E6E"/>
    <w:rsid w:val="003F34D5"/>
    <w:rsid w:val="003F68D7"/>
    <w:rsid w:val="00400DA6"/>
    <w:rsid w:val="004019E1"/>
    <w:rsid w:val="00404E6D"/>
    <w:rsid w:val="004051A0"/>
    <w:rsid w:val="00405A02"/>
    <w:rsid w:val="00405D81"/>
    <w:rsid w:val="00410166"/>
    <w:rsid w:val="00410FFA"/>
    <w:rsid w:val="00412B20"/>
    <w:rsid w:val="00412CB4"/>
    <w:rsid w:val="00414364"/>
    <w:rsid w:val="004146B0"/>
    <w:rsid w:val="0041552D"/>
    <w:rsid w:val="00420A19"/>
    <w:rsid w:val="0042111B"/>
    <w:rsid w:val="00431136"/>
    <w:rsid w:val="00434040"/>
    <w:rsid w:val="00434B92"/>
    <w:rsid w:val="004422E1"/>
    <w:rsid w:val="0044533F"/>
    <w:rsid w:val="0044775D"/>
    <w:rsid w:val="00447B04"/>
    <w:rsid w:val="00450562"/>
    <w:rsid w:val="004519D5"/>
    <w:rsid w:val="0045324C"/>
    <w:rsid w:val="0046029E"/>
    <w:rsid w:val="00471F42"/>
    <w:rsid w:val="0047305E"/>
    <w:rsid w:val="0047408E"/>
    <w:rsid w:val="00474C8C"/>
    <w:rsid w:val="00477CA5"/>
    <w:rsid w:val="00480822"/>
    <w:rsid w:val="00483128"/>
    <w:rsid w:val="00485788"/>
    <w:rsid w:val="00490741"/>
    <w:rsid w:val="00491980"/>
    <w:rsid w:val="004924BB"/>
    <w:rsid w:val="004968C3"/>
    <w:rsid w:val="004A36BA"/>
    <w:rsid w:val="004A44F0"/>
    <w:rsid w:val="004A6C1B"/>
    <w:rsid w:val="004B2A29"/>
    <w:rsid w:val="004B3274"/>
    <w:rsid w:val="004B34AE"/>
    <w:rsid w:val="004B5E1D"/>
    <w:rsid w:val="004C3C68"/>
    <w:rsid w:val="004D2640"/>
    <w:rsid w:val="004D485E"/>
    <w:rsid w:val="004E2E17"/>
    <w:rsid w:val="004E5D28"/>
    <w:rsid w:val="004F00EB"/>
    <w:rsid w:val="004F757B"/>
    <w:rsid w:val="004F799C"/>
    <w:rsid w:val="00510683"/>
    <w:rsid w:val="00513403"/>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3EF"/>
    <w:rsid w:val="005827FF"/>
    <w:rsid w:val="00591B63"/>
    <w:rsid w:val="00596E2C"/>
    <w:rsid w:val="005A125A"/>
    <w:rsid w:val="005A184C"/>
    <w:rsid w:val="005A2007"/>
    <w:rsid w:val="005A609F"/>
    <w:rsid w:val="005B0AB3"/>
    <w:rsid w:val="005B155B"/>
    <w:rsid w:val="005B19D1"/>
    <w:rsid w:val="005B4299"/>
    <w:rsid w:val="005B6243"/>
    <w:rsid w:val="005B79C4"/>
    <w:rsid w:val="005B7E6E"/>
    <w:rsid w:val="005C1F5E"/>
    <w:rsid w:val="005C3A5B"/>
    <w:rsid w:val="005C48CB"/>
    <w:rsid w:val="005C5525"/>
    <w:rsid w:val="005C6F09"/>
    <w:rsid w:val="005D1F69"/>
    <w:rsid w:val="005D3C6F"/>
    <w:rsid w:val="005D5ABD"/>
    <w:rsid w:val="005E33B1"/>
    <w:rsid w:val="005E7011"/>
    <w:rsid w:val="005F0352"/>
    <w:rsid w:val="005F1235"/>
    <w:rsid w:val="005F3D5C"/>
    <w:rsid w:val="005F4747"/>
    <w:rsid w:val="005F56F9"/>
    <w:rsid w:val="005F59EC"/>
    <w:rsid w:val="005F6ED7"/>
    <w:rsid w:val="00603227"/>
    <w:rsid w:val="0060330B"/>
    <w:rsid w:val="00603B74"/>
    <w:rsid w:val="0060523A"/>
    <w:rsid w:val="00606DDB"/>
    <w:rsid w:val="00607164"/>
    <w:rsid w:val="00607CF0"/>
    <w:rsid w:val="00613C34"/>
    <w:rsid w:val="00614C17"/>
    <w:rsid w:val="006161CE"/>
    <w:rsid w:val="006227C2"/>
    <w:rsid w:val="0062328B"/>
    <w:rsid w:val="00626265"/>
    <w:rsid w:val="006262E0"/>
    <w:rsid w:val="00626C81"/>
    <w:rsid w:val="00632580"/>
    <w:rsid w:val="006370FD"/>
    <w:rsid w:val="006425CE"/>
    <w:rsid w:val="00645DB5"/>
    <w:rsid w:val="00646298"/>
    <w:rsid w:val="00650695"/>
    <w:rsid w:val="00656307"/>
    <w:rsid w:val="00656BE6"/>
    <w:rsid w:val="00667807"/>
    <w:rsid w:val="00670295"/>
    <w:rsid w:val="00673774"/>
    <w:rsid w:val="006767E0"/>
    <w:rsid w:val="00677A34"/>
    <w:rsid w:val="006864AE"/>
    <w:rsid w:val="00686A4C"/>
    <w:rsid w:val="006874CA"/>
    <w:rsid w:val="00693EFF"/>
    <w:rsid w:val="00696AEE"/>
    <w:rsid w:val="006979CD"/>
    <w:rsid w:val="006A3BAA"/>
    <w:rsid w:val="006A4CF2"/>
    <w:rsid w:val="006B4E8B"/>
    <w:rsid w:val="006B6BFF"/>
    <w:rsid w:val="006D04FD"/>
    <w:rsid w:val="006D4F1C"/>
    <w:rsid w:val="006D5913"/>
    <w:rsid w:val="006E2255"/>
    <w:rsid w:val="006E5356"/>
    <w:rsid w:val="006E57F1"/>
    <w:rsid w:val="006E6DEF"/>
    <w:rsid w:val="006E6E3E"/>
    <w:rsid w:val="006E74D2"/>
    <w:rsid w:val="006F297D"/>
    <w:rsid w:val="006F3282"/>
    <w:rsid w:val="006F3347"/>
    <w:rsid w:val="006F3E3C"/>
    <w:rsid w:val="006F7BB1"/>
    <w:rsid w:val="00706F0C"/>
    <w:rsid w:val="00707EE9"/>
    <w:rsid w:val="00712697"/>
    <w:rsid w:val="00712B39"/>
    <w:rsid w:val="00714D6C"/>
    <w:rsid w:val="00720F78"/>
    <w:rsid w:val="0072487E"/>
    <w:rsid w:val="0073016D"/>
    <w:rsid w:val="00731204"/>
    <w:rsid w:val="00731789"/>
    <w:rsid w:val="007336D0"/>
    <w:rsid w:val="007353E2"/>
    <w:rsid w:val="00736FCB"/>
    <w:rsid w:val="00741C91"/>
    <w:rsid w:val="0074212C"/>
    <w:rsid w:val="00745037"/>
    <w:rsid w:val="0074774C"/>
    <w:rsid w:val="00751662"/>
    <w:rsid w:val="00756C93"/>
    <w:rsid w:val="0076002F"/>
    <w:rsid w:val="00762EAE"/>
    <w:rsid w:val="00763E0C"/>
    <w:rsid w:val="00765249"/>
    <w:rsid w:val="00765C35"/>
    <w:rsid w:val="00766EC1"/>
    <w:rsid w:val="00775D1C"/>
    <w:rsid w:val="00783A7A"/>
    <w:rsid w:val="00783D15"/>
    <w:rsid w:val="0078425F"/>
    <w:rsid w:val="00784DDF"/>
    <w:rsid w:val="00786BF7"/>
    <w:rsid w:val="00787E9D"/>
    <w:rsid w:val="007911D4"/>
    <w:rsid w:val="007A1609"/>
    <w:rsid w:val="007A2C4C"/>
    <w:rsid w:val="007A2DB5"/>
    <w:rsid w:val="007B061E"/>
    <w:rsid w:val="007B0E72"/>
    <w:rsid w:val="007B79D7"/>
    <w:rsid w:val="007C1298"/>
    <w:rsid w:val="007C377E"/>
    <w:rsid w:val="007D09AE"/>
    <w:rsid w:val="007D6BEA"/>
    <w:rsid w:val="007D6CAD"/>
    <w:rsid w:val="007E0322"/>
    <w:rsid w:val="007E03B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54D1"/>
    <w:rsid w:val="00805A85"/>
    <w:rsid w:val="00807ED1"/>
    <w:rsid w:val="00816654"/>
    <w:rsid w:val="008256C7"/>
    <w:rsid w:val="00833A74"/>
    <w:rsid w:val="00840332"/>
    <w:rsid w:val="0084345E"/>
    <w:rsid w:val="008455EB"/>
    <w:rsid w:val="00845604"/>
    <w:rsid w:val="0084652C"/>
    <w:rsid w:val="0085036E"/>
    <w:rsid w:val="00852E8E"/>
    <w:rsid w:val="00854A82"/>
    <w:rsid w:val="00857FDC"/>
    <w:rsid w:val="00860C8C"/>
    <w:rsid w:val="008638C4"/>
    <w:rsid w:val="00866E39"/>
    <w:rsid w:val="008737FC"/>
    <w:rsid w:val="00875BC5"/>
    <w:rsid w:val="00884486"/>
    <w:rsid w:val="0089219C"/>
    <w:rsid w:val="00894643"/>
    <w:rsid w:val="008A2C86"/>
    <w:rsid w:val="008A46ED"/>
    <w:rsid w:val="008A4D75"/>
    <w:rsid w:val="008A4D8E"/>
    <w:rsid w:val="008A4DC9"/>
    <w:rsid w:val="008A787C"/>
    <w:rsid w:val="008B0DFC"/>
    <w:rsid w:val="008B3127"/>
    <w:rsid w:val="008B492C"/>
    <w:rsid w:val="008C164A"/>
    <w:rsid w:val="008C2A80"/>
    <w:rsid w:val="008C2EFF"/>
    <w:rsid w:val="008D74DA"/>
    <w:rsid w:val="008D7F0D"/>
    <w:rsid w:val="008E0A79"/>
    <w:rsid w:val="008E5508"/>
    <w:rsid w:val="008F7E04"/>
    <w:rsid w:val="00900E61"/>
    <w:rsid w:val="0090180B"/>
    <w:rsid w:val="00905CDE"/>
    <w:rsid w:val="00906136"/>
    <w:rsid w:val="0090678A"/>
    <w:rsid w:val="00912B2D"/>
    <w:rsid w:val="00914465"/>
    <w:rsid w:val="009165E1"/>
    <w:rsid w:val="009174E2"/>
    <w:rsid w:val="00920342"/>
    <w:rsid w:val="009226A6"/>
    <w:rsid w:val="0092612D"/>
    <w:rsid w:val="00935657"/>
    <w:rsid w:val="00937AC0"/>
    <w:rsid w:val="00940AAD"/>
    <w:rsid w:val="00940EB6"/>
    <w:rsid w:val="009435EE"/>
    <w:rsid w:val="00946DF0"/>
    <w:rsid w:val="00953A8B"/>
    <w:rsid w:val="00956321"/>
    <w:rsid w:val="00961AAB"/>
    <w:rsid w:val="00962294"/>
    <w:rsid w:val="00962426"/>
    <w:rsid w:val="00962F61"/>
    <w:rsid w:val="00972619"/>
    <w:rsid w:val="0097568F"/>
    <w:rsid w:val="00982E93"/>
    <w:rsid w:val="00984960"/>
    <w:rsid w:val="009866B1"/>
    <w:rsid w:val="00997319"/>
    <w:rsid w:val="009A500A"/>
    <w:rsid w:val="009B5DA5"/>
    <w:rsid w:val="009C133C"/>
    <w:rsid w:val="009C25C6"/>
    <w:rsid w:val="009C25F1"/>
    <w:rsid w:val="009C31F7"/>
    <w:rsid w:val="009C4676"/>
    <w:rsid w:val="009C6DD4"/>
    <w:rsid w:val="009C72DD"/>
    <w:rsid w:val="009D1D3E"/>
    <w:rsid w:val="009D2B8D"/>
    <w:rsid w:val="009E1C0A"/>
    <w:rsid w:val="009E2AB7"/>
    <w:rsid w:val="009E3306"/>
    <w:rsid w:val="009E33A8"/>
    <w:rsid w:val="009F0856"/>
    <w:rsid w:val="009F2561"/>
    <w:rsid w:val="009F3D97"/>
    <w:rsid w:val="00A008E6"/>
    <w:rsid w:val="00A00921"/>
    <w:rsid w:val="00A06932"/>
    <w:rsid w:val="00A07817"/>
    <w:rsid w:val="00A10390"/>
    <w:rsid w:val="00A108DE"/>
    <w:rsid w:val="00A11C3D"/>
    <w:rsid w:val="00A12619"/>
    <w:rsid w:val="00A12872"/>
    <w:rsid w:val="00A138DE"/>
    <w:rsid w:val="00A2151A"/>
    <w:rsid w:val="00A21F24"/>
    <w:rsid w:val="00A3118E"/>
    <w:rsid w:val="00A3620D"/>
    <w:rsid w:val="00A4640A"/>
    <w:rsid w:val="00A50355"/>
    <w:rsid w:val="00A50DD6"/>
    <w:rsid w:val="00A55814"/>
    <w:rsid w:val="00A60AD9"/>
    <w:rsid w:val="00A61EE1"/>
    <w:rsid w:val="00A6296E"/>
    <w:rsid w:val="00A63E64"/>
    <w:rsid w:val="00A7100F"/>
    <w:rsid w:val="00A72B53"/>
    <w:rsid w:val="00A73E9F"/>
    <w:rsid w:val="00A752AF"/>
    <w:rsid w:val="00A77664"/>
    <w:rsid w:val="00A8277E"/>
    <w:rsid w:val="00A86967"/>
    <w:rsid w:val="00A915F0"/>
    <w:rsid w:val="00A9384D"/>
    <w:rsid w:val="00A95153"/>
    <w:rsid w:val="00A97C92"/>
    <w:rsid w:val="00AA0769"/>
    <w:rsid w:val="00AA3062"/>
    <w:rsid w:val="00AA43E1"/>
    <w:rsid w:val="00AA5A63"/>
    <w:rsid w:val="00AB3CCC"/>
    <w:rsid w:val="00AB72EA"/>
    <w:rsid w:val="00AB7D36"/>
    <w:rsid w:val="00AC3FFE"/>
    <w:rsid w:val="00AC7E95"/>
    <w:rsid w:val="00AD04D6"/>
    <w:rsid w:val="00AD2252"/>
    <w:rsid w:val="00AD2980"/>
    <w:rsid w:val="00AD3BC9"/>
    <w:rsid w:val="00AD7FD9"/>
    <w:rsid w:val="00AE388C"/>
    <w:rsid w:val="00AE4F74"/>
    <w:rsid w:val="00AF0831"/>
    <w:rsid w:val="00AF08B2"/>
    <w:rsid w:val="00B105B2"/>
    <w:rsid w:val="00B11516"/>
    <w:rsid w:val="00B11C31"/>
    <w:rsid w:val="00B13FB4"/>
    <w:rsid w:val="00B1775D"/>
    <w:rsid w:val="00B241B1"/>
    <w:rsid w:val="00B26DE0"/>
    <w:rsid w:val="00B30305"/>
    <w:rsid w:val="00B31A32"/>
    <w:rsid w:val="00B320E5"/>
    <w:rsid w:val="00B37E1E"/>
    <w:rsid w:val="00B41660"/>
    <w:rsid w:val="00B42CE9"/>
    <w:rsid w:val="00B46999"/>
    <w:rsid w:val="00B50F3C"/>
    <w:rsid w:val="00B57B38"/>
    <w:rsid w:val="00B60ADF"/>
    <w:rsid w:val="00B61EBA"/>
    <w:rsid w:val="00B673DF"/>
    <w:rsid w:val="00B74A52"/>
    <w:rsid w:val="00B82655"/>
    <w:rsid w:val="00B90C21"/>
    <w:rsid w:val="00B91A80"/>
    <w:rsid w:val="00B9504D"/>
    <w:rsid w:val="00B974B9"/>
    <w:rsid w:val="00B97EB6"/>
    <w:rsid w:val="00BA13A5"/>
    <w:rsid w:val="00BA2FC2"/>
    <w:rsid w:val="00BA4ABF"/>
    <w:rsid w:val="00BA749B"/>
    <w:rsid w:val="00BB180F"/>
    <w:rsid w:val="00BB19CD"/>
    <w:rsid w:val="00BB213D"/>
    <w:rsid w:val="00BB27BC"/>
    <w:rsid w:val="00BB4B21"/>
    <w:rsid w:val="00BB5C53"/>
    <w:rsid w:val="00BB7CF9"/>
    <w:rsid w:val="00BC4A69"/>
    <w:rsid w:val="00BC4DE2"/>
    <w:rsid w:val="00BD1C5F"/>
    <w:rsid w:val="00BD2D6A"/>
    <w:rsid w:val="00BD4922"/>
    <w:rsid w:val="00BD5082"/>
    <w:rsid w:val="00BE4F39"/>
    <w:rsid w:val="00BE556C"/>
    <w:rsid w:val="00BF3BF0"/>
    <w:rsid w:val="00BF4345"/>
    <w:rsid w:val="00BF4619"/>
    <w:rsid w:val="00BF4FE2"/>
    <w:rsid w:val="00BF6092"/>
    <w:rsid w:val="00C10F59"/>
    <w:rsid w:val="00C15E87"/>
    <w:rsid w:val="00C21EA8"/>
    <w:rsid w:val="00C23927"/>
    <w:rsid w:val="00C244E5"/>
    <w:rsid w:val="00C24C26"/>
    <w:rsid w:val="00C31D13"/>
    <w:rsid w:val="00C33B2C"/>
    <w:rsid w:val="00C37707"/>
    <w:rsid w:val="00C4127D"/>
    <w:rsid w:val="00C435B9"/>
    <w:rsid w:val="00C45BD6"/>
    <w:rsid w:val="00C462EE"/>
    <w:rsid w:val="00C52F24"/>
    <w:rsid w:val="00C55217"/>
    <w:rsid w:val="00C63699"/>
    <w:rsid w:val="00C659FE"/>
    <w:rsid w:val="00C72BBE"/>
    <w:rsid w:val="00C7446E"/>
    <w:rsid w:val="00C8131F"/>
    <w:rsid w:val="00C83E77"/>
    <w:rsid w:val="00C878F5"/>
    <w:rsid w:val="00C91F4C"/>
    <w:rsid w:val="00C96D03"/>
    <w:rsid w:val="00CA33AA"/>
    <w:rsid w:val="00CA498B"/>
    <w:rsid w:val="00CA5055"/>
    <w:rsid w:val="00CA5DB7"/>
    <w:rsid w:val="00CB2B6A"/>
    <w:rsid w:val="00CB7E84"/>
    <w:rsid w:val="00CC0BA2"/>
    <w:rsid w:val="00CC1798"/>
    <w:rsid w:val="00CC1CEF"/>
    <w:rsid w:val="00CC4817"/>
    <w:rsid w:val="00CC61F8"/>
    <w:rsid w:val="00CD4389"/>
    <w:rsid w:val="00CD73BD"/>
    <w:rsid w:val="00CD7801"/>
    <w:rsid w:val="00CE24F0"/>
    <w:rsid w:val="00CE586A"/>
    <w:rsid w:val="00CE5E2C"/>
    <w:rsid w:val="00CE622B"/>
    <w:rsid w:val="00CE678C"/>
    <w:rsid w:val="00CF27BA"/>
    <w:rsid w:val="00CF2803"/>
    <w:rsid w:val="00CF3547"/>
    <w:rsid w:val="00CF4A3F"/>
    <w:rsid w:val="00D00C9D"/>
    <w:rsid w:val="00D101BA"/>
    <w:rsid w:val="00D13858"/>
    <w:rsid w:val="00D171AF"/>
    <w:rsid w:val="00D2057A"/>
    <w:rsid w:val="00D22D5C"/>
    <w:rsid w:val="00D25DEF"/>
    <w:rsid w:val="00D31033"/>
    <w:rsid w:val="00D33A1A"/>
    <w:rsid w:val="00D3645C"/>
    <w:rsid w:val="00D40879"/>
    <w:rsid w:val="00D40B58"/>
    <w:rsid w:val="00D43F19"/>
    <w:rsid w:val="00D47430"/>
    <w:rsid w:val="00D5039B"/>
    <w:rsid w:val="00D53C14"/>
    <w:rsid w:val="00D56489"/>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96665"/>
    <w:rsid w:val="00DA119D"/>
    <w:rsid w:val="00DA1F4C"/>
    <w:rsid w:val="00DA6BB8"/>
    <w:rsid w:val="00DB3F6A"/>
    <w:rsid w:val="00DB40DC"/>
    <w:rsid w:val="00DB7BED"/>
    <w:rsid w:val="00DC426E"/>
    <w:rsid w:val="00DC7768"/>
    <w:rsid w:val="00DD0FF5"/>
    <w:rsid w:val="00DD1E2B"/>
    <w:rsid w:val="00DD2F32"/>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24A65"/>
    <w:rsid w:val="00E30019"/>
    <w:rsid w:val="00E40CA3"/>
    <w:rsid w:val="00E44E8D"/>
    <w:rsid w:val="00E5529F"/>
    <w:rsid w:val="00E56007"/>
    <w:rsid w:val="00E62E5B"/>
    <w:rsid w:val="00E66473"/>
    <w:rsid w:val="00E671B0"/>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ABA"/>
    <w:rsid w:val="00F01DBF"/>
    <w:rsid w:val="00F06502"/>
    <w:rsid w:val="00F07EF6"/>
    <w:rsid w:val="00F13CF3"/>
    <w:rsid w:val="00F20050"/>
    <w:rsid w:val="00F266F8"/>
    <w:rsid w:val="00F35416"/>
    <w:rsid w:val="00F3550B"/>
    <w:rsid w:val="00F40A75"/>
    <w:rsid w:val="00F419FB"/>
    <w:rsid w:val="00F546E2"/>
    <w:rsid w:val="00F5509A"/>
    <w:rsid w:val="00F60328"/>
    <w:rsid w:val="00F64CAB"/>
    <w:rsid w:val="00F652FE"/>
    <w:rsid w:val="00F67291"/>
    <w:rsid w:val="00F7738C"/>
    <w:rsid w:val="00F81DC4"/>
    <w:rsid w:val="00F83C79"/>
    <w:rsid w:val="00F85D79"/>
    <w:rsid w:val="00F90D35"/>
    <w:rsid w:val="00F91EB3"/>
    <w:rsid w:val="00F92ED9"/>
    <w:rsid w:val="00F9526A"/>
    <w:rsid w:val="00F9656B"/>
    <w:rsid w:val="00F978FB"/>
    <w:rsid w:val="00FA3A47"/>
    <w:rsid w:val="00FA42E4"/>
    <w:rsid w:val="00FA4413"/>
    <w:rsid w:val="00FA4464"/>
    <w:rsid w:val="00FB1290"/>
    <w:rsid w:val="00FB24EE"/>
    <w:rsid w:val="00FB5CCD"/>
    <w:rsid w:val="00FB71D4"/>
    <w:rsid w:val="00FC0235"/>
    <w:rsid w:val="00FC0511"/>
    <w:rsid w:val="00FC49EF"/>
    <w:rsid w:val="00FC4D28"/>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857FDC"/>
  </w:style>
  <w:style w:type="paragraph" w:customStyle="1" w:styleId="paragraph">
    <w:name w:val="paragraph"/>
    <w:basedOn w:val="Normal"/>
    <w:rsid w:val="006767E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676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613640097">
      <w:bodyDiv w:val="1"/>
      <w:marLeft w:val="0"/>
      <w:marRight w:val="0"/>
      <w:marTop w:val="0"/>
      <w:marBottom w:val="0"/>
      <w:divBdr>
        <w:top w:val="none" w:sz="0" w:space="0" w:color="auto"/>
        <w:left w:val="none" w:sz="0" w:space="0" w:color="auto"/>
        <w:bottom w:val="none" w:sz="0" w:space="0" w:color="auto"/>
        <w:right w:val="none" w:sz="0" w:space="0" w:color="auto"/>
      </w:divBdr>
    </w:div>
    <w:div w:id="663818256">
      <w:bodyDiv w:val="1"/>
      <w:marLeft w:val="0"/>
      <w:marRight w:val="0"/>
      <w:marTop w:val="0"/>
      <w:marBottom w:val="0"/>
      <w:divBdr>
        <w:top w:val="none" w:sz="0" w:space="0" w:color="auto"/>
        <w:left w:val="none" w:sz="0" w:space="0" w:color="auto"/>
        <w:bottom w:val="none" w:sz="0" w:space="0" w:color="auto"/>
        <w:right w:val="none" w:sz="0" w:space="0" w:color="auto"/>
      </w:divBdr>
    </w:div>
    <w:div w:id="687950051">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64357452">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ystem/files/2023-07/List%20of%20topics%20for%20TSI%202024%20templat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financial/education/INFE-guidance-on-digital-delivery-of-financial-education.pdf" TargetMode="External"/><Relationship Id="rId1" Type="http://schemas.openxmlformats.org/officeDocument/2006/relationships/hyperlink" Target="https://www.iosco.org/library/pubdocs/pdf/IOSCOPD6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F1A50-6163-442F-93E5-2E044B5413C1}">
  <ds:schemaRefs>
    <ds:schemaRef ds:uri="http://schemas.microsoft.com/office/2006/documentManagement/types"/>
    <ds:schemaRef ds:uri="http://schemas.openxmlformats.org/package/2006/metadata/core-properties"/>
    <ds:schemaRef ds:uri="http://purl.org/dc/elements/1.1/"/>
    <ds:schemaRef ds:uri="aa30d10d-b30d-4a7a-9d26-d2ca493895f6"/>
    <ds:schemaRef ds:uri="http://schemas.microsoft.com/office/2006/metadata/properties"/>
    <ds:schemaRef ds:uri="http://schemas.microsoft.com/office/infopath/2007/PartnerControls"/>
    <ds:schemaRef ds:uri="http://purl.org/dc/terms/"/>
    <ds:schemaRef ds:uri="dff91fe5-b91d-4940-8e43-17920bc15740"/>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B104B1E-81D3-4A00-9CDF-53546B076B3C}">
  <ds:schemaRefs>
    <ds:schemaRef ds:uri="http://schemas.openxmlformats.org/officeDocument/2006/bibliography"/>
  </ds:schemaRefs>
</ds:datastoreItem>
</file>

<file path=customXml/itemProps3.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85D14-2FD0-4F81-8EA1-58099AC44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3427</Words>
  <Characters>19740</Characters>
  <Application>Microsoft Office Word</Application>
  <DocSecurity>0</DocSecurity>
  <Lines>493</Lines>
  <Paragraphs>257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RONGA Eugenio (REFORM)</cp:lastModifiedBy>
  <cp:revision>9</cp:revision>
  <cp:lastPrinted>2023-04-27T09:23:00Z</cp:lastPrinted>
  <dcterms:created xsi:type="dcterms:W3CDTF">2023-06-22T12:56:00Z</dcterms:created>
  <dcterms:modified xsi:type="dcterms:W3CDTF">2023-07-20T13:01:00Z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