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038" w:rsidRDefault="00AE2038">
      <w:pPr>
        <w:keepNext/>
        <w:autoSpaceDE w:val="0"/>
        <w:autoSpaceDN w:val="0"/>
        <w:spacing w:before="480"/>
        <w:jc w:val="left"/>
        <w:outlineLvl w:val="0"/>
        <w:rPr>
          <w:b/>
          <w:bCs/>
          <w:smallCaps/>
          <w:sz w:val="44"/>
          <w:szCs w:val="44"/>
        </w:rPr>
      </w:pPr>
      <w:proofErr w:type="gramStart"/>
      <w:r>
        <w:rPr>
          <w:b/>
          <w:bCs/>
          <w:smallCaps/>
          <w:sz w:val="44"/>
          <w:szCs w:val="44"/>
        </w:rPr>
        <w:t>Letter of amendment No.</w:t>
      </w:r>
      <w:proofErr w:type="gramEnd"/>
      <w:r>
        <w:rPr>
          <w:b/>
          <w:bCs/>
          <w:smallCaps/>
          <w:sz w:val="44"/>
          <w:szCs w:val="44"/>
        </w:rPr>
        <w:t xml:space="preserve"> 1/2016</w:t>
      </w:r>
    </w:p>
    <w:p w:rsidR="00AE2038" w:rsidRDefault="00AE2038">
      <w:pPr>
        <w:keepNext/>
        <w:autoSpaceDE w:val="0"/>
        <w:autoSpaceDN w:val="0"/>
        <w:spacing w:before="480"/>
        <w:jc w:val="left"/>
        <w:outlineLvl w:val="1"/>
        <w:rPr>
          <w:b/>
          <w:bCs/>
          <w:smallCaps/>
          <w:sz w:val="44"/>
          <w:szCs w:val="44"/>
        </w:rPr>
      </w:pPr>
      <w:r>
        <w:rPr>
          <w:b/>
          <w:bCs/>
          <w:smallCaps/>
          <w:sz w:val="44"/>
          <w:szCs w:val="44"/>
        </w:rPr>
        <w:t>SECTION III — COMMISSION</w:t>
      </w:r>
    </w:p>
    <w:p w:rsidR="00AE2038" w:rsidRDefault="00AE2038">
      <w:pPr>
        <w:keepNext/>
        <w:autoSpaceDE w:val="0"/>
        <w:autoSpaceDN w:val="0"/>
        <w:spacing w:before="480"/>
        <w:jc w:val="left"/>
        <w:outlineLvl w:val="2"/>
        <w:rPr>
          <w:b/>
          <w:bCs/>
          <w:smallCaps/>
          <w:sz w:val="36"/>
          <w:szCs w:val="36"/>
        </w:rPr>
      </w:pPr>
      <w:r>
        <w:rPr>
          <w:b/>
          <w:bCs/>
          <w:smallCaps/>
          <w:sz w:val="36"/>
          <w:szCs w:val="36"/>
        </w:rPr>
        <w:t>Expenditure — EXPENDITURE</w:t>
      </w:r>
    </w:p>
    <w:p w:rsidR="00AE2038" w:rsidRDefault="00AE2038">
      <w:pPr>
        <w:keepNext/>
      </w:pPr>
      <w:r>
        <w:rPr>
          <w:i/>
          <w:iCs/>
        </w:rPr>
        <w:t>Figures</w:t>
      </w:r>
    </w:p>
    <w:tbl>
      <w:tblPr>
        <w:tblW w:w="11096" w:type="dxa"/>
        <w:tblLayout w:type="fixed"/>
        <w:tblCellMar>
          <w:left w:w="40" w:type="dxa"/>
          <w:right w:w="40" w:type="dxa"/>
        </w:tblCellMar>
        <w:tblLook w:val="0000" w:firstRow="0" w:lastRow="0" w:firstColumn="0" w:lastColumn="0" w:noHBand="0" w:noVBand="0"/>
      </w:tblPr>
      <w:tblGrid>
        <w:gridCol w:w="770"/>
        <w:gridCol w:w="2956"/>
        <w:gridCol w:w="1276"/>
        <w:gridCol w:w="1275"/>
        <w:gridCol w:w="1174"/>
        <w:gridCol w:w="1155"/>
        <w:gridCol w:w="1214"/>
        <w:gridCol w:w="1276"/>
      </w:tblGrid>
      <w:tr w:rsidR="00AE2038" w:rsidTr="00AE2038">
        <w:trPr>
          <w:cantSplit/>
          <w:tblHeader/>
        </w:trPr>
        <w:tc>
          <w:tcPr>
            <w:tcW w:w="77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Title</w:t>
            </w:r>
          </w:p>
        </w:tc>
        <w:tc>
          <w:tcPr>
            <w:tcW w:w="2956" w:type="dxa"/>
            <w:vMerge w:val="restart"/>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Heading</w:t>
            </w:r>
          </w:p>
        </w:tc>
        <w:tc>
          <w:tcPr>
            <w:tcW w:w="2551"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Draft budget 2016</w:t>
            </w:r>
          </w:p>
        </w:tc>
        <w:tc>
          <w:tcPr>
            <w:tcW w:w="2329"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Letter of amendment No. 1/2016</w:t>
            </w:r>
          </w:p>
        </w:tc>
        <w:tc>
          <w:tcPr>
            <w:tcW w:w="2490"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New amount</w:t>
            </w:r>
          </w:p>
        </w:tc>
      </w:tr>
      <w:tr w:rsidR="00AE2038" w:rsidTr="00AE2038">
        <w:trPr>
          <w:cantSplit/>
          <w:tblHeader/>
        </w:trPr>
        <w:tc>
          <w:tcPr>
            <w:tcW w:w="770" w:type="dxa"/>
            <w:vMerge/>
            <w:tcBorders>
              <w:top w:val="nil"/>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2956" w:type="dxa"/>
            <w:vMerge/>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1276"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27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174"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15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214"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276"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r>
      <w:tr w:rsidR="00AE2038" w:rsidTr="00AE2038">
        <w:trPr>
          <w:cantSplit/>
        </w:trPr>
        <w:tc>
          <w:tcPr>
            <w:tcW w:w="770" w:type="dxa"/>
            <w:tcBorders>
              <w:top w:val="single" w:sz="4" w:space="0" w:color="auto"/>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01</w:t>
            </w:r>
          </w:p>
        </w:tc>
        <w:tc>
          <w:tcPr>
            <w:tcW w:w="2956" w:type="dxa"/>
            <w:tcBorders>
              <w:top w:val="single" w:sz="4" w:space="0" w:color="auto"/>
              <w:left w:val="nil"/>
              <w:bottom w:val="nil"/>
              <w:right w:val="single" w:sz="4" w:space="0" w:color="auto"/>
            </w:tcBorders>
          </w:tcPr>
          <w:p w:rsidR="00AE2038" w:rsidRDefault="00AE2038">
            <w:pPr>
              <w:pStyle w:val="NormalLeft"/>
              <w:spacing w:before="30" w:after="30"/>
              <w:rPr>
                <w:sz w:val="16"/>
                <w:szCs w:val="16"/>
              </w:rPr>
            </w:pPr>
            <w:r>
              <w:rPr>
                <w:sz w:val="16"/>
                <w:szCs w:val="16"/>
              </w:rPr>
              <w:t>Economic and financial affairs</w:t>
            </w:r>
          </w:p>
        </w:tc>
        <w:tc>
          <w:tcPr>
            <w:tcW w:w="1276" w:type="dxa"/>
            <w:tcBorders>
              <w:top w:val="single" w:sz="4" w:space="0" w:color="auto"/>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475 891 650</w:t>
            </w:r>
          </w:p>
        </w:tc>
        <w:tc>
          <w:tcPr>
            <w:tcW w:w="1275" w:type="dxa"/>
            <w:tcBorders>
              <w:top w:val="single" w:sz="4" w:space="0" w:color="auto"/>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570 843 650</w:t>
            </w:r>
          </w:p>
        </w:tc>
        <w:tc>
          <w:tcPr>
            <w:tcW w:w="1174" w:type="dxa"/>
            <w:tcBorders>
              <w:top w:val="single" w:sz="4" w:space="0" w:color="auto"/>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2 050 000 000</w:t>
            </w:r>
          </w:p>
        </w:tc>
        <w:tc>
          <w:tcPr>
            <w:tcW w:w="1155" w:type="dxa"/>
            <w:tcBorders>
              <w:top w:val="single" w:sz="4" w:space="0" w:color="auto"/>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520 000 000</w:t>
            </w:r>
          </w:p>
        </w:tc>
        <w:tc>
          <w:tcPr>
            <w:tcW w:w="1214" w:type="dxa"/>
            <w:tcBorders>
              <w:top w:val="single" w:sz="4" w:space="0" w:color="auto"/>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2 525 891 650</w:t>
            </w:r>
          </w:p>
        </w:tc>
        <w:tc>
          <w:tcPr>
            <w:tcW w:w="1276" w:type="dxa"/>
            <w:tcBorders>
              <w:top w:val="single" w:sz="4" w:space="0" w:color="auto"/>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1 090 843 650</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spacing w:before="30" w:after="30"/>
              <w:rPr>
                <w:sz w:val="16"/>
                <w:szCs w:val="16"/>
              </w:rPr>
            </w:pPr>
          </w:p>
        </w:tc>
        <w:tc>
          <w:tcPr>
            <w:tcW w:w="2956" w:type="dxa"/>
            <w:tcBorders>
              <w:top w:val="nil"/>
              <w:left w:val="nil"/>
              <w:bottom w:val="nil"/>
              <w:right w:val="single" w:sz="4" w:space="0" w:color="auto"/>
            </w:tcBorders>
          </w:tcPr>
          <w:p w:rsidR="00AE2038" w:rsidRPr="00A07D56" w:rsidRDefault="00A07D56">
            <w:pPr>
              <w:spacing w:before="30" w:after="30"/>
              <w:rPr>
                <w:i/>
                <w:sz w:val="16"/>
                <w:szCs w:val="16"/>
              </w:rPr>
            </w:pPr>
            <w:r w:rsidRPr="00A07D56">
              <w:rPr>
                <w:i/>
                <w:sz w:val="16"/>
                <w:szCs w:val="16"/>
              </w:rPr>
              <w:t>Reserves</w:t>
            </w:r>
          </w:p>
        </w:tc>
        <w:tc>
          <w:tcPr>
            <w:tcW w:w="1276" w:type="dxa"/>
            <w:tcBorders>
              <w:top w:val="nil"/>
              <w:left w:val="nil"/>
              <w:bottom w:val="nil"/>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2 050 000 000</w:t>
            </w:r>
          </w:p>
          <w:p w:rsidR="00AE2038" w:rsidRDefault="00AE2038">
            <w:pPr>
              <w:pStyle w:val="NormalRight"/>
              <w:pBdr>
                <w:top w:val="single" w:sz="4" w:space="0" w:color="auto"/>
              </w:pBdr>
              <w:shd w:val="clear" w:color="auto" w:fill="C0C0C0"/>
              <w:spacing w:before="0" w:after="30"/>
              <w:ind w:left="57" w:right="113"/>
              <w:rPr>
                <w:sz w:val="16"/>
                <w:szCs w:val="16"/>
              </w:rPr>
            </w:pPr>
            <w:r>
              <w:rPr>
                <w:sz w:val="12"/>
                <w:szCs w:val="12"/>
              </w:rPr>
              <w:t>2 525 891 650</w:t>
            </w:r>
          </w:p>
        </w:tc>
        <w:tc>
          <w:tcPr>
            <w:tcW w:w="1275" w:type="dxa"/>
            <w:tcBorders>
              <w:top w:val="nil"/>
              <w:left w:val="nil"/>
              <w:bottom w:val="nil"/>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520 000 000</w:t>
            </w:r>
          </w:p>
          <w:p w:rsidR="00AE2038" w:rsidRDefault="00AE2038">
            <w:pPr>
              <w:pStyle w:val="NormalRight"/>
              <w:pBdr>
                <w:top w:val="single" w:sz="4" w:space="0" w:color="auto"/>
              </w:pBdr>
              <w:shd w:val="clear" w:color="auto" w:fill="C0C0C0"/>
              <w:spacing w:before="0" w:after="30"/>
              <w:ind w:left="57" w:right="113"/>
              <w:rPr>
                <w:sz w:val="16"/>
                <w:szCs w:val="16"/>
              </w:rPr>
            </w:pPr>
            <w:r>
              <w:rPr>
                <w:sz w:val="12"/>
                <w:szCs w:val="12"/>
              </w:rPr>
              <w:t>1 090 843 650</w:t>
            </w:r>
          </w:p>
        </w:tc>
        <w:tc>
          <w:tcPr>
            <w:tcW w:w="1174" w:type="dxa"/>
            <w:tcBorders>
              <w:top w:val="nil"/>
              <w:left w:val="nil"/>
              <w:bottom w:val="nil"/>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-2 050 000 000</w:t>
            </w:r>
          </w:p>
          <w:p w:rsidR="00AE2038" w:rsidRDefault="00AE2038">
            <w:pPr>
              <w:pStyle w:val="NormalRight"/>
              <w:pBdr>
                <w:top w:val="single" w:sz="4" w:space="0" w:color="auto"/>
              </w:pBdr>
              <w:shd w:val="clear" w:color="auto" w:fill="C0C0C0"/>
              <w:spacing w:before="0" w:after="30"/>
              <w:ind w:left="57" w:right="113"/>
              <w:rPr>
                <w:sz w:val="16"/>
                <w:szCs w:val="16"/>
              </w:rPr>
            </w:pPr>
            <w:r>
              <w:rPr>
                <w:sz w:val="12"/>
                <w:szCs w:val="12"/>
              </w:rPr>
              <w:t>0</w:t>
            </w:r>
          </w:p>
        </w:tc>
        <w:tc>
          <w:tcPr>
            <w:tcW w:w="1155" w:type="dxa"/>
            <w:tcBorders>
              <w:top w:val="nil"/>
              <w:left w:val="nil"/>
              <w:bottom w:val="nil"/>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-520 000 000</w:t>
            </w:r>
          </w:p>
          <w:p w:rsidR="00AE2038" w:rsidRDefault="00AE2038">
            <w:pPr>
              <w:pStyle w:val="NormalRight"/>
              <w:pBdr>
                <w:top w:val="single" w:sz="4" w:space="0" w:color="auto"/>
              </w:pBdr>
              <w:shd w:val="clear" w:color="auto" w:fill="C0C0C0"/>
              <w:spacing w:before="0" w:after="30"/>
              <w:ind w:left="57" w:right="113"/>
              <w:rPr>
                <w:sz w:val="16"/>
                <w:szCs w:val="16"/>
              </w:rPr>
            </w:pPr>
            <w:r>
              <w:rPr>
                <w:sz w:val="12"/>
                <w:szCs w:val="12"/>
              </w:rPr>
              <w:t>0</w:t>
            </w:r>
          </w:p>
        </w:tc>
        <w:tc>
          <w:tcPr>
            <w:tcW w:w="1214" w:type="dxa"/>
            <w:tcBorders>
              <w:top w:val="nil"/>
              <w:left w:val="nil"/>
              <w:bottom w:val="nil"/>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0</w:t>
            </w:r>
          </w:p>
          <w:p w:rsidR="00AE2038" w:rsidRDefault="00AE2038">
            <w:pPr>
              <w:pStyle w:val="NormalRight"/>
              <w:pBdr>
                <w:top w:val="single" w:sz="4" w:space="0" w:color="auto"/>
              </w:pBdr>
              <w:shd w:val="clear" w:color="auto" w:fill="C0C0C0"/>
              <w:spacing w:before="0" w:after="30"/>
              <w:ind w:left="57" w:right="113"/>
              <w:rPr>
                <w:sz w:val="16"/>
                <w:szCs w:val="16"/>
              </w:rPr>
            </w:pPr>
            <w:r>
              <w:rPr>
                <w:sz w:val="12"/>
                <w:szCs w:val="12"/>
              </w:rPr>
              <w:t>2 525 891 650</w:t>
            </w:r>
          </w:p>
        </w:tc>
        <w:tc>
          <w:tcPr>
            <w:tcW w:w="1276" w:type="dxa"/>
            <w:tcBorders>
              <w:top w:val="nil"/>
              <w:left w:val="nil"/>
              <w:bottom w:val="nil"/>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0</w:t>
            </w:r>
          </w:p>
          <w:p w:rsidR="00AE2038" w:rsidRDefault="00AE2038">
            <w:pPr>
              <w:pStyle w:val="NormalRight"/>
              <w:pBdr>
                <w:top w:val="single" w:sz="4" w:space="0" w:color="auto"/>
              </w:pBdr>
              <w:shd w:val="clear" w:color="auto" w:fill="C0C0C0"/>
              <w:spacing w:before="0" w:after="30"/>
              <w:ind w:left="57" w:right="113"/>
              <w:rPr>
                <w:sz w:val="16"/>
                <w:szCs w:val="16"/>
              </w:rPr>
            </w:pPr>
            <w:r>
              <w:rPr>
                <w:sz w:val="12"/>
                <w:szCs w:val="12"/>
              </w:rPr>
              <w:t>1 090 843 650</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02</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Internal market, Industry, Entrepreneurship and SMEs</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2 259 784 872</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1 929 200 210</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2 259 784 872</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1 929 200 210</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03</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Competition</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101 698 601</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101 698 601</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101 698 601</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101 698 601</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04</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Employment, social affairs and inclusion</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12 919 057 227</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13 077 115 534</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12 919 057 227</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13 077 115 534</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05</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Agriculture and rural development</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61 995 126 593</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55 360 362 616</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61 995 126 593</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55 360 362 616</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06</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Mobility and transport</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4 064 814 668</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2 294 154 228</w:t>
            </w:r>
          </w:p>
        </w:tc>
        <w:tc>
          <w:tcPr>
            <w:tcW w:w="117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150 000 000</w:t>
            </w: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4 214 814 668</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2 294 154 228</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07</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Environment</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443 026 588</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394 271 230</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443 026 588</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394 271 230</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Research and innovation</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5 739 770 090</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5 400 847 677</w:t>
            </w:r>
          </w:p>
        </w:tc>
        <w:tc>
          <w:tcPr>
            <w:tcW w:w="117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101 408 291</w:t>
            </w: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5 841 178 381</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5 400 847 677</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09</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Communications networks, content and technology</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1 783 319 662</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2 368 817 508</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1 783 319 662</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2 368 817 508</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10</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Direct research</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395 794 360</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402 438 960</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395 794 360</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402 438 960</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11</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Maritime affairs and fisheries</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998 212 424</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674 418 297</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998 212 424</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674 418 297</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spacing w:before="30" w:after="30"/>
              <w:rPr>
                <w:sz w:val="16"/>
                <w:szCs w:val="16"/>
              </w:rPr>
            </w:pPr>
          </w:p>
        </w:tc>
        <w:tc>
          <w:tcPr>
            <w:tcW w:w="2956" w:type="dxa"/>
            <w:tcBorders>
              <w:top w:val="nil"/>
              <w:left w:val="nil"/>
              <w:bottom w:val="nil"/>
              <w:right w:val="single" w:sz="4" w:space="0" w:color="auto"/>
            </w:tcBorders>
          </w:tcPr>
          <w:p w:rsidR="00AE2038" w:rsidRPr="00A07D56" w:rsidRDefault="00A07D56">
            <w:pPr>
              <w:spacing w:before="30" w:after="30"/>
              <w:rPr>
                <w:i/>
                <w:sz w:val="16"/>
                <w:szCs w:val="16"/>
              </w:rPr>
            </w:pPr>
            <w:r w:rsidRPr="00A07D56">
              <w:rPr>
                <w:i/>
                <w:sz w:val="16"/>
                <w:szCs w:val="16"/>
              </w:rPr>
              <w:t>Reserves</w:t>
            </w:r>
          </w:p>
        </w:tc>
        <w:tc>
          <w:tcPr>
            <w:tcW w:w="1276" w:type="dxa"/>
            <w:tcBorders>
              <w:top w:val="nil"/>
              <w:left w:val="nil"/>
              <w:bottom w:val="nil"/>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93 945 750</w:t>
            </w:r>
          </w:p>
          <w:p w:rsidR="00AE2038" w:rsidRDefault="00AE2038">
            <w:pPr>
              <w:pStyle w:val="NormalRight"/>
              <w:pBdr>
                <w:top w:val="single" w:sz="4" w:space="0" w:color="auto"/>
              </w:pBdr>
              <w:shd w:val="clear" w:color="auto" w:fill="C0C0C0"/>
              <w:spacing w:before="0" w:after="30"/>
              <w:ind w:left="57" w:right="113"/>
              <w:rPr>
                <w:sz w:val="16"/>
                <w:szCs w:val="16"/>
              </w:rPr>
            </w:pPr>
            <w:r>
              <w:rPr>
                <w:sz w:val="12"/>
                <w:szCs w:val="12"/>
              </w:rPr>
              <w:t>1 092 158 174</w:t>
            </w:r>
          </w:p>
        </w:tc>
        <w:tc>
          <w:tcPr>
            <w:tcW w:w="1275" w:type="dxa"/>
            <w:tcBorders>
              <w:top w:val="nil"/>
              <w:left w:val="nil"/>
              <w:bottom w:val="nil"/>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93 945 750</w:t>
            </w:r>
          </w:p>
          <w:p w:rsidR="00AE2038" w:rsidRDefault="00AE2038">
            <w:pPr>
              <w:pStyle w:val="NormalRight"/>
              <w:pBdr>
                <w:top w:val="single" w:sz="4" w:space="0" w:color="auto"/>
              </w:pBdr>
              <w:shd w:val="clear" w:color="auto" w:fill="C0C0C0"/>
              <w:spacing w:before="0" w:after="30"/>
              <w:ind w:left="57" w:right="113"/>
              <w:rPr>
                <w:sz w:val="16"/>
                <w:szCs w:val="16"/>
              </w:rPr>
            </w:pPr>
            <w:r>
              <w:rPr>
                <w:sz w:val="12"/>
                <w:szCs w:val="12"/>
              </w:rPr>
              <w:t>768 364 047</w:t>
            </w:r>
          </w:p>
        </w:tc>
        <w:tc>
          <w:tcPr>
            <w:tcW w:w="1174" w:type="dxa"/>
            <w:tcBorders>
              <w:top w:val="nil"/>
              <w:left w:val="nil"/>
              <w:bottom w:val="nil"/>
              <w:right w:val="single" w:sz="4" w:space="0" w:color="auto"/>
            </w:tcBorders>
          </w:tcPr>
          <w:p w:rsidR="00AE2038" w:rsidRDefault="00AE2038">
            <w:pPr>
              <w:spacing w:before="30" w:after="30"/>
              <w:rPr>
                <w:sz w:val="16"/>
                <w:szCs w:val="16"/>
              </w:rPr>
            </w:pPr>
          </w:p>
        </w:tc>
        <w:tc>
          <w:tcPr>
            <w:tcW w:w="1155" w:type="dxa"/>
            <w:tcBorders>
              <w:top w:val="nil"/>
              <w:left w:val="nil"/>
              <w:bottom w:val="nil"/>
              <w:right w:val="single" w:sz="4" w:space="0" w:color="auto"/>
            </w:tcBorders>
          </w:tcPr>
          <w:p w:rsidR="00AE2038" w:rsidRDefault="00AE2038">
            <w:pPr>
              <w:spacing w:before="30" w:after="30"/>
              <w:rPr>
                <w:sz w:val="16"/>
                <w:szCs w:val="16"/>
              </w:rPr>
            </w:pPr>
          </w:p>
        </w:tc>
        <w:tc>
          <w:tcPr>
            <w:tcW w:w="1214" w:type="dxa"/>
            <w:tcBorders>
              <w:top w:val="nil"/>
              <w:left w:val="nil"/>
              <w:bottom w:val="nil"/>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93 945 750</w:t>
            </w:r>
          </w:p>
          <w:p w:rsidR="00AE2038" w:rsidRDefault="00AE2038">
            <w:pPr>
              <w:pStyle w:val="NormalRight"/>
              <w:pBdr>
                <w:top w:val="single" w:sz="4" w:space="0" w:color="auto"/>
              </w:pBdr>
              <w:shd w:val="clear" w:color="auto" w:fill="C0C0C0"/>
              <w:spacing w:before="0" w:after="30"/>
              <w:ind w:left="57" w:right="113"/>
              <w:rPr>
                <w:sz w:val="16"/>
                <w:szCs w:val="16"/>
              </w:rPr>
            </w:pPr>
            <w:r>
              <w:rPr>
                <w:sz w:val="12"/>
                <w:szCs w:val="12"/>
              </w:rPr>
              <w:t>1 092 158 174</w:t>
            </w:r>
          </w:p>
        </w:tc>
        <w:tc>
          <w:tcPr>
            <w:tcW w:w="1276" w:type="dxa"/>
            <w:tcBorders>
              <w:top w:val="nil"/>
              <w:left w:val="nil"/>
              <w:bottom w:val="nil"/>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93 945 750</w:t>
            </w:r>
          </w:p>
          <w:p w:rsidR="00AE2038" w:rsidRDefault="00AE2038">
            <w:pPr>
              <w:pStyle w:val="NormalRight"/>
              <w:pBdr>
                <w:top w:val="single" w:sz="4" w:space="0" w:color="auto"/>
              </w:pBdr>
              <w:shd w:val="clear" w:color="auto" w:fill="C0C0C0"/>
              <w:spacing w:before="0" w:after="30"/>
              <w:ind w:left="57" w:right="113"/>
              <w:rPr>
                <w:sz w:val="16"/>
                <w:szCs w:val="16"/>
              </w:rPr>
            </w:pPr>
            <w:r>
              <w:rPr>
                <w:sz w:val="12"/>
                <w:szCs w:val="12"/>
              </w:rPr>
              <w:t>768 364 047</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12</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Financial stability, Financial services and Capital markets union</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82 184 261</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83 860 261</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82 184 261</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83 860 261</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13</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Regional and urban policy</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35 978 383 859</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36 553 001 930</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35 978 383 859</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36 553 001 930</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14</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Taxation and customs union</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164 889 398</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158 207 398</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164 889 398</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158 207 398</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15</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Education and culture</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2 820 698 324</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3 028 133 341</w:t>
            </w:r>
          </w:p>
        </w:tc>
        <w:tc>
          <w:tcPr>
            <w:tcW w:w="117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51 591 709</w:t>
            </w: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2 872 290 033</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3 028 133 341</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16</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Communication</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202 414 673</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195 954 173</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202 414 673</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195 954 173</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17</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Health and Food safety</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578 419 709</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590 071 709</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578 419 709</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590 071 709</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18</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Migration and Home affairs</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1 842 993 793</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1 543 642 780</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1 842 993 793</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1 543 642 780</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19</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Foreign policy instruments</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782 504 084</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677 244 678</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782 504 084</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677 244 678</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20</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Trade</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106 312 268</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104 812 268</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106 312 268</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104 812 268</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21</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International Cooperation and Development</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3 142 497 428</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3 343 882 416</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3 142 497 428</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3 343 882 416</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22</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Neighbourhood and Enlargement negotiations</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3 746 486 929</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3 355 127 192</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3 746 486 929</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3 355 127 192</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23</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Humanitarian aid and civil protection</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1 026 033 128</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1 155 221 762</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1 026 033 128</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1 155 221 762</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24</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Fight against fraud</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80 226 300</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85 655 000</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80 226 300</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85 655 000</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25</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Commission’s policy coordination and legal advice</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203 561 505</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203 561 505</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203 561 505</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203 561 505</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26</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Commission’s administration</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985 771 825</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1 008 525 205</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985 771 825</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1 008 525 205</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spacing w:before="30" w:after="30"/>
              <w:rPr>
                <w:sz w:val="16"/>
                <w:szCs w:val="16"/>
              </w:rPr>
            </w:pPr>
          </w:p>
        </w:tc>
        <w:tc>
          <w:tcPr>
            <w:tcW w:w="2956" w:type="dxa"/>
            <w:tcBorders>
              <w:top w:val="nil"/>
              <w:left w:val="nil"/>
              <w:bottom w:val="nil"/>
              <w:right w:val="single" w:sz="4" w:space="0" w:color="auto"/>
            </w:tcBorders>
          </w:tcPr>
          <w:p w:rsidR="00AE2038" w:rsidRPr="00A07D56" w:rsidRDefault="00A07D56">
            <w:pPr>
              <w:spacing w:before="30" w:after="30"/>
              <w:rPr>
                <w:i/>
                <w:sz w:val="16"/>
                <w:szCs w:val="16"/>
              </w:rPr>
            </w:pPr>
            <w:r w:rsidRPr="00A07D56">
              <w:rPr>
                <w:i/>
                <w:sz w:val="16"/>
                <w:szCs w:val="16"/>
              </w:rPr>
              <w:t>Reserves</w:t>
            </w:r>
          </w:p>
        </w:tc>
        <w:tc>
          <w:tcPr>
            <w:tcW w:w="1276" w:type="dxa"/>
            <w:tcBorders>
              <w:top w:val="nil"/>
              <w:left w:val="nil"/>
              <w:bottom w:val="nil"/>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27 874 739</w:t>
            </w:r>
          </w:p>
          <w:p w:rsidR="00AE2038" w:rsidRDefault="00AE2038">
            <w:pPr>
              <w:pStyle w:val="NormalRight"/>
              <w:pBdr>
                <w:top w:val="single" w:sz="4" w:space="0" w:color="auto"/>
              </w:pBdr>
              <w:shd w:val="clear" w:color="auto" w:fill="C0C0C0"/>
              <w:spacing w:before="0" w:after="30"/>
              <w:ind w:left="57" w:right="113"/>
              <w:rPr>
                <w:sz w:val="16"/>
                <w:szCs w:val="16"/>
              </w:rPr>
            </w:pPr>
            <w:r>
              <w:rPr>
                <w:sz w:val="12"/>
                <w:szCs w:val="12"/>
              </w:rPr>
              <w:t>1 013 646 564</w:t>
            </w:r>
          </w:p>
        </w:tc>
        <w:tc>
          <w:tcPr>
            <w:tcW w:w="1275" w:type="dxa"/>
            <w:tcBorders>
              <w:top w:val="nil"/>
              <w:left w:val="nil"/>
              <w:bottom w:val="nil"/>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5 826 739</w:t>
            </w:r>
          </w:p>
          <w:p w:rsidR="00AE2038" w:rsidRDefault="00AE2038">
            <w:pPr>
              <w:pStyle w:val="NormalRight"/>
              <w:pBdr>
                <w:top w:val="single" w:sz="4" w:space="0" w:color="auto"/>
              </w:pBdr>
              <w:shd w:val="clear" w:color="auto" w:fill="C0C0C0"/>
              <w:spacing w:before="0" w:after="30"/>
              <w:ind w:left="57" w:right="113"/>
              <w:rPr>
                <w:sz w:val="16"/>
                <w:szCs w:val="16"/>
              </w:rPr>
            </w:pPr>
            <w:r>
              <w:rPr>
                <w:sz w:val="12"/>
                <w:szCs w:val="12"/>
              </w:rPr>
              <w:t>1 014 351 944</w:t>
            </w:r>
          </w:p>
        </w:tc>
        <w:tc>
          <w:tcPr>
            <w:tcW w:w="1174" w:type="dxa"/>
            <w:tcBorders>
              <w:top w:val="nil"/>
              <w:left w:val="nil"/>
              <w:bottom w:val="nil"/>
              <w:right w:val="single" w:sz="4" w:space="0" w:color="auto"/>
            </w:tcBorders>
          </w:tcPr>
          <w:p w:rsidR="00AE2038" w:rsidRDefault="00AE2038">
            <w:pPr>
              <w:spacing w:before="30" w:after="30"/>
              <w:rPr>
                <w:sz w:val="16"/>
                <w:szCs w:val="16"/>
              </w:rPr>
            </w:pPr>
          </w:p>
        </w:tc>
        <w:tc>
          <w:tcPr>
            <w:tcW w:w="1155" w:type="dxa"/>
            <w:tcBorders>
              <w:top w:val="nil"/>
              <w:left w:val="nil"/>
              <w:bottom w:val="nil"/>
              <w:right w:val="single" w:sz="4" w:space="0" w:color="auto"/>
            </w:tcBorders>
          </w:tcPr>
          <w:p w:rsidR="00AE2038" w:rsidRDefault="00AE2038">
            <w:pPr>
              <w:spacing w:before="30" w:after="30"/>
              <w:rPr>
                <w:sz w:val="16"/>
                <w:szCs w:val="16"/>
              </w:rPr>
            </w:pPr>
          </w:p>
        </w:tc>
        <w:tc>
          <w:tcPr>
            <w:tcW w:w="1214" w:type="dxa"/>
            <w:tcBorders>
              <w:top w:val="nil"/>
              <w:left w:val="nil"/>
              <w:bottom w:val="nil"/>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27 874 739</w:t>
            </w:r>
          </w:p>
          <w:p w:rsidR="00AE2038" w:rsidRDefault="00AE2038">
            <w:pPr>
              <w:pStyle w:val="NormalRight"/>
              <w:pBdr>
                <w:top w:val="single" w:sz="4" w:space="0" w:color="auto"/>
              </w:pBdr>
              <w:shd w:val="clear" w:color="auto" w:fill="C0C0C0"/>
              <w:spacing w:before="0" w:after="30"/>
              <w:ind w:left="57" w:right="113"/>
              <w:rPr>
                <w:sz w:val="16"/>
                <w:szCs w:val="16"/>
              </w:rPr>
            </w:pPr>
            <w:r>
              <w:rPr>
                <w:sz w:val="12"/>
                <w:szCs w:val="12"/>
              </w:rPr>
              <w:t>1 013 646 564</w:t>
            </w:r>
          </w:p>
        </w:tc>
        <w:tc>
          <w:tcPr>
            <w:tcW w:w="1276" w:type="dxa"/>
            <w:tcBorders>
              <w:top w:val="nil"/>
              <w:left w:val="nil"/>
              <w:bottom w:val="nil"/>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5 826 739</w:t>
            </w:r>
          </w:p>
          <w:p w:rsidR="00AE2038" w:rsidRDefault="00AE2038">
            <w:pPr>
              <w:pStyle w:val="NormalRight"/>
              <w:pBdr>
                <w:top w:val="single" w:sz="4" w:space="0" w:color="auto"/>
              </w:pBdr>
              <w:shd w:val="clear" w:color="auto" w:fill="C0C0C0"/>
              <w:spacing w:before="0" w:after="30"/>
              <w:ind w:left="57" w:right="113"/>
              <w:rPr>
                <w:sz w:val="16"/>
                <w:szCs w:val="16"/>
              </w:rPr>
            </w:pPr>
            <w:r>
              <w:rPr>
                <w:sz w:val="12"/>
                <w:szCs w:val="12"/>
              </w:rPr>
              <w:t>1 014 351 944</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27</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Budget</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71 663 962</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71 663 962</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71 663 962</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71 663 962</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28</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Audit</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18 579 943</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18 579 943</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18 579 943</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18 579 943</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29</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Statistics</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138 353 638</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126 710 638</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138 353 638</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126 710 638</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30</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Pensions and related expenditure</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1 647 355 000</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1 647 355 000</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1 647 355 000</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1 647 355 000</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31</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Language services</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394 965 775</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394 965 775</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394 965 775</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394 965 775</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32</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Energy</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1 528 848 810</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1 602 560 105</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1 528 848 810</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1 602 560 105</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lastRenderedPageBreak/>
              <w:t>33</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Justice and Consumers</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255 084 384</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237 042 512</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255 084 384</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237 042 512</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34</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Climate action</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137 311 189</w:t>
            </w:r>
          </w:p>
        </w:tc>
        <w:tc>
          <w:tcPr>
            <w:tcW w:w="1275"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81 741 189</w:t>
            </w:r>
          </w:p>
        </w:tc>
        <w:tc>
          <w:tcPr>
            <w:tcW w:w="1174" w:type="dxa"/>
            <w:tcBorders>
              <w:top w:val="nil"/>
              <w:left w:val="nil"/>
              <w:bottom w:val="nil"/>
              <w:right w:val="single" w:sz="4" w:space="0" w:color="auto"/>
            </w:tcBorders>
            <w:vAlign w:val="bottom"/>
          </w:tcPr>
          <w:p w:rsidR="00AE2038" w:rsidRDefault="00AE2038">
            <w:pPr>
              <w:spacing w:before="30" w:after="30"/>
              <w:rPr>
                <w:sz w:val="16"/>
                <w:szCs w:val="16"/>
              </w:rPr>
            </w:pPr>
          </w:p>
        </w:tc>
        <w:tc>
          <w:tcPr>
            <w:tcW w:w="1155" w:type="dxa"/>
            <w:tcBorders>
              <w:top w:val="nil"/>
              <w:left w:val="nil"/>
              <w:bottom w:val="nil"/>
              <w:right w:val="single" w:sz="4" w:space="0" w:color="auto"/>
            </w:tcBorders>
            <w:vAlign w:val="bottom"/>
          </w:tcPr>
          <w:p w:rsidR="00AE2038" w:rsidRDefault="00AE2038">
            <w:pPr>
              <w:spacing w:before="30" w:after="30"/>
              <w:rPr>
                <w:sz w:val="16"/>
                <w:szCs w:val="16"/>
              </w:rPr>
            </w:pPr>
          </w:p>
        </w:tc>
        <w:tc>
          <w:tcPr>
            <w:tcW w:w="1214"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137 311 189</w:t>
            </w:r>
          </w:p>
        </w:tc>
        <w:tc>
          <w:tcPr>
            <w:tcW w:w="1276"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81 741 189</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40</w:t>
            </w:r>
          </w:p>
        </w:tc>
        <w:tc>
          <w:tcPr>
            <w:tcW w:w="2956"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Reserves</w:t>
            </w:r>
          </w:p>
        </w:tc>
        <w:tc>
          <w:tcPr>
            <w:tcW w:w="1276"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474 612 000</w:t>
            </w:r>
          </w:p>
        </w:tc>
        <w:tc>
          <w:tcPr>
            <w:tcW w:w="1275"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309 000 000</w:t>
            </w:r>
          </w:p>
        </w:tc>
        <w:tc>
          <w:tcPr>
            <w:tcW w:w="1174"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155"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214"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474 612 000</w:t>
            </w:r>
          </w:p>
        </w:tc>
        <w:tc>
          <w:tcPr>
            <w:tcW w:w="1276"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309 000 000</w:t>
            </w:r>
          </w:p>
        </w:tc>
      </w:tr>
      <w:tr w:rsidR="00AE2038" w:rsidTr="00AE2038">
        <w:trPr>
          <w:cantSplit/>
        </w:trPr>
        <w:tc>
          <w:tcPr>
            <w:tcW w:w="770" w:type="dxa"/>
            <w:tcBorders>
              <w:top w:val="nil"/>
              <w:left w:val="single" w:sz="4" w:space="0" w:color="auto"/>
              <w:bottom w:val="nil"/>
              <w:right w:val="single" w:sz="4" w:space="0" w:color="auto"/>
            </w:tcBorders>
          </w:tcPr>
          <w:p w:rsidR="00AE2038" w:rsidRDefault="00AE2038">
            <w:pPr>
              <w:spacing w:before="30" w:after="30"/>
              <w:rPr>
                <w:sz w:val="16"/>
                <w:szCs w:val="16"/>
              </w:rPr>
            </w:pPr>
          </w:p>
        </w:tc>
        <w:tc>
          <w:tcPr>
            <w:tcW w:w="2956" w:type="dxa"/>
            <w:tcBorders>
              <w:top w:val="nil"/>
              <w:left w:val="nil"/>
              <w:bottom w:val="nil"/>
              <w:right w:val="single" w:sz="4" w:space="0" w:color="auto"/>
            </w:tcBorders>
          </w:tcPr>
          <w:p w:rsidR="00AE2038" w:rsidRDefault="00AE2038">
            <w:pPr>
              <w:pStyle w:val="NormalRight"/>
              <w:spacing w:before="30" w:after="30"/>
              <w:rPr>
                <w:sz w:val="16"/>
                <w:szCs w:val="16"/>
              </w:rPr>
            </w:pPr>
            <w:r>
              <w:rPr>
                <w:b/>
                <w:bCs/>
                <w:sz w:val="16"/>
                <w:szCs w:val="16"/>
              </w:rPr>
              <w:t>Total</w:t>
            </w:r>
          </w:p>
        </w:tc>
        <w:tc>
          <w:tcPr>
            <w:tcW w:w="1276" w:type="dxa"/>
            <w:tcBorders>
              <w:top w:val="nil"/>
              <w:left w:val="nil"/>
              <w:bottom w:val="nil"/>
              <w:right w:val="single" w:sz="4" w:space="0" w:color="auto"/>
            </w:tcBorders>
          </w:tcPr>
          <w:p w:rsidR="00AE2038" w:rsidRDefault="00AE2038">
            <w:pPr>
              <w:pStyle w:val="NormalRight"/>
              <w:spacing w:before="30" w:after="30"/>
              <w:rPr>
                <w:sz w:val="16"/>
                <w:szCs w:val="16"/>
              </w:rPr>
            </w:pPr>
            <w:r>
              <w:rPr>
                <w:b/>
                <w:bCs/>
                <w:sz w:val="16"/>
                <w:szCs w:val="16"/>
              </w:rPr>
              <w:t>147 586 648 920</w:t>
            </w:r>
          </w:p>
        </w:tc>
        <w:tc>
          <w:tcPr>
            <w:tcW w:w="1275" w:type="dxa"/>
            <w:tcBorders>
              <w:top w:val="nil"/>
              <w:left w:val="nil"/>
              <w:bottom w:val="nil"/>
              <w:right w:val="single" w:sz="4" w:space="0" w:color="auto"/>
            </w:tcBorders>
          </w:tcPr>
          <w:p w:rsidR="00AE2038" w:rsidRDefault="00AE2038">
            <w:pPr>
              <w:pStyle w:val="NormalRight"/>
              <w:spacing w:before="30" w:after="30"/>
              <w:rPr>
                <w:sz w:val="16"/>
                <w:szCs w:val="16"/>
              </w:rPr>
            </w:pPr>
            <w:r>
              <w:rPr>
                <w:b/>
                <w:bCs/>
                <w:sz w:val="16"/>
                <w:szCs w:val="16"/>
              </w:rPr>
              <w:t>139 150 689 253</w:t>
            </w:r>
          </w:p>
        </w:tc>
        <w:tc>
          <w:tcPr>
            <w:tcW w:w="1174" w:type="dxa"/>
            <w:tcBorders>
              <w:top w:val="nil"/>
              <w:left w:val="nil"/>
              <w:bottom w:val="nil"/>
              <w:right w:val="single" w:sz="4" w:space="0" w:color="auto"/>
            </w:tcBorders>
          </w:tcPr>
          <w:p w:rsidR="00AE2038" w:rsidRDefault="00AE2038">
            <w:pPr>
              <w:pStyle w:val="NormalRight"/>
              <w:spacing w:before="30" w:after="30"/>
              <w:rPr>
                <w:sz w:val="16"/>
                <w:szCs w:val="16"/>
              </w:rPr>
            </w:pPr>
            <w:r>
              <w:rPr>
                <w:b/>
                <w:bCs/>
                <w:sz w:val="16"/>
                <w:szCs w:val="16"/>
              </w:rPr>
              <w:t>2 353 000 000</w:t>
            </w:r>
          </w:p>
        </w:tc>
        <w:tc>
          <w:tcPr>
            <w:tcW w:w="1155" w:type="dxa"/>
            <w:tcBorders>
              <w:top w:val="nil"/>
              <w:left w:val="nil"/>
              <w:bottom w:val="nil"/>
              <w:right w:val="single" w:sz="4" w:space="0" w:color="auto"/>
            </w:tcBorders>
          </w:tcPr>
          <w:p w:rsidR="00AE2038" w:rsidRDefault="00AE2038">
            <w:pPr>
              <w:pStyle w:val="NormalRight"/>
              <w:spacing w:before="30" w:after="30"/>
              <w:rPr>
                <w:sz w:val="16"/>
                <w:szCs w:val="16"/>
              </w:rPr>
            </w:pPr>
            <w:r>
              <w:rPr>
                <w:b/>
                <w:bCs/>
                <w:sz w:val="16"/>
                <w:szCs w:val="16"/>
              </w:rPr>
              <w:t>520 000 000</w:t>
            </w:r>
          </w:p>
        </w:tc>
        <w:tc>
          <w:tcPr>
            <w:tcW w:w="1214" w:type="dxa"/>
            <w:tcBorders>
              <w:top w:val="nil"/>
              <w:left w:val="nil"/>
              <w:bottom w:val="nil"/>
              <w:right w:val="single" w:sz="4" w:space="0" w:color="auto"/>
            </w:tcBorders>
          </w:tcPr>
          <w:p w:rsidR="00AE2038" w:rsidRDefault="00AE2038">
            <w:pPr>
              <w:pStyle w:val="NormalRight"/>
              <w:spacing w:before="30" w:after="30"/>
              <w:rPr>
                <w:sz w:val="16"/>
                <w:szCs w:val="16"/>
              </w:rPr>
            </w:pPr>
            <w:r>
              <w:rPr>
                <w:b/>
                <w:bCs/>
                <w:sz w:val="16"/>
                <w:szCs w:val="16"/>
              </w:rPr>
              <w:t>149 939 648 920</w:t>
            </w:r>
          </w:p>
        </w:tc>
        <w:tc>
          <w:tcPr>
            <w:tcW w:w="1276" w:type="dxa"/>
            <w:tcBorders>
              <w:top w:val="nil"/>
              <w:left w:val="nil"/>
              <w:bottom w:val="nil"/>
              <w:right w:val="single" w:sz="4" w:space="0" w:color="auto"/>
            </w:tcBorders>
          </w:tcPr>
          <w:p w:rsidR="00AE2038" w:rsidRDefault="00AE2038">
            <w:pPr>
              <w:pStyle w:val="NormalRight"/>
              <w:spacing w:before="30" w:after="30"/>
              <w:rPr>
                <w:sz w:val="16"/>
                <w:szCs w:val="16"/>
              </w:rPr>
            </w:pPr>
            <w:r>
              <w:rPr>
                <w:b/>
                <w:bCs/>
                <w:sz w:val="16"/>
                <w:szCs w:val="16"/>
              </w:rPr>
              <w:t>139 670 689 253</w:t>
            </w:r>
          </w:p>
        </w:tc>
      </w:tr>
      <w:tr w:rsidR="00AE2038" w:rsidTr="00AE2038">
        <w:trPr>
          <w:cantSplit/>
        </w:trPr>
        <w:tc>
          <w:tcPr>
            <w:tcW w:w="770" w:type="dxa"/>
            <w:tcBorders>
              <w:top w:val="nil"/>
              <w:left w:val="single" w:sz="4" w:space="0" w:color="auto"/>
              <w:bottom w:val="single" w:sz="4" w:space="0" w:color="auto"/>
              <w:right w:val="single" w:sz="4" w:space="0" w:color="auto"/>
            </w:tcBorders>
          </w:tcPr>
          <w:p w:rsidR="00AE2038" w:rsidRDefault="00AE2038">
            <w:pPr>
              <w:spacing w:before="30" w:after="30"/>
              <w:rPr>
                <w:sz w:val="16"/>
                <w:szCs w:val="16"/>
              </w:rPr>
            </w:pPr>
          </w:p>
        </w:tc>
        <w:tc>
          <w:tcPr>
            <w:tcW w:w="2956" w:type="dxa"/>
            <w:tcBorders>
              <w:top w:val="nil"/>
              <w:left w:val="nil"/>
              <w:bottom w:val="single" w:sz="4" w:space="0" w:color="auto"/>
              <w:right w:val="single" w:sz="4" w:space="0" w:color="auto"/>
            </w:tcBorders>
          </w:tcPr>
          <w:p w:rsidR="00AE2038" w:rsidRDefault="00AE2038">
            <w:pPr>
              <w:pStyle w:val="NormalRight"/>
              <w:spacing w:before="30" w:after="0"/>
              <w:ind w:left="57" w:right="113"/>
              <w:rPr>
                <w:sz w:val="16"/>
                <w:szCs w:val="16"/>
              </w:rPr>
            </w:pPr>
            <w:r>
              <w:rPr>
                <w:b/>
                <w:bCs/>
                <w:sz w:val="12"/>
                <w:szCs w:val="12"/>
              </w:rPr>
              <w:t>Reserves: 40 01 40, 40 02 41</w:t>
            </w:r>
          </w:p>
        </w:tc>
        <w:tc>
          <w:tcPr>
            <w:tcW w:w="1276"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6"/>
                <w:szCs w:val="16"/>
              </w:rPr>
            </w:pPr>
            <w:r>
              <w:rPr>
                <w:b/>
                <w:bCs/>
                <w:sz w:val="12"/>
                <w:szCs w:val="12"/>
              </w:rPr>
              <w:t>2 171 820 489</w:t>
            </w:r>
          </w:p>
        </w:tc>
        <w:tc>
          <w:tcPr>
            <w:tcW w:w="1275"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6"/>
                <w:szCs w:val="16"/>
              </w:rPr>
            </w:pPr>
            <w:r>
              <w:rPr>
                <w:b/>
                <w:bCs/>
                <w:sz w:val="12"/>
                <w:szCs w:val="12"/>
              </w:rPr>
              <w:t>619 772 489</w:t>
            </w:r>
          </w:p>
        </w:tc>
        <w:tc>
          <w:tcPr>
            <w:tcW w:w="1174" w:type="dxa"/>
            <w:tcBorders>
              <w:top w:val="nil"/>
              <w:left w:val="nil"/>
              <w:bottom w:val="single" w:sz="4" w:space="0" w:color="auto"/>
              <w:right w:val="single" w:sz="4" w:space="0" w:color="auto"/>
            </w:tcBorders>
          </w:tcPr>
          <w:p w:rsidR="00AE2038" w:rsidRDefault="00AE2038" w:rsidP="00AE2038">
            <w:pPr>
              <w:pStyle w:val="NormalRight"/>
              <w:shd w:val="clear" w:color="auto" w:fill="C0C0C0"/>
              <w:spacing w:before="30" w:after="0"/>
              <w:ind w:left="57" w:right="113"/>
              <w:rPr>
                <w:sz w:val="16"/>
                <w:szCs w:val="16"/>
              </w:rPr>
            </w:pPr>
            <w:r>
              <w:rPr>
                <w:b/>
                <w:bCs/>
                <w:sz w:val="12"/>
                <w:szCs w:val="12"/>
              </w:rPr>
              <w:t>-2 050 000 000</w:t>
            </w:r>
          </w:p>
        </w:tc>
        <w:tc>
          <w:tcPr>
            <w:tcW w:w="1155" w:type="dxa"/>
            <w:tcBorders>
              <w:top w:val="nil"/>
              <w:left w:val="nil"/>
              <w:bottom w:val="single" w:sz="4" w:space="0" w:color="auto"/>
              <w:right w:val="single" w:sz="4" w:space="0" w:color="auto"/>
            </w:tcBorders>
          </w:tcPr>
          <w:p w:rsidR="00AE2038" w:rsidRDefault="00AE2038" w:rsidP="00AE2038">
            <w:pPr>
              <w:pStyle w:val="NormalRight"/>
              <w:shd w:val="clear" w:color="auto" w:fill="C0C0C0"/>
              <w:spacing w:before="30" w:after="0"/>
              <w:ind w:left="57" w:right="113"/>
              <w:rPr>
                <w:sz w:val="16"/>
                <w:szCs w:val="16"/>
              </w:rPr>
            </w:pPr>
            <w:r>
              <w:rPr>
                <w:b/>
                <w:bCs/>
                <w:sz w:val="12"/>
                <w:szCs w:val="12"/>
              </w:rPr>
              <w:t>-520 000 000</w:t>
            </w:r>
          </w:p>
        </w:tc>
        <w:tc>
          <w:tcPr>
            <w:tcW w:w="1214" w:type="dxa"/>
            <w:tcBorders>
              <w:top w:val="nil"/>
              <w:left w:val="nil"/>
              <w:bottom w:val="single" w:sz="4" w:space="0" w:color="auto"/>
              <w:right w:val="single" w:sz="4" w:space="0" w:color="auto"/>
            </w:tcBorders>
          </w:tcPr>
          <w:p w:rsidR="00AE2038" w:rsidRDefault="00AE2038" w:rsidP="00A07D56">
            <w:pPr>
              <w:pStyle w:val="NormalRight"/>
              <w:shd w:val="clear" w:color="auto" w:fill="C0C0C0"/>
              <w:spacing w:before="30" w:after="0"/>
              <w:ind w:left="57" w:right="113"/>
              <w:rPr>
                <w:sz w:val="16"/>
                <w:szCs w:val="16"/>
              </w:rPr>
            </w:pPr>
            <w:r>
              <w:rPr>
                <w:b/>
                <w:bCs/>
                <w:sz w:val="12"/>
                <w:szCs w:val="12"/>
              </w:rPr>
              <w:t>121 820 4</w:t>
            </w:r>
            <w:r w:rsidR="00A07D56">
              <w:rPr>
                <w:b/>
                <w:bCs/>
                <w:sz w:val="12"/>
                <w:szCs w:val="12"/>
              </w:rPr>
              <w:t>8</w:t>
            </w:r>
            <w:r>
              <w:rPr>
                <w:b/>
                <w:bCs/>
                <w:sz w:val="12"/>
                <w:szCs w:val="12"/>
              </w:rPr>
              <w:t>9</w:t>
            </w:r>
          </w:p>
        </w:tc>
        <w:tc>
          <w:tcPr>
            <w:tcW w:w="1276" w:type="dxa"/>
            <w:tcBorders>
              <w:top w:val="nil"/>
              <w:left w:val="nil"/>
              <w:bottom w:val="single" w:sz="4" w:space="0" w:color="auto"/>
              <w:right w:val="single" w:sz="4" w:space="0" w:color="auto"/>
            </w:tcBorders>
          </w:tcPr>
          <w:p w:rsidR="00AE2038" w:rsidRDefault="00AE2038" w:rsidP="00A07D56">
            <w:pPr>
              <w:pStyle w:val="NormalRight"/>
              <w:shd w:val="clear" w:color="auto" w:fill="C0C0C0"/>
              <w:spacing w:before="30" w:after="0"/>
              <w:ind w:left="57" w:right="113"/>
              <w:rPr>
                <w:sz w:val="16"/>
                <w:szCs w:val="16"/>
              </w:rPr>
            </w:pPr>
            <w:r>
              <w:rPr>
                <w:b/>
                <w:bCs/>
                <w:sz w:val="12"/>
                <w:szCs w:val="12"/>
              </w:rPr>
              <w:t>99 772 4</w:t>
            </w:r>
            <w:r w:rsidR="00A07D56">
              <w:rPr>
                <w:b/>
                <w:bCs/>
                <w:sz w:val="12"/>
                <w:szCs w:val="12"/>
              </w:rPr>
              <w:t>8</w:t>
            </w:r>
            <w:r>
              <w:rPr>
                <w:b/>
                <w:bCs/>
                <w:sz w:val="12"/>
                <w:szCs w:val="12"/>
              </w:rPr>
              <w:t>9</w:t>
            </w:r>
          </w:p>
        </w:tc>
      </w:tr>
    </w:tbl>
    <w:p w:rsidR="00AE2038" w:rsidRDefault="00AE2038">
      <w:pPr>
        <w:keepNext/>
        <w:autoSpaceDE w:val="0"/>
        <w:autoSpaceDN w:val="0"/>
        <w:spacing w:before="480"/>
        <w:jc w:val="left"/>
        <w:outlineLvl w:val="3"/>
        <w:rPr>
          <w:b/>
          <w:bCs/>
          <w:smallCaps/>
          <w:sz w:val="32"/>
          <w:szCs w:val="32"/>
        </w:rPr>
      </w:pPr>
      <w:r>
        <w:rPr>
          <w:b/>
          <w:bCs/>
          <w:smallCaps/>
          <w:sz w:val="32"/>
          <w:szCs w:val="32"/>
        </w:rPr>
        <w:t>Title 01 — Economic and financial affairs</w:t>
      </w:r>
    </w:p>
    <w:p w:rsidR="00AE2038" w:rsidRDefault="00AE2038">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AE2038">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Letter of amendment No. 1/2016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New amount</w:t>
            </w:r>
          </w:p>
        </w:tc>
      </w:tr>
      <w:tr w:rsidR="00AE2038">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r>
      <w:tr w:rsidR="00AE2038">
        <w:trPr>
          <w:cantSplit/>
        </w:trPr>
        <w:tc>
          <w:tcPr>
            <w:tcW w:w="695" w:type="dxa"/>
            <w:tcBorders>
              <w:top w:val="single" w:sz="4" w:space="0" w:color="auto"/>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01 01</w:t>
            </w:r>
          </w:p>
        </w:tc>
        <w:tc>
          <w:tcPr>
            <w:tcW w:w="3475" w:type="dxa"/>
            <w:tcBorders>
              <w:top w:val="single" w:sz="4" w:space="0" w:color="auto"/>
              <w:left w:val="nil"/>
              <w:bottom w:val="nil"/>
              <w:right w:val="single" w:sz="4" w:space="0" w:color="auto"/>
            </w:tcBorders>
          </w:tcPr>
          <w:p w:rsidR="00AE2038" w:rsidRDefault="00AE2038">
            <w:pPr>
              <w:pStyle w:val="NormalLeft"/>
              <w:spacing w:before="30" w:after="30"/>
              <w:rPr>
                <w:sz w:val="16"/>
                <w:szCs w:val="16"/>
              </w:rPr>
            </w:pPr>
            <w:r>
              <w:rPr>
                <w:sz w:val="16"/>
                <w:szCs w:val="16"/>
              </w:rPr>
              <w:t>Administrative expenditure of the ‘Economic and financial affairs’ policy area</w:t>
            </w:r>
          </w:p>
        </w:tc>
        <w:tc>
          <w:tcPr>
            <w:tcW w:w="348" w:type="dxa"/>
            <w:tcBorders>
              <w:top w:val="single" w:sz="4" w:space="0" w:color="auto"/>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5</w:t>
            </w:r>
          </w:p>
        </w:tc>
        <w:tc>
          <w:tcPr>
            <w:tcW w:w="1042" w:type="dxa"/>
            <w:tcBorders>
              <w:top w:val="single" w:sz="4" w:space="0" w:color="auto"/>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82 110 358</w:t>
            </w:r>
          </w:p>
        </w:tc>
        <w:tc>
          <w:tcPr>
            <w:tcW w:w="1043" w:type="dxa"/>
            <w:tcBorders>
              <w:top w:val="single" w:sz="4" w:space="0" w:color="auto"/>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82 110 358</w:t>
            </w:r>
          </w:p>
        </w:tc>
        <w:tc>
          <w:tcPr>
            <w:tcW w:w="1042"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43"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82 110 358</w:t>
            </w:r>
          </w:p>
        </w:tc>
        <w:tc>
          <w:tcPr>
            <w:tcW w:w="1043" w:type="dxa"/>
            <w:tcBorders>
              <w:top w:val="single" w:sz="4" w:space="0" w:color="auto"/>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82 110 358</w:t>
            </w:r>
          </w:p>
        </w:tc>
      </w:tr>
      <w:tr w:rsidR="00AE2038">
        <w:trPr>
          <w:cantSplit/>
        </w:trPr>
        <w:tc>
          <w:tcPr>
            <w:tcW w:w="695"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01 02</w:t>
            </w:r>
          </w:p>
        </w:tc>
        <w:tc>
          <w:tcPr>
            <w:tcW w:w="3475"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Economic and monetary union</w:t>
            </w:r>
          </w:p>
        </w:tc>
        <w:tc>
          <w:tcPr>
            <w:tcW w:w="348"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w:t>
            </w:r>
          </w:p>
        </w:tc>
        <w:tc>
          <w:tcPr>
            <w:tcW w:w="1042"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15 990 500</w:t>
            </w:r>
          </w:p>
        </w:tc>
        <w:tc>
          <w:tcPr>
            <w:tcW w:w="1043"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14 692 500</w:t>
            </w:r>
          </w:p>
        </w:tc>
        <w:tc>
          <w:tcPr>
            <w:tcW w:w="1042"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43"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42"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15 990 500</w:t>
            </w:r>
          </w:p>
        </w:tc>
        <w:tc>
          <w:tcPr>
            <w:tcW w:w="1043"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14 692 500</w:t>
            </w:r>
          </w:p>
        </w:tc>
      </w:tr>
      <w:tr w:rsidR="00AE2038">
        <w:trPr>
          <w:cantSplit/>
        </w:trPr>
        <w:tc>
          <w:tcPr>
            <w:tcW w:w="695"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01 03</w:t>
            </w:r>
          </w:p>
        </w:tc>
        <w:tc>
          <w:tcPr>
            <w:tcW w:w="3475"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International economic and financial affairs</w:t>
            </w:r>
          </w:p>
        </w:tc>
        <w:tc>
          <w:tcPr>
            <w:tcW w:w="348"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4</w:t>
            </w:r>
          </w:p>
        </w:tc>
        <w:tc>
          <w:tcPr>
            <w:tcW w:w="1042"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336 790 792</w:t>
            </w:r>
          </w:p>
        </w:tc>
        <w:tc>
          <w:tcPr>
            <w:tcW w:w="1043"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336 790 792</w:t>
            </w:r>
          </w:p>
        </w:tc>
        <w:tc>
          <w:tcPr>
            <w:tcW w:w="1042"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43"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42"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336 790 792</w:t>
            </w:r>
          </w:p>
        </w:tc>
        <w:tc>
          <w:tcPr>
            <w:tcW w:w="1043"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336 790 792</w:t>
            </w:r>
          </w:p>
        </w:tc>
      </w:tr>
      <w:tr w:rsidR="00AE2038">
        <w:trPr>
          <w:cantSplit/>
        </w:trPr>
        <w:tc>
          <w:tcPr>
            <w:tcW w:w="695"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01 04</w:t>
            </w:r>
          </w:p>
        </w:tc>
        <w:tc>
          <w:tcPr>
            <w:tcW w:w="3475"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 xml:space="preserve">Financial operations and instruments </w:t>
            </w:r>
          </w:p>
        </w:tc>
        <w:tc>
          <w:tcPr>
            <w:tcW w:w="348"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w:t>
            </w:r>
          </w:p>
        </w:tc>
        <w:tc>
          <w:tcPr>
            <w:tcW w:w="1042"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41 000 000</w:t>
            </w:r>
          </w:p>
        </w:tc>
        <w:tc>
          <w:tcPr>
            <w:tcW w:w="1043"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137 250 000</w:t>
            </w:r>
          </w:p>
        </w:tc>
        <w:tc>
          <w:tcPr>
            <w:tcW w:w="1042"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2 050 000 000</w:t>
            </w:r>
          </w:p>
        </w:tc>
        <w:tc>
          <w:tcPr>
            <w:tcW w:w="1043"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520 000 000</w:t>
            </w:r>
          </w:p>
        </w:tc>
        <w:tc>
          <w:tcPr>
            <w:tcW w:w="1042"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2 091 000 000</w:t>
            </w:r>
          </w:p>
        </w:tc>
        <w:tc>
          <w:tcPr>
            <w:tcW w:w="1043"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657 250 000</w:t>
            </w:r>
          </w:p>
        </w:tc>
      </w:tr>
      <w:tr w:rsidR="00AE2038">
        <w:trPr>
          <w:cantSplit/>
        </w:trPr>
        <w:tc>
          <w:tcPr>
            <w:tcW w:w="695" w:type="dxa"/>
            <w:tcBorders>
              <w:top w:val="nil"/>
              <w:left w:val="single" w:sz="4" w:space="0" w:color="auto"/>
              <w:bottom w:val="nil"/>
              <w:right w:val="single" w:sz="4" w:space="0" w:color="auto"/>
            </w:tcBorders>
          </w:tcPr>
          <w:p w:rsidR="00AE2038" w:rsidRDefault="00AE2038">
            <w:pPr>
              <w:spacing w:before="30" w:after="30"/>
              <w:rPr>
                <w:sz w:val="16"/>
                <w:szCs w:val="16"/>
              </w:rPr>
            </w:pPr>
          </w:p>
        </w:tc>
        <w:tc>
          <w:tcPr>
            <w:tcW w:w="3475" w:type="dxa"/>
            <w:tcBorders>
              <w:top w:val="nil"/>
              <w:left w:val="nil"/>
              <w:bottom w:val="nil"/>
              <w:right w:val="single" w:sz="4" w:space="0" w:color="auto"/>
            </w:tcBorders>
          </w:tcPr>
          <w:p w:rsidR="00AE2038" w:rsidRPr="00A07D56" w:rsidRDefault="00A07D56">
            <w:pPr>
              <w:spacing w:before="30" w:after="30"/>
              <w:rPr>
                <w:i/>
                <w:sz w:val="16"/>
                <w:szCs w:val="16"/>
              </w:rPr>
            </w:pPr>
            <w:r w:rsidRPr="00A07D56">
              <w:rPr>
                <w:i/>
                <w:sz w:val="16"/>
                <w:szCs w:val="16"/>
              </w:rPr>
              <w:t>Reserves</w:t>
            </w:r>
          </w:p>
        </w:tc>
        <w:tc>
          <w:tcPr>
            <w:tcW w:w="348" w:type="dxa"/>
            <w:tcBorders>
              <w:top w:val="nil"/>
              <w:left w:val="nil"/>
              <w:bottom w:val="nil"/>
              <w:right w:val="single" w:sz="4" w:space="0" w:color="auto"/>
            </w:tcBorders>
          </w:tcPr>
          <w:p w:rsidR="00AE2038" w:rsidRDefault="00AE2038">
            <w:pPr>
              <w:spacing w:before="30" w:after="30"/>
              <w:rPr>
                <w:sz w:val="16"/>
                <w:szCs w:val="16"/>
              </w:rPr>
            </w:pPr>
          </w:p>
        </w:tc>
        <w:tc>
          <w:tcPr>
            <w:tcW w:w="1042"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2 050 000 000</w:t>
            </w:r>
          </w:p>
          <w:p w:rsidR="00AE2038" w:rsidRDefault="00AE2038">
            <w:pPr>
              <w:pStyle w:val="NormalRight"/>
              <w:pBdr>
                <w:top w:val="single" w:sz="4" w:space="0" w:color="auto"/>
              </w:pBdr>
              <w:shd w:val="clear" w:color="auto" w:fill="C0C0C0"/>
              <w:spacing w:before="0" w:after="30"/>
              <w:ind w:left="57" w:right="113"/>
              <w:rPr>
                <w:sz w:val="16"/>
                <w:szCs w:val="16"/>
              </w:rPr>
            </w:pPr>
            <w:r>
              <w:rPr>
                <w:sz w:val="12"/>
                <w:szCs w:val="12"/>
              </w:rPr>
              <w:t>2 091 000 000</w:t>
            </w:r>
          </w:p>
        </w:tc>
        <w:tc>
          <w:tcPr>
            <w:tcW w:w="1043"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520 000 000</w:t>
            </w:r>
          </w:p>
          <w:p w:rsidR="00AE2038" w:rsidRDefault="00AE2038">
            <w:pPr>
              <w:pStyle w:val="NormalRight"/>
              <w:pBdr>
                <w:top w:val="single" w:sz="4" w:space="0" w:color="auto"/>
              </w:pBdr>
              <w:shd w:val="clear" w:color="auto" w:fill="C0C0C0"/>
              <w:spacing w:before="0" w:after="30"/>
              <w:ind w:left="57" w:right="113"/>
              <w:rPr>
                <w:sz w:val="16"/>
                <w:szCs w:val="16"/>
              </w:rPr>
            </w:pPr>
            <w:r>
              <w:rPr>
                <w:sz w:val="12"/>
                <w:szCs w:val="12"/>
              </w:rPr>
              <w:t>657 250 000</w:t>
            </w:r>
          </w:p>
        </w:tc>
        <w:tc>
          <w:tcPr>
            <w:tcW w:w="1042"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-2 050 000 000</w:t>
            </w:r>
          </w:p>
          <w:p w:rsidR="00AE2038" w:rsidRDefault="00AE2038">
            <w:pPr>
              <w:pStyle w:val="NormalRight"/>
              <w:pBdr>
                <w:top w:val="single" w:sz="4" w:space="0" w:color="auto"/>
              </w:pBdr>
              <w:shd w:val="clear" w:color="auto" w:fill="C0C0C0"/>
              <w:spacing w:before="0" w:after="30"/>
              <w:ind w:left="57" w:right="113"/>
              <w:rPr>
                <w:sz w:val="16"/>
                <w:szCs w:val="16"/>
              </w:rPr>
            </w:pPr>
            <w:r>
              <w:rPr>
                <w:sz w:val="12"/>
                <w:szCs w:val="12"/>
              </w:rPr>
              <w:t>0</w:t>
            </w:r>
          </w:p>
        </w:tc>
        <w:tc>
          <w:tcPr>
            <w:tcW w:w="1043"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-520 000 000</w:t>
            </w:r>
          </w:p>
          <w:p w:rsidR="00AE2038" w:rsidRDefault="00AE2038">
            <w:pPr>
              <w:pStyle w:val="NormalRight"/>
              <w:pBdr>
                <w:top w:val="single" w:sz="4" w:space="0" w:color="auto"/>
              </w:pBdr>
              <w:shd w:val="clear" w:color="auto" w:fill="C0C0C0"/>
              <w:spacing w:before="0" w:after="30"/>
              <w:ind w:left="57" w:right="113"/>
              <w:rPr>
                <w:sz w:val="16"/>
                <w:szCs w:val="16"/>
              </w:rPr>
            </w:pPr>
            <w:r>
              <w:rPr>
                <w:sz w:val="12"/>
                <w:szCs w:val="12"/>
              </w:rPr>
              <w:t>0</w:t>
            </w:r>
          </w:p>
        </w:tc>
        <w:tc>
          <w:tcPr>
            <w:tcW w:w="1042"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0</w:t>
            </w:r>
          </w:p>
          <w:p w:rsidR="00AE2038" w:rsidRDefault="00AE2038" w:rsidP="00AE2038">
            <w:pPr>
              <w:pStyle w:val="NormalRight"/>
              <w:pBdr>
                <w:top w:val="single" w:sz="4" w:space="0" w:color="auto"/>
              </w:pBdr>
              <w:shd w:val="clear" w:color="auto" w:fill="C0C0C0"/>
              <w:spacing w:before="0" w:after="30"/>
              <w:ind w:left="57" w:right="113"/>
              <w:rPr>
                <w:sz w:val="16"/>
                <w:szCs w:val="16"/>
              </w:rPr>
            </w:pPr>
            <w:r>
              <w:rPr>
                <w:sz w:val="12"/>
                <w:szCs w:val="12"/>
              </w:rPr>
              <w:t>2 091 000 000</w:t>
            </w:r>
          </w:p>
        </w:tc>
        <w:tc>
          <w:tcPr>
            <w:tcW w:w="1043"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0</w:t>
            </w:r>
          </w:p>
          <w:p w:rsidR="00AE2038" w:rsidRDefault="00AE2038" w:rsidP="00AE2038">
            <w:pPr>
              <w:pStyle w:val="NormalRight"/>
              <w:pBdr>
                <w:top w:val="single" w:sz="4" w:space="0" w:color="auto"/>
              </w:pBdr>
              <w:shd w:val="clear" w:color="auto" w:fill="C0C0C0"/>
              <w:spacing w:before="0" w:after="30"/>
              <w:ind w:left="57" w:right="113"/>
              <w:rPr>
                <w:sz w:val="16"/>
                <w:szCs w:val="16"/>
              </w:rPr>
            </w:pPr>
            <w:r>
              <w:rPr>
                <w:sz w:val="12"/>
                <w:szCs w:val="12"/>
              </w:rPr>
              <w:t>657 250 000</w:t>
            </w:r>
          </w:p>
        </w:tc>
      </w:tr>
      <w:tr w:rsidR="00AE2038">
        <w:trPr>
          <w:cantSplit/>
        </w:trPr>
        <w:tc>
          <w:tcPr>
            <w:tcW w:w="695" w:type="dxa"/>
            <w:tcBorders>
              <w:top w:val="nil"/>
              <w:left w:val="single" w:sz="4" w:space="0" w:color="auto"/>
              <w:bottom w:val="nil"/>
              <w:right w:val="single" w:sz="4" w:space="0" w:color="auto"/>
            </w:tcBorders>
          </w:tcPr>
          <w:p w:rsidR="00AE2038" w:rsidRDefault="00AE2038">
            <w:pPr>
              <w:spacing w:before="30" w:after="30"/>
              <w:rPr>
                <w:sz w:val="16"/>
                <w:szCs w:val="16"/>
              </w:rPr>
            </w:pPr>
          </w:p>
        </w:tc>
        <w:tc>
          <w:tcPr>
            <w:tcW w:w="3475" w:type="dxa"/>
            <w:tcBorders>
              <w:top w:val="nil"/>
              <w:left w:val="nil"/>
              <w:bottom w:val="nil"/>
              <w:right w:val="single" w:sz="4" w:space="0" w:color="auto"/>
            </w:tcBorders>
          </w:tcPr>
          <w:p w:rsidR="00AE2038" w:rsidRDefault="00AE2038">
            <w:pPr>
              <w:pStyle w:val="NormalRight"/>
              <w:spacing w:before="30" w:after="30"/>
              <w:rPr>
                <w:sz w:val="16"/>
                <w:szCs w:val="16"/>
              </w:rPr>
            </w:pPr>
            <w:r>
              <w:rPr>
                <w:b/>
                <w:bCs/>
                <w:sz w:val="16"/>
                <w:szCs w:val="16"/>
              </w:rPr>
              <w:t>Title 01 — Total</w:t>
            </w:r>
          </w:p>
        </w:tc>
        <w:tc>
          <w:tcPr>
            <w:tcW w:w="348" w:type="dxa"/>
            <w:tcBorders>
              <w:top w:val="nil"/>
              <w:left w:val="nil"/>
              <w:bottom w:val="nil"/>
              <w:right w:val="single" w:sz="4" w:space="0" w:color="auto"/>
            </w:tcBorders>
          </w:tcPr>
          <w:p w:rsidR="00AE2038" w:rsidRDefault="00AE2038">
            <w:pPr>
              <w:spacing w:before="30" w:after="30"/>
              <w:rPr>
                <w:sz w:val="16"/>
                <w:szCs w:val="16"/>
              </w:rPr>
            </w:pPr>
          </w:p>
        </w:tc>
        <w:tc>
          <w:tcPr>
            <w:tcW w:w="1042" w:type="dxa"/>
            <w:tcBorders>
              <w:top w:val="nil"/>
              <w:left w:val="nil"/>
              <w:bottom w:val="nil"/>
              <w:right w:val="single" w:sz="4" w:space="0" w:color="auto"/>
            </w:tcBorders>
          </w:tcPr>
          <w:p w:rsidR="00AE2038" w:rsidRDefault="00AE2038">
            <w:pPr>
              <w:pStyle w:val="NormalRight"/>
              <w:spacing w:before="30" w:after="30"/>
              <w:rPr>
                <w:sz w:val="16"/>
                <w:szCs w:val="16"/>
              </w:rPr>
            </w:pPr>
            <w:r>
              <w:rPr>
                <w:b/>
                <w:bCs/>
                <w:sz w:val="16"/>
                <w:szCs w:val="16"/>
              </w:rPr>
              <w:t>475 891 650</w:t>
            </w:r>
          </w:p>
        </w:tc>
        <w:tc>
          <w:tcPr>
            <w:tcW w:w="1043" w:type="dxa"/>
            <w:tcBorders>
              <w:top w:val="nil"/>
              <w:left w:val="nil"/>
              <w:bottom w:val="nil"/>
              <w:right w:val="single" w:sz="4" w:space="0" w:color="auto"/>
            </w:tcBorders>
          </w:tcPr>
          <w:p w:rsidR="00AE2038" w:rsidRDefault="00AE2038">
            <w:pPr>
              <w:pStyle w:val="NormalRight"/>
              <w:spacing w:before="30" w:after="30"/>
              <w:rPr>
                <w:sz w:val="16"/>
                <w:szCs w:val="16"/>
              </w:rPr>
            </w:pPr>
            <w:r>
              <w:rPr>
                <w:b/>
                <w:bCs/>
                <w:sz w:val="16"/>
                <w:szCs w:val="16"/>
              </w:rPr>
              <w:t>570 843 650</w:t>
            </w:r>
          </w:p>
        </w:tc>
        <w:tc>
          <w:tcPr>
            <w:tcW w:w="1042" w:type="dxa"/>
            <w:tcBorders>
              <w:top w:val="nil"/>
              <w:left w:val="nil"/>
              <w:bottom w:val="nil"/>
              <w:right w:val="single" w:sz="4" w:space="0" w:color="auto"/>
            </w:tcBorders>
          </w:tcPr>
          <w:p w:rsidR="00AE2038" w:rsidRDefault="00AE2038">
            <w:pPr>
              <w:pStyle w:val="NormalRight"/>
              <w:spacing w:before="30" w:after="30"/>
              <w:rPr>
                <w:sz w:val="16"/>
                <w:szCs w:val="16"/>
              </w:rPr>
            </w:pPr>
            <w:r>
              <w:rPr>
                <w:b/>
                <w:bCs/>
                <w:sz w:val="16"/>
                <w:szCs w:val="16"/>
              </w:rPr>
              <w:t>2 050 000 000</w:t>
            </w:r>
          </w:p>
        </w:tc>
        <w:tc>
          <w:tcPr>
            <w:tcW w:w="1043" w:type="dxa"/>
            <w:tcBorders>
              <w:top w:val="nil"/>
              <w:left w:val="nil"/>
              <w:bottom w:val="nil"/>
              <w:right w:val="single" w:sz="4" w:space="0" w:color="auto"/>
            </w:tcBorders>
          </w:tcPr>
          <w:p w:rsidR="00AE2038" w:rsidRDefault="00AE2038">
            <w:pPr>
              <w:pStyle w:val="NormalRight"/>
              <w:spacing w:before="30" w:after="30"/>
              <w:rPr>
                <w:sz w:val="16"/>
                <w:szCs w:val="16"/>
              </w:rPr>
            </w:pPr>
            <w:r>
              <w:rPr>
                <w:b/>
                <w:bCs/>
                <w:sz w:val="16"/>
                <w:szCs w:val="16"/>
              </w:rPr>
              <w:t>520 000 000</w:t>
            </w:r>
          </w:p>
        </w:tc>
        <w:tc>
          <w:tcPr>
            <w:tcW w:w="1042" w:type="dxa"/>
            <w:tcBorders>
              <w:top w:val="nil"/>
              <w:left w:val="nil"/>
              <w:bottom w:val="nil"/>
              <w:right w:val="single" w:sz="4" w:space="0" w:color="auto"/>
            </w:tcBorders>
          </w:tcPr>
          <w:p w:rsidR="00AE2038" w:rsidRDefault="00AE2038">
            <w:pPr>
              <w:pStyle w:val="NormalRight"/>
              <w:spacing w:before="30" w:after="30"/>
              <w:rPr>
                <w:sz w:val="16"/>
                <w:szCs w:val="16"/>
              </w:rPr>
            </w:pPr>
            <w:r>
              <w:rPr>
                <w:b/>
                <w:bCs/>
                <w:sz w:val="16"/>
                <w:szCs w:val="16"/>
              </w:rPr>
              <w:t>2 525 891 650</w:t>
            </w:r>
          </w:p>
        </w:tc>
        <w:tc>
          <w:tcPr>
            <w:tcW w:w="1043" w:type="dxa"/>
            <w:tcBorders>
              <w:top w:val="nil"/>
              <w:left w:val="nil"/>
              <w:bottom w:val="nil"/>
              <w:right w:val="single" w:sz="4" w:space="0" w:color="auto"/>
            </w:tcBorders>
          </w:tcPr>
          <w:p w:rsidR="00AE2038" w:rsidRDefault="00AE2038">
            <w:pPr>
              <w:pStyle w:val="NormalRight"/>
              <w:spacing w:before="30" w:after="30"/>
              <w:rPr>
                <w:sz w:val="16"/>
                <w:szCs w:val="16"/>
              </w:rPr>
            </w:pPr>
            <w:r>
              <w:rPr>
                <w:b/>
                <w:bCs/>
                <w:sz w:val="16"/>
                <w:szCs w:val="16"/>
              </w:rPr>
              <w:t>1 090 843 650</w:t>
            </w:r>
          </w:p>
        </w:tc>
      </w:tr>
      <w:tr w:rsidR="00AE2038">
        <w:trPr>
          <w:cantSplit/>
        </w:trPr>
        <w:tc>
          <w:tcPr>
            <w:tcW w:w="695" w:type="dxa"/>
            <w:tcBorders>
              <w:top w:val="nil"/>
              <w:left w:val="single" w:sz="4" w:space="0" w:color="auto"/>
              <w:bottom w:val="single" w:sz="4" w:space="0" w:color="auto"/>
              <w:right w:val="single" w:sz="4" w:space="0" w:color="auto"/>
            </w:tcBorders>
          </w:tcPr>
          <w:p w:rsidR="00AE2038" w:rsidRDefault="00AE2038">
            <w:pPr>
              <w:spacing w:before="30" w:after="30"/>
              <w:rPr>
                <w:sz w:val="16"/>
                <w:szCs w:val="16"/>
              </w:rPr>
            </w:pPr>
          </w:p>
        </w:tc>
        <w:tc>
          <w:tcPr>
            <w:tcW w:w="3475" w:type="dxa"/>
            <w:tcBorders>
              <w:top w:val="nil"/>
              <w:left w:val="nil"/>
              <w:bottom w:val="single" w:sz="4" w:space="0" w:color="auto"/>
              <w:right w:val="single" w:sz="4" w:space="0" w:color="auto"/>
            </w:tcBorders>
          </w:tcPr>
          <w:p w:rsidR="00AE2038" w:rsidRDefault="00A07D56">
            <w:pPr>
              <w:pStyle w:val="NormalRight"/>
              <w:spacing w:before="30" w:after="0"/>
              <w:ind w:left="57" w:right="113"/>
              <w:rPr>
                <w:sz w:val="12"/>
                <w:szCs w:val="12"/>
              </w:rPr>
            </w:pPr>
            <w:r>
              <w:rPr>
                <w:sz w:val="12"/>
                <w:szCs w:val="12"/>
              </w:rPr>
              <w:t>Reserves</w:t>
            </w:r>
          </w:p>
          <w:p w:rsidR="00AE2038" w:rsidRDefault="00AE2038">
            <w:pPr>
              <w:pStyle w:val="NormalRight"/>
              <w:pBdr>
                <w:top w:val="single" w:sz="4" w:space="0" w:color="auto"/>
              </w:pBdr>
              <w:spacing w:before="0" w:after="30"/>
              <w:ind w:left="57" w:right="113"/>
              <w:rPr>
                <w:sz w:val="16"/>
                <w:szCs w:val="16"/>
              </w:rPr>
            </w:pPr>
            <w:r>
              <w:rPr>
                <w:b/>
                <w:bCs/>
                <w:sz w:val="12"/>
                <w:szCs w:val="12"/>
              </w:rPr>
              <w:t>Total including reserves</w:t>
            </w:r>
          </w:p>
        </w:tc>
        <w:tc>
          <w:tcPr>
            <w:tcW w:w="348"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42"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2"/>
                <w:szCs w:val="12"/>
              </w:rPr>
            </w:pPr>
            <w:r>
              <w:rPr>
                <w:b/>
                <w:bCs/>
                <w:sz w:val="12"/>
                <w:szCs w:val="12"/>
              </w:rPr>
              <w:t>2 050 000 000</w:t>
            </w:r>
          </w:p>
          <w:p w:rsidR="00AE2038" w:rsidRDefault="00AE2038">
            <w:pPr>
              <w:pStyle w:val="NormalRight"/>
              <w:pBdr>
                <w:top w:val="single" w:sz="4" w:space="0" w:color="auto"/>
              </w:pBdr>
              <w:shd w:val="clear" w:color="auto" w:fill="C0C0C0"/>
              <w:spacing w:before="0" w:after="30"/>
              <w:ind w:left="57" w:right="113"/>
              <w:rPr>
                <w:sz w:val="16"/>
                <w:szCs w:val="16"/>
              </w:rPr>
            </w:pPr>
            <w:r>
              <w:rPr>
                <w:b/>
                <w:bCs/>
                <w:sz w:val="12"/>
                <w:szCs w:val="12"/>
              </w:rPr>
              <w:t>2 525 891 650</w:t>
            </w:r>
          </w:p>
        </w:tc>
        <w:tc>
          <w:tcPr>
            <w:tcW w:w="1043"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2"/>
                <w:szCs w:val="12"/>
              </w:rPr>
            </w:pPr>
            <w:r>
              <w:rPr>
                <w:b/>
                <w:bCs/>
                <w:sz w:val="12"/>
                <w:szCs w:val="12"/>
              </w:rPr>
              <w:t>520 000 000</w:t>
            </w:r>
          </w:p>
          <w:p w:rsidR="00AE2038" w:rsidRDefault="00AE2038">
            <w:pPr>
              <w:pStyle w:val="NormalRight"/>
              <w:pBdr>
                <w:top w:val="single" w:sz="4" w:space="0" w:color="auto"/>
              </w:pBdr>
              <w:shd w:val="clear" w:color="auto" w:fill="C0C0C0"/>
              <w:spacing w:before="0" w:after="30"/>
              <w:ind w:left="57" w:right="113"/>
              <w:rPr>
                <w:sz w:val="16"/>
                <w:szCs w:val="16"/>
              </w:rPr>
            </w:pPr>
            <w:r>
              <w:rPr>
                <w:b/>
                <w:bCs/>
                <w:sz w:val="12"/>
                <w:szCs w:val="12"/>
              </w:rPr>
              <w:t>1 090 843 650</w:t>
            </w:r>
          </w:p>
        </w:tc>
        <w:tc>
          <w:tcPr>
            <w:tcW w:w="1042"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2"/>
                <w:szCs w:val="12"/>
              </w:rPr>
            </w:pPr>
            <w:r>
              <w:rPr>
                <w:b/>
                <w:bCs/>
                <w:sz w:val="12"/>
                <w:szCs w:val="12"/>
              </w:rPr>
              <w:t>-2 050 000 000</w:t>
            </w:r>
          </w:p>
          <w:p w:rsidR="00AE2038" w:rsidRDefault="00AE2038">
            <w:pPr>
              <w:pStyle w:val="NormalRight"/>
              <w:pBdr>
                <w:top w:val="single" w:sz="4" w:space="0" w:color="auto"/>
              </w:pBdr>
              <w:shd w:val="clear" w:color="auto" w:fill="C0C0C0"/>
              <w:spacing w:before="0" w:after="30"/>
              <w:ind w:left="57" w:right="113"/>
              <w:rPr>
                <w:sz w:val="16"/>
                <w:szCs w:val="16"/>
              </w:rPr>
            </w:pPr>
            <w:r>
              <w:rPr>
                <w:b/>
                <w:bCs/>
                <w:sz w:val="12"/>
                <w:szCs w:val="12"/>
              </w:rPr>
              <w:t>0</w:t>
            </w:r>
          </w:p>
        </w:tc>
        <w:tc>
          <w:tcPr>
            <w:tcW w:w="1043"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2"/>
                <w:szCs w:val="12"/>
              </w:rPr>
            </w:pPr>
            <w:r>
              <w:rPr>
                <w:b/>
                <w:bCs/>
                <w:sz w:val="12"/>
                <w:szCs w:val="12"/>
              </w:rPr>
              <w:t>-520 000 000</w:t>
            </w:r>
          </w:p>
          <w:p w:rsidR="00AE2038" w:rsidRDefault="00AE2038">
            <w:pPr>
              <w:pStyle w:val="NormalRight"/>
              <w:pBdr>
                <w:top w:val="single" w:sz="4" w:space="0" w:color="auto"/>
              </w:pBdr>
              <w:shd w:val="clear" w:color="auto" w:fill="C0C0C0"/>
              <w:spacing w:before="0" w:after="30"/>
              <w:ind w:left="57" w:right="113"/>
              <w:rPr>
                <w:sz w:val="16"/>
                <w:szCs w:val="16"/>
              </w:rPr>
            </w:pPr>
            <w:r>
              <w:rPr>
                <w:b/>
                <w:bCs/>
                <w:sz w:val="12"/>
                <w:szCs w:val="12"/>
              </w:rPr>
              <w:t>0</w:t>
            </w:r>
          </w:p>
        </w:tc>
        <w:tc>
          <w:tcPr>
            <w:tcW w:w="1042"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2"/>
                <w:szCs w:val="12"/>
              </w:rPr>
            </w:pPr>
            <w:r>
              <w:rPr>
                <w:b/>
                <w:bCs/>
                <w:sz w:val="12"/>
                <w:szCs w:val="12"/>
              </w:rPr>
              <w:t xml:space="preserve"> 0</w:t>
            </w:r>
          </w:p>
          <w:p w:rsidR="00AE2038" w:rsidRDefault="00AE2038" w:rsidP="00AE2038">
            <w:pPr>
              <w:pStyle w:val="NormalRight"/>
              <w:pBdr>
                <w:top w:val="single" w:sz="4" w:space="0" w:color="auto"/>
              </w:pBdr>
              <w:shd w:val="clear" w:color="auto" w:fill="C0C0C0"/>
              <w:spacing w:before="0" w:after="30"/>
              <w:ind w:left="57" w:right="113"/>
              <w:rPr>
                <w:sz w:val="16"/>
                <w:szCs w:val="16"/>
              </w:rPr>
            </w:pPr>
            <w:r>
              <w:rPr>
                <w:b/>
                <w:bCs/>
                <w:sz w:val="12"/>
                <w:szCs w:val="12"/>
              </w:rPr>
              <w:t>2 525 891 650</w:t>
            </w:r>
          </w:p>
        </w:tc>
        <w:tc>
          <w:tcPr>
            <w:tcW w:w="1043"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2"/>
                <w:szCs w:val="12"/>
              </w:rPr>
            </w:pPr>
            <w:r>
              <w:rPr>
                <w:b/>
                <w:bCs/>
                <w:sz w:val="12"/>
                <w:szCs w:val="12"/>
              </w:rPr>
              <w:t>0</w:t>
            </w:r>
          </w:p>
          <w:p w:rsidR="00AE2038" w:rsidRDefault="00AE2038" w:rsidP="00AE2038">
            <w:pPr>
              <w:pStyle w:val="NormalRight"/>
              <w:pBdr>
                <w:top w:val="single" w:sz="4" w:space="0" w:color="auto"/>
              </w:pBdr>
              <w:shd w:val="clear" w:color="auto" w:fill="C0C0C0"/>
              <w:spacing w:before="0" w:after="30"/>
              <w:ind w:left="57" w:right="113"/>
              <w:rPr>
                <w:sz w:val="16"/>
                <w:szCs w:val="16"/>
              </w:rPr>
            </w:pPr>
            <w:r>
              <w:rPr>
                <w:b/>
                <w:bCs/>
                <w:sz w:val="12"/>
                <w:szCs w:val="12"/>
              </w:rPr>
              <w:t>1 090 843 650</w:t>
            </w:r>
          </w:p>
        </w:tc>
      </w:tr>
    </w:tbl>
    <w:p w:rsidR="00AE2038" w:rsidRDefault="00AE2038">
      <w:pPr>
        <w:keepNext/>
        <w:autoSpaceDE w:val="0"/>
        <w:autoSpaceDN w:val="0"/>
        <w:spacing w:before="480"/>
        <w:jc w:val="left"/>
        <w:outlineLvl w:val="4"/>
        <w:rPr>
          <w:b/>
          <w:bCs/>
          <w:smallCaps/>
          <w:sz w:val="28"/>
          <w:szCs w:val="28"/>
        </w:rPr>
      </w:pPr>
      <w:r>
        <w:rPr>
          <w:b/>
          <w:bCs/>
          <w:smallCaps/>
          <w:sz w:val="28"/>
          <w:szCs w:val="28"/>
        </w:rPr>
        <w:t xml:space="preserve">Chapter 01 04 — Financial operations and instruments </w:t>
      </w:r>
    </w:p>
    <w:p w:rsidR="00AE2038" w:rsidRDefault="00AE2038">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010"/>
        <w:gridCol w:w="3367"/>
        <w:gridCol w:w="336"/>
        <w:gridCol w:w="1010"/>
        <w:gridCol w:w="1010"/>
        <w:gridCol w:w="1010"/>
        <w:gridCol w:w="1010"/>
        <w:gridCol w:w="1010"/>
        <w:gridCol w:w="1010"/>
      </w:tblGrid>
      <w:tr w:rsidR="00AE2038">
        <w:trPr>
          <w:cantSplit/>
          <w:tblHeader/>
        </w:trPr>
        <w:tc>
          <w:tcPr>
            <w:tcW w:w="101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Title Chapter Article Item</w:t>
            </w:r>
          </w:p>
        </w:tc>
        <w:tc>
          <w:tcPr>
            <w:tcW w:w="3367" w:type="dxa"/>
            <w:vMerge w:val="restart"/>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Heading</w:t>
            </w:r>
          </w:p>
        </w:tc>
        <w:tc>
          <w:tcPr>
            <w:tcW w:w="336" w:type="dxa"/>
            <w:vMerge w:val="restart"/>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FF</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Draft budget 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Letter of amendment No. 1/2016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New amount</w:t>
            </w:r>
          </w:p>
        </w:tc>
      </w:tr>
      <w:tr w:rsidR="00AE2038">
        <w:trPr>
          <w:cantSplit/>
          <w:tblHeader/>
        </w:trPr>
        <w:tc>
          <w:tcPr>
            <w:tcW w:w="1010" w:type="dxa"/>
            <w:vMerge/>
            <w:tcBorders>
              <w:top w:val="nil"/>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3367" w:type="dxa"/>
            <w:vMerge/>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336" w:type="dxa"/>
            <w:vMerge/>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1010"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r>
      <w:tr w:rsidR="00AE2038">
        <w:trPr>
          <w:cantSplit/>
        </w:trPr>
        <w:tc>
          <w:tcPr>
            <w:tcW w:w="1010" w:type="dxa"/>
            <w:tcBorders>
              <w:top w:val="single" w:sz="4" w:space="0" w:color="auto"/>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01 04</w:t>
            </w:r>
          </w:p>
        </w:tc>
        <w:tc>
          <w:tcPr>
            <w:tcW w:w="3367" w:type="dxa"/>
            <w:tcBorders>
              <w:top w:val="single" w:sz="4" w:space="0" w:color="auto"/>
              <w:left w:val="nil"/>
              <w:bottom w:val="nil"/>
              <w:right w:val="single" w:sz="4" w:space="0" w:color="auto"/>
            </w:tcBorders>
          </w:tcPr>
          <w:p w:rsidR="00AE2038" w:rsidRDefault="00AE2038">
            <w:pPr>
              <w:pStyle w:val="NormalLeft"/>
              <w:spacing w:before="30" w:after="30"/>
              <w:rPr>
                <w:sz w:val="16"/>
                <w:szCs w:val="16"/>
              </w:rPr>
            </w:pPr>
            <w:r>
              <w:rPr>
                <w:sz w:val="16"/>
                <w:szCs w:val="16"/>
              </w:rPr>
              <w:t xml:space="preserve">Financial operations and instruments </w:t>
            </w:r>
          </w:p>
        </w:tc>
        <w:tc>
          <w:tcPr>
            <w:tcW w:w="336" w:type="dxa"/>
            <w:tcBorders>
              <w:top w:val="single" w:sz="4" w:space="0" w:color="auto"/>
              <w:left w:val="nil"/>
              <w:bottom w:val="nil"/>
              <w:right w:val="single" w:sz="4" w:space="0" w:color="auto"/>
            </w:tcBorders>
          </w:tcPr>
          <w:p w:rsidR="00AE2038" w:rsidRDefault="00AE2038">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01 04 01</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European Investment Fund</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01 04 01 01</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European Investment Fund — Provision of paid-up shares of subscribed capital</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41 000 000</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41 000 000</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41 000 000</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41 000 000</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01 04 01 02</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European Investment Fund — Callable portion of subscribed capital</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r>
      <w:tr w:rsidR="00AE2038">
        <w:trPr>
          <w:cantSplit/>
        </w:trPr>
        <w:tc>
          <w:tcPr>
            <w:tcW w:w="1010" w:type="dxa"/>
            <w:tcBorders>
              <w:top w:val="nil"/>
              <w:left w:val="single" w:sz="4" w:space="0" w:color="auto"/>
              <w:bottom w:val="nil"/>
              <w:right w:val="single" w:sz="4" w:space="0" w:color="auto"/>
            </w:tcBorders>
          </w:tcPr>
          <w:p w:rsidR="00AE2038" w:rsidRDefault="00AE2038">
            <w:pPr>
              <w:spacing w:before="30" w:after="30"/>
              <w:rPr>
                <w:sz w:val="16"/>
                <w:szCs w:val="16"/>
              </w:rPr>
            </w:pPr>
          </w:p>
        </w:tc>
        <w:tc>
          <w:tcPr>
            <w:tcW w:w="3367" w:type="dxa"/>
            <w:tcBorders>
              <w:top w:val="nil"/>
              <w:left w:val="nil"/>
              <w:bottom w:val="nil"/>
              <w:right w:val="single" w:sz="4" w:space="0" w:color="auto"/>
            </w:tcBorders>
          </w:tcPr>
          <w:p w:rsidR="00AE2038" w:rsidRDefault="00AE2038">
            <w:pPr>
              <w:pStyle w:val="NormalRight"/>
              <w:spacing w:before="30" w:after="30"/>
              <w:rPr>
                <w:sz w:val="16"/>
                <w:szCs w:val="16"/>
              </w:rPr>
            </w:pPr>
            <w:r>
              <w:rPr>
                <w:i/>
                <w:iCs/>
                <w:sz w:val="16"/>
                <w:szCs w:val="16"/>
              </w:rPr>
              <w:t>Article 01 04 01 — Subtotal</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41 000 000</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41 000 000</w:t>
            </w: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41 000 000</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41 000 000</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01 04 02</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Nuclear safety — Cooperation with the European Investment Bank</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01 04 03</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 xml:space="preserve">Guarantee for </w:t>
            </w:r>
            <w:proofErr w:type="spellStart"/>
            <w:r>
              <w:rPr>
                <w:b/>
                <w:bCs/>
                <w:i/>
                <w:iCs/>
                <w:sz w:val="16"/>
                <w:szCs w:val="16"/>
              </w:rPr>
              <w:t>Euratom</w:t>
            </w:r>
            <w:proofErr w:type="spellEnd"/>
            <w:r>
              <w:rPr>
                <w:b/>
                <w:bCs/>
                <w:i/>
                <w:iCs/>
                <w:sz w:val="16"/>
                <w:szCs w:val="16"/>
              </w:rPr>
              <w:t xml:space="preserve"> borrowings</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01 04 04</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Guarantee for the European Fund for Strategic Investments (EFSI)</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01 04 05</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Provisioning of the EFSI guarantee fund</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2 030 000 000</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500 000 000</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2 030 000 000</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500 000 000</w:t>
            </w:r>
          </w:p>
        </w:tc>
      </w:tr>
      <w:tr w:rsidR="00AE2038">
        <w:trPr>
          <w:cantSplit/>
        </w:trPr>
        <w:tc>
          <w:tcPr>
            <w:tcW w:w="1010" w:type="dxa"/>
            <w:tcBorders>
              <w:top w:val="nil"/>
              <w:left w:val="single" w:sz="4" w:space="0" w:color="auto"/>
              <w:bottom w:val="nil"/>
              <w:right w:val="single" w:sz="4" w:space="0" w:color="auto"/>
            </w:tcBorders>
          </w:tcPr>
          <w:p w:rsidR="00AE2038" w:rsidRDefault="00AE2038">
            <w:pPr>
              <w:spacing w:before="30" w:after="30"/>
              <w:rPr>
                <w:sz w:val="16"/>
                <w:szCs w:val="16"/>
              </w:rPr>
            </w:pPr>
          </w:p>
        </w:tc>
        <w:tc>
          <w:tcPr>
            <w:tcW w:w="3367" w:type="dxa"/>
            <w:tcBorders>
              <w:top w:val="nil"/>
              <w:left w:val="nil"/>
              <w:bottom w:val="nil"/>
              <w:right w:val="single" w:sz="4" w:space="0" w:color="auto"/>
            </w:tcBorders>
          </w:tcPr>
          <w:p w:rsidR="00AE2038" w:rsidRPr="00A07D56" w:rsidRDefault="00A07D56">
            <w:pPr>
              <w:spacing w:before="30" w:after="30"/>
              <w:rPr>
                <w:i/>
                <w:sz w:val="16"/>
                <w:szCs w:val="16"/>
              </w:rPr>
            </w:pPr>
            <w:r w:rsidRPr="00A07D56">
              <w:rPr>
                <w:i/>
                <w:sz w:val="16"/>
                <w:szCs w:val="16"/>
              </w:rPr>
              <w:t>Reserves</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2 030 000 000</w:t>
            </w:r>
          </w:p>
          <w:p w:rsidR="00AE2038" w:rsidRDefault="00AE2038">
            <w:pPr>
              <w:pStyle w:val="NormalRight"/>
              <w:pBdr>
                <w:top w:val="single" w:sz="4" w:space="0" w:color="auto"/>
              </w:pBdr>
              <w:shd w:val="clear" w:color="auto" w:fill="C0C0C0"/>
              <w:spacing w:before="0" w:after="30"/>
              <w:ind w:left="57" w:right="113"/>
              <w:rPr>
                <w:sz w:val="16"/>
                <w:szCs w:val="16"/>
              </w:rPr>
            </w:pPr>
            <w:r>
              <w:rPr>
                <w:sz w:val="12"/>
                <w:szCs w:val="12"/>
              </w:rPr>
              <w:t>2 030 000 000</w:t>
            </w:r>
          </w:p>
        </w:tc>
        <w:tc>
          <w:tcPr>
            <w:tcW w:w="1010"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500 000 000</w:t>
            </w:r>
          </w:p>
          <w:p w:rsidR="00AE2038" w:rsidRDefault="00AE2038">
            <w:pPr>
              <w:pStyle w:val="NormalRight"/>
              <w:pBdr>
                <w:top w:val="single" w:sz="4" w:space="0" w:color="auto"/>
              </w:pBdr>
              <w:shd w:val="clear" w:color="auto" w:fill="C0C0C0"/>
              <w:spacing w:before="0" w:after="30"/>
              <w:ind w:left="57" w:right="113"/>
              <w:rPr>
                <w:sz w:val="16"/>
                <w:szCs w:val="16"/>
              </w:rPr>
            </w:pPr>
            <w:r>
              <w:rPr>
                <w:sz w:val="12"/>
                <w:szCs w:val="12"/>
              </w:rPr>
              <w:t>500 000 000</w:t>
            </w:r>
          </w:p>
        </w:tc>
        <w:tc>
          <w:tcPr>
            <w:tcW w:w="1010"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-2 030 000 000</w:t>
            </w:r>
          </w:p>
          <w:p w:rsidR="00AE2038" w:rsidRDefault="00AE2038">
            <w:pPr>
              <w:pStyle w:val="NormalRight"/>
              <w:pBdr>
                <w:top w:val="single" w:sz="4" w:space="0" w:color="auto"/>
              </w:pBdr>
              <w:shd w:val="clear" w:color="auto" w:fill="C0C0C0"/>
              <w:spacing w:before="0" w:after="30"/>
              <w:ind w:left="57" w:right="113"/>
              <w:rPr>
                <w:sz w:val="16"/>
                <w:szCs w:val="16"/>
              </w:rPr>
            </w:pPr>
            <w:r>
              <w:rPr>
                <w:sz w:val="12"/>
                <w:szCs w:val="12"/>
              </w:rPr>
              <w:t>0</w:t>
            </w:r>
          </w:p>
        </w:tc>
        <w:tc>
          <w:tcPr>
            <w:tcW w:w="1010"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-500 000 000</w:t>
            </w:r>
          </w:p>
          <w:p w:rsidR="00AE2038" w:rsidRDefault="00AE2038">
            <w:pPr>
              <w:pStyle w:val="NormalRight"/>
              <w:pBdr>
                <w:top w:val="single" w:sz="4" w:space="0" w:color="auto"/>
              </w:pBdr>
              <w:shd w:val="clear" w:color="auto" w:fill="C0C0C0"/>
              <w:spacing w:before="0" w:after="30"/>
              <w:ind w:left="57" w:right="113"/>
              <w:rPr>
                <w:sz w:val="16"/>
                <w:szCs w:val="16"/>
              </w:rPr>
            </w:pPr>
            <w:r>
              <w:rPr>
                <w:sz w:val="12"/>
                <w:szCs w:val="12"/>
              </w:rPr>
              <w:t>0</w:t>
            </w:r>
          </w:p>
        </w:tc>
        <w:tc>
          <w:tcPr>
            <w:tcW w:w="1010"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0</w:t>
            </w:r>
          </w:p>
          <w:p w:rsidR="00AE2038" w:rsidRDefault="00AE2038" w:rsidP="00AE2038">
            <w:pPr>
              <w:pStyle w:val="NormalRight"/>
              <w:pBdr>
                <w:top w:val="single" w:sz="4" w:space="0" w:color="auto"/>
              </w:pBdr>
              <w:shd w:val="clear" w:color="auto" w:fill="C0C0C0"/>
              <w:spacing w:before="0" w:after="30"/>
              <w:ind w:left="57" w:right="113"/>
              <w:rPr>
                <w:sz w:val="16"/>
                <w:szCs w:val="16"/>
              </w:rPr>
            </w:pPr>
            <w:r>
              <w:rPr>
                <w:sz w:val="12"/>
                <w:szCs w:val="12"/>
              </w:rPr>
              <w:t>2 030 000 000</w:t>
            </w:r>
          </w:p>
        </w:tc>
        <w:tc>
          <w:tcPr>
            <w:tcW w:w="1010"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2"/>
                <w:szCs w:val="12"/>
              </w:rPr>
            </w:pPr>
            <w:r>
              <w:rPr>
                <w:sz w:val="12"/>
                <w:szCs w:val="12"/>
              </w:rPr>
              <w:t>0</w:t>
            </w:r>
          </w:p>
          <w:p w:rsidR="00AE2038" w:rsidRDefault="00AE2038" w:rsidP="00AE2038">
            <w:pPr>
              <w:pStyle w:val="NormalRight"/>
              <w:pBdr>
                <w:top w:val="single" w:sz="4" w:space="0" w:color="auto"/>
              </w:pBdr>
              <w:shd w:val="clear" w:color="auto" w:fill="C0C0C0"/>
              <w:spacing w:before="0" w:after="30"/>
              <w:ind w:left="57" w:right="113"/>
              <w:rPr>
                <w:sz w:val="16"/>
                <w:szCs w:val="16"/>
              </w:rPr>
            </w:pPr>
            <w:r>
              <w:rPr>
                <w:sz w:val="12"/>
                <w:szCs w:val="12"/>
              </w:rPr>
              <w:t>500 000 000</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01 04 06</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European Investment Advisory Hub (EIAH) and European Investment Project Portal (IPP)</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20 000 000</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20 000 000</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20 000 000</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20 000 000</w:t>
            </w:r>
          </w:p>
        </w:tc>
      </w:tr>
      <w:tr w:rsidR="00A07D56">
        <w:trPr>
          <w:cantSplit/>
        </w:trPr>
        <w:tc>
          <w:tcPr>
            <w:tcW w:w="1010" w:type="dxa"/>
            <w:tcBorders>
              <w:top w:val="nil"/>
              <w:left w:val="single" w:sz="4" w:space="0" w:color="auto"/>
              <w:bottom w:val="nil"/>
              <w:right w:val="single" w:sz="4" w:space="0" w:color="auto"/>
            </w:tcBorders>
          </w:tcPr>
          <w:p w:rsidR="00A07D56" w:rsidRDefault="00A07D56">
            <w:pPr>
              <w:spacing w:before="30" w:after="30"/>
              <w:rPr>
                <w:sz w:val="16"/>
                <w:szCs w:val="16"/>
              </w:rPr>
            </w:pPr>
          </w:p>
        </w:tc>
        <w:tc>
          <w:tcPr>
            <w:tcW w:w="3367" w:type="dxa"/>
            <w:tcBorders>
              <w:top w:val="nil"/>
              <w:left w:val="nil"/>
              <w:bottom w:val="nil"/>
              <w:right w:val="single" w:sz="4" w:space="0" w:color="auto"/>
            </w:tcBorders>
          </w:tcPr>
          <w:p w:rsidR="00A07D56" w:rsidRDefault="00A07D56">
            <w:pPr>
              <w:spacing w:before="30" w:after="30"/>
              <w:rPr>
                <w:sz w:val="16"/>
                <w:szCs w:val="16"/>
              </w:rPr>
            </w:pPr>
            <w:r w:rsidRPr="00A07D56">
              <w:rPr>
                <w:i/>
                <w:sz w:val="16"/>
                <w:szCs w:val="16"/>
              </w:rPr>
              <w:t>Reserves</w:t>
            </w:r>
          </w:p>
        </w:tc>
        <w:tc>
          <w:tcPr>
            <w:tcW w:w="336" w:type="dxa"/>
            <w:tcBorders>
              <w:top w:val="nil"/>
              <w:left w:val="nil"/>
              <w:bottom w:val="nil"/>
              <w:right w:val="single" w:sz="4" w:space="0" w:color="auto"/>
            </w:tcBorders>
          </w:tcPr>
          <w:p w:rsidR="00A07D56" w:rsidRDefault="00A07D56">
            <w:pPr>
              <w:spacing w:before="30" w:after="30"/>
              <w:rPr>
                <w:sz w:val="16"/>
                <w:szCs w:val="16"/>
              </w:rPr>
            </w:pPr>
          </w:p>
        </w:tc>
        <w:tc>
          <w:tcPr>
            <w:tcW w:w="1010" w:type="dxa"/>
            <w:tcBorders>
              <w:top w:val="nil"/>
              <w:left w:val="nil"/>
              <w:bottom w:val="single" w:sz="4" w:space="0" w:color="auto"/>
              <w:right w:val="single" w:sz="4" w:space="0" w:color="auto"/>
            </w:tcBorders>
          </w:tcPr>
          <w:p w:rsidR="00A07D56" w:rsidRDefault="00A07D56">
            <w:pPr>
              <w:pStyle w:val="NormalRight"/>
              <w:shd w:val="clear" w:color="auto" w:fill="C0C0C0"/>
              <w:spacing w:before="30" w:after="0"/>
              <w:ind w:left="57" w:right="113"/>
              <w:rPr>
                <w:sz w:val="12"/>
                <w:szCs w:val="12"/>
              </w:rPr>
            </w:pPr>
            <w:r>
              <w:rPr>
                <w:sz w:val="12"/>
                <w:szCs w:val="12"/>
              </w:rPr>
              <w:t>20 000 000</w:t>
            </w:r>
          </w:p>
          <w:p w:rsidR="00A07D56" w:rsidRDefault="00A07D56">
            <w:pPr>
              <w:pStyle w:val="NormalRight"/>
              <w:pBdr>
                <w:top w:val="single" w:sz="4" w:space="0" w:color="auto"/>
              </w:pBdr>
              <w:shd w:val="clear" w:color="auto" w:fill="C0C0C0"/>
              <w:spacing w:before="0" w:after="30"/>
              <w:ind w:left="57" w:right="113"/>
              <w:rPr>
                <w:sz w:val="16"/>
                <w:szCs w:val="16"/>
              </w:rPr>
            </w:pPr>
            <w:r>
              <w:rPr>
                <w:sz w:val="12"/>
                <w:szCs w:val="12"/>
              </w:rPr>
              <w:t>20 000 000</w:t>
            </w:r>
          </w:p>
        </w:tc>
        <w:tc>
          <w:tcPr>
            <w:tcW w:w="1010" w:type="dxa"/>
            <w:tcBorders>
              <w:top w:val="nil"/>
              <w:left w:val="nil"/>
              <w:bottom w:val="single" w:sz="4" w:space="0" w:color="auto"/>
              <w:right w:val="single" w:sz="4" w:space="0" w:color="auto"/>
            </w:tcBorders>
          </w:tcPr>
          <w:p w:rsidR="00A07D56" w:rsidRDefault="00A07D56">
            <w:pPr>
              <w:pStyle w:val="NormalRight"/>
              <w:shd w:val="clear" w:color="auto" w:fill="C0C0C0"/>
              <w:spacing w:before="30" w:after="0"/>
              <w:ind w:left="57" w:right="113"/>
              <w:rPr>
                <w:sz w:val="12"/>
                <w:szCs w:val="12"/>
              </w:rPr>
            </w:pPr>
            <w:r>
              <w:rPr>
                <w:sz w:val="12"/>
                <w:szCs w:val="12"/>
              </w:rPr>
              <w:t>20 000 000</w:t>
            </w:r>
          </w:p>
          <w:p w:rsidR="00A07D56" w:rsidRDefault="00A07D56">
            <w:pPr>
              <w:pStyle w:val="NormalRight"/>
              <w:pBdr>
                <w:top w:val="single" w:sz="4" w:space="0" w:color="auto"/>
              </w:pBdr>
              <w:shd w:val="clear" w:color="auto" w:fill="C0C0C0"/>
              <w:spacing w:before="0" w:after="30"/>
              <w:ind w:left="57" w:right="113"/>
              <w:rPr>
                <w:sz w:val="16"/>
                <w:szCs w:val="16"/>
              </w:rPr>
            </w:pPr>
            <w:r>
              <w:rPr>
                <w:sz w:val="12"/>
                <w:szCs w:val="12"/>
              </w:rPr>
              <w:t>20 000 000</w:t>
            </w:r>
          </w:p>
        </w:tc>
        <w:tc>
          <w:tcPr>
            <w:tcW w:w="1010" w:type="dxa"/>
            <w:tcBorders>
              <w:top w:val="nil"/>
              <w:left w:val="nil"/>
              <w:bottom w:val="single" w:sz="4" w:space="0" w:color="auto"/>
              <w:right w:val="single" w:sz="4" w:space="0" w:color="auto"/>
            </w:tcBorders>
          </w:tcPr>
          <w:p w:rsidR="00A07D56" w:rsidRDefault="00A07D56" w:rsidP="00865A8E">
            <w:pPr>
              <w:pStyle w:val="NormalRight"/>
              <w:shd w:val="clear" w:color="auto" w:fill="C0C0C0"/>
              <w:spacing w:before="30" w:after="0"/>
              <w:ind w:left="57" w:right="113"/>
              <w:rPr>
                <w:sz w:val="12"/>
                <w:szCs w:val="12"/>
              </w:rPr>
            </w:pPr>
            <w:r>
              <w:rPr>
                <w:sz w:val="12"/>
                <w:szCs w:val="12"/>
              </w:rPr>
              <w:t>-20 000 000</w:t>
            </w:r>
          </w:p>
          <w:p w:rsidR="00A07D56" w:rsidRDefault="00A07D56" w:rsidP="00865A8E">
            <w:pPr>
              <w:pStyle w:val="NormalRight"/>
              <w:pBdr>
                <w:top w:val="single" w:sz="4" w:space="0" w:color="auto"/>
              </w:pBdr>
              <w:shd w:val="clear" w:color="auto" w:fill="C0C0C0"/>
              <w:spacing w:before="0" w:after="30"/>
              <w:ind w:left="57" w:right="113"/>
              <w:rPr>
                <w:sz w:val="16"/>
                <w:szCs w:val="16"/>
              </w:rPr>
            </w:pPr>
            <w:r>
              <w:rPr>
                <w:sz w:val="12"/>
                <w:szCs w:val="12"/>
              </w:rPr>
              <w:t>0</w:t>
            </w:r>
          </w:p>
        </w:tc>
        <w:tc>
          <w:tcPr>
            <w:tcW w:w="1010" w:type="dxa"/>
            <w:tcBorders>
              <w:top w:val="nil"/>
              <w:left w:val="nil"/>
              <w:bottom w:val="single" w:sz="4" w:space="0" w:color="auto"/>
              <w:right w:val="single" w:sz="4" w:space="0" w:color="auto"/>
            </w:tcBorders>
          </w:tcPr>
          <w:p w:rsidR="00A07D56" w:rsidRDefault="00A07D56" w:rsidP="00865A8E">
            <w:pPr>
              <w:pStyle w:val="NormalRight"/>
              <w:shd w:val="clear" w:color="auto" w:fill="C0C0C0"/>
              <w:spacing w:before="30" w:after="0"/>
              <w:ind w:left="57" w:right="113"/>
              <w:rPr>
                <w:sz w:val="12"/>
                <w:szCs w:val="12"/>
              </w:rPr>
            </w:pPr>
            <w:r>
              <w:rPr>
                <w:sz w:val="12"/>
                <w:szCs w:val="12"/>
              </w:rPr>
              <w:t>-20 000 000</w:t>
            </w:r>
          </w:p>
          <w:p w:rsidR="00A07D56" w:rsidRDefault="00A07D56" w:rsidP="00865A8E">
            <w:pPr>
              <w:pStyle w:val="NormalRight"/>
              <w:pBdr>
                <w:top w:val="single" w:sz="4" w:space="0" w:color="auto"/>
              </w:pBdr>
              <w:shd w:val="clear" w:color="auto" w:fill="C0C0C0"/>
              <w:spacing w:before="0" w:after="30"/>
              <w:ind w:left="57" w:right="113"/>
              <w:rPr>
                <w:sz w:val="16"/>
                <w:szCs w:val="16"/>
              </w:rPr>
            </w:pPr>
            <w:r>
              <w:rPr>
                <w:sz w:val="12"/>
                <w:szCs w:val="12"/>
              </w:rPr>
              <w:t>0</w:t>
            </w:r>
          </w:p>
        </w:tc>
        <w:tc>
          <w:tcPr>
            <w:tcW w:w="1010" w:type="dxa"/>
            <w:tcBorders>
              <w:top w:val="nil"/>
              <w:left w:val="nil"/>
              <w:bottom w:val="single" w:sz="4" w:space="0" w:color="auto"/>
              <w:right w:val="single" w:sz="4" w:space="0" w:color="auto"/>
            </w:tcBorders>
          </w:tcPr>
          <w:p w:rsidR="00A07D56" w:rsidRDefault="00A07D56" w:rsidP="00865A8E">
            <w:pPr>
              <w:pStyle w:val="NormalRight"/>
              <w:shd w:val="clear" w:color="auto" w:fill="C0C0C0"/>
              <w:spacing w:before="30" w:after="0"/>
              <w:ind w:left="57" w:right="113"/>
              <w:rPr>
                <w:sz w:val="12"/>
                <w:szCs w:val="12"/>
              </w:rPr>
            </w:pPr>
            <w:r>
              <w:rPr>
                <w:sz w:val="12"/>
                <w:szCs w:val="12"/>
              </w:rPr>
              <w:t>0</w:t>
            </w:r>
          </w:p>
          <w:p w:rsidR="00A07D56" w:rsidRDefault="00A07D56" w:rsidP="00865A8E">
            <w:pPr>
              <w:pStyle w:val="NormalRight"/>
              <w:pBdr>
                <w:top w:val="single" w:sz="4" w:space="0" w:color="auto"/>
              </w:pBdr>
              <w:shd w:val="clear" w:color="auto" w:fill="C0C0C0"/>
              <w:spacing w:before="0" w:after="30"/>
              <w:ind w:left="57" w:right="113"/>
              <w:rPr>
                <w:sz w:val="16"/>
                <w:szCs w:val="16"/>
              </w:rPr>
            </w:pPr>
            <w:r>
              <w:rPr>
                <w:sz w:val="12"/>
                <w:szCs w:val="12"/>
              </w:rPr>
              <w:t>20 000 000</w:t>
            </w:r>
          </w:p>
        </w:tc>
        <w:tc>
          <w:tcPr>
            <w:tcW w:w="1010" w:type="dxa"/>
            <w:tcBorders>
              <w:top w:val="nil"/>
              <w:left w:val="nil"/>
              <w:bottom w:val="single" w:sz="4" w:space="0" w:color="auto"/>
              <w:right w:val="single" w:sz="4" w:space="0" w:color="auto"/>
            </w:tcBorders>
          </w:tcPr>
          <w:p w:rsidR="00A07D56" w:rsidRDefault="00A07D56" w:rsidP="00865A8E">
            <w:pPr>
              <w:pStyle w:val="NormalRight"/>
              <w:shd w:val="clear" w:color="auto" w:fill="C0C0C0"/>
              <w:spacing w:before="30" w:after="0"/>
              <w:ind w:left="57" w:right="113"/>
              <w:rPr>
                <w:sz w:val="12"/>
                <w:szCs w:val="12"/>
              </w:rPr>
            </w:pPr>
            <w:r>
              <w:rPr>
                <w:sz w:val="12"/>
                <w:szCs w:val="12"/>
              </w:rPr>
              <w:t>0</w:t>
            </w:r>
          </w:p>
          <w:p w:rsidR="00A07D56" w:rsidRDefault="00A07D56" w:rsidP="00865A8E">
            <w:pPr>
              <w:pStyle w:val="NormalRight"/>
              <w:pBdr>
                <w:top w:val="single" w:sz="4" w:space="0" w:color="auto"/>
              </w:pBdr>
              <w:shd w:val="clear" w:color="auto" w:fill="C0C0C0"/>
              <w:spacing w:before="0" w:after="30"/>
              <w:ind w:left="57" w:right="113"/>
              <w:rPr>
                <w:sz w:val="16"/>
                <w:szCs w:val="16"/>
              </w:rPr>
            </w:pPr>
            <w:r>
              <w:rPr>
                <w:sz w:val="12"/>
                <w:szCs w:val="12"/>
              </w:rPr>
              <w:t>20 000 000</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01 04 07</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Fees due to the European Investment Fund for increased assistance under the European Fund for Strategic Investments</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01 04 51</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Completion of programmes in the field of small and middle-sized enterprises (SMEs) (prior to 2014)</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96 000 000</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96 000 000</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01 04 77</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Pilot projects and preparatory actions</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lastRenderedPageBreak/>
              <w:t>01 04 77 01</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Pilot project — Strengthening cooperation and synergies between National Promotional Banks in order to support the long-term financing of the real economy</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250 000</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250 000</w:t>
            </w:r>
          </w:p>
        </w:tc>
      </w:tr>
      <w:tr w:rsidR="00AE2038">
        <w:trPr>
          <w:cantSplit/>
        </w:trPr>
        <w:tc>
          <w:tcPr>
            <w:tcW w:w="1010" w:type="dxa"/>
            <w:tcBorders>
              <w:top w:val="nil"/>
              <w:left w:val="single" w:sz="4" w:space="0" w:color="auto"/>
              <w:bottom w:val="nil"/>
              <w:right w:val="single" w:sz="4" w:space="0" w:color="auto"/>
            </w:tcBorders>
          </w:tcPr>
          <w:p w:rsidR="00AE2038" w:rsidRDefault="00AE2038">
            <w:pPr>
              <w:spacing w:before="30" w:after="30"/>
              <w:rPr>
                <w:sz w:val="16"/>
                <w:szCs w:val="16"/>
              </w:rPr>
            </w:pPr>
          </w:p>
        </w:tc>
        <w:tc>
          <w:tcPr>
            <w:tcW w:w="3367" w:type="dxa"/>
            <w:tcBorders>
              <w:top w:val="nil"/>
              <w:left w:val="nil"/>
              <w:bottom w:val="nil"/>
              <w:right w:val="single" w:sz="4" w:space="0" w:color="auto"/>
            </w:tcBorders>
          </w:tcPr>
          <w:p w:rsidR="00AE2038" w:rsidRDefault="00AE2038">
            <w:pPr>
              <w:pStyle w:val="NormalRight"/>
              <w:spacing w:before="30" w:after="30"/>
              <w:rPr>
                <w:sz w:val="16"/>
                <w:szCs w:val="16"/>
              </w:rPr>
            </w:pPr>
            <w:r>
              <w:rPr>
                <w:i/>
                <w:iCs/>
                <w:sz w:val="16"/>
                <w:szCs w:val="16"/>
              </w:rPr>
              <w:t>Article 01 04 77 — Subtotal</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250 000</w:t>
            </w: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250 000</w:t>
            </w:r>
          </w:p>
        </w:tc>
      </w:tr>
      <w:tr w:rsidR="00AE2038">
        <w:trPr>
          <w:cantSplit/>
        </w:trPr>
        <w:tc>
          <w:tcPr>
            <w:tcW w:w="1010" w:type="dxa"/>
            <w:tcBorders>
              <w:top w:val="nil"/>
              <w:left w:val="single" w:sz="4" w:space="0" w:color="auto"/>
              <w:bottom w:val="nil"/>
              <w:right w:val="single" w:sz="4" w:space="0" w:color="auto"/>
            </w:tcBorders>
          </w:tcPr>
          <w:p w:rsidR="00AE2038" w:rsidRDefault="00AE2038">
            <w:pPr>
              <w:spacing w:before="30" w:after="30"/>
              <w:rPr>
                <w:sz w:val="16"/>
                <w:szCs w:val="16"/>
              </w:rPr>
            </w:pPr>
          </w:p>
        </w:tc>
        <w:tc>
          <w:tcPr>
            <w:tcW w:w="3367" w:type="dxa"/>
            <w:tcBorders>
              <w:top w:val="nil"/>
              <w:left w:val="nil"/>
              <w:bottom w:val="nil"/>
              <w:right w:val="single" w:sz="4" w:space="0" w:color="auto"/>
            </w:tcBorders>
          </w:tcPr>
          <w:p w:rsidR="00AE2038" w:rsidRDefault="00AE2038">
            <w:pPr>
              <w:pStyle w:val="NormalRight"/>
              <w:spacing w:before="30" w:after="30"/>
              <w:rPr>
                <w:sz w:val="16"/>
                <w:szCs w:val="16"/>
              </w:rPr>
            </w:pPr>
            <w:r>
              <w:rPr>
                <w:b/>
                <w:bCs/>
                <w:sz w:val="16"/>
                <w:szCs w:val="16"/>
              </w:rPr>
              <w:t>Chapter 01 04 — Total</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nil"/>
              <w:right w:val="single" w:sz="4" w:space="0" w:color="auto"/>
            </w:tcBorders>
          </w:tcPr>
          <w:p w:rsidR="00AE2038" w:rsidRDefault="00AE2038">
            <w:pPr>
              <w:pStyle w:val="NormalRight"/>
              <w:spacing w:before="30" w:after="30"/>
              <w:rPr>
                <w:sz w:val="16"/>
                <w:szCs w:val="16"/>
              </w:rPr>
            </w:pPr>
            <w:r>
              <w:rPr>
                <w:b/>
                <w:bCs/>
                <w:sz w:val="16"/>
                <w:szCs w:val="16"/>
              </w:rPr>
              <w:t>41 000 000</w:t>
            </w:r>
          </w:p>
        </w:tc>
        <w:tc>
          <w:tcPr>
            <w:tcW w:w="1010" w:type="dxa"/>
            <w:tcBorders>
              <w:top w:val="nil"/>
              <w:left w:val="nil"/>
              <w:bottom w:val="nil"/>
              <w:right w:val="single" w:sz="4" w:space="0" w:color="auto"/>
            </w:tcBorders>
          </w:tcPr>
          <w:p w:rsidR="00AE2038" w:rsidRDefault="00AE2038">
            <w:pPr>
              <w:pStyle w:val="NormalRight"/>
              <w:spacing w:before="30" w:after="30"/>
              <w:rPr>
                <w:sz w:val="16"/>
                <w:szCs w:val="16"/>
              </w:rPr>
            </w:pPr>
            <w:r>
              <w:rPr>
                <w:b/>
                <w:bCs/>
                <w:sz w:val="16"/>
                <w:szCs w:val="16"/>
              </w:rPr>
              <w:t>137 250 000</w:t>
            </w:r>
          </w:p>
        </w:tc>
        <w:tc>
          <w:tcPr>
            <w:tcW w:w="1010" w:type="dxa"/>
            <w:tcBorders>
              <w:top w:val="nil"/>
              <w:left w:val="nil"/>
              <w:bottom w:val="nil"/>
              <w:right w:val="single" w:sz="4" w:space="0" w:color="auto"/>
            </w:tcBorders>
          </w:tcPr>
          <w:p w:rsidR="00AE2038" w:rsidRDefault="00AE2038">
            <w:pPr>
              <w:pStyle w:val="NormalRight"/>
              <w:spacing w:before="30" w:after="30"/>
              <w:rPr>
                <w:sz w:val="16"/>
                <w:szCs w:val="16"/>
              </w:rPr>
            </w:pPr>
            <w:r>
              <w:rPr>
                <w:b/>
                <w:bCs/>
                <w:sz w:val="16"/>
                <w:szCs w:val="16"/>
              </w:rPr>
              <w:t>2 050 000 000</w:t>
            </w:r>
          </w:p>
        </w:tc>
        <w:tc>
          <w:tcPr>
            <w:tcW w:w="1010" w:type="dxa"/>
            <w:tcBorders>
              <w:top w:val="nil"/>
              <w:left w:val="nil"/>
              <w:bottom w:val="nil"/>
              <w:right w:val="single" w:sz="4" w:space="0" w:color="auto"/>
            </w:tcBorders>
          </w:tcPr>
          <w:p w:rsidR="00AE2038" w:rsidRDefault="00AE2038">
            <w:pPr>
              <w:pStyle w:val="NormalRight"/>
              <w:spacing w:before="30" w:after="30"/>
              <w:rPr>
                <w:sz w:val="16"/>
                <w:szCs w:val="16"/>
              </w:rPr>
            </w:pPr>
            <w:r>
              <w:rPr>
                <w:b/>
                <w:bCs/>
                <w:sz w:val="16"/>
                <w:szCs w:val="16"/>
              </w:rPr>
              <w:t>520 000 000</w:t>
            </w:r>
          </w:p>
        </w:tc>
        <w:tc>
          <w:tcPr>
            <w:tcW w:w="1010" w:type="dxa"/>
            <w:tcBorders>
              <w:top w:val="nil"/>
              <w:left w:val="nil"/>
              <w:bottom w:val="nil"/>
              <w:right w:val="single" w:sz="4" w:space="0" w:color="auto"/>
            </w:tcBorders>
          </w:tcPr>
          <w:p w:rsidR="00AE2038" w:rsidRDefault="00AE2038">
            <w:pPr>
              <w:pStyle w:val="NormalRight"/>
              <w:spacing w:before="30" w:after="30"/>
              <w:rPr>
                <w:sz w:val="16"/>
                <w:szCs w:val="16"/>
              </w:rPr>
            </w:pPr>
            <w:r>
              <w:rPr>
                <w:b/>
                <w:bCs/>
                <w:sz w:val="16"/>
                <w:szCs w:val="16"/>
              </w:rPr>
              <w:t>2 091 000 000</w:t>
            </w:r>
          </w:p>
        </w:tc>
        <w:tc>
          <w:tcPr>
            <w:tcW w:w="1010" w:type="dxa"/>
            <w:tcBorders>
              <w:top w:val="nil"/>
              <w:left w:val="nil"/>
              <w:bottom w:val="nil"/>
              <w:right w:val="single" w:sz="4" w:space="0" w:color="auto"/>
            </w:tcBorders>
          </w:tcPr>
          <w:p w:rsidR="00AE2038" w:rsidRDefault="00AE2038">
            <w:pPr>
              <w:pStyle w:val="NormalRight"/>
              <w:spacing w:before="30" w:after="30"/>
              <w:rPr>
                <w:sz w:val="16"/>
                <w:szCs w:val="16"/>
              </w:rPr>
            </w:pPr>
            <w:r>
              <w:rPr>
                <w:b/>
                <w:bCs/>
                <w:sz w:val="16"/>
                <w:szCs w:val="16"/>
              </w:rPr>
              <w:t>657 250 000</w:t>
            </w:r>
          </w:p>
        </w:tc>
      </w:tr>
      <w:tr w:rsidR="00AE2038">
        <w:trPr>
          <w:cantSplit/>
        </w:trPr>
        <w:tc>
          <w:tcPr>
            <w:tcW w:w="1010" w:type="dxa"/>
            <w:tcBorders>
              <w:top w:val="nil"/>
              <w:left w:val="single" w:sz="4" w:space="0" w:color="auto"/>
              <w:bottom w:val="single" w:sz="4" w:space="0" w:color="auto"/>
              <w:right w:val="single" w:sz="4" w:space="0" w:color="auto"/>
            </w:tcBorders>
          </w:tcPr>
          <w:p w:rsidR="00AE2038" w:rsidRDefault="00AE2038">
            <w:pPr>
              <w:spacing w:before="30" w:after="30"/>
              <w:rPr>
                <w:sz w:val="16"/>
                <w:szCs w:val="16"/>
              </w:rPr>
            </w:pPr>
          </w:p>
        </w:tc>
        <w:tc>
          <w:tcPr>
            <w:tcW w:w="3367" w:type="dxa"/>
            <w:tcBorders>
              <w:top w:val="nil"/>
              <w:left w:val="nil"/>
              <w:bottom w:val="single" w:sz="4" w:space="0" w:color="auto"/>
              <w:right w:val="single" w:sz="4" w:space="0" w:color="auto"/>
            </w:tcBorders>
          </w:tcPr>
          <w:p w:rsidR="00AE2038" w:rsidRDefault="00A07D56" w:rsidP="00A07D56">
            <w:pPr>
              <w:pStyle w:val="NormalRight"/>
              <w:spacing w:before="30" w:after="0"/>
              <w:ind w:left="57" w:right="113"/>
              <w:rPr>
                <w:sz w:val="12"/>
                <w:szCs w:val="12"/>
              </w:rPr>
            </w:pPr>
            <w:r>
              <w:rPr>
                <w:sz w:val="12"/>
                <w:szCs w:val="12"/>
              </w:rPr>
              <w:t>Reserves</w:t>
            </w:r>
          </w:p>
          <w:p w:rsidR="00AE2038" w:rsidRDefault="00AE2038">
            <w:pPr>
              <w:pStyle w:val="NormalRight"/>
              <w:pBdr>
                <w:top w:val="single" w:sz="4" w:space="0" w:color="auto"/>
              </w:pBdr>
              <w:spacing w:before="0" w:after="30"/>
              <w:ind w:left="57" w:right="113"/>
              <w:rPr>
                <w:sz w:val="16"/>
                <w:szCs w:val="16"/>
              </w:rPr>
            </w:pPr>
            <w:r>
              <w:rPr>
                <w:b/>
                <w:bCs/>
                <w:sz w:val="12"/>
                <w:szCs w:val="12"/>
              </w:rPr>
              <w:t>Total including reserves</w:t>
            </w:r>
          </w:p>
        </w:tc>
        <w:tc>
          <w:tcPr>
            <w:tcW w:w="336"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2"/>
                <w:szCs w:val="12"/>
              </w:rPr>
            </w:pPr>
            <w:r>
              <w:rPr>
                <w:b/>
                <w:bCs/>
                <w:sz w:val="12"/>
                <w:szCs w:val="12"/>
              </w:rPr>
              <w:t>2 050 000 000</w:t>
            </w:r>
          </w:p>
          <w:p w:rsidR="00AE2038" w:rsidRDefault="00AE2038">
            <w:pPr>
              <w:pStyle w:val="NormalRight"/>
              <w:pBdr>
                <w:top w:val="single" w:sz="4" w:space="0" w:color="auto"/>
              </w:pBdr>
              <w:shd w:val="clear" w:color="auto" w:fill="C0C0C0"/>
              <w:spacing w:before="0" w:after="30"/>
              <w:ind w:left="57" w:right="113"/>
              <w:rPr>
                <w:sz w:val="16"/>
                <w:szCs w:val="16"/>
              </w:rPr>
            </w:pPr>
            <w:r>
              <w:rPr>
                <w:b/>
                <w:bCs/>
                <w:sz w:val="12"/>
                <w:szCs w:val="12"/>
              </w:rPr>
              <w:t>2 091 000 000</w:t>
            </w:r>
          </w:p>
        </w:tc>
        <w:tc>
          <w:tcPr>
            <w:tcW w:w="1010"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2"/>
                <w:szCs w:val="12"/>
              </w:rPr>
            </w:pPr>
            <w:r>
              <w:rPr>
                <w:b/>
                <w:bCs/>
                <w:sz w:val="12"/>
                <w:szCs w:val="12"/>
              </w:rPr>
              <w:t>520 000 000</w:t>
            </w:r>
          </w:p>
          <w:p w:rsidR="00AE2038" w:rsidRDefault="00AE2038">
            <w:pPr>
              <w:pStyle w:val="NormalRight"/>
              <w:pBdr>
                <w:top w:val="single" w:sz="4" w:space="0" w:color="auto"/>
              </w:pBdr>
              <w:shd w:val="clear" w:color="auto" w:fill="C0C0C0"/>
              <w:spacing w:before="0" w:after="30"/>
              <w:ind w:left="57" w:right="113"/>
              <w:rPr>
                <w:sz w:val="16"/>
                <w:szCs w:val="16"/>
              </w:rPr>
            </w:pPr>
            <w:r>
              <w:rPr>
                <w:b/>
                <w:bCs/>
                <w:sz w:val="12"/>
                <w:szCs w:val="12"/>
              </w:rPr>
              <w:t>657 250 000</w:t>
            </w:r>
          </w:p>
        </w:tc>
        <w:tc>
          <w:tcPr>
            <w:tcW w:w="1010"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2"/>
                <w:szCs w:val="12"/>
              </w:rPr>
            </w:pPr>
            <w:r>
              <w:rPr>
                <w:b/>
                <w:bCs/>
                <w:sz w:val="12"/>
                <w:szCs w:val="12"/>
              </w:rPr>
              <w:t xml:space="preserve">-2 </w:t>
            </w:r>
            <w:r w:rsidR="00A07D56">
              <w:rPr>
                <w:b/>
                <w:bCs/>
                <w:sz w:val="12"/>
                <w:szCs w:val="12"/>
              </w:rPr>
              <w:t>050 000 000</w:t>
            </w:r>
          </w:p>
          <w:p w:rsidR="00AE2038" w:rsidRDefault="00AE2038">
            <w:pPr>
              <w:pStyle w:val="NormalRight"/>
              <w:pBdr>
                <w:top w:val="single" w:sz="4" w:space="0" w:color="auto"/>
              </w:pBdr>
              <w:shd w:val="clear" w:color="auto" w:fill="C0C0C0"/>
              <w:spacing w:before="0" w:after="30"/>
              <w:ind w:left="57" w:right="113"/>
              <w:rPr>
                <w:sz w:val="16"/>
                <w:szCs w:val="16"/>
              </w:rPr>
            </w:pPr>
            <w:r>
              <w:rPr>
                <w:b/>
                <w:bCs/>
                <w:sz w:val="12"/>
                <w:szCs w:val="12"/>
              </w:rPr>
              <w:t>0</w:t>
            </w:r>
          </w:p>
        </w:tc>
        <w:tc>
          <w:tcPr>
            <w:tcW w:w="1010"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2"/>
                <w:szCs w:val="12"/>
              </w:rPr>
            </w:pPr>
            <w:r>
              <w:rPr>
                <w:b/>
                <w:bCs/>
                <w:sz w:val="12"/>
                <w:szCs w:val="12"/>
              </w:rPr>
              <w:t>-</w:t>
            </w:r>
            <w:r w:rsidR="00A07D56">
              <w:rPr>
                <w:b/>
                <w:bCs/>
                <w:sz w:val="12"/>
                <w:szCs w:val="12"/>
              </w:rPr>
              <w:t>520 000 000</w:t>
            </w:r>
          </w:p>
          <w:p w:rsidR="00AE2038" w:rsidRDefault="00AE2038">
            <w:pPr>
              <w:pStyle w:val="NormalRight"/>
              <w:pBdr>
                <w:top w:val="single" w:sz="4" w:space="0" w:color="auto"/>
              </w:pBdr>
              <w:shd w:val="clear" w:color="auto" w:fill="C0C0C0"/>
              <w:spacing w:before="0" w:after="30"/>
              <w:ind w:left="57" w:right="113"/>
              <w:rPr>
                <w:sz w:val="16"/>
                <w:szCs w:val="16"/>
              </w:rPr>
            </w:pPr>
            <w:r>
              <w:rPr>
                <w:b/>
                <w:bCs/>
                <w:sz w:val="12"/>
                <w:szCs w:val="12"/>
              </w:rPr>
              <w:t>0</w:t>
            </w:r>
          </w:p>
        </w:tc>
        <w:tc>
          <w:tcPr>
            <w:tcW w:w="1010"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2"/>
                <w:szCs w:val="12"/>
              </w:rPr>
            </w:pPr>
            <w:r>
              <w:rPr>
                <w:b/>
                <w:bCs/>
                <w:sz w:val="12"/>
                <w:szCs w:val="12"/>
              </w:rPr>
              <w:t>0</w:t>
            </w:r>
          </w:p>
          <w:p w:rsidR="00AE2038" w:rsidRDefault="00AE2038" w:rsidP="00A07D56">
            <w:pPr>
              <w:pStyle w:val="NormalRight"/>
              <w:pBdr>
                <w:top w:val="single" w:sz="4" w:space="0" w:color="auto"/>
              </w:pBdr>
              <w:shd w:val="clear" w:color="auto" w:fill="C0C0C0"/>
              <w:spacing w:before="0" w:after="30"/>
              <w:ind w:left="57" w:right="113"/>
              <w:rPr>
                <w:sz w:val="16"/>
                <w:szCs w:val="16"/>
              </w:rPr>
            </w:pPr>
            <w:r>
              <w:rPr>
                <w:b/>
                <w:bCs/>
                <w:sz w:val="12"/>
                <w:szCs w:val="12"/>
              </w:rPr>
              <w:t>2 091 000 0</w:t>
            </w:r>
            <w:r w:rsidR="00A07D56">
              <w:rPr>
                <w:b/>
                <w:bCs/>
                <w:sz w:val="12"/>
                <w:szCs w:val="12"/>
              </w:rPr>
              <w:t>0</w:t>
            </w:r>
            <w:r>
              <w:rPr>
                <w:b/>
                <w:bCs/>
                <w:sz w:val="12"/>
                <w:szCs w:val="12"/>
              </w:rPr>
              <w:t>0</w:t>
            </w:r>
          </w:p>
        </w:tc>
        <w:tc>
          <w:tcPr>
            <w:tcW w:w="1010" w:type="dxa"/>
            <w:tcBorders>
              <w:top w:val="nil"/>
              <w:left w:val="nil"/>
              <w:bottom w:val="single" w:sz="4" w:space="0" w:color="auto"/>
              <w:right w:val="single" w:sz="4" w:space="0" w:color="auto"/>
            </w:tcBorders>
          </w:tcPr>
          <w:p w:rsidR="00AE2038" w:rsidRDefault="00AE2038">
            <w:pPr>
              <w:pStyle w:val="NormalRight"/>
              <w:shd w:val="clear" w:color="auto" w:fill="C0C0C0"/>
              <w:spacing w:before="30" w:after="0"/>
              <w:ind w:left="57" w:right="113"/>
              <w:rPr>
                <w:sz w:val="12"/>
                <w:szCs w:val="12"/>
              </w:rPr>
            </w:pPr>
            <w:r>
              <w:rPr>
                <w:b/>
                <w:bCs/>
                <w:sz w:val="12"/>
                <w:szCs w:val="12"/>
              </w:rPr>
              <w:t>0</w:t>
            </w:r>
          </w:p>
          <w:p w:rsidR="00AE2038" w:rsidRDefault="00AE2038" w:rsidP="00A07D56">
            <w:pPr>
              <w:pStyle w:val="NormalRight"/>
              <w:pBdr>
                <w:top w:val="single" w:sz="4" w:space="0" w:color="auto"/>
              </w:pBdr>
              <w:shd w:val="clear" w:color="auto" w:fill="C0C0C0"/>
              <w:spacing w:before="0" w:after="30"/>
              <w:ind w:left="57" w:right="113"/>
              <w:rPr>
                <w:sz w:val="16"/>
                <w:szCs w:val="16"/>
              </w:rPr>
            </w:pPr>
            <w:r>
              <w:rPr>
                <w:b/>
                <w:bCs/>
                <w:sz w:val="12"/>
                <w:szCs w:val="12"/>
              </w:rPr>
              <w:t>657 250 0</w:t>
            </w:r>
            <w:r w:rsidR="00A07D56">
              <w:rPr>
                <w:b/>
                <w:bCs/>
                <w:sz w:val="12"/>
                <w:szCs w:val="12"/>
              </w:rPr>
              <w:t>0</w:t>
            </w:r>
            <w:r>
              <w:rPr>
                <w:b/>
                <w:bCs/>
                <w:sz w:val="12"/>
                <w:szCs w:val="12"/>
              </w:rPr>
              <w:t>0</w:t>
            </w:r>
          </w:p>
        </w:tc>
      </w:tr>
    </w:tbl>
    <w:p w:rsidR="00AE2038" w:rsidRDefault="00AE2038">
      <w:pPr>
        <w:keepNext/>
        <w:autoSpaceDE w:val="0"/>
        <w:autoSpaceDN w:val="0"/>
        <w:spacing w:before="480"/>
        <w:jc w:val="left"/>
        <w:outlineLvl w:val="5"/>
        <w:rPr>
          <w:b/>
          <w:bCs/>
          <w:i/>
          <w:iCs/>
          <w:sz w:val="24"/>
          <w:szCs w:val="24"/>
        </w:rPr>
      </w:pPr>
      <w:r>
        <w:rPr>
          <w:b/>
          <w:bCs/>
          <w:i/>
          <w:iCs/>
          <w:sz w:val="24"/>
          <w:szCs w:val="24"/>
        </w:rPr>
        <w:t>Article 01 04 05 — </w:t>
      </w:r>
      <w:proofErr w:type="gramStart"/>
      <w:r>
        <w:rPr>
          <w:b/>
          <w:bCs/>
          <w:i/>
          <w:iCs/>
          <w:sz w:val="24"/>
          <w:szCs w:val="24"/>
        </w:rPr>
        <w:t>Provisioning</w:t>
      </w:r>
      <w:proofErr w:type="gramEnd"/>
      <w:r>
        <w:rPr>
          <w:b/>
          <w:bCs/>
          <w:i/>
          <w:iCs/>
          <w:sz w:val="24"/>
          <w:szCs w:val="24"/>
        </w:rPr>
        <w:t xml:space="preserve"> of the EFSI guarantee fund</w:t>
      </w:r>
    </w:p>
    <w:p w:rsidR="00AE2038" w:rsidRDefault="00AE2038">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539"/>
        <w:gridCol w:w="1539"/>
        <w:gridCol w:w="1539"/>
        <w:gridCol w:w="1539"/>
        <w:gridCol w:w="1539"/>
        <w:gridCol w:w="1539"/>
        <w:gridCol w:w="1539"/>
      </w:tblGrid>
      <w:tr w:rsidR="00AE2038">
        <w:trPr>
          <w:cantSplit/>
          <w:tblHeader/>
        </w:trPr>
        <w:tc>
          <w:tcPr>
            <w:tcW w:w="1539" w:type="dxa"/>
            <w:vMerge w:val="restart"/>
            <w:tcBorders>
              <w:top w:val="single" w:sz="4" w:space="0" w:color="auto"/>
              <w:left w:val="single" w:sz="4" w:space="0" w:color="auto"/>
              <w:bottom w:val="single" w:sz="4" w:space="0" w:color="auto"/>
              <w:right w:val="single" w:sz="4" w:space="0" w:color="auto"/>
            </w:tcBorders>
            <w:shd w:val="clear" w:color="auto" w:fill="E0E0E0"/>
          </w:tcPr>
          <w:p w:rsidR="00AE2038" w:rsidRDefault="00AE2038">
            <w:pPr>
              <w:keepNext/>
              <w:spacing w:before="30" w:after="30"/>
              <w:rPr>
                <w:sz w:val="16"/>
                <w:szCs w:val="16"/>
              </w:rPr>
            </w:pPr>
          </w:p>
        </w:tc>
        <w:tc>
          <w:tcPr>
            <w:tcW w:w="3078"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Draft budget 2016</w:t>
            </w:r>
          </w:p>
        </w:tc>
        <w:tc>
          <w:tcPr>
            <w:tcW w:w="3078"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Letter of amendment No. 1/2016</w:t>
            </w:r>
          </w:p>
        </w:tc>
        <w:tc>
          <w:tcPr>
            <w:tcW w:w="3078"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New amount</w:t>
            </w:r>
          </w:p>
        </w:tc>
      </w:tr>
      <w:tr w:rsidR="00AE2038">
        <w:trPr>
          <w:cantSplit/>
          <w:tblHeader/>
        </w:trPr>
        <w:tc>
          <w:tcPr>
            <w:tcW w:w="1539" w:type="dxa"/>
            <w:vMerge/>
            <w:tcBorders>
              <w:top w:val="nil"/>
              <w:left w:val="single" w:sz="4" w:space="0" w:color="auto"/>
              <w:bottom w:val="single" w:sz="4" w:space="0" w:color="auto"/>
              <w:right w:val="single" w:sz="4" w:space="0" w:color="auto"/>
            </w:tcBorders>
            <w:shd w:val="clear" w:color="auto" w:fill="E0E0E0"/>
          </w:tcPr>
          <w:p w:rsidR="00AE2038" w:rsidRDefault="00AE2038">
            <w:pPr>
              <w:pStyle w:val="NormalCentered"/>
              <w:keepNext/>
              <w:spacing w:before="30" w:after="30"/>
              <w:rPr>
                <w:sz w:val="16"/>
                <w:szCs w:val="16"/>
              </w:rPr>
            </w:pPr>
          </w:p>
        </w:tc>
        <w:tc>
          <w:tcPr>
            <w:tcW w:w="1539"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539"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539"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539"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539"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539"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r>
      <w:tr w:rsidR="00AE2038">
        <w:trPr>
          <w:cantSplit/>
        </w:trPr>
        <w:tc>
          <w:tcPr>
            <w:tcW w:w="1539" w:type="dxa"/>
            <w:tcBorders>
              <w:top w:val="single" w:sz="4" w:space="0" w:color="auto"/>
              <w:left w:val="single" w:sz="4" w:space="0" w:color="auto"/>
              <w:bottom w:val="single" w:sz="4" w:space="0" w:color="auto"/>
              <w:right w:val="single" w:sz="4" w:space="0" w:color="auto"/>
            </w:tcBorders>
            <w:vAlign w:val="center"/>
          </w:tcPr>
          <w:p w:rsidR="00AE2038" w:rsidRDefault="00AE2038">
            <w:pPr>
              <w:pStyle w:val="NormalLeft"/>
              <w:spacing w:before="30" w:after="30"/>
              <w:rPr>
                <w:sz w:val="16"/>
                <w:szCs w:val="16"/>
              </w:rPr>
            </w:pPr>
            <w:r>
              <w:rPr>
                <w:sz w:val="16"/>
                <w:szCs w:val="16"/>
              </w:rPr>
              <w:t>01 04 05</w:t>
            </w:r>
          </w:p>
        </w:tc>
        <w:tc>
          <w:tcPr>
            <w:tcW w:w="1539"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p.m.</w:t>
            </w:r>
          </w:p>
        </w:tc>
        <w:tc>
          <w:tcPr>
            <w:tcW w:w="1539"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p.m.</w:t>
            </w:r>
          </w:p>
        </w:tc>
        <w:tc>
          <w:tcPr>
            <w:tcW w:w="1539"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2 030 000 000</w:t>
            </w:r>
          </w:p>
        </w:tc>
        <w:tc>
          <w:tcPr>
            <w:tcW w:w="1539"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500 000 000</w:t>
            </w:r>
          </w:p>
        </w:tc>
        <w:tc>
          <w:tcPr>
            <w:tcW w:w="1539"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2 030 000 000</w:t>
            </w:r>
          </w:p>
        </w:tc>
        <w:tc>
          <w:tcPr>
            <w:tcW w:w="1539"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500 000 000</w:t>
            </w:r>
          </w:p>
        </w:tc>
      </w:tr>
      <w:tr w:rsidR="00AE2038">
        <w:trPr>
          <w:cantSplit/>
        </w:trPr>
        <w:tc>
          <w:tcPr>
            <w:tcW w:w="1539" w:type="dxa"/>
            <w:tcBorders>
              <w:top w:val="nil"/>
              <w:left w:val="single" w:sz="4" w:space="0" w:color="auto"/>
              <w:bottom w:val="single" w:sz="12" w:space="0" w:color="auto"/>
              <w:right w:val="single" w:sz="4" w:space="0" w:color="auto"/>
            </w:tcBorders>
            <w:vAlign w:val="center"/>
          </w:tcPr>
          <w:p w:rsidR="00AE2038" w:rsidRPr="00A07D56" w:rsidRDefault="001E5BF9" w:rsidP="00A07D56">
            <w:pPr>
              <w:spacing w:before="30" w:after="30"/>
              <w:rPr>
                <w:i/>
                <w:sz w:val="16"/>
                <w:szCs w:val="16"/>
              </w:rPr>
            </w:pPr>
            <w:r>
              <w:rPr>
                <w:i/>
                <w:sz w:val="16"/>
                <w:szCs w:val="16"/>
              </w:rPr>
              <w:t>Reserves</w:t>
            </w:r>
          </w:p>
        </w:tc>
        <w:tc>
          <w:tcPr>
            <w:tcW w:w="1539" w:type="dxa"/>
            <w:tcBorders>
              <w:top w:val="nil"/>
              <w:left w:val="nil"/>
              <w:bottom w:val="single" w:sz="12" w:space="0" w:color="auto"/>
              <w:right w:val="single" w:sz="4" w:space="0" w:color="auto"/>
            </w:tcBorders>
            <w:vAlign w:val="center"/>
          </w:tcPr>
          <w:p w:rsidR="00AE2038" w:rsidRDefault="00AE2038">
            <w:pPr>
              <w:pStyle w:val="NormalRight"/>
              <w:spacing w:before="30" w:after="30"/>
              <w:rPr>
                <w:sz w:val="16"/>
                <w:szCs w:val="16"/>
              </w:rPr>
            </w:pPr>
            <w:r>
              <w:rPr>
                <w:sz w:val="16"/>
                <w:szCs w:val="16"/>
              </w:rPr>
              <w:t>2 030 000 000</w:t>
            </w:r>
          </w:p>
        </w:tc>
        <w:tc>
          <w:tcPr>
            <w:tcW w:w="1539" w:type="dxa"/>
            <w:tcBorders>
              <w:top w:val="nil"/>
              <w:left w:val="nil"/>
              <w:bottom w:val="single" w:sz="12" w:space="0" w:color="auto"/>
              <w:right w:val="single" w:sz="4" w:space="0" w:color="auto"/>
            </w:tcBorders>
            <w:vAlign w:val="center"/>
          </w:tcPr>
          <w:p w:rsidR="00AE2038" w:rsidRDefault="00AE2038">
            <w:pPr>
              <w:pStyle w:val="NormalRight"/>
              <w:spacing w:before="30" w:after="30"/>
              <w:rPr>
                <w:sz w:val="16"/>
                <w:szCs w:val="16"/>
              </w:rPr>
            </w:pPr>
            <w:r>
              <w:rPr>
                <w:sz w:val="16"/>
                <w:szCs w:val="16"/>
              </w:rPr>
              <w:t>500 000 000</w:t>
            </w:r>
          </w:p>
        </w:tc>
        <w:tc>
          <w:tcPr>
            <w:tcW w:w="1539" w:type="dxa"/>
            <w:tcBorders>
              <w:top w:val="nil"/>
              <w:left w:val="nil"/>
              <w:bottom w:val="single" w:sz="12" w:space="0" w:color="auto"/>
              <w:right w:val="single" w:sz="4" w:space="0" w:color="auto"/>
            </w:tcBorders>
            <w:vAlign w:val="center"/>
          </w:tcPr>
          <w:p w:rsidR="00AE2038" w:rsidRDefault="00AE2038" w:rsidP="00A07D56">
            <w:pPr>
              <w:pStyle w:val="NormalRight"/>
              <w:spacing w:before="30" w:after="30"/>
              <w:rPr>
                <w:sz w:val="16"/>
                <w:szCs w:val="16"/>
              </w:rPr>
            </w:pPr>
            <w:r>
              <w:rPr>
                <w:sz w:val="16"/>
                <w:szCs w:val="16"/>
              </w:rPr>
              <w:t xml:space="preserve">-2 </w:t>
            </w:r>
            <w:r w:rsidR="00A07D56">
              <w:rPr>
                <w:sz w:val="16"/>
                <w:szCs w:val="16"/>
              </w:rPr>
              <w:t>030 000 000</w:t>
            </w:r>
          </w:p>
        </w:tc>
        <w:tc>
          <w:tcPr>
            <w:tcW w:w="1539" w:type="dxa"/>
            <w:tcBorders>
              <w:top w:val="nil"/>
              <w:left w:val="nil"/>
              <w:bottom w:val="single" w:sz="12" w:space="0" w:color="auto"/>
              <w:right w:val="single" w:sz="4" w:space="0" w:color="auto"/>
            </w:tcBorders>
            <w:vAlign w:val="center"/>
          </w:tcPr>
          <w:p w:rsidR="00AE2038" w:rsidRDefault="00AE2038" w:rsidP="00A07D56">
            <w:pPr>
              <w:pStyle w:val="NormalRight"/>
              <w:spacing w:before="30" w:after="30"/>
              <w:rPr>
                <w:sz w:val="16"/>
                <w:szCs w:val="16"/>
              </w:rPr>
            </w:pPr>
            <w:r>
              <w:rPr>
                <w:sz w:val="16"/>
                <w:szCs w:val="16"/>
              </w:rPr>
              <w:t>-</w:t>
            </w:r>
            <w:r w:rsidR="00A07D56">
              <w:rPr>
                <w:sz w:val="16"/>
                <w:szCs w:val="16"/>
              </w:rPr>
              <w:t>500 000 000</w:t>
            </w:r>
          </w:p>
        </w:tc>
        <w:tc>
          <w:tcPr>
            <w:tcW w:w="1539" w:type="dxa"/>
            <w:tcBorders>
              <w:top w:val="nil"/>
              <w:left w:val="nil"/>
              <w:bottom w:val="single" w:sz="12" w:space="0" w:color="auto"/>
              <w:right w:val="single" w:sz="4" w:space="0" w:color="auto"/>
            </w:tcBorders>
            <w:vAlign w:val="center"/>
          </w:tcPr>
          <w:p w:rsidR="00AE2038" w:rsidRDefault="00AE2038">
            <w:pPr>
              <w:pStyle w:val="NormalRight"/>
              <w:spacing w:before="30" w:after="30"/>
              <w:rPr>
                <w:sz w:val="16"/>
                <w:szCs w:val="16"/>
              </w:rPr>
            </w:pPr>
            <w:r>
              <w:rPr>
                <w:sz w:val="16"/>
                <w:szCs w:val="16"/>
              </w:rPr>
              <w:t>0</w:t>
            </w:r>
          </w:p>
        </w:tc>
        <w:tc>
          <w:tcPr>
            <w:tcW w:w="1539" w:type="dxa"/>
            <w:tcBorders>
              <w:top w:val="nil"/>
              <w:left w:val="nil"/>
              <w:bottom w:val="single" w:sz="12" w:space="0" w:color="auto"/>
              <w:right w:val="single" w:sz="4" w:space="0" w:color="auto"/>
            </w:tcBorders>
            <w:vAlign w:val="center"/>
          </w:tcPr>
          <w:p w:rsidR="00AE2038" w:rsidRDefault="00AE2038">
            <w:pPr>
              <w:pStyle w:val="NormalRight"/>
              <w:spacing w:before="30" w:after="30"/>
              <w:rPr>
                <w:sz w:val="16"/>
                <w:szCs w:val="16"/>
              </w:rPr>
            </w:pPr>
            <w:r>
              <w:rPr>
                <w:sz w:val="16"/>
                <w:szCs w:val="16"/>
              </w:rPr>
              <w:t>0</w:t>
            </w:r>
          </w:p>
        </w:tc>
      </w:tr>
      <w:tr w:rsidR="00AE2038">
        <w:trPr>
          <w:cantSplit/>
        </w:trPr>
        <w:tc>
          <w:tcPr>
            <w:tcW w:w="1539" w:type="dxa"/>
            <w:tcBorders>
              <w:top w:val="nil"/>
              <w:left w:val="single" w:sz="4" w:space="0" w:color="auto"/>
              <w:bottom w:val="single" w:sz="4" w:space="0" w:color="auto"/>
              <w:right w:val="single" w:sz="4" w:space="0" w:color="auto"/>
            </w:tcBorders>
            <w:vAlign w:val="center"/>
          </w:tcPr>
          <w:p w:rsidR="00AE2038" w:rsidRDefault="00AE2038">
            <w:pPr>
              <w:pStyle w:val="NormalCentered"/>
              <w:spacing w:before="30" w:after="30"/>
              <w:rPr>
                <w:sz w:val="16"/>
                <w:szCs w:val="16"/>
              </w:rPr>
            </w:pPr>
            <w:r>
              <w:rPr>
                <w:sz w:val="16"/>
                <w:szCs w:val="16"/>
              </w:rPr>
              <w:t>Total</w:t>
            </w:r>
            <w:r w:rsidR="00A07D56">
              <w:rPr>
                <w:sz w:val="16"/>
                <w:szCs w:val="16"/>
              </w:rPr>
              <w:t xml:space="preserve"> including reserves</w:t>
            </w:r>
          </w:p>
        </w:tc>
        <w:tc>
          <w:tcPr>
            <w:tcW w:w="1539" w:type="dxa"/>
            <w:tcBorders>
              <w:top w:val="nil"/>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2 030 000 000</w:t>
            </w:r>
          </w:p>
        </w:tc>
        <w:tc>
          <w:tcPr>
            <w:tcW w:w="1539" w:type="dxa"/>
            <w:tcBorders>
              <w:top w:val="nil"/>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500 000 000</w:t>
            </w:r>
          </w:p>
        </w:tc>
        <w:tc>
          <w:tcPr>
            <w:tcW w:w="1539" w:type="dxa"/>
            <w:tcBorders>
              <w:top w:val="nil"/>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0</w:t>
            </w:r>
          </w:p>
        </w:tc>
        <w:tc>
          <w:tcPr>
            <w:tcW w:w="1539" w:type="dxa"/>
            <w:tcBorders>
              <w:top w:val="nil"/>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0</w:t>
            </w:r>
          </w:p>
        </w:tc>
        <w:tc>
          <w:tcPr>
            <w:tcW w:w="1539" w:type="dxa"/>
            <w:tcBorders>
              <w:top w:val="nil"/>
              <w:left w:val="nil"/>
              <w:bottom w:val="single" w:sz="4" w:space="0" w:color="auto"/>
              <w:right w:val="single" w:sz="4" w:space="0" w:color="auto"/>
            </w:tcBorders>
            <w:vAlign w:val="center"/>
          </w:tcPr>
          <w:p w:rsidR="00AE2038" w:rsidRDefault="00AE2038" w:rsidP="00A07D56">
            <w:pPr>
              <w:pStyle w:val="NormalRight"/>
              <w:spacing w:before="30" w:after="30"/>
              <w:rPr>
                <w:sz w:val="16"/>
                <w:szCs w:val="16"/>
              </w:rPr>
            </w:pPr>
            <w:r>
              <w:rPr>
                <w:sz w:val="16"/>
                <w:szCs w:val="16"/>
              </w:rPr>
              <w:t>2 030 000 0</w:t>
            </w:r>
            <w:r w:rsidR="00A07D56">
              <w:rPr>
                <w:sz w:val="16"/>
                <w:szCs w:val="16"/>
              </w:rPr>
              <w:t>0</w:t>
            </w:r>
            <w:r>
              <w:rPr>
                <w:sz w:val="16"/>
                <w:szCs w:val="16"/>
              </w:rPr>
              <w:t>0</w:t>
            </w:r>
          </w:p>
        </w:tc>
        <w:tc>
          <w:tcPr>
            <w:tcW w:w="1539" w:type="dxa"/>
            <w:tcBorders>
              <w:top w:val="nil"/>
              <w:left w:val="nil"/>
              <w:bottom w:val="single" w:sz="4" w:space="0" w:color="auto"/>
              <w:right w:val="single" w:sz="4" w:space="0" w:color="auto"/>
            </w:tcBorders>
            <w:vAlign w:val="center"/>
          </w:tcPr>
          <w:p w:rsidR="00AE2038" w:rsidRDefault="00AE2038" w:rsidP="00A07D56">
            <w:pPr>
              <w:pStyle w:val="NormalRight"/>
              <w:spacing w:before="30" w:after="30"/>
              <w:rPr>
                <w:sz w:val="16"/>
                <w:szCs w:val="16"/>
              </w:rPr>
            </w:pPr>
            <w:r>
              <w:rPr>
                <w:sz w:val="16"/>
                <w:szCs w:val="16"/>
              </w:rPr>
              <w:t>500 000 0</w:t>
            </w:r>
            <w:r w:rsidR="00A07D56">
              <w:rPr>
                <w:sz w:val="16"/>
                <w:szCs w:val="16"/>
              </w:rPr>
              <w:t>0</w:t>
            </w:r>
            <w:r>
              <w:rPr>
                <w:sz w:val="16"/>
                <w:szCs w:val="16"/>
              </w:rPr>
              <w:t>0</w:t>
            </w:r>
          </w:p>
        </w:tc>
      </w:tr>
    </w:tbl>
    <w:p w:rsidR="00AE2038" w:rsidRDefault="00AE2038">
      <w:pPr>
        <w:keepNext/>
      </w:pPr>
      <w:r>
        <w:rPr>
          <w:i/>
          <w:iCs/>
        </w:rPr>
        <w:t>Remarks</w:t>
      </w:r>
    </w:p>
    <w:p w:rsidR="00AE2038" w:rsidRDefault="00AE2038">
      <w:r>
        <w:t>This appropriation is intended to provide the financial resources for payments to the EFSI Guarantee Fund according to the Regulation creating it and the procedures determined therein. Notably, the provisioning has the objective to provide for orderly execution of the budget if the EFSI Guarantee is called.</w:t>
      </w:r>
    </w:p>
    <w:p w:rsidR="00AE2038" w:rsidRDefault="00AE2038">
      <w:pPr>
        <w:keepNext/>
      </w:pPr>
      <w:r>
        <w:rPr>
          <w:i/>
          <w:iCs/>
        </w:rPr>
        <w:t>Reference acts</w:t>
      </w:r>
    </w:p>
    <w:p w:rsidR="00AE2038" w:rsidRDefault="00AE2038">
      <w:r>
        <w:t xml:space="preserve">Communication from the Commission to the European Parliament, the Council, the European Central Bank, the European Economic And Social Committee, the Committee of the Regions and the European Investment bank of 26 November 2014 — An Investment Plan for Europe (COM(2014) 903). </w:t>
      </w:r>
    </w:p>
    <w:p w:rsidR="00AE2038" w:rsidRDefault="00AE2038">
      <w:r>
        <w:t xml:space="preserve">Proposal for a Regulation </w:t>
      </w:r>
      <w:bookmarkStart w:id="0" w:name="_GoBack"/>
      <w:bookmarkEnd w:id="0"/>
      <w:r>
        <w:t>of the European Parliament and the Council, submitted by the Commission on 13 January 2015, on the European Fund for Strategic Investments and amending Regulations (EU) No 1291/2013 and (EU) No 1316/2013 (COM(2015) 10).</w:t>
      </w:r>
    </w:p>
    <w:p w:rsidR="00AE2038" w:rsidRDefault="00AE2038">
      <w:pPr>
        <w:keepNext/>
        <w:autoSpaceDE w:val="0"/>
        <w:autoSpaceDN w:val="0"/>
        <w:spacing w:before="480"/>
        <w:jc w:val="left"/>
        <w:outlineLvl w:val="5"/>
        <w:rPr>
          <w:b/>
          <w:bCs/>
          <w:i/>
          <w:iCs/>
          <w:sz w:val="24"/>
          <w:szCs w:val="24"/>
        </w:rPr>
      </w:pPr>
      <w:r>
        <w:rPr>
          <w:b/>
          <w:bCs/>
          <w:i/>
          <w:iCs/>
          <w:sz w:val="24"/>
          <w:szCs w:val="24"/>
        </w:rPr>
        <w:t>Article 01 04 06 — European Investment Advisory Hub (EIAH) and European Investment Project Portal (IPP)</w:t>
      </w:r>
    </w:p>
    <w:p w:rsidR="00AE2038" w:rsidRDefault="00AE2038">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539"/>
        <w:gridCol w:w="1539"/>
        <w:gridCol w:w="1539"/>
        <w:gridCol w:w="1539"/>
        <w:gridCol w:w="1539"/>
        <w:gridCol w:w="1539"/>
        <w:gridCol w:w="1539"/>
      </w:tblGrid>
      <w:tr w:rsidR="00AE2038">
        <w:trPr>
          <w:cantSplit/>
          <w:tblHeader/>
        </w:trPr>
        <w:tc>
          <w:tcPr>
            <w:tcW w:w="1539" w:type="dxa"/>
            <w:vMerge w:val="restart"/>
            <w:tcBorders>
              <w:top w:val="single" w:sz="4" w:space="0" w:color="auto"/>
              <w:left w:val="single" w:sz="4" w:space="0" w:color="auto"/>
              <w:bottom w:val="single" w:sz="4" w:space="0" w:color="auto"/>
              <w:right w:val="single" w:sz="4" w:space="0" w:color="auto"/>
            </w:tcBorders>
            <w:shd w:val="clear" w:color="auto" w:fill="E0E0E0"/>
          </w:tcPr>
          <w:p w:rsidR="00AE2038" w:rsidRDefault="00AE2038">
            <w:pPr>
              <w:keepNext/>
              <w:spacing w:before="30" w:after="30"/>
              <w:rPr>
                <w:sz w:val="16"/>
                <w:szCs w:val="16"/>
              </w:rPr>
            </w:pPr>
          </w:p>
        </w:tc>
        <w:tc>
          <w:tcPr>
            <w:tcW w:w="3078"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Draft budget 2016</w:t>
            </w:r>
          </w:p>
        </w:tc>
        <w:tc>
          <w:tcPr>
            <w:tcW w:w="3078"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Letter of amendment No. 1/2016</w:t>
            </w:r>
          </w:p>
        </w:tc>
        <w:tc>
          <w:tcPr>
            <w:tcW w:w="3078"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New amount</w:t>
            </w:r>
          </w:p>
        </w:tc>
      </w:tr>
      <w:tr w:rsidR="00AE2038">
        <w:trPr>
          <w:cantSplit/>
          <w:tblHeader/>
        </w:trPr>
        <w:tc>
          <w:tcPr>
            <w:tcW w:w="1539" w:type="dxa"/>
            <w:vMerge/>
            <w:tcBorders>
              <w:top w:val="nil"/>
              <w:left w:val="single" w:sz="4" w:space="0" w:color="auto"/>
              <w:bottom w:val="single" w:sz="4" w:space="0" w:color="auto"/>
              <w:right w:val="single" w:sz="4" w:space="0" w:color="auto"/>
            </w:tcBorders>
            <w:shd w:val="clear" w:color="auto" w:fill="E0E0E0"/>
          </w:tcPr>
          <w:p w:rsidR="00AE2038" w:rsidRDefault="00AE2038">
            <w:pPr>
              <w:pStyle w:val="NormalCentered"/>
              <w:keepNext/>
              <w:spacing w:before="30" w:after="30"/>
              <w:rPr>
                <w:sz w:val="16"/>
                <w:szCs w:val="16"/>
              </w:rPr>
            </w:pPr>
          </w:p>
        </w:tc>
        <w:tc>
          <w:tcPr>
            <w:tcW w:w="1539"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539"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539"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539"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539"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539"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r>
      <w:tr w:rsidR="00AE2038">
        <w:trPr>
          <w:cantSplit/>
        </w:trPr>
        <w:tc>
          <w:tcPr>
            <w:tcW w:w="1539" w:type="dxa"/>
            <w:tcBorders>
              <w:top w:val="single" w:sz="4" w:space="0" w:color="auto"/>
              <w:left w:val="single" w:sz="4" w:space="0" w:color="auto"/>
              <w:bottom w:val="single" w:sz="4" w:space="0" w:color="auto"/>
              <w:right w:val="single" w:sz="4" w:space="0" w:color="auto"/>
            </w:tcBorders>
            <w:vAlign w:val="center"/>
          </w:tcPr>
          <w:p w:rsidR="00AE2038" w:rsidRDefault="00AE2038">
            <w:pPr>
              <w:pStyle w:val="NormalLeft"/>
              <w:spacing w:before="30" w:after="30"/>
              <w:rPr>
                <w:sz w:val="16"/>
                <w:szCs w:val="16"/>
              </w:rPr>
            </w:pPr>
            <w:r>
              <w:rPr>
                <w:sz w:val="16"/>
                <w:szCs w:val="16"/>
              </w:rPr>
              <w:t>01 04 06</w:t>
            </w:r>
          </w:p>
        </w:tc>
        <w:tc>
          <w:tcPr>
            <w:tcW w:w="1539"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p.m.</w:t>
            </w:r>
          </w:p>
        </w:tc>
        <w:tc>
          <w:tcPr>
            <w:tcW w:w="1539"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p.m.</w:t>
            </w:r>
          </w:p>
        </w:tc>
        <w:tc>
          <w:tcPr>
            <w:tcW w:w="1539"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20 000 000</w:t>
            </w:r>
          </w:p>
        </w:tc>
        <w:tc>
          <w:tcPr>
            <w:tcW w:w="1539"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20 000 000</w:t>
            </w:r>
          </w:p>
        </w:tc>
        <w:tc>
          <w:tcPr>
            <w:tcW w:w="1539"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20 000 000</w:t>
            </w:r>
          </w:p>
        </w:tc>
        <w:tc>
          <w:tcPr>
            <w:tcW w:w="1539"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20 000 000</w:t>
            </w:r>
          </w:p>
        </w:tc>
      </w:tr>
      <w:tr w:rsidR="00AE2038">
        <w:trPr>
          <w:cantSplit/>
        </w:trPr>
        <w:tc>
          <w:tcPr>
            <w:tcW w:w="1539" w:type="dxa"/>
            <w:tcBorders>
              <w:top w:val="nil"/>
              <w:left w:val="single" w:sz="4" w:space="0" w:color="auto"/>
              <w:bottom w:val="single" w:sz="12" w:space="0" w:color="auto"/>
              <w:right w:val="single" w:sz="4" w:space="0" w:color="auto"/>
            </w:tcBorders>
            <w:vAlign w:val="center"/>
          </w:tcPr>
          <w:p w:rsidR="00AE2038" w:rsidRDefault="001E5BF9">
            <w:pPr>
              <w:spacing w:before="30" w:after="30"/>
              <w:rPr>
                <w:sz w:val="16"/>
                <w:szCs w:val="16"/>
              </w:rPr>
            </w:pPr>
            <w:r>
              <w:rPr>
                <w:i/>
                <w:sz w:val="16"/>
                <w:szCs w:val="16"/>
              </w:rPr>
              <w:t>Reserves</w:t>
            </w:r>
          </w:p>
        </w:tc>
        <w:tc>
          <w:tcPr>
            <w:tcW w:w="1539" w:type="dxa"/>
            <w:tcBorders>
              <w:top w:val="nil"/>
              <w:left w:val="nil"/>
              <w:bottom w:val="single" w:sz="12" w:space="0" w:color="auto"/>
              <w:right w:val="single" w:sz="4" w:space="0" w:color="auto"/>
            </w:tcBorders>
            <w:vAlign w:val="center"/>
          </w:tcPr>
          <w:p w:rsidR="00AE2038" w:rsidRDefault="00AE2038">
            <w:pPr>
              <w:pStyle w:val="NormalRight"/>
              <w:spacing w:before="30" w:after="30"/>
              <w:rPr>
                <w:sz w:val="16"/>
                <w:szCs w:val="16"/>
              </w:rPr>
            </w:pPr>
            <w:r>
              <w:rPr>
                <w:sz w:val="16"/>
                <w:szCs w:val="16"/>
              </w:rPr>
              <w:t>20 000 000</w:t>
            </w:r>
          </w:p>
        </w:tc>
        <w:tc>
          <w:tcPr>
            <w:tcW w:w="1539" w:type="dxa"/>
            <w:tcBorders>
              <w:top w:val="nil"/>
              <w:left w:val="nil"/>
              <w:bottom w:val="single" w:sz="12" w:space="0" w:color="auto"/>
              <w:right w:val="single" w:sz="4" w:space="0" w:color="auto"/>
            </w:tcBorders>
            <w:vAlign w:val="center"/>
          </w:tcPr>
          <w:p w:rsidR="00AE2038" w:rsidRDefault="00AE2038">
            <w:pPr>
              <w:pStyle w:val="NormalRight"/>
              <w:spacing w:before="30" w:after="30"/>
              <w:rPr>
                <w:sz w:val="16"/>
                <w:szCs w:val="16"/>
              </w:rPr>
            </w:pPr>
            <w:r>
              <w:rPr>
                <w:sz w:val="16"/>
                <w:szCs w:val="16"/>
              </w:rPr>
              <w:t>20 000 000</w:t>
            </w:r>
          </w:p>
        </w:tc>
        <w:tc>
          <w:tcPr>
            <w:tcW w:w="1539" w:type="dxa"/>
            <w:tcBorders>
              <w:top w:val="nil"/>
              <w:left w:val="nil"/>
              <w:bottom w:val="single" w:sz="12" w:space="0" w:color="auto"/>
              <w:right w:val="single" w:sz="4" w:space="0" w:color="auto"/>
            </w:tcBorders>
            <w:vAlign w:val="center"/>
          </w:tcPr>
          <w:p w:rsidR="00AE2038" w:rsidRDefault="00AE2038">
            <w:pPr>
              <w:pStyle w:val="NormalRight"/>
              <w:spacing w:before="30" w:after="30"/>
              <w:rPr>
                <w:sz w:val="16"/>
                <w:szCs w:val="16"/>
              </w:rPr>
            </w:pPr>
            <w:r>
              <w:rPr>
                <w:sz w:val="16"/>
                <w:szCs w:val="16"/>
              </w:rPr>
              <w:t>-20 000 000</w:t>
            </w:r>
          </w:p>
        </w:tc>
        <w:tc>
          <w:tcPr>
            <w:tcW w:w="1539" w:type="dxa"/>
            <w:tcBorders>
              <w:top w:val="nil"/>
              <w:left w:val="nil"/>
              <w:bottom w:val="single" w:sz="12" w:space="0" w:color="auto"/>
              <w:right w:val="single" w:sz="4" w:space="0" w:color="auto"/>
            </w:tcBorders>
            <w:vAlign w:val="center"/>
          </w:tcPr>
          <w:p w:rsidR="00AE2038" w:rsidRDefault="00AE2038">
            <w:pPr>
              <w:pStyle w:val="NormalRight"/>
              <w:spacing w:before="30" w:after="30"/>
              <w:rPr>
                <w:sz w:val="16"/>
                <w:szCs w:val="16"/>
              </w:rPr>
            </w:pPr>
            <w:r>
              <w:rPr>
                <w:sz w:val="16"/>
                <w:szCs w:val="16"/>
              </w:rPr>
              <w:t>-20 000 000</w:t>
            </w:r>
          </w:p>
        </w:tc>
        <w:tc>
          <w:tcPr>
            <w:tcW w:w="1539" w:type="dxa"/>
            <w:tcBorders>
              <w:top w:val="nil"/>
              <w:left w:val="nil"/>
              <w:bottom w:val="single" w:sz="12" w:space="0" w:color="auto"/>
              <w:right w:val="single" w:sz="4" w:space="0" w:color="auto"/>
            </w:tcBorders>
            <w:vAlign w:val="center"/>
          </w:tcPr>
          <w:p w:rsidR="00AE2038" w:rsidRDefault="00A07D56" w:rsidP="00A07D56">
            <w:pPr>
              <w:spacing w:before="30" w:after="30"/>
              <w:jc w:val="right"/>
              <w:rPr>
                <w:sz w:val="16"/>
                <w:szCs w:val="16"/>
              </w:rPr>
            </w:pPr>
            <w:r>
              <w:rPr>
                <w:sz w:val="16"/>
                <w:szCs w:val="16"/>
              </w:rPr>
              <w:t>0</w:t>
            </w:r>
          </w:p>
        </w:tc>
        <w:tc>
          <w:tcPr>
            <w:tcW w:w="1539" w:type="dxa"/>
            <w:tcBorders>
              <w:top w:val="nil"/>
              <w:left w:val="nil"/>
              <w:bottom w:val="single" w:sz="12" w:space="0" w:color="auto"/>
              <w:right w:val="single" w:sz="4" w:space="0" w:color="auto"/>
            </w:tcBorders>
            <w:vAlign w:val="center"/>
          </w:tcPr>
          <w:p w:rsidR="00AE2038" w:rsidRDefault="00A07D56" w:rsidP="00A07D56">
            <w:pPr>
              <w:spacing w:before="30" w:after="30"/>
              <w:jc w:val="right"/>
              <w:rPr>
                <w:sz w:val="16"/>
                <w:szCs w:val="16"/>
              </w:rPr>
            </w:pPr>
            <w:r>
              <w:rPr>
                <w:sz w:val="16"/>
                <w:szCs w:val="16"/>
              </w:rPr>
              <w:t>0</w:t>
            </w:r>
          </w:p>
        </w:tc>
      </w:tr>
      <w:tr w:rsidR="00AE2038">
        <w:trPr>
          <w:cantSplit/>
        </w:trPr>
        <w:tc>
          <w:tcPr>
            <w:tcW w:w="1539" w:type="dxa"/>
            <w:tcBorders>
              <w:top w:val="nil"/>
              <w:left w:val="single" w:sz="4" w:space="0" w:color="auto"/>
              <w:bottom w:val="single" w:sz="4" w:space="0" w:color="auto"/>
              <w:right w:val="single" w:sz="4" w:space="0" w:color="auto"/>
            </w:tcBorders>
            <w:vAlign w:val="center"/>
          </w:tcPr>
          <w:p w:rsidR="00AE2038" w:rsidRDefault="00A07D56">
            <w:pPr>
              <w:pStyle w:val="NormalCentered"/>
              <w:spacing w:before="30" w:after="30"/>
              <w:rPr>
                <w:sz w:val="16"/>
                <w:szCs w:val="16"/>
              </w:rPr>
            </w:pPr>
            <w:r>
              <w:rPr>
                <w:sz w:val="16"/>
                <w:szCs w:val="16"/>
              </w:rPr>
              <w:t>Total including reserves</w:t>
            </w:r>
          </w:p>
        </w:tc>
        <w:tc>
          <w:tcPr>
            <w:tcW w:w="1539" w:type="dxa"/>
            <w:tcBorders>
              <w:top w:val="nil"/>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20 000 000</w:t>
            </w:r>
          </w:p>
        </w:tc>
        <w:tc>
          <w:tcPr>
            <w:tcW w:w="1539" w:type="dxa"/>
            <w:tcBorders>
              <w:top w:val="nil"/>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20 000 000</w:t>
            </w:r>
          </w:p>
        </w:tc>
        <w:tc>
          <w:tcPr>
            <w:tcW w:w="1539" w:type="dxa"/>
            <w:tcBorders>
              <w:top w:val="nil"/>
              <w:left w:val="nil"/>
              <w:bottom w:val="single" w:sz="4" w:space="0" w:color="auto"/>
              <w:right w:val="single" w:sz="4" w:space="0" w:color="auto"/>
            </w:tcBorders>
            <w:vAlign w:val="center"/>
          </w:tcPr>
          <w:p w:rsidR="00AE2038" w:rsidRDefault="00A07D56" w:rsidP="00A07D56">
            <w:pPr>
              <w:spacing w:before="30" w:after="30"/>
              <w:jc w:val="right"/>
              <w:rPr>
                <w:sz w:val="16"/>
                <w:szCs w:val="16"/>
              </w:rPr>
            </w:pPr>
            <w:r>
              <w:rPr>
                <w:sz w:val="16"/>
                <w:szCs w:val="16"/>
              </w:rPr>
              <w:t>0</w:t>
            </w:r>
          </w:p>
        </w:tc>
        <w:tc>
          <w:tcPr>
            <w:tcW w:w="1539" w:type="dxa"/>
            <w:tcBorders>
              <w:top w:val="nil"/>
              <w:left w:val="nil"/>
              <w:bottom w:val="single" w:sz="4" w:space="0" w:color="auto"/>
              <w:right w:val="single" w:sz="4" w:space="0" w:color="auto"/>
            </w:tcBorders>
            <w:vAlign w:val="center"/>
          </w:tcPr>
          <w:p w:rsidR="00AE2038" w:rsidRDefault="00A07D56" w:rsidP="00A07D56">
            <w:pPr>
              <w:spacing w:before="30" w:after="30"/>
              <w:jc w:val="right"/>
              <w:rPr>
                <w:sz w:val="16"/>
                <w:szCs w:val="16"/>
              </w:rPr>
            </w:pPr>
            <w:r>
              <w:rPr>
                <w:sz w:val="16"/>
                <w:szCs w:val="16"/>
              </w:rPr>
              <w:t>0</w:t>
            </w:r>
          </w:p>
        </w:tc>
        <w:tc>
          <w:tcPr>
            <w:tcW w:w="1539" w:type="dxa"/>
            <w:tcBorders>
              <w:top w:val="nil"/>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20 000 000</w:t>
            </w:r>
          </w:p>
        </w:tc>
        <w:tc>
          <w:tcPr>
            <w:tcW w:w="1539" w:type="dxa"/>
            <w:tcBorders>
              <w:top w:val="nil"/>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20 000 000</w:t>
            </w:r>
          </w:p>
        </w:tc>
      </w:tr>
    </w:tbl>
    <w:p w:rsidR="00AE2038" w:rsidRDefault="00AE2038">
      <w:pPr>
        <w:keepNext/>
      </w:pPr>
      <w:r>
        <w:rPr>
          <w:i/>
          <w:iCs/>
        </w:rPr>
        <w:t>Remarks</w:t>
      </w:r>
    </w:p>
    <w:p w:rsidR="00AE2038" w:rsidRDefault="00AE2038">
      <w:pPr>
        <w:keepNext/>
      </w:pPr>
      <w:r>
        <w:t>This appropriation covers:</w:t>
      </w:r>
    </w:p>
    <w:p w:rsidR="00AE2038" w:rsidRDefault="00AE2038">
      <w:pPr>
        <w:pStyle w:val="Tiret0"/>
      </w:pPr>
      <w:r>
        <w:t>financial support to the European Investment Bank for EIAH's set-up and implementation in accordance with the relevant article under the proposal for a Regulation of the European Parliament and the Council on the European Fund for Strategic Investments providing, inter alia, advisory support to project promoters including technical advice on the use and set-up of financial instruments; and</w:t>
      </w:r>
    </w:p>
    <w:p w:rsidR="00AE2038" w:rsidRDefault="00AE2038">
      <w:pPr>
        <w:pStyle w:val="Tiret0"/>
      </w:pPr>
      <w:proofErr w:type="gramStart"/>
      <w:r>
        <w:t>costs</w:t>
      </w:r>
      <w:proofErr w:type="gramEnd"/>
      <w:r>
        <w:t xml:space="preserve"> related to the set-up and development, management, support and maintenance and hosting of the European Investment Project Portal, as well as branding and communication costs.</w:t>
      </w:r>
    </w:p>
    <w:p w:rsidR="00AE2038" w:rsidRDefault="00AE2038">
      <w:r>
        <w:lastRenderedPageBreak/>
        <w:t>Any revenue from fees charged to project promoters in connection to the European Investment Projet Portal may give rise to the provision of additional appropriations in accordance with Article 21(4) of the Financial Regulation.</w:t>
      </w:r>
    </w:p>
    <w:p w:rsidR="00AE2038" w:rsidRDefault="00AE2038">
      <w:pPr>
        <w:keepNext/>
      </w:pPr>
      <w:r>
        <w:rPr>
          <w:i/>
          <w:iCs/>
        </w:rPr>
        <w:t>Reference acts</w:t>
      </w:r>
    </w:p>
    <w:p w:rsidR="00AE2038" w:rsidRDefault="00AE2038">
      <w:r>
        <w:t>Communication from the Commission to the European Parliament, the Council, the European Central Bank, the European Economic And Social Committee, the Committee of the Regions and the European Investment bank of 26 November 2014 — An Investment Plan for Europe (COM(2014) 903).</w:t>
      </w:r>
    </w:p>
    <w:p w:rsidR="00AE2038" w:rsidRDefault="00AE2038">
      <w:r>
        <w:t>Proposal for a Regulation of the European Parliament and the Council, submitted by the Commission on 13 January 2015, on the European Fund for Strategic Investments and amending Regulations (EU) No 1291/2013 and (EU) No 1316/2013 (COM(2015) 10).</w:t>
      </w:r>
    </w:p>
    <w:p w:rsidR="00AE2038" w:rsidRDefault="00AE2038">
      <w:pPr>
        <w:keepNext/>
        <w:autoSpaceDE w:val="0"/>
        <w:autoSpaceDN w:val="0"/>
        <w:spacing w:before="480"/>
        <w:jc w:val="left"/>
        <w:outlineLvl w:val="5"/>
        <w:rPr>
          <w:b/>
          <w:bCs/>
          <w:i/>
          <w:iCs/>
          <w:sz w:val="24"/>
          <w:szCs w:val="24"/>
        </w:rPr>
      </w:pPr>
      <w:r>
        <w:rPr>
          <w:b/>
          <w:bCs/>
          <w:i/>
          <w:iCs/>
          <w:sz w:val="24"/>
          <w:szCs w:val="24"/>
        </w:rPr>
        <w:t>Article 01 04 07 — Fees due to the European Investment Fund for increased assistance under the European Fund for Strategic Investments</w:t>
      </w:r>
    </w:p>
    <w:p w:rsidR="00AE2038" w:rsidRDefault="00AE2038">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796"/>
        <w:gridCol w:w="1795"/>
        <w:gridCol w:w="1796"/>
        <w:gridCol w:w="1795"/>
        <w:gridCol w:w="1796"/>
        <w:gridCol w:w="1795"/>
      </w:tblGrid>
      <w:tr w:rsidR="00AE2038">
        <w:trPr>
          <w:cantSplit/>
          <w:tblHeader/>
        </w:trPr>
        <w:tc>
          <w:tcPr>
            <w:tcW w:w="359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Draft budget 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Letter of amendment No. 1/2016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New amount</w:t>
            </w:r>
          </w:p>
        </w:tc>
      </w:tr>
      <w:tr w:rsidR="00AE2038">
        <w:trPr>
          <w:cantSplit/>
          <w:tblHeader/>
        </w:trPr>
        <w:tc>
          <w:tcPr>
            <w:tcW w:w="1796" w:type="dxa"/>
            <w:tcBorders>
              <w:top w:val="nil"/>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r>
      <w:tr w:rsidR="00AE2038">
        <w:trPr>
          <w:cantSplit/>
        </w:trPr>
        <w:tc>
          <w:tcPr>
            <w:tcW w:w="1796" w:type="dxa"/>
            <w:tcBorders>
              <w:top w:val="single" w:sz="4" w:space="0" w:color="auto"/>
              <w:left w:val="single" w:sz="4" w:space="0" w:color="auto"/>
              <w:bottom w:val="single" w:sz="4" w:space="0" w:color="auto"/>
              <w:right w:val="single" w:sz="4" w:space="0" w:color="auto"/>
            </w:tcBorders>
            <w:vAlign w:val="center"/>
          </w:tcPr>
          <w:p w:rsidR="00AE2038" w:rsidRDefault="00AE2038">
            <w:pPr>
              <w:spacing w:before="30" w:after="30"/>
              <w:rPr>
                <w:sz w:val="16"/>
                <w:szCs w:val="16"/>
              </w:rPr>
            </w:pPr>
          </w:p>
        </w:tc>
        <w:tc>
          <w:tcPr>
            <w:tcW w:w="1795" w:type="dxa"/>
            <w:tcBorders>
              <w:top w:val="single" w:sz="4" w:space="0" w:color="auto"/>
              <w:left w:val="nil"/>
              <w:bottom w:val="single" w:sz="4" w:space="0" w:color="auto"/>
              <w:right w:val="single" w:sz="4" w:space="0" w:color="auto"/>
            </w:tcBorders>
            <w:vAlign w:val="center"/>
          </w:tcPr>
          <w:p w:rsidR="00AE2038" w:rsidRDefault="00AE2038">
            <w:pPr>
              <w:spacing w:before="30" w:after="30"/>
              <w:rPr>
                <w:sz w:val="16"/>
                <w:szCs w:val="16"/>
              </w:rPr>
            </w:pPr>
          </w:p>
        </w:tc>
        <w:tc>
          <w:tcPr>
            <w:tcW w:w="1796" w:type="dxa"/>
            <w:tcBorders>
              <w:top w:val="single" w:sz="4" w:space="0" w:color="auto"/>
              <w:left w:val="nil"/>
              <w:bottom w:val="single" w:sz="4" w:space="0" w:color="auto"/>
              <w:right w:val="single" w:sz="4" w:space="0" w:color="auto"/>
            </w:tcBorders>
            <w:vAlign w:val="center"/>
          </w:tcPr>
          <w:p w:rsidR="00AE2038" w:rsidRDefault="00AE2038">
            <w:pPr>
              <w:spacing w:before="30" w:after="30"/>
              <w:rPr>
                <w:sz w:val="16"/>
                <w:szCs w:val="16"/>
              </w:rPr>
            </w:pPr>
          </w:p>
        </w:tc>
        <w:tc>
          <w:tcPr>
            <w:tcW w:w="1795" w:type="dxa"/>
            <w:tcBorders>
              <w:top w:val="single" w:sz="4" w:space="0" w:color="auto"/>
              <w:left w:val="nil"/>
              <w:bottom w:val="single" w:sz="4" w:space="0" w:color="auto"/>
              <w:right w:val="single" w:sz="4" w:space="0" w:color="auto"/>
            </w:tcBorders>
            <w:vAlign w:val="center"/>
          </w:tcPr>
          <w:p w:rsidR="00AE2038" w:rsidRDefault="00AE2038">
            <w:pPr>
              <w:spacing w:before="30" w:after="30"/>
              <w:rPr>
                <w:sz w:val="16"/>
                <w:szCs w:val="16"/>
              </w:rPr>
            </w:pPr>
          </w:p>
        </w:tc>
        <w:tc>
          <w:tcPr>
            <w:tcW w:w="1796"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p.m.</w:t>
            </w:r>
          </w:p>
        </w:tc>
        <w:tc>
          <w:tcPr>
            <w:tcW w:w="1795"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p.m.</w:t>
            </w:r>
          </w:p>
        </w:tc>
      </w:tr>
    </w:tbl>
    <w:p w:rsidR="00AE2038" w:rsidRDefault="00A07D56">
      <w:pPr>
        <w:keepNext/>
      </w:pPr>
      <w:r>
        <w:rPr>
          <w:i/>
          <w:iCs/>
        </w:rPr>
        <w:t>New Article</w:t>
      </w:r>
    </w:p>
    <w:p w:rsidR="00AE2038" w:rsidRDefault="00AE2038">
      <w:r>
        <w:t>The European Investment Fund (EIF) will implement the SME Window of the European Fund for Strategic Investments, which will support loan and equity financing of SMEs and mid-caps. The EIF will be entitled to receive management fees for the implementation of the SME Window. As foreseen by the EFSI proposed Regulation, fees due to the EIF shall be primarily met by revenues from the resources in the Guarantee Fund and the European Fund for Strategic Investments. However, to the extent that those revenues are not sufficient to cover the fees due to the EIF, these fees shall be covered by the general budget of the Union.</w:t>
      </w:r>
    </w:p>
    <w:p w:rsidR="00AE2038" w:rsidRDefault="00AE2038">
      <w:pPr>
        <w:keepNext/>
      </w:pPr>
      <w:r>
        <w:rPr>
          <w:i/>
          <w:iCs/>
        </w:rPr>
        <w:t>Reference acts</w:t>
      </w:r>
    </w:p>
    <w:p w:rsidR="00AE2038" w:rsidRDefault="00AE2038">
      <w:r>
        <w:t xml:space="preserve">Communication from the Commission to the European Parliament, the Council, the European Central Bank, the European Economic And Social Committee, the Committee of the Regions and the European Investment bank of 26 November 2014 — An Investment Plan for Europe (COM(2014) 903). </w:t>
      </w:r>
    </w:p>
    <w:p w:rsidR="00AE2038" w:rsidRDefault="00AE2038">
      <w:r>
        <w:t>Proposal for a Regulation of the European Parliament and the Council, submitted by the Commission on 13 January 2015, on the European Fund for Strategic Investments and amending Regulations (EU) No 1291/2013 and (EU) No 1316/2013 (COM(2015) 10).</w:t>
      </w:r>
    </w:p>
    <w:p w:rsidR="00AE2038" w:rsidRDefault="00AE2038">
      <w:pPr>
        <w:keepNext/>
        <w:autoSpaceDE w:val="0"/>
        <w:autoSpaceDN w:val="0"/>
        <w:spacing w:before="480"/>
        <w:jc w:val="left"/>
        <w:outlineLvl w:val="3"/>
        <w:rPr>
          <w:b/>
          <w:bCs/>
          <w:smallCaps/>
          <w:sz w:val="32"/>
          <w:szCs w:val="32"/>
        </w:rPr>
      </w:pPr>
      <w:r>
        <w:rPr>
          <w:b/>
          <w:bCs/>
          <w:smallCaps/>
          <w:sz w:val="32"/>
          <w:szCs w:val="32"/>
        </w:rPr>
        <w:t>Title 06 — Mobility and transport</w:t>
      </w:r>
    </w:p>
    <w:p w:rsidR="00AE2038" w:rsidRDefault="00AE2038">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AE2038">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Letter of amendment No. 1/2016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New amount</w:t>
            </w:r>
          </w:p>
        </w:tc>
      </w:tr>
      <w:tr w:rsidR="00AE2038">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r>
      <w:tr w:rsidR="00AE2038">
        <w:trPr>
          <w:cantSplit/>
        </w:trPr>
        <w:tc>
          <w:tcPr>
            <w:tcW w:w="695" w:type="dxa"/>
            <w:tcBorders>
              <w:top w:val="single" w:sz="4" w:space="0" w:color="auto"/>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06 01</w:t>
            </w:r>
          </w:p>
        </w:tc>
        <w:tc>
          <w:tcPr>
            <w:tcW w:w="3475" w:type="dxa"/>
            <w:tcBorders>
              <w:top w:val="single" w:sz="4" w:space="0" w:color="auto"/>
              <w:left w:val="nil"/>
              <w:bottom w:val="nil"/>
              <w:right w:val="single" w:sz="4" w:space="0" w:color="auto"/>
            </w:tcBorders>
          </w:tcPr>
          <w:p w:rsidR="00AE2038" w:rsidRDefault="00AE2038">
            <w:pPr>
              <w:pStyle w:val="NormalLeft"/>
              <w:spacing w:before="30" w:after="30"/>
              <w:rPr>
                <w:sz w:val="16"/>
                <w:szCs w:val="16"/>
              </w:rPr>
            </w:pPr>
            <w:r>
              <w:rPr>
                <w:sz w:val="16"/>
                <w:szCs w:val="16"/>
              </w:rPr>
              <w:t>Administrative expenditure of the ‘Mobility and transport’ policy area</w:t>
            </w:r>
          </w:p>
        </w:tc>
        <w:tc>
          <w:tcPr>
            <w:tcW w:w="348"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70 926 926</w:t>
            </w:r>
          </w:p>
        </w:tc>
        <w:tc>
          <w:tcPr>
            <w:tcW w:w="1043" w:type="dxa"/>
            <w:tcBorders>
              <w:top w:val="single" w:sz="4" w:space="0" w:color="auto"/>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70 926 926</w:t>
            </w:r>
          </w:p>
        </w:tc>
        <w:tc>
          <w:tcPr>
            <w:tcW w:w="1042"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43"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70 926 926</w:t>
            </w:r>
          </w:p>
        </w:tc>
        <w:tc>
          <w:tcPr>
            <w:tcW w:w="1043" w:type="dxa"/>
            <w:tcBorders>
              <w:top w:val="single" w:sz="4" w:space="0" w:color="auto"/>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70 926 926</w:t>
            </w:r>
          </w:p>
        </w:tc>
      </w:tr>
      <w:tr w:rsidR="00AE2038">
        <w:trPr>
          <w:cantSplit/>
        </w:trPr>
        <w:tc>
          <w:tcPr>
            <w:tcW w:w="695"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06 02</w:t>
            </w:r>
          </w:p>
        </w:tc>
        <w:tc>
          <w:tcPr>
            <w:tcW w:w="3475"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European transport policy</w:t>
            </w:r>
          </w:p>
        </w:tc>
        <w:tc>
          <w:tcPr>
            <w:tcW w:w="348"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w:t>
            </w:r>
          </w:p>
        </w:tc>
        <w:tc>
          <w:tcPr>
            <w:tcW w:w="1042"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3 779 012 922</w:t>
            </w:r>
          </w:p>
        </w:tc>
        <w:tc>
          <w:tcPr>
            <w:tcW w:w="1043"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1 908 030 757</w:t>
            </w:r>
          </w:p>
        </w:tc>
        <w:tc>
          <w:tcPr>
            <w:tcW w:w="1042"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150 000 000</w:t>
            </w:r>
          </w:p>
        </w:tc>
        <w:tc>
          <w:tcPr>
            <w:tcW w:w="1043"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42"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3 929 012 922</w:t>
            </w:r>
          </w:p>
        </w:tc>
        <w:tc>
          <w:tcPr>
            <w:tcW w:w="1043"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1 908 030 757</w:t>
            </w:r>
          </w:p>
        </w:tc>
      </w:tr>
      <w:tr w:rsidR="00AE2038">
        <w:trPr>
          <w:cantSplit/>
        </w:trPr>
        <w:tc>
          <w:tcPr>
            <w:tcW w:w="695"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06 03</w:t>
            </w:r>
          </w:p>
        </w:tc>
        <w:tc>
          <w:tcPr>
            <w:tcW w:w="3475" w:type="dxa"/>
            <w:tcBorders>
              <w:top w:val="nil"/>
              <w:left w:val="nil"/>
              <w:bottom w:val="single" w:sz="4" w:space="0" w:color="auto"/>
              <w:right w:val="single" w:sz="4" w:space="0" w:color="auto"/>
            </w:tcBorders>
          </w:tcPr>
          <w:p w:rsidR="00AE2038" w:rsidRDefault="00AE2038">
            <w:pPr>
              <w:pStyle w:val="NormalLeft"/>
              <w:spacing w:before="30" w:after="30"/>
              <w:rPr>
                <w:sz w:val="16"/>
                <w:szCs w:val="16"/>
              </w:rPr>
            </w:pPr>
            <w:r>
              <w:rPr>
                <w:sz w:val="16"/>
                <w:szCs w:val="16"/>
              </w:rPr>
              <w:t>Horizon 2020 — Research and innovation related to transport</w:t>
            </w:r>
          </w:p>
        </w:tc>
        <w:tc>
          <w:tcPr>
            <w:tcW w:w="348"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w:t>
            </w:r>
          </w:p>
        </w:tc>
        <w:tc>
          <w:tcPr>
            <w:tcW w:w="1042"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214 874 820</w:t>
            </w:r>
          </w:p>
        </w:tc>
        <w:tc>
          <w:tcPr>
            <w:tcW w:w="1043"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315 196 545</w:t>
            </w:r>
          </w:p>
        </w:tc>
        <w:tc>
          <w:tcPr>
            <w:tcW w:w="1042"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214 874 820</w:t>
            </w:r>
          </w:p>
        </w:tc>
        <w:tc>
          <w:tcPr>
            <w:tcW w:w="1043"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315 196 545</w:t>
            </w:r>
          </w:p>
        </w:tc>
      </w:tr>
      <w:tr w:rsidR="00AE2038">
        <w:trPr>
          <w:cantSplit/>
        </w:trPr>
        <w:tc>
          <w:tcPr>
            <w:tcW w:w="695" w:type="dxa"/>
            <w:tcBorders>
              <w:top w:val="nil"/>
              <w:left w:val="single" w:sz="4" w:space="0" w:color="auto"/>
              <w:bottom w:val="single" w:sz="4" w:space="0" w:color="auto"/>
              <w:right w:val="single" w:sz="4" w:space="0" w:color="auto"/>
            </w:tcBorders>
          </w:tcPr>
          <w:p w:rsidR="00AE2038" w:rsidRDefault="00AE2038">
            <w:pPr>
              <w:spacing w:before="30" w:after="30"/>
              <w:rPr>
                <w:sz w:val="16"/>
                <w:szCs w:val="16"/>
              </w:rPr>
            </w:pPr>
          </w:p>
        </w:tc>
        <w:tc>
          <w:tcPr>
            <w:tcW w:w="3475"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Title 06 — Total</w:t>
            </w:r>
          </w:p>
        </w:tc>
        <w:tc>
          <w:tcPr>
            <w:tcW w:w="348"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42"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4 064 814 668</w:t>
            </w:r>
          </w:p>
        </w:tc>
        <w:tc>
          <w:tcPr>
            <w:tcW w:w="1043"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2 294 154 228</w:t>
            </w:r>
          </w:p>
        </w:tc>
        <w:tc>
          <w:tcPr>
            <w:tcW w:w="1042"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150 000 000</w:t>
            </w:r>
          </w:p>
        </w:tc>
        <w:tc>
          <w:tcPr>
            <w:tcW w:w="1043"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42"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4 214 814 668</w:t>
            </w:r>
          </w:p>
        </w:tc>
        <w:tc>
          <w:tcPr>
            <w:tcW w:w="1043"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2 294 154 228</w:t>
            </w:r>
          </w:p>
        </w:tc>
      </w:tr>
    </w:tbl>
    <w:p w:rsidR="00AE2038" w:rsidRDefault="00AE2038">
      <w:pPr>
        <w:keepNext/>
        <w:autoSpaceDE w:val="0"/>
        <w:autoSpaceDN w:val="0"/>
        <w:spacing w:before="480"/>
        <w:jc w:val="left"/>
        <w:outlineLvl w:val="4"/>
        <w:rPr>
          <w:b/>
          <w:bCs/>
          <w:smallCaps/>
          <w:sz w:val="28"/>
          <w:szCs w:val="28"/>
        </w:rPr>
      </w:pPr>
      <w:r>
        <w:rPr>
          <w:b/>
          <w:bCs/>
          <w:smallCaps/>
          <w:sz w:val="28"/>
          <w:szCs w:val="28"/>
        </w:rPr>
        <w:t>Chapter 06 02 — European transport policy</w:t>
      </w:r>
    </w:p>
    <w:p w:rsidR="00AE2038" w:rsidRDefault="00AE2038">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010"/>
        <w:gridCol w:w="3367"/>
        <w:gridCol w:w="336"/>
        <w:gridCol w:w="1010"/>
        <w:gridCol w:w="1010"/>
        <w:gridCol w:w="1010"/>
        <w:gridCol w:w="1010"/>
        <w:gridCol w:w="1010"/>
        <w:gridCol w:w="1010"/>
      </w:tblGrid>
      <w:tr w:rsidR="00AE2038">
        <w:trPr>
          <w:cantSplit/>
          <w:tblHeader/>
        </w:trPr>
        <w:tc>
          <w:tcPr>
            <w:tcW w:w="101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Title Chapter Article Item</w:t>
            </w:r>
          </w:p>
        </w:tc>
        <w:tc>
          <w:tcPr>
            <w:tcW w:w="3367" w:type="dxa"/>
            <w:vMerge w:val="restart"/>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Heading</w:t>
            </w:r>
          </w:p>
        </w:tc>
        <w:tc>
          <w:tcPr>
            <w:tcW w:w="336" w:type="dxa"/>
            <w:vMerge w:val="restart"/>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FF</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Draft budget 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Letter of amendment No. 1/2016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New amount</w:t>
            </w:r>
          </w:p>
        </w:tc>
      </w:tr>
      <w:tr w:rsidR="00AE2038">
        <w:trPr>
          <w:cantSplit/>
          <w:tblHeader/>
        </w:trPr>
        <w:tc>
          <w:tcPr>
            <w:tcW w:w="1010" w:type="dxa"/>
            <w:vMerge/>
            <w:tcBorders>
              <w:top w:val="nil"/>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3367" w:type="dxa"/>
            <w:vMerge/>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336" w:type="dxa"/>
            <w:vMerge/>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1010"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r>
      <w:tr w:rsidR="00AE2038">
        <w:trPr>
          <w:cantSplit/>
        </w:trPr>
        <w:tc>
          <w:tcPr>
            <w:tcW w:w="1010" w:type="dxa"/>
            <w:tcBorders>
              <w:top w:val="single" w:sz="4" w:space="0" w:color="auto"/>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06 02</w:t>
            </w:r>
          </w:p>
        </w:tc>
        <w:tc>
          <w:tcPr>
            <w:tcW w:w="3367" w:type="dxa"/>
            <w:tcBorders>
              <w:top w:val="single" w:sz="4" w:space="0" w:color="auto"/>
              <w:left w:val="nil"/>
              <w:bottom w:val="nil"/>
              <w:right w:val="single" w:sz="4" w:space="0" w:color="auto"/>
            </w:tcBorders>
          </w:tcPr>
          <w:p w:rsidR="00AE2038" w:rsidRDefault="00AE2038">
            <w:pPr>
              <w:pStyle w:val="NormalLeft"/>
              <w:spacing w:before="30" w:after="30"/>
              <w:rPr>
                <w:sz w:val="16"/>
                <w:szCs w:val="16"/>
              </w:rPr>
            </w:pPr>
            <w:r>
              <w:rPr>
                <w:sz w:val="16"/>
                <w:szCs w:val="16"/>
              </w:rPr>
              <w:t>European transport policy</w:t>
            </w:r>
          </w:p>
        </w:tc>
        <w:tc>
          <w:tcPr>
            <w:tcW w:w="336" w:type="dxa"/>
            <w:tcBorders>
              <w:top w:val="single" w:sz="4" w:space="0" w:color="auto"/>
              <w:left w:val="nil"/>
              <w:bottom w:val="nil"/>
              <w:right w:val="single" w:sz="4" w:space="0" w:color="auto"/>
            </w:tcBorders>
          </w:tcPr>
          <w:p w:rsidR="00AE2038" w:rsidRDefault="00AE2038">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06 02 01</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Connecting Europe Facility (CEF)</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lastRenderedPageBreak/>
              <w:t>06 02 01 01</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Removing bottlenecks, enhancing rail interoperability, bridging missing links and improving cross-border sections</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771 941 027</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582 450 000</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320 063 750</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1 092 004 777</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582 450 000</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06 02 01 02</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Ensuring sustainable and efficient transport systems</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48 062 964</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31 045 375</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20 484 100</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68 547 064</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31 045 375</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06 02 01 03</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Optimising the integration and interconnection of transport modes and enhancing interoperability</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144 188 892</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92 100 505</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59 452 150</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203 641 042</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92 100 505</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06 02 01 04</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Connecting Europe Facility (CEF) — Cohesion Fund allocation</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1.2</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2 372 380 457</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378 659 459</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2 372 380 457</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378 659 459</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06 02 01 05</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Creating an environment more conducive to private investment for transport infrastructure projects</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316 354 000</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43 300 000</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-250 000 000</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66 354 000</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43 300 000</w:t>
            </w:r>
          </w:p>
        </w:tc>
      </w:tr>
      <w:tr w:rsidR="00AE2038">
        <w:trPr>
          <w:cantSplit/>
        </w:trPr>
        <w:tc>
          <w:tcPr>
            <w:tcW w:w="1010" w:type="dxa"/>
            <w:tcBorders>
              <w:top w:val="nil"/>
              <w:left w:val="single" w:sz="4" w:space="0" w:color="auto"/>
              <w:bottom w:val="nil"/>
              <w:right w:val="single" w:sz="4" w:space="0" w:color="auto"/>
            </w:tcBorders>
          </w:tcPr>
          <w:p w:rsidR="00AE2038" w:rsidRDefault="00AE2038">
            <w:pPr>
              <w:spacing w:before="30" w:after="30"/>
              <w:rPr>
                <w:sz w:val="16"/>
                <w:szCs w:val="16"/>
              </w:rPr>
            </w:pPr>
          </w:p>
        </w:tc>
        <w:tc>
          <w:tcPr>
            <w:tcW w:w="3367" w:type="dxa"/>
            <w:tcBorders>
              <w:top w:val="nil"/>
              <w:left w:val="nil"/>
              <w:bottom w:val="nil"/>
              <w:right w:val="single" w:sz="4" w:space="0" w:color="auto"/>
            </w:tcBorders>
          </w:tcPr>
          <w:p w:rsidR="00AE2038" w:rsidRDefault="00AE2038">
            <w:pPr>
              <w:pStyle w:val="NormalRight"/>
              <w:spacing w:before="30" w:after="30"/>
              <w:rPr>
                <w:sz w:val="16"/>
                <w:szCs w:val="16"/>
              </w:rPr>
            </w:pPr>
            <w:r>
              <w:rPr>
                <w:i/>
                <w:iCs/>
                <w:sz w:val="16"/>
                <w:szCs w:val="16"/>
              </w:rPr>
              <w:t>Article 06 02 01 — Subtotal</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3 652 927 340</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1 127 555 339</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150 000 000</w:t>
            </w: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3 802 927 340</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1 127 555 339</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06 02 02</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European Aviation Safety Agency</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34 818 550</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34 818 550</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34 818 550</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34 818 550</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06 02 03</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European Maritime Safety Agency</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06 02 03 01</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 xml:space="preserve">European Maritime Safety Agency </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29 549 032</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29 523 073</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29 549 032</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29 523 073</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06 02 03 02</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European Maritime Safety Agency — Anti-pollution measures</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21 600 000</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17 811 801</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21 600 000</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17 811 801</w:t>
            </w:r>
          </w:p>
        </w:tc>
      </w:tr>
      <w:tr w:rsidR="00AE2038">
        <w:trPr>
          <w:cantSplit/>
        </w:trPr>
        <w:tc>
          <w:tcPr>
            <w:tcW w:w="1010" w:type="dxa"/>
            <w:tcBorders>
              <w:top w:val="nil"/>
              <w:left w:val="single" w:sz="4" w:space="0" w:color="auto"/>
              <w:bottom w:val="nil"/>
              <w:right w:val="single" w:sz="4" w:space="0" w:color="auto"/>
            </w:tcBorders>
          </w:tcPr>
          <w:p w:rsidR="00AE2038" w:rsidRDefault="00AE2038">
            <w:pPr>
              <w:spacing w:before="30" w:after="30"/>
              <w:rPr>
                <w:sz w:val="16"/>
                <w:szCs w:val="16"/>
              </w:rPr>
            </w:pPr>
          </w:p>
        </w:tc>
        <w:tc>
          <w:tcPr>
            <w:tcW w:w="3367" w:type="dxa"/>
            <w:tcBorders>
              <w:top w:val="nil"/>
              <w:left w:val="nil"/>
              <w:bottom w:val="nil"/>
              <w:right w:val="single" w:sz="4" w:space="0" w:color="auto"/>
            </w:tcBorders>
          </w:tcPr>
          <w:p w:rsidR="00AE2038" w:rsidRDefault="00AE2038">
            <w:pPr>
              <w:pStyle w:val="NormalRight"/>
              <w:spacing w:before="30" w:after="30"/>
              <w:rPr>
                <w:sz w:val="16"/>
                <w:szCs w:val="16"/>
              </w:rPr>
            </w:pPr>
            <w:r>
              <w:rPr>
                <w:i/>
                <w:iCs/>
                <w:sz w:val="16"/>
                <w:szCs w:val="16"/>
              </w:rPr>
              <w:t>Article 06 02 03 — Subtotal</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51 149 032</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47 334 874</w:t>
            </w: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51 149 032</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47 334 874</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06 02 04</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 xml:space="preserve">European Railway Agency </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25 213 000</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25 213 000</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25 213 000</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25 213 000</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06 02 05</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Support activities to the European transport policy and passenger rights including communication activities</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12 705 000</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15 621 386</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12 705 000</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15 621 386</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06 02 06</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Transport security</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2 200 000</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1 700 000</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2 200 000</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1 700 000</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06 02 51</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Completion of trans-European networks programme</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630 340 000</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630 340 000</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06 02 52</w:t>
            </w:r>
          </w:p>
        </w:tc>
        <w:tc>
          <w:tcPr>
            <w:tcW w:w="3367" w:type="dxa"/>
            <w:tcBorders>
              <w:top w:val="nil"/>
              <w:left w:val="nil"/>
              <w:bottom w:val="nil"/>
              <w:right w:val="single" w:sz="4" w:space="0" w:color="auto"/>
            </w:tcBorders>
          </w:tcPr>
          <w:p w:rsidR="00AE2038" w:rsidRPr="00AE2038" w:rsidRDefault="00AE2038">
            <w:pPr>
              <w:pStyle w:val="NormalLeft"/>
              <w:spacing w:before="30" w:after="30"/>
              <w:rPr>
                <w:sz w:val="16"/>
                <w:szCs w:val="16"/>
                <w:lang w:val="it-IT"/>
              </w:rPr>
            </w:pPr>
            <w:proofErr w:type="spellStart"/>
            <w:r w:rsidRPr="00AE2038">
              <w:rPr>
                <w:b/>
                <w:bCs/>
                <w:i/>
                <w:iCs/>
                <w:sz w:val="16"/>
                <w:szCs w:val="16"/>
                <w:lang w:val="it-IT"/>
              </w:rPr>
              <w:t>Completion</w:t>
            </w:r>
            <w:proofErr w:type="spellEnd"/>
            <w:r w:rsidRPr="00AE2038">
              <w:rPr>
                <w:b/>
                <w:bCs/>
                <w:i/>
                <w:iCs/>
                <w:sz w:val="16"/>
                <w:szCs w:val="16"/>
                <w:lang w:val="it-IT"/>
              </w:rPr>
              <w:t xml:space="preserve"> of Marco Polo </w:t>
            </w:r>
            <w:proofErr w:type="spellStart"/>
            <w:r w:rsidRPr="00AE2038">
              <w:rPr>
                <w:b/>
                <w:bCs/>
                <w:i/>
                <w:iCs/>
                <w:sz w:val="16"/>
                <w:szCs w:val="16"/>
                <w:lang w:val="it-IT"/>
              </w:rPr>
              <w:t>programme</w:t>
            </w:r>
            <w:proofErr w:type="spellEnd"/>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19 185 423</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19 185 423</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06 02 53</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Completion of anti-pollution measures</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4 688 199</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4 688 199</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06 02 77</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Pilot projects and preparatory actions</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06 02 77 01</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Preparatory action — European transport information and booking interface across transport modes</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790 000</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790 000</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06 02 77 03</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Preparatory action — Ships fuelled by liquefied natural gas (LNG)</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06 02 77 05</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Pilot project — The role of rolling stock in European interoperability</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06 02 77 06</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Preparatory action — General aviation — Statistics and key figures</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133 986</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133 986</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06 02 77 07</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Pilot project — Beyond traffic jams: intelligent integrated transport solutions for road infrastructure</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650 000</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650 000</w:t>
            </w:r>
          </w:p>
        </w:tc>
      </w:tr>
      <w:tr w:rsidR="00AE2038">
        <w:trPr>
          <w:cantSplit/>
        </w:trPr>
        <w:tc>
          <w:tcPr>
            <w:tcW w:w="1010" w:type="dxa"/>
            <w:tcBorders>
              <w:top w:val="nil"/>
              <w:left w:val="single" w:sz="4" w:space="0" w:color="auto"/>
              <w:bottom w:val="nil"/>
              <w:right w:val="single" w:sz="4" w:space="0" w:color="auto"/>
            </w:tcBorders>
          </w:tcPr>
          <w:p w:rsidR="00AE2038" w:rsidRDefault="00AE2038">
            <w:pPr>
              <w:spacing w:before="30" w:after="30"/>
              <w:rPr>
                <w:sz w:val="16"/>
                <w:szCs w:val="16"/>
              </w:rPr>
            </w:pPr>
          </w:p>
        </w:tc>
        <w:tc>
          <w:tcPr>
            <w:tcW w:w="3367" w:type="dxa"/>
            <w:tcBorders>
              <w:top w:val="nil"/>
              <w:left w:val="nil"/>
              <w:bottom w:val="nil"/>
              <w:right w:val="single" w:sz="4" w:space="0" w:color="auto"/>
            </w:tcBorders>
          </w:tcPr>
          <w:p w:rsidR="00AE2038" w:rsidRDefault="00AE2038">
            <w:pPr>
              <w:pStyle w:val="NormalRight"/>
              <w:spacing w:before="30" w:after="30"/>
              <w:rPr>
                <w:sz w:val="16"/>
                <w:szCs w:val="16"/>
              </w:rPr>
            </w:pPr>
            <w:r>
              <w:rPr>
                <w:i/>
                <w:iCs/>
                <w:sz w:val="16"/>
                <w:szCs w:val="16"/>
              </w:rPr>
              <w:t>Article 06 02 77 — Subtotal</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1 573 986</w:t>
            </w: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1 573 986</w:t>
            </w:r>
          </w:p>
        </w:tc>
      </w:tr>
      <w:tr w:rsidR="00AE2038">
        <w:trPr>
          <w:cantSplit/>
        </w:trPr>
        <w:tc>
          <w:tcPr>
            <w:tcW w:w="1010" w:type="dxa"/>
            <w:tcBorders>
              <w:top w:val="nil"/>
              <w:left w:val="single" w:sz="4" w:space="0" w:color="auto"/>
              <w:bottom w:val="single" w:sz="4" w:space="0" w:color="auto"/>
              <w:right w:val="single" w:sz="4" w:space="0" w:color="auto"/>
            </w:tcBorders>
          </w:tcPr>
          <w:p w:rsidR="00AE2038" w:rsidRDefault="00AE2038">
            <w:pPr>
              <w:spacing w:before="30" w:after="30"/>
              <w:rPr>
                <w:sz w:val="16"/>
                <w:szCs w:val="16"/>
              </w:rPr>
            </w:pPr>
          </w:p>
        </w:tc>
        <w:tc>
          <w:tcPr>
            <w:tcW w:w="3367"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Chapter 06 02 — Total</w:t>
            </w:r>
          </w:p>
        </w:tc>
        <w:tc>
          <w:tcPr>
            <w:tcW w:w="336"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3 779 012 922</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1 908 030 757</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150 000 000</w:t>
            </w: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3 929 012 922</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1 908 030 757</w:t>
            </w:r>
          </w:p>
        </w:tc>
      </w:tr>
    </w:tbl>
    <w:p w:rsidR="00AE2038" w:rsidRDefault="00AE2038">
      <w:pPr>
        <w:keepNext/>
        <w:autoSpaceDE w:val="0"/>
        <w:autoSpaceDN w:val="0"/>
        <w:spacing w:before="480"/>
        <w:jc w:val="left"/>
        <w:outlineLvl w:val="5"/>
        <w:rPr>
          <w:b/>
          <w:bCs/>
          <w:i/>
          <w:iCs/>
          <w:sz w:val="24"/>
          <w:szCs w:val="24"/>
        </w:rPr>
      </w:pPr>
      <w:r>
        <w:rPr>
          <w:b/>
          <w:bCs/>
          <w:i/>
          <w:iCs/>
          <w:sz w:val="24"/>
          <w:szCs w:val="24"/>
        </w:rPr>
        <w:t>Article 06 02 01 — Connecting Europe Facility (CEF)</w:t>
      </w:r>
    </w:p>
    <w:p w:rsidR="00AE2038" w:rsidRDefault="00AE2038">
      <w:pPr>
        <w:keepNext/>
        <w:autoSpaceDE w:val="0"/>
        <w:autoSpaceDN w:val="0"/>
        <w:spacing w:before="480"/>
        <w:jc w:val="left"/>
        <w:outlineLvl w:val="6"/>
        <w:rPr>
          <w:sz w:val="22"/>
          <w:szCs w:val="22"/>
        </w:rPr>
      </w:pPr>
      <w:r>
        <w:rPr>
          <w:sz w:val="22"/>
          <w:szCs w:val="22"/>
        </w:rPr>
        <w:t>Item 06 02 01 01 — Removing bottlenecks, enhancing rail interoperability, bridging missing links and improving cross-border sections</w:t>
      </w:r>
    </w:p>
    <w:p w:rsidR="00AE2038" w:rsidRDefault="00AE2038">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796"/>
        <w:gridCol w:w="1795"/>
        <w:gridCol w:w="1796"/>
        <w:gridCol w:w="1795"/>
        <w:gridCol w:w="1796"/>
        <w:gridCol w:w="1795"/>
      </w:tblGrid>
      <w:tr w:rsidR="00AE2038">
        <w:trPr>
          <w:cantSplit/>
          <w:tblHeader/>
        </w:trPr>
        <w:tc>
          <w:tcPr>
            <w:tcW w:w="359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Draft budget 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Letter of amendment No. 1/2016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New amount</w:t>
            </w:r>
          </w:p>
        </w:tc>
      </w:tr>
      <w:tr w:rsidR="00AE2038">
        <w:trPr>
          <w:cantSplit/>
          <w:tblHeader/>
        </w:trPr>
        <w:tc>
          <w:tcPr>
            <w:tcW w:w="1796" w:type="dxa"/>
            <w:tcBorders>
              <w:top w:val="nil"/>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r>
      <w:tr w:rsidR="00AE2038">
        <w:trPr>
          <w:cantSplit/>
        </w:trPr>
        <w:tc>
          <w:tcPr>
            <w:tcW w:w="1796" w:type="dxa"/>
            <w:tcBorders>
              <w:top w:val="single" w:sz="4" w:space="0" w:color="auto"/>
              <w:left w:val="single" w:sz="4" w:space="0" w:color="auto"/>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771 941 027</w:t>
            </w:r>
          </w:p>
        </w:tc>
        <w:tc>
          <w:tcPr>
            <w:tcW w:w="1795"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582 450 000</w:t>
            </w:r>
          </w:p>
        </w:tc>
        <w:tc>
          <w:tcPr>
            <w:tcW w:w="1796"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320 063 750</w:t>
            </w:r>
          </w:p>
        </w:tc>
        <w:tc>
          <w:tcPr>
            <w:tcW w:w="1795" w:type="dxa"/>
            <w:tcBorders>
              <w:top w:val="single" w:sz="4" w:space="0" w:color="auto"/>
              <w:left w:val="nil"/>
              <w:bottom w:val="single" w:sz="4" w:space="0" w:color="auto"/>
              <w:right w:val="single" w:sz="4" w:space="0" w:color="auto"/>
            </w:tcBorders>
            <w:vAlign w:val="center"/>
          </w:tcPr>
          <w:p w:rsidR="00AE2038" w:rsidRDefault="00AE2038">
            <w:pPr>
              <w:spacing w:before="30" w:after="30"/>
              <w:rPr>
                <w:sz w:val="16"/>
                <w:szCs w:val="16"/>
              </w:rPr>
            </w:pPr>
          </w:p>
        </w:tc>
        <w:tc>
          <w:tcPr>
            <w:tcW w:w="1796"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1 092 004 777</w:t>
            </w:r>
          </w:p>
        </w:tc>
        <w:tc>
          <w:tcPr>
            <w:tcW w:w="1795"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582 450 000</w:t>
            </w:r>
          </w:p>
        </w:tc>
      </w:tr>
    </w:tbl>
    <w:p w:rsidR="00AE2038" w:rsidRDefault="00AE2038">
      <w:pPr>
        <w:keepNext/>
      </w:pPr>
      <w:r>
        <w:rPr>
          <w:i/>
          <w:iCs/>
        </w:rPr>
        <w:lastRenderedPageBreak/>
        <w:t>Remarks</w:t>
      </w:r>
    </w:p>
    <w:p w:rsidR="00AE2038" w:rsidRDefault="00AE2038">
      <w:r>
        <w:t>The objective of ‘Removing bottlenecks and bridging missing links’ refers to Article 4(2)(a) of Regulation (EU) No 1316/2013. This objective will be implemented through calls for proposals under the annual and multiannual work programmes constituting financing decisions within the meaning of Article 84 of the Financial Regulation, of the core network transport projects and Union transport corridors, which are defined in the annexes to the Connecting Europe Facility and TEN-T guidelines. The implementation of this objective is expected to be measured through new and improved cross-border connections and removed bottlenecks, which have benefitted from the Connecting Europe Facility.</w:t>
      </w:r>
    </w:p>
    <w:p w:rsidR="00AE2038" w:rsidRDefault="00AE2038">
      <w:pPr>
        <w:keepNext/>
      </w:pPr>
      <w:r>
        <w:rPr>
          <w:i/>
          <w:iCs/>
        </w:rPr>
        <w:t>Legal basis</w:t>
      </w:r>
    </w:p>
    <w:p w:rsidR="00AE2038" w:rsidRDefault="00AE2038">
      <w:r>
        <w:t>Regulation (EU) No 1316/2013 of the European Parliament and of the Council of 11 December 2013 establishing the Connecting Europe Facility, amending Regulation (EU) No 913/2010 and repealing Regulations (EC) No 680/2007 and (EC) No 67/2010 (OJ L 348, 20.12.2013, p. 129), and in particular Article 4(2)(a) thereof.</w:t>
      </w:r>
    </w:p>
    <w:p w:rsidR="00AE2038" w:rsidRDefault="00AE2038">
      <w:pPr>
        <w:keepNext/>
        <w:autoSpaceDE w:val="0"/>
        <w:autoSpaceDN w:val="0"/>
        <w:spacing w:before="480"/>
        <w:jc w:val="left"/>
        <w:outlineLvl w:val="6"/>
        <w:rPr>
          <w:sz w:val="22"/>
          <w:szCs w:val="22"/>
        </w:rPr>
      </w:pPr>
      <w:r>
        <w:rPr>
          <w:sz w:val="22"/>
          <w:szCs w:val="22"/>
        </w:rPr>
        <w:t>Item 06 02 01 02 — Ensuring sustainable and efficient transport systems</w:t>
      </w:r>
    </w:p>
    <w:p w:rsidR="00AE2038" w:rsidRDefault="00AE2038">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796"/>
        <w:gridCol w:w="1795"/>
        <w:gridCol w:w="1796"/>
        <w:gridCol w:w="1795"/>
        <w:gridCol w:w="1796"/>
        <w:gridCol w:w="1795"/>
      </w:tblGrid>
      <w:tr w:rsidR="00AE2038">
        <w:trPr>
          <w:cantSplit/>
          <w:tblHeader/>
        </w:trPr>
        <w:tc>
          <w:tcPr>
            <w:tcW w:w="359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Draft budget 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Letter of amendment No. 1/2016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New amount</w:t>
            </w:r>
          </w:p>
        </w:tc>
      </w:tr>
      <w:tr w:rsidR="00AE2038">
        <w:trPr>
          <w:cantSplit/>
          <w:tblHeader/>
        </w:trPr>
        <w:tc>
          <w:tcPr>
            <w:tcW w:w="1796" w:type="dxa"/>
            <w:tcBorders>
              <w:top w:val="nil"/>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r>
      <w:tr w:rsidR="00AE2038">
        <w:trPr>
          <w:cantSplit/>
        </w:trPr>
        <w:tc>
          <w:tcPr>
            <w:tcW w:w="1796" w:type="dxa"/>
            <w:tcBorders>
              <w:top w:val="single" w:sz="4" w:space="0" w:color="auto"/>
              <w:left w:val="single" w:sz="4" w:space="0" w:color="auto"/>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48 062 964</w:t>
            </w:r>
          </w:p>
        </w:tc>
        <w:tc>
          <w:tcPr>
            <w:tcW w:w="1795"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31 045 375</w:t>
            </w:r>
          </w:p>
        </w:tc>
        <w:tc>
          <w:tcPr>
            <w:tcW w:w="1796"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20 484 100</w:t>
            </w:r>
          </w:p>
        </w:tc>
        <w:tc>
          <w:tcPr>
            <w:tcW w:w="1795" w:type="dxa"/>
            <w:tcBorders>
              <w:top w:val="single" w:sz="4" w:space="0" w:color="auto"/>
              <w:left w:val="nil"/>
              <w:bottom w:val="single" w:sz="4" w:space="0" w:color="auto"/>
              <w:right w:val="single" w:sz="4" w:space="0" w:color="auto"/>
            </w:tcBorders>
            <w:vAlign w:val="center"/>
          </w:tcPr>
          <w:p w:rsidR="00AE2038" w:rsidRDefault="00AE2038">
            <w:pPr>
              <w:spacing w:before="30" w:after="30"/>
              <w:rPr>
                <w:sz w:val="16"/>
                <w:szCs w:val="16"/>
              </w:rPr>
            </w:pPr>
          </w:p>
        </w:tc>
        <w:tc>
          <w:tcPr>
            <w:tcW w:w="1796"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68 547 064</w:t>
            </w:r>
          </w:p>
        </w:tc>
        <w:tc>
          <w:tcPr>
            <w:tcW w:w="1795"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31 045 375</w:t>
            </w:r>
          </w:p>
        </w:tc>
      </w:tr>
    </w:tbl>
    <w:p w:rsidR="00AE2038" w:rsidRDefault="00AE2038">
      <w:pPr>
        <w:keepNext/>
      </w:pPr>
      <w:r>
        <w:rPr>
          <w:i/>
          <w:iCs/>
        </w:rPr>
        <w:t>Remarks</w:t>
      </w:r>
    </w:p>
    <w:p w:rsidR="00AE2038" w:rsidRDefault="00AE2038">
      <w:r>
        <w:t>The objective of ‘Ensuring sustainable and efficient transport in the long run’ refers to Article 4(2</w:t>
      </w:r>
      <w:proofErr w:type="gramStart"/>
      <w:r>
        <w:t>)(</w:t>
      </w:r>
      <w:proofErr w:type="gramEnd"/>
      <w:r>
        <w:t xml:space="preserve">b) of Regulation (EU) No 1316/2013. This objective will be implemented through calls for proposals under the annual and multiannual work programmes constituting the financing decisions within the meaning of Article 84 of the Financial Regulation. </w:t>
      </w:r>
    </w:p>
    <w:p w:rsidR="00AE2038" w:rsidRDefault="00AE2038">
      <w:r>
        <w:t xml:space="preserve">In the 2014-2020 </w:t>
      </w:r>
      <w:proofErr w:type="gramStart"/>
      <w:r>
        <w:t>period</w:t>
      </w:r>
      <w:proofErr w:type="gramEnd"/>
      <w:r>
        <w:t xml:space="preserve">, a follow-up of the Marco Polo programme will be implemented by the Connecting Europe Facility within the framework of the revised TEN-T guidelines. In accordance with Article 32 of Regulation (EU) No 1315/2013 of the European Parliament and of the Council of 11 December 2013 on Union guidelines for the development of the trans-European transport network and repealing Decision No 661/2010/EU (OJ L 348, 20.12.2013, p. 1), it will introduce a new approach in support of freight transport services in the Union (indicative budget EUR 70-140 million per year). </w:t>
      </w:r>
    </w:p>
    <w:p w:rsidR="00AE2038" w:rsidRDefault="00AE2038">
      <w:pPr>
        <w:keepNext/>
      </w:pPr>
      <w:r>
        <w:rPr>
          <w:i/>
          <w:iCs/>
        </w:rPr>
        <w:t>Legal basis</w:t>
      </w:r>
    </w:p>
    <w:p w:rsidR="00AE2038" w:rsidRDefault="00AE2038">
      <w:r>
        <w:t>Regulation (EU) No 1316/2013 of the European Parliament and of the Council of 11 December 2013 establishing the Connecting Europe Facility, amending Regulation (EU) No 913/2010 and repealing Regulations (EC) No 680/2007 and (EC) No 67/2010 (OJ L 348, 20.12.2013, p. 129), and in particular Article 4(2)(b) thereof.</w:t>
      </w:r>
    </w:p>
    <w:p w:rsidR="00AE2038" w:rsidRDefault="00AE2038">
      <w:pPr>
        <w:keepNext/>
        <w:autoSpaceDE w:val="0"/>
        <w:autoSpaceDN w:val="0"/>
        <w:spacing w:before="480"/>
        <w:jc w:val="left"/>
        <w:outlineLvl w:val="6"/>
        <w:rPr>
          <w:sz w:val="22"/>
          <w:szCs w:val="22"/>
        </w:rPr>
      </w:pPr>
      <w:r>
        <w:rPr>
          <w:sz w:val="22"/>
          <w:szCs w:val="22"/>
        </w:rPr>
        <w:t>Item 06 02 01 03 — Optimising the integration and interconnection of transport modes and enhancing interoperability</w:t>
      </w:r>
    </w:p>
    <w:p w:rsidR="00AE2038" w:rsidRDefault="00AE2038">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796"/>
        <w:gridCol w:w="1795"/>
        <w:gridCol w:w="1796"/>
        <w:gridCol w:w="1795"/>
        <w:gridCol w:w="1796"/>
        <w:gridCol w:w="1795"/>
      </w:tblGrid>
      <w:tr w:rsidR="00AE2038">
        <w:trPr>
          <w:cantSplit/>
          <w:tblHeader/>
        </w:trPr>
        <w:tc>
          <w:tcPr>
            <w:tcW w:w="359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Draft budget 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Letter of amendment No. 1/2016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New amount</w:t>
            </w:r>
          </w:p>
        </w:tc>
      </w:tr>
      <w:tr w:rsidR="00AE2038">
        <w:trPr>
          <w:cantSplit/>
          <w:tblHeader/>
        </w:trPr>
        <w:tc>
          <w:tcPr>
            <w:tcW w:w="1796" w:type="dxa"/>
            <w:tcBorders>
              <w:top w:val="nil"/>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r>
      <w:tr w:rsidR="00AE2038">
        <w:trPr>
          <w:cantSplit/>
        </w:trPr>
        <w:tc>
          <w:tcPr>
            <w:tcW w:w="1796" w:type="dxa"/>
            <w:tcBorders>
              <w:top w:val="single" w:sz="4" w:space="0" w:color="auto"/>
              <w:left w:val="single" w:sz="4" w:space="0" w:color="auto"/>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144 188 892</w:t>
            </w:r>
          </w:p>
        </w:tc>
        <w:tc>
          <w:tcPr>
            <w:tcW w:w="1795"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92 100 505</w:t>
            </w:r>
          </w:p>
        </w:tc>
        <w:tc>
          <w:tcPr>
            <w:tcW w:w="1796"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59 452 150</w:t>
            </w:r>
          </w:p>
        </w:tc>
        <w:tc>
          <w:tcPr>
            <w:tcW w:w="1795" w:type="dxa"/>
            <w:tcBorders>
              <w:top w:val="single" w:sz="4" w:space="0" w:color="auto"/>
              <w:left w:val="nil"/>
              <w:bottom w:val="single" w:sz="4" w:space="0" w:color="auto"/>
              <w:right w:val="single" w:sz="4" w:space="0" w:color="auto"/>
            </w:tcBorders>
            <w:vAlign w:val="center"/>
          </w:tcPr>
          <w:p w:rsidR="00AE2038" w:rsidRDefault="00AE2038">
            <w:pPr>
              <w:spacing w:before="30" w:after="30"/>
              <w:rPr>
                <w:sz w:val="16"/>
                <w:szCs w:val="16"/>
              </w:rPr>
            </w:pPr>
          </w:p>
        </w:tc>
        <w:tc>
          <w:tcPr>
            <w:tcW w:w="1796"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203 641 042</w:t>
            </w:r>
          </w:p>
        </w:tc>
        <w:tc>
          <w:tcPr>
            <w:tcW w:w="1795"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92 100 505</w:t>
            </w:r>
          </w:p>
        </w:tc>
      </w:tr>
    </w:tbl>
    <w:p w:rsidR="00AE2038" w:rsidRDefault="00AE2038">
      <w:pPr>
        <w:keepNext/>
      </w:pPr>
      <w:r>
        <w:rPr>
          <w:i/>
          <w:iCs/>
        </w:rPr>
        <w:t>Remarks</w:t>
      </w:r>
    </w:p>
    <w:p w:rsidR="00AE2038" w:rsidRDefault="00AE2038">
      <w:r>
        <w:t>The objective of ‘Optimising the integration and interconnection of transport modes and enhancing the interoperability, safety and security of transport’ refers to Article 4(2</w:t>
      </w:r>
      <w:proofErr w:type="gramStart"/>
      <w:r>
        <w:t>)(</w:t>
      </w:r>
      <w:proofErr w:type="gramEnd"/>
      <w:r>
        <w:t xml:space="preserve">c) of Regulation (EU) No 1316/2013. </w:t>
      </w:r>
    </w:p>
    <w:p w:rsidR="00AE2038" w:rsidRDefault="00AE2038">
      <w:r>
        <w:t xml:space="preserve">This objective will be implemented through calls for proposals under the annual and multiannual work programmes constituting financing decisions within the meaning of Article 84 of the Financial Regulation. </w:t>
      </w:r>
    </w:p>
    <w:p w:rsidR="00AE2038" w:rsidRDefault="00AE2038">
      <w:r>
        <w:t>The achievement of this objective shall be measured by the number of inland and maritime ports and airports connected to the railway network, by the number of improved multimodal logistics platforms, by the number of improved connections through motorways of the sea and by the number of supply points in alternative sources of energy on the core network.</w:t>
      </w:r>
    </w:p>
    <w:p w:rsidR="00AE2038" w:rsidRDefault="00AE2038">
      <w:r>
        <w:t>The implementation of the Single European Sky (SES) policy and the deployment of SESAR are pursued under this objective.</w:t>
      </w:r>
    </w:p>
    <w:p w:rsidR="00AE2038" w:rsidRDefault="00AE2038">
      <w:pPr>
        <w:keepNext/>
      </w:pPr>
      <w:r>
        <w:rPr>
          <w:i/>
          <w:iCs/>
        </w:rPr>
        <w:lastRenderedPageBreak/>
        <w:t>Legal basis</w:t>
      </w:r>
    </w:p>
    <w:p w:rsidR="00AE2038" w:rsidRDefault="00AE2038">
      <w:r>
        <w:t>Regulation (EU) No 1316/2013 of the European Parliament and of the Council of 11 December 2013 establishing the Connecting Europe Facility, amending Regulation (EU) No 913/2010 and repealing Regulations (EC) No 680/2007 and (EC) No 67/2010 (OJ L 348, 20.12.2013, p. 129), and in particular Article 4(2)(c) thereof.</w:t>
      </w:r>
    </w:p>
    <w:p w:rsidR="00AE2038" w:rsidRDefault="00AE2038">
      <w:pPr>
        <w:keepNext/>
        <w:autoSpaceDE w:val="0"/>
        <w:autoSpaceDN w:val="0"/>
        <w:spacing w:before="480"/>
        <w:jc w:val="left"/>
        <w:outlineLvl w:val="6"/>
        <w:rPr>
          <w:sz w:val="22"/>
          <w:szCs w:val="22"/>
        </w:rPr>
      </w:pPr>
      <w:r>
        <w:rPr>
          <w:sz w:val="22"/>
          <w:szCs w:val="22"/>
        </w:rPr>
        <w:t>Item 06 02 01 05 — Creating an environment more conducive to private investment for transport infrastructure projects</w:t>
      </w:r>
    </w:p>
    <w:p w:rsidR="00AE2038" w:rsidRDefault="00AE2038">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796"/>
        <w:gridCol w:w="1795"/>
        <w:gridCol w:w="1796"/>
        <w:gridCol w:w="1795"/>
        <w:gridCol w:w="1796"/>
        <w:gridCol w:w="1795"/>
      </w:tblGrid>
      <w:tr w:rsidR="00AE2038">
        <w:trPr>
          <w:cantSplit/>
          <w:tblHeader/>
        </w:trPr>
        <w:tc>
          <w:tcPr>
            <w:tcW w:w="359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Draft budget 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Letter of amendment No. 1/2016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New amount</w:t>
            </w:r>
          </w:p>
        </w:tc>
      </w:tr>
      <w:tr w:rsidR="00AE2038">
        <w:trPr>
          <w:cantSplit/>
          <w:tblHeader/>
        </w:trPr>
        <w:tc>
          <w:tcPr>
            <w:tcW w:w="1796" w:type="dxa"/>
            <w:tcBorders>
              <w:top w:val="nil"/>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r>
      <w:tr w:rsidR="00AE2038">
        <w:trPr>
          <w:cantSplit/>
        </w:trPr>
        <w:tc>
          <w:tcPr>
            <w:tcW w:w="1796" w:type="dxa"/>
            <w:tcBorders>
              <w:top w:val="single" w:sz="4" w:space="0" w:color="auto"/>
              <w:left w:val="single" w:sz="4" w:space="0" w:color="auto"/>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316 354 000</w:t>
            </w:r>
          </w:p>
        </w:tc>
        <w:tc>
          <w:tcPr>
            <w:tcW w:w="1795"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43 300 000</w:t>
            </w:r>
          </w:p>
        </w:tc>
        <w:tc>
          <w:tcPr>
            <w:tcW w:w="1796"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-250 000 000</w:t>
            </w:r>
          </w:p>
        </w:tc>
        <w:tc>
          <w:tcPr>
            <w:tcW w:w="1795" w:type="dxa"/>
            <w:tcBorders>
              <w:top w:val="single" w:sz="4" w:space="0" w:color="auto"/>
              <w:left w:val="nil"/>
              <w:bottom w:val="single" w:sz="4" w:space="0" w:color="auto"/>
              <w:right w:val="single" w:sz="4" w:space="0" w:color="auto"/>
            </w:tcBorders>
            <w:vAlign w:val="center"/>
          </w:tcPr>
          <w:p w:rsidR="00AE2038" w:rsidRDefault="00AE2038">
            <w:pPr>
              <w:spacing w:before="30" w:after="30"/>
              <w:rPr>
                <w:sz w:val="16"/>
                <w:szCs w:val="16"/>
              </w:rPr>
            </w:pPr>
          </w:p>
        </w:tc>
        <w:tc>
          <w:tcPr>
            <w:tcW w:w="1796"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66 354 000</w:t>
            </w:r>
          </w:p>
        </w:tc>
        <w:tc>
          <w:tcPr>
            <w:tcW w:w="1795"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43 300 000</w:t>
            </w:r>
          </w:p>
        </w:tc>
      </w:tr>
    </w:tbl>
    <w:p w:rsidR="00AE2038" w:rsidRDefault="00AE2038">
      <w:pPr>
        <w:keepNext/>
      </w:pPr>
      <w:r>
        <w:rPr>
          <w:i/>
          <w:iCs/>
        </w:rPr>
        <w:t>Remarks</w:t>
      </w:r>
    </w:p>
    <w:p w:rsidR="00AE2038" w:rsidRDefault="00AE2038">
      <w:r>
        <w:t xml:space="preserve">This objective of ‘Creating an environment more conducive to private investment for transport infrastructure projects’ aims to implement the projects of common interests through the financial instruments, based on an </w:t>
      </w:r>
      <w:r>
        <w:rPr>
          <w:i/>
          <w:iCs/>
        </w:rPr>
        <w:t xml:space="preserve">ex ante </w:t>
      </w:r>
      <w:r>
        <w:t>assessment as required by Article 224 of Delegated Regulation (EU) No 1268/2012. In accordance with Article 21(4) of Regulation (EU) No 1316/2013, from 10 % to 20 % of the financial envelope for CEF transport shall be available for innovative financing instruments such as the Project Bonds Instrument, the Loan Guarantee Instrument and other instruments such as joint ventures and the equity instruments to combine public and private financial resources to accelerate infrastructure investments in Europe. The financial instruments are intended to facilitate access to private financing and thus to accelerate or to make possible financing of the TEN-T projects eligible under the TEN-T guidelines and Regulation (EU) No 1316/2013. The financial instruments are intended to be established as ‘debt’ or ‘equity’ frameworks and they should address specific market failures and provide appropriate financing solutions. They are intended to be implemented as direct management by the entrusted entities, within the meaning of the Financial Regulation or jointly with the entrusted entities. The entrusted entities must be accredited to provide guarantees to the Commission on the protection of the Union financial interests in line with the requirements of the Financial Regulation.</w:t>
      </w:r>
    </w:p>
    <w:p w:rsidR="00AE2038" w:rsidRDefault="00AE2038">
      <w:r>
        <w:t>Any repayment from financial instruments pursuant to Article 140(6) of the Financial Regulation, including capital repayments, guarantees released, and repayment of the principal of loans, paid back to the Commission and entered in Item 6 3 4 1 of the statement of revenues may give rise to the provision of additional appropriations in accordance with Article 21(3</w:t>
      </w:r>
      <w:proofErr w:type="gramStart"/>
      <w:r>
        <w:t>)(</w:t>
      </w:r>
      <w:proofErr w:type="spellStart"/>
      <w:proofErr w:type="gramEnd"/>
      <w:r>
        <w:t>i</w:t>
      </w:r>
      <w:proofErr w:type="spellEnd"/>
      <w:r>
        <w:t>) of the Financial Regulation.</w:t>
      </w:r>
    </w:p>
    <w:p w:rsidR="00AE2038" w:rsidRDefault="00AE2038">
      <w:pPr>
        <w:keepNext/>
      </w:pPr>
      <w:r>
        <w:rPr>
          <w:i/>
          <w:iCs/>
        </w:rPr>
        <w:t>Legal basis</w:t>
      </w:r>
    </w:p>
    <w:p w:rsidR="00AE2038" w:rsidRDefault="00AE2038">
      <w:r>
        <w:t>Regulation (EU) No 1316/2013 of the European Parliament and of the Council of 11 December 2013 establishing the Connecting Europe Facility, amending Regulation (EU) No 913/2010 and repealing Regulations (EC) No 680/2007 and (EC) No 67/2010 (OJ L 348, 20.12.2013, p. 129), and in particular Article 14 thereof.</w:t>
      </w:r>
    </w:p>
    <w:p w:rsidR="00AE2038" w:rsidRDefault="00AE2038">
      <w:pPr>
        <w:keepNext/>
        <w:autoSpaceDE w:val="0"/>
        <w:autoSpaceDN w:val="0"/>
        <w:spacing w:before="480"/>
        <w:jc w:val="left"/>
        <w:outlineLvl w:val="3"/>
        <w:rPr>
          <w:b/>
          <w:bCs/>
          <w:smallCaps/>
          <w:sz w:val="32"/>
          <w:szCs w:val="32"/>
        </w:rPr>
      </w:pPr>
      <w:r>
        <w:rPr>
          <w:b/>
          <w:bCs/>
          <w:smallCaps/>
          <w:sz w:val="32"/>
          <w:szCs w:val="32"/>
        </w:rPr>
        <w:t>Title 08 — Research and innovation</w:t>
      </w:r>
    </w:p>
    <w:p w:rsidR="00AE2038" w:rsidRDefault="00AE2038">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AE2038">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Letter of amendment No. 1/2016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New amount</w:t>
            </w:r>
          </w:p>
        </w:tc>
      </w:tr>
      <w:tr w:rsidR="00AE2038">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r>
      <w:tr w:rsidR="00AE2038">
        <w:trPr>
          <w:cantSplit/>
        </w:trPr>
        <w:tc>
          <w:tcPr>
            <w:tcW w:w="695" w:type="dxa"/>
            <w:tcBorders>
              <w:top w:val="single" w:sz="4" w:space="0" w:color="auto"/>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08 01</w:t>
            </w:r>
          </w:p>
        </w:tc>
        <w:tc>
          <w:tcPr>
            <w:tcW w:w="3475" w:type="dxa"/>
            <w:tcBorders>
              <w:top w:val="single" w:sz="4" w:space="0" w:color="auto"/>
              <w:left w:val="nil"/>
              <w:bottom w:val="nil"/>
              <w:right w:val="single" w:sz="4" w:space="0" w:color="auto"/>
            </w:tcBorders>
          </w:tcPr>
          <w:p w:rsidR="00AE2038" w:rsidRDefault="00AE2038">
            <w:pPr>
              <w:pStyle w:val="NormalLeft"/>
              <w:spacing w:before="30" w:after="30"/>
              <w:rPr>
                <w:sz w:val="16"/>
                <w:szCs w:val="16"/>
              </w:rPr>
            </w:pPr>
            <w:r>
              <w:rPr>
                <w:sz w:val="16"/>
                <w:szCs w:val="16"/>
              </w:rPr>
              <w:t>Administrative expenditure of the ‘Research and innovation’ policy area</w:t>
            </w:r>
          </w:p>
        </w:tc>
        <w:tc>
          <w:tcPr>
            <w:tcW w:w="348"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326 689 927</w:t>
            </w:r>
          </w:p>
        </w:tc>
        <w:tc>
          <w:tcPr>
            <w:tcW w:w="1043" w:type="dxa"/>
            <w:tcBorders>
              <w:top w:val="single" w:sz="4" w:space="0" w:color="auto"/>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326 689 927</w:t>
            </w:r>
          </w:p>
        </w:tc>
        <w:tc>
          <w:tcPr>
            <w:tcW w:w="1042"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43"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326 689 927</w:t>
            </w:r>
          </w:p>
        </w:tc>
        <w:tc>
          <w:tcPr>
            <w:tcW w:w="1043" w:type="dxa"/>
            <w:tcBorders>
              <w:top w:val="single" w:sz="4" w:space="0" w:color="auto"/>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326 689 927</w:t>
            </w:r>
          </w:p>
        </w:tc>
      </w:tr>
      <w:tr w:rsidR="00AE2038">
        <w:trPr>
          <w:cantSplit/>
        </w:trPr>
        <w:tc>
          <w:tcPr>
            <w:tcW w:w="695"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w:t>
            </w:r>
          </w:p>
        </w:tc>
        <w:tc>
          <w:tcPr>
            <w:tcW w:w="3475"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Horizon 2020 — Research</w:t>
            </w:r>
          </w:p>
        </w:tc>
        <w:tc>
          <w:tcPr>
            <w:tcW w:w="348"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42"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5 221 705 445</w:t>
            </w:r>
          </w:p>
        </w:tc>
        <w:tc>
          <w:tcPr>
            <w:tcW w:w="1043"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4 925 342 012</w:t>
            </w:r>
          </w:p>
        </w:tc>
        <w:tc>
          <w:tcPr>
            <w:tcW w:w="1042"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101 408 291</w:t>
            </w:r>
          </w:p>
        </w:tc>
        <w:tc>
          <w:tcPr>
            <w:tcW w:w="1043"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42"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5 323 113 736</w:t>
            </w:r>
          </w:p>
        </w:tc>
        <w:tc>
          <w:tcPr>
            <w:tcW w:w="1043"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4 925 342 012</w:t>
            </w:r>
          </w:p>
        </w:tc>
      </w:tr>
      <w:tr w:rsidR="00AE2038">
        <w:trPr>
          <w:cantSplit/>
        </w:trPr>
        <w:tc>
          <w:tcPr>
            <w:tcW w:w="695"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08 03</w:t>
            </w:r>
          </w:p>
        </w:tc>
        <w:tc>
          <w:tcPr>
            <w:tcW w:w="3475" w:type="dxa"/>
            <w:tcBorders>
              <w:top w:val="nil"/>
              <w:left w:val="nil"/>
              <w:bottom w:val="nil"/>
              <w:right w:val="single" w:sz="4" w:space="0" w:color="auto"/>
            </w:tcBorders>
          </w:tcPr>
          <w:p w:rsidR="00AE2038" w:rsidRDefault="00AE2038">
            <w:pPr>
              <w:pStyle w:val="NormalLeft"/>
              <w:spacing w:before="30" w:after="30"/>
              <w:rPr>
                <w:sz w:val="16"/>
                <w:szCs w:val="16"/>
              </w:rPr>
            </w:pPr>
            <w:proofErr w:type="spellStart"/>
            <w:r>
              <w:rPr>
                <w:sz w:val="16"/>
                <w:szCs w:val="16"/>
              </w:rPr>
              <w:t>Euratom</w:t>
            </w:r>
            <w:proofErr w:type="spellEnd"/>
            <w:r>
              <w:rPr>
                <w:sz w:val="16"/>
                <w:szCs w:val="16"/>
              </w:rPr>
              <w:t xml:space="preserve"> programme — Indirect actions</w:t>
            </w:r>
          </w:p>
        </w:tc>
        <w:tc>
          <w:tcPr>
            <w:tcW w:w="348"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w:t>
            </w:r>
          </w:p>
        </w:tc>
        <w:tc>
          <w:tcPr>
            <w:tcW w:w="1042"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191 374 718</w:t>
            </w:r>
          </w:p>
        </w:tc>
        <w:tc>
          <w:tcPr>
            <w:tcW w:w="1043"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148 815 738</w:t>
            </w:r>
          </w:p>
        </w:tc>
        <w:tc>
          <w:tcPr>
            <w:tcW w:w="1042"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43"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42"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191 374 718</w:t>
            </w:r>
          </w:p>
        </w:tc>
        <w:tc>
          <w:tcPr>
            <w:tcW w:w="1043"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148 815 738</w:t>
            </w:r>
          </w:p>
        </w:tc>
      </w:tr>
      <w:tr w:rsidR="00AE2038">
        <w:trPr>
          <w:cantSplit/>
        </w:trPr>
        <w:tc>
          <w:tcPr>
            <w:tcW w:w="695"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08 05</w:t>
            </w:r>
          </w:p>
        </w:tc>
        <w:tc>
          <w:tcPr>
            <w:tcW w:w="3475" w:type="dxa"/>
            <w:tcBorders>
              <w:top w:val="nil"/>
              <w:left w:val="nil"/>
              <w:bottom w:val="single" w:sz="4" w:space="0" w:color="auto"/>
              <w:right w:val="single" w:sz="4" w:space="0" w:color="auto"/>
            </w:tcBorders>
          </w:tcPr>
          <w:p w:rsidR="00AE2038" w:rsidRDefault="00AE2038">
            <w:pPr>
              <w:pStyle w:val="NormalLeft"/>
              <w:spacing w:before="30" w:after="30"/>
              <w:rPr>
                <w:sz w:val="16"/>
                <w:szCs w:val="16"/>
              </w:rPr>
            </w:pPr>
            <w:r>
              <w:rPr>
                <w:sz w:val="16"/>
                <w:szCs w:val="16"/>
              </w:rPr>
              <w:t>Research programme of the Research Fund for Coal and Steel</w:t>
            </w:r>
          </w:p>
        </w:tc>
        <w:tc>
          <w:tcPr>
            <w:tcW w:w="348"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w:t>
            </w:r>
          </w:p>
        </w:tc>
        <w:tc>
          <w:tcPr>
            <w:tcW w:w="1042"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43"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42"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43"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r>
      <w:tr w:rsidR="00AE2038">
        <w:trPr>
          <w:cantSplit/>
        </w:trPr>
        <w:tc>
          <w:tcPr>
            <w:tcW w:w="695" w:type="dxa"/>
            <w:tcBorders>
              <w:top w:val="nil"/>
              <w:left w:val="single" w:sz="4" w:space="0" w:color="auto"/>
              <w:bottom w:val="single" w:sz="4" w:space="0" w:color="auto"/>
              <w:right w:val="single" w:sz="4" w:space="0" w:color="auto"/>
            </w:tcBorders>
          </w:tcPr>
          <w:p w:rsidR="00AE2038" w:rsidRDefault="00AE2038">
            <w:pPr>
              <w:spacing w:before="30" w:after="30"/>
              <w:rPr>
                <w:sz w:val="16"/>
                <w:szCs w:val="16"/>
              </w:rPr>
            </w:pPr>
          </w:p>
        </w:tc>
        <w:tc>
          <w:tcPr>
            <w:tcW w:w="3475"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Title 08 — Total</w:t>
            </w:r>
          </w:p>
        </w:tc>
        <w:tc>
          <w:tcPr>
            <w:tcW w:w="348"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42"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5 739 770 090</w:t>
            </w:r>
          </w:p>
        </w:tc>
        <w:tc>
          <w:tcPr>
            <w:tcW w:w="1043"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5 400 847 677</w:t>
            </w:r>
          </w:p>
        </w:tc>
        <w:tc>
          <w:tcPr>
            <w:tcW w:w="1042"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101 408 291</w:t>
            </w:r>
          </w:p>
        </w:tc>
        <w:tc>
          <w:tcPr>
            <w:tcW w:w="1043"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42"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5 841 178 381</w:t>
            </w:r>
          </w:p>
        </w:tc>
        <w:tc>
          <w:tcPr>
            <w:tcW w:w="1043"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5 400 847 677</w:t>
            </w:r>
          </w:p>
        </w:tc>
      </w:tr>
    </w:tbl>
    <w:p w:rsidR="00AE2038" w:rsidRDefault="00AE2038">
      <w:pPr>
        <w:keepNext/>
      </w:pPr>
      <w:r>
        <w:rPr>
          <w:i/>
          <w:iCs/>
        </w:rPr>
        <w:t>Remarks</w:t>
      </w:r>
    </w:p>
    <w:p w:rsidR="00AE2038" w:rsidRDefault="00AE2038">
      <w:r>
        <w:t>These remarks apply to all the budget lines in this title.</w:t>
      </w:r>
    </w:p>
    <w:p w:rsidR="00AE2038" w:rsidRDefault="00AE2038">
      <w:r>
        <w:t xml:space="preserve">Research and innovation activities under this title will contribute to three main research programmes, i.e. Horizon 2020, </w:t>
      </w:r>
      <w:proofErr w:type="spellStart"/>
      <w:proofErr w:type="gramStart"/>
      <w:r>
        <w:t>Euratom</w:t>
      </w:r>
      <w:proofErr w:type="spellEnd"/>
      <w:proofErr w:type="gramEnd"/>
      <w:r>
        <w:t xml:space="preserve"> and the programme for the ITER project. It will also cover research programmes of the research fund for coal and steel. </w:t>
      </w:r>
    </w:p>
    <w:p w:rsidR="00AE2038" w:rsidRDefault="00AE2038">
      <w:r>
        <w:t xml:space="preserve">It will be carried out in order to pursue the general objectives set out in Article 179 of the Treaty on the Functioning of the European Union, in order to contribute to the creation of a society of knowledge, based on the European Research Area, i.e. supporting </w:t>
      </w:r>
      <w:r>
        <w:lastRenderedPageBreak/>
        <w:t>transnational cooperation at all levels throughout the Union, taking the dynamism, creativity and the excellence of European research to the limits of knowledge, strengthening human resources for research and for technology in Europe, quantitatively and qualitatively, and research and innovation capacities in the whole of Europe and ensuring optimum use thereof.</w:t>
      </w:r>
    </w:p>
    <w:p w:rsidR="00AE2038" w:rsidRDefault="00AE2038">
      <w:r>
        <w:t>Particular account will be taken of the need to step up efforts to enhance the participation and role of women in science and research.</w:t>
      </w:r>
    </w:p>
    <w:p w:rsidR="00AE2038" w:rsidRDefault="00AE2038">
      <w:r>
        <w:t>Also entered against these articles and items are the costs of high-level scientific and technological meetings, conferences, workshops and seminars of European interest organised by the Commission, the funding of high-level scientific and technological analyses and evaluations carried out on behalf of the Union to investigate new areas of research suitable for Union action, inter alia, in the context of the European Research Area, and measures to monitor and disseminate the results of the programmes, including measures under previous framework programmes.</w:t>
      </w:r>
    </w:p>
    <w:p w:rsidR="00AE2038" w:rsidRDefault="00AE2038">
      <w:r>
        <w:t>These appropriations also cover administrative expenditure, including expenditure on staff, whether covered by the Staff Regulations or not, information, publications, administrative and technical operation, and certain other expenditure items relating to internal infrastructure linked with the achievement of the objective of the measure of which they form an integral part, including the action and initiatives necessary for preparation and monitoring of the Union’s strategy on research, technological development and demonstration (RTD).</w:t>
      </w:r>
    </w:p>
    <w:p w:rsidR="00AE2038" w:rsidRDefault="00AE2038">
      <w:r>
        <w:t>Revenue resulting from cooperation agreements between the European Atomic Energy Community and Switzerland or the multilateral European Fusion Development Agreement (EFDA) will be entered in Items 6 0 1 1 and 6 0 1 2 of the statement of revenue and may give rise to the provision of additional appropriations in accordance with Article 21 of the Financial Regulation.</w:t>
      </w:r>
    </w:p>
    <w:p w:rsidR="00AE2038" w:rsidRDefault="00AE2038">
      <w:r>
        <w:t>The possibility of third countries or institutes from third countries taking part in European cooperation in the field of scientific and technical research is envisaged for some of these projects. Any financial contribution will be entered in Items 6 0 1 3 and 6 0 1 5 of the statement of revenue and may give rise to the provision of additional appropriations in accordance with Article 21 of the Financial Regulation.</w:t>
      </w:r>
    </w:p>
    <w:p w:rsidR="00AE2038" w:rsidRDefault="00AE2038">
      <w:r>
        <w:t>Any revenue from States taking part in the European cooperation in the field of scientific and technical research will be entered in Item 6 0 1 6 of the statement of revenue and may give rise to the provision of additional appropriations in accordance with Article 21 of the Financial Regulation.</w:t>
      </w:r>
    </w:p>
    <w:p w:rsidR="00AE2038" w:rsidRDefault="00AE2038">
      <w:r>
        <w:t>Any revenue from the contribution by outside bodies to Union activities will be entered in Item 6 0 3 3 of the statement of revenue and may give rise to the provision of additional appropriations in accordance with Article 21 of the Financial Regulation.</w:t>
      </w:r>
    </w:p>
    <w:p w:rsidR="00AE2038" w:rsidRDefault="00AE2038">
      <w:r>
        <w:t>Additional appropriations will be made available under Items 08 02 50 01, 08 03 50 01 and 08 04 50 01.</w:t>
      </w:r>
    </w:p>
    <w:p w:rsidR="00AE2038" w:rsidRDefault="00AE2038">
      <w:r>
        <w:t>Administrative appropriations of this title will be provided under Article 08 01 05.</w:t>
      </w:r>
    </w:p>
    <w:p w:rsidR="00AE2038" w:rsidRDefault="00AE2038">
      <w:pPr>
        <w:keepNext/>
        <w:autoSpaceDE w:val="0"/>
        <w:autoSpaceDN w:val="0"/>
        <w:spacing w:before="480"/>
        <w:jc w:val="left"/>
        <w:outlineLvl w:val="4"/>
        <w:rPr>
          <w:b/>
          <w:bCs/>
          <w:smallCaps/>
          <w:sz w:val="28"/>
          <w:szCs w:val="28"/>
        </w:rPr>
      </w:pPr>
      <w:r>
        <w:rPr>
          <w:b/>
          <w:bCs/>
          <w:smallCaps/>
          <w:sz w:val="28"/>
          <w:szCs w:val="28"/>
        </w:rPr>
        <w:t>Chapter 08 02 — Horizon 2020 — Research</w:t>
      </w:r>
    </w:p>
    <w:p w:rsidR="00AE2038" w:rsidRDefault="00AE2038">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010"/>
        <w:gridCol w:w="3367"/>
        <w:gridCol w:w="336"/>
        <w:gridCol w:w="1010"/>
        <w:gridCol w:w="1010"/>
        <w:gridCol w:w="1010"/>
        <w:gridCol w:w="1010"/>
        <w:gridCol w:w="1010"/>
        <w:gridCol w:w="1010"/>
      </w:tblGrid>
      <w:tr w:rsidR="00AE2038">
        <w:trPr>
          <w:cantSplit/>
          <w:tblHeader/>
        </w:trPr>
        <w:tc>
          <w:tcPr>
            <w:tcW w:w="101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Title Chapter Article Item</w:t>
            </w:r>
          </w:p>
        </w:tc>
        <w:tc>
          <w:tcPr>
            <w:tcW w:w="3367" w:type="dxa"/>
            <w:vMerge w:val="restart"/>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Heading</w:t>
            </w:r>
          </w:p>
        </w:tc>
        <w:tc>
          <w:tcPr>
            <w:tcW w:w="336" w:type="dxa"/>
            <w:vMerge w:val="restart"/>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FF</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Draft budget 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Letter of amendment No. 1/2016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New amount</w:t>
            </w:r>
          </w:p>
        </w:tc>
      </w:tr>
      <w:tr w:rsidR="00AE2038">
        <w:trPr>
          <w:cantSplit/>
          <w:tblHeader/>
        </w:trPr>
        <w:tc>
          <w:tcPr>
            <w:tcW w:w="1010" w:type="dxa"/>
            <w:vMerge/>
            <w:tcBorders>
              <w:top w:val="nil"/>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3367" w:type="dxa"/>
            <w:vMerge/>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336" w:type="dxa"/>
            <w:vMerge/>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1010"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r>
      <w:tr w:rsidR="00AE2038">
        <w:trPr>
          <w:cantSplit/>
        </w:trPr>
        <w:tc>
          <w:tcPr>
            <w:tcW w:w="1010" w:type="dxa"/>
            <w:tcBorders>
              <w:top w:val="single" w:sz="4" w:space="0" w:color="auto"/>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w:t>
            </w:r>
          </w:p>
        </w:tc>
        <w:tc>
          <w:tcPr>
            <w:tcW w:w="3367" w:type="dxa"/>
            <w:tcBorders>
              <w:top w:val="single" w:sz="4" w:space="0" w:color="auto"/>
              <w:left w:val="nil"/>
              <w:bottom w:val="nil"/>
              <w:right w:val="single" w:sz="4" w:space="0" w:color="auto"/>
            </w:tcBorders>
          </w:tcPr>
          <w:p w:rsidR="00AE2038" w:rsidRDefault="00AE2038">
            <w:pPr>
              <w:pStyle w:val="NormalLeft"/>
              <w:spacing w:before="30" w:after="30"/>
              <w:rPr>
                <w:sz w:val="16"/>
                <w:szCs w:val="16"/>
              </w:rPr>
            </w:pPr>
            <w:r>
              <w:rPr>
                <w:sz w:val="16"/>
                <w:szCs w:val="16"/>
              </w:rPr>
              <w:t>Horizon 2020 — Research</w:t>
            </w:r>
          </w:p>
        </w:tc>
        <w:tc>
          <w:tcPr>
            <w:tcW w:w="336" w:type="dxa"/>
            <w:tcBorders>
              <w:top w:val="single" w:sz="4" w:space="0" w:color="auto"/>
              <w:left w:val="nil"/>
              <w:bottom w:val="nil"/>
              <w:right w:val="single" w:sz="4" w:space="0" w:color="auto"/>
            </w:tcBorders>
          </w:tcPr>
          <w:p w:rsidR="00AE2038" w:rsidRDefault="00AE2038">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08 02 01</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Excellent science</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08 02 01 01</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Strengthening frontier research in the European Research Council</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1 531 421 772</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591 884 144</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91 300 604</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1 622 722 376</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591 884 144</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08 02 01 02</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Strengthening research in future and emerging technologies</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08 02 01 03</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Strengthening European research infrastructures, including e-infrastructures</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183 108 382</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83 564 914</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183 108 382</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83 564 914</w:t>
            </w:r>
          </w:p>
        </w:tc>
      </w:tr>
      <w:tr w:rsidR="00AE2038">
        <w:trPr>
          <w:cantSplit/>
        </w:trPr>
        <w:tc>
          <w:tcPr>
            <w:tcW w:w="1010" w:type="dxa"/>
            <w:tcBorders>
              <w:top w:val="nil"/>
              <w:left w:val="single" w:sz="4" w:space="0" w:color="auto"/>
              <w:bottom w:val="nil"/>
              <w:right w:val="single" w:sz="4" w:space="0" w:color="auto"/>
            </w:tcBorders>
          </w:tcPr>
          <w:p w:rsidR="00AE2038" w:rsidRDefault="00AE2038">
            <w:pPr>
              <w:spacing w:before="30" w:after="30"/>
              <w:rPr>
                <w:sz w:val="16"/>
                <w:szCs w:val="16"/>
              </w:rPr>
            </w:pPr>
          </w:p>
        </w:tc>
        <w:tc>
          <w:tcPr>
            <w:tcW w:w="3367" w:type="dxa"/>
            <w:tcBorders>
              <w:top w:val="nil"/>
              <w:left w:val="nil"/>
              <w:bottom w:val="nil"/>
              <w:right w:val="single" w:sz="4" w:space="0" w:color="auto"/>
            </w:tcBorders>
          </w:tcPr>
          <w:p w:rsidR="00AE2038" w:rsidRDefault="00AE2038">
            <w:pPr>
              <w:pStyle w:val="NormalRight"/>
              <w:spacing w:before="30" w:after="30"/>
              <w:rPr>
                <w:sz w:val="16"/>
                <w:szCs w:val="16"/>
              </w:rPr>
            </w:pPr>
            <w:r>
              <w:rPr>
                <w:i/>
                <w:iCs/>
                <w:sz w:val="16"/>
                <w:szCs w:val="16"/>
              </w:rPr>
              <w:t>Article 08 02 01 — Subtotal</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1 714 530 154</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675 449 058</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91 300 604</w:t>
            </w: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1 805 830 758</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675 449 058</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08 02 02</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Industrial leadership</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08 02 02 01</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Leadership in nanotechnologies, advanced materials, laser technology, biotechnology and advanced manufacturing and processing</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502 450 912</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407 929 917</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502 450 912</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407 929 917</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08 02 02 02</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Enhancing access to risk finance for investing in research and innovation</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329 381 199</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337 572 482</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329 381 199</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337 572 482</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08 02 02 03</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Increasing innovation in small and medium-sized enterprises (SMEs)</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35 967 483</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31 169 883</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35 967 483</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31 169 883</w:t>
            </w:r>
          </w:p>
        </w:tc>
      </w:tr>
      <w:tr w:rsidR="00AE2038">
        <w:trPr>
          <w:cantSplit/>
        </w:trPr>
        <w:tc>
          <w:tcPr>
            <w:tcW w:w="1010" w:type="dxa"/>
            <w:tcBorders>
              <w:top w:val="nil"/>
              <w:left w:val="single" w:sz="4" w:space="0" w:color="auto"/>
              <w:bottom w:val="nil"/>
              <w:right w:val="single" w:sz="4" w:space="0" w:color="auto"/>
            </w:tcBorders>
          </w:tcPr>
          <w:p w:rsidR="00AE2038" w:rsidRDefault="00AE2038">
            <w:pPr>
              <w:spacing w:before="30" w:after="30"/>
              <w:rPr>
                <w:sz w:val="16"/>
                <w:szCs w:val="16"/>
              </w:rPr>
            </w:pPr>
          </w:p>
        </w:tc>
        <w:tc>
          <w:tcPr>
            <w:tcW w:w="3367" w:type="dxa"/>
            <w:tcBorders>
              <w:top w:val="nil"/>
              <w:left w:val="nil"/>
              <w:bottom w:val="nil"/>
              <w:right w:val="single" w:sz="4" w:space="0" w:color="auto"/>
            </w:tcBorders>
          </w:tcPr>
          <w:p w:rsidR="00AE2038" w:rsidRDefault="00AE2038">
            <w:pPr>
              <w:pStyle w:val="NormalRight"/>
              <w:spacing w:before="30" w:after="30"/>
              <w:rPr>
                <w:sz w:val="16"/>
                <w:szCs w:val="16"/>
              </w:rPr>
            </w:pPr>
            <w:r>
              <w:rPr>
                <w:i/>
                <w:iCs/>
                <w:sz w:val="16"/>
                <w:szCs w:val="16"/>
              </w:rPr>
              <w:t>Article 08 02 02 — Subtotal</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867 799 594</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776 672 282</w:t>
            </w: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867 799 594</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776 672 282</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08 02 03</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Societal challenges</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lastRenderedPageBreak/>
              <w:t>08 02 03 01</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Improving lifelong health and well-being</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521 637 583</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299 890 040</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838 440</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522 476 023</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299 890 040</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08 02 03 02</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Securing sufficient supplies of safe, healthy and high quality food and other bio-based products</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141 851 093</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89 735 746</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141 851 093</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89 735 746</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08 02 03 03</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Making the transition to a reliable, sustainable and competitive energy system</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333 977 808</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242 548 217</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333 977 808</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242 548 217</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08 02 03 04</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Achieving a European transport system that is resource-efficient, environmentally friendly, safe and seamless</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330 992 583</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174 476 315</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330 992 583</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174 476 315</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08 02 03 05</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Achieving a resource-efficient and climate change resilient economy and a sustainable supply of raw materials</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283 265 173</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150 855 696</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283 265 173</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150 855 696</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08 02 03 06</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Fostering inclusive, innovative and reflective European societies</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111 929 624</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117 834 666</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111 929 624</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117 834 666</w:t>
            </w:r>
          </w:p>
        </w:tc>
      </w:tr>
      <w:tr w:rsidR="00AE2038">
        <w:trPr>
          <w:cantSplit/>
        </w:trPr>
        <w:tc>
          <w:tcPr>
            <w:tcW w:w="1010" w:type="dxa"/>
            <w:tcBorders>
              <w:top w:val="nil"/>
              <w:left w:val="single" w:sz="4" w:space="0" w:color="auto"/>
              <w:bottom w:val="nil"/>
              <w:right w:val="single" w:sz="4" w:space="0" w:color="auto"/>
            </w:tcBorders>
          </w:tcPr>
          <w:p w:rsidR="00AE2038" w:rsidRDefault="00AE2038">
            <w:pPr>
              <w:spacing w:before="30" w:after="30"/>
              <w:rPr>
                <w:sz w:val="16"/>
                <w:szCs w:val="16"/>
              </w:rPr>
            </w:pPr>
          </w:p>
        </w:tc>
        <w:tc>
          <w:tcPr>
            <w:tcW w:w="3367" w:type="dxa"/>
            <w:tcBorders>
              <w:top w:val="nil"/>
              <w:left w:val="nil"/>
              <w:bottom w:val="nil"/>
              <w:right w:val="single" w:sz="4" w:space="0" w:color="auto"/>
            </w:tcBorders>
          </w:tcPr>
          <w:p w:rsidR="00AE2038" w:rsidRDefault="00AE2038">
            <w:pPr>
              <w:pStyle w:val="NormalRight"/>
              <w:spacing w:before="30" w:after="30"/>
              <w:rPr>
                <w:sz w:val="16"/>
                <w:szCs w:val="16"/>
              </w:rPr>
            </w:pPr>
            <w:r>
              <w:rPr>
                <w:i/>
                <w:iCs/>
                <w:sz w:val="16"/>
                <w:szCs w:val="16"/>
              </w:rPr>
              <w:t>Article 08 02 03 — Subtotal</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1 723 653 864</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1 075 340 680</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838 440</w:t>
            </w: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1 724 492 304</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1 075 340 680</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08 02 04</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Spreading excellence and widening participation</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96 201 464</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47 808 292</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9 269 247</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105 470 711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47 808 292</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08 02 05</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Horizontal activities of Horizon 2020</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109 162 522</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79 820 088</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109 162 522</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79 820 088</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08 02 06</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Science with and for society</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53 267 640</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40 461 390</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53 267 640</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40 461 390</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08 02 07</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Joint Undertakings</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08 02 07 31</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Innovative Medicines Initiative 2 Joint Undertaking (IMI2) — Support expenditure</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1 200 000</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1 200 000</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1 200 000</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1 200 000</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08 02 07 32</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Innovative Medicines Initiative 2 Joint Undertaking (IMI2)</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197 787 000</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68 973 824</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197 787 000</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68 973 824</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08 02 07 33</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Bio-Based Industries Joint Undertaking (BBI) — Support expenditure</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1 946 263</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1 946 263</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1 946 263</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1 946 263</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08 02 07 34</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Bio-Based Industries Joint Undertaking (BBI)</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156 136 237</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60 148 775</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156 136 237</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60 148 775</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08 02 07 35</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Clean Sky 2 Joint Undertaking (Clean Sky 2) — Support expenditure</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2 625 785</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2 625 785</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2 625 785</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2 625 785</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08 02 07 36</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Clean Sky 2 Joint Undertaking (Clean Sky 2)</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194 773 655</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177 301 922</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194 773 655</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177 301 922</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08 02 07 37</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Fuel Cells and Hydrogen 2 Joint Undertaking (FCH2) — Support expenditure</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454 948</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454 948</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454 948</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454 948</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08 02 07 38</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Fuel Cells and Hydrogen 2 Joint Undertaking (FCH2)</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102 166 319</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47 344 982</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102 166 319</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47 344 982</w:t>
            </w:r>
          </w:p>
        </w:tc>
      </w:tr>
      <w:tr w:rsidR="00AE2038">
        <w:trPr>
          <w:cantSplit/>
        </w:trPr>
        <w:tc>
          <w:tcPr>
            <w:tcW w:w="1010" w:type="dxa"/>
            <w:tcBorders>
              <w:top w:val="nil"/>
              <w:left w:val="single" w:sz="4" w:space="0" w:color="auto"/>
              <w:bottom w:val="nil"/>
              <w:right w:val="single" w:sz="4" w:space="0" w:color="auto"/>
            </w:tcBorders>
          </w:tcPr>
          <w:p w:rsidR="00AE2038" w:rsidRDefault="00AE2038">
            <w:pPr>
              <w:spacing w:before="30" w:after="30"/>
              <w:rPr>
                <w:sz w:val="16"/>
                <w:szCs w:val="16"/>
              </w:rPr>
            </w:pPr>
          </w:p>
        </w:tc>
        <w:tc>
          <w:tcPr>
            <w:tcW w:w="3367" w:type="dxa"/>
            <w:tcBorders>
              <w:top w:val="nil"/>
              <w:left w:val="nil"/>
              <w:bottom w:val="nil"/>
              <w:right w:val="single" w:sz="4" w:space="0" w:color="auto"/>
            </w:tcBorders>
          </w:tcPr>
          <w:p w:rsidR="00AE2038" w:rsidRDefault="00AE2038">
            <w:pPr>
              <w:pStyle w:val="NormalRight"/>
              <w:spacing w:before="30" w:after="30"/>
              <w:rPr>
                <w:sz w:val="16"/>
                <w:szCs w:val="16"/>
              </w:rPr>
            </w:pPr>
            <w:r>
              <w:rPr>
                <w:i/>
                <w:iCs/>
                <w:sz w:val="16"/>
                <w:szCs w:val="16"/>
              </w:rPr>
              <w:t>Article 08 02 07 — Subtotal</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657 090 207</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359 996 499</w:t>
            </w: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657 090 207</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359 996 499</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08 02 50</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Appropriations accruing from contributions from (non-European Economic Area) third parties to research and technological development</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08 02 50 01</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Appropriations accruing from contributions from (non-European Economic Area) third parties to research and technological development (2014 to 2020)</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08 02 50 02</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Appropriations accruing from contributions from (non-European Economic Area) third parties to research and technological development (prior to 2014)</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r>
      <w:tr w:rsidR="00AE2038">
        <w:trPr>
          <w:cantSplit/>
        </w:trPr>
        <w:tc>
          <w:tcPr>
            <w:tcW w:w="1010" w:type="dxa"/>
            <w:tcBorders>
              <w:top w:val="nil"/>
              <w:left w:val="single" w:sz="4" w:space="0" w:color="auto"/>
              <w:bottom w:val="nil"/>
              <w:right w:val="single" w:sz="4" w:space="0" w:color="auto"/>
            </w:tcBorders>
          </w:tcPr>
          <w:p w:rsidR="00AE2038" w:rsidRDefault="00AE2038">
            <w:pPr>
              <w:spacing w:before="30" w:after="30"/>
              <w:rPr>
                <w:sz w:val="16"/>
                <w:szCs w:val="16"/>
              </w:rPr>
            </w:pPr>
          </w:p>
        </w:tc>
        <w:tc>
          <w:tcPr>
            <w:tcW w:w="3367" w:type="dxa"/>
            <w:tcBorders>
              <w:top w:val="nil"/>
              <w:left w:val="nil"/>
              <w:bottom w:val="nil"/>
              <w:right w:val="single" w:sz="4" w:space="0" w:color="auto"/>
            </w:tcBorders>
          </w:tcPr>
          <w:p w:rsidR="00AE2038" w:rsidRDefault="00AE2038">
            <w:pPr>
              <w:pStyle w:val="NormalRight"/>
              <w:spacing w:before="30" w:after="30"/>
              <w:rPr>
                <w:sz w:val="16"/>
                <w:szCs w:val="16"/>
              </w:rPr>
            </w:pPr>
            <w:r>
              <w:rPr>
                <w:i/>
                <w:iCs/>
                <w:sz w:val="16"/>
                <w:szCs w:val="16"/>
              </w:rPr>
              <w:t>Article 08 02 50 — Subtotal</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p.m.</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08 02 51</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Completion of previous research framework programme — Seventh framework programme — EC indirect action (2007 to 2013)</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1 867 645 867</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1 867 645 867</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08 02 52</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Completion of previous research framework programmes — Indirect action (prior to 2007)</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1 272 856</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1 272 856</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08 02 77</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Pilot projects and preparatory actions</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08 02 77 01</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 xml:space="preserve">Pilot project — Coordinate research on the use of homeopathy and </w:t>
            </w:r>
            <w:proofErr w:type="spellStart"/>
            <w:r>
              <w:rPr>
                <w:sz w:val="16"/>
                <w:szCs w:val="16"/>
              </w:rPr>
              <w:t>phytotherapy</w:t>
            </w:r>
            <w:proofErr w:type="spellEnd"/>
            <w:r>
              <w:rPr>
                <w:sz w:val="16"/>
                <w:szCs w:val="16"/>
              </w:rPr>
              <w:t xml:space="preserve"> in livestock farming</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75 000</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75 000</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08 02 77 02</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Pilot project — Recovering critical raw materials through recycling: an opportunity for the European Union and the African Union</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4</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08 02 77 03</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Pilot project — Research and development for poverty-related and neglected diseases in achieving universal health coverage post-2015</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300 000</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300 000</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lastRenderedPageBreak/>
              <w:t>08 02 77 04</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Preparatory action — Towards a single and innovative European transport system</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500 000</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500 000</w:t>
            </w:r>
          </w:p>
        </w:tc>
      </w:tr>
      <w:tr w:rsidR="00AE2038">
        <w:trPr>
          <w:cantSplit/>
        </w:trPr>
        <w:tc>
          <w:tcPr>
            <w:tcW w:w="1010" w:type="dxa"/>
            <w:tcBorders>
              <w:top w:val="nil"/>
              <w:left w:val="single" w:sz="4" w:space="0" w:color="auto"/>
              <w:bottom w:val="nil"/>
              <w:right w:val="single" w:sz="4" w:space="0" w:color="auto"/>
            </w:tcBorders>
          </w:tcPr>
          <w:p w:rsidR="00AE2038" w:rsidRDefault="00AE2038">
            <w:pPr>
              <w:spacing w:before="30" w:after="30"/>
              <w:rPr>
                <w:sz w:val="16"/>
                <w:szCs w:val="16"/>
              </w:rPr>
            </w:pPr>
          </w:p>
        </w:tc>
        <w:tc>
          <w:tcPr>
            <w:tcW w:w="3367" w:type="dxa"/>
            <w:tcBorders>
              <w:top w:val="nil"/>
              <w:left w:val="nil"/>
              <w:bottom w:val="nil"/>
              <w:right w:val="single" w:sz="4" w:space="0" w:color="auto"/>
            </w:tcBorders>
          </w:tcPr>
          <w:p w:rsidR="00AE2038" w:rsidRDefault="00AE2038">
            <w:pPr>
              <w:pStyle w:val="NormalRight"/>
              <w:spacing w:before="30" w:after="30"/>
              <w:rPr>
                <w:sz w:val="16"/>
                <w:szCs w:val="16"/>
              </w:rPr>
            </w:pPr>
            <w:r>
              <w:rPr>
                <w:i/>
                <w:iCs/>
                <w:sz w:val="16"/>
                <w:szCs w:val="16"/>
              </w:rPr>
              <w:t>Article 08 02 77 — Subtotal</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875 000</w:t>
            </w: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875 000</w:t>
            </w:r>
          </w:p>
        </w:tc>
      </w:tr>
      <w:tr w:rsidR="00AE2038">
        <w:trPr>
          <w:cantSplit/>
        </w:trPr>
        <w:tc>
          <w:tcPr>
            <w:tcW w:w="1010" w:type="dxa"/>
            <w:tcBorders>
              <w:top w:val="nil"/>
              <w:left w:val="single" w:sz="4" w:space="0" w:color="auto"/>
              <w:bottom w:val="single" w:sz="4" w:space="0" w:color="auto"/>
              <w:right w:val="single" w:sz="4" w:space="0" w:color="auto"/>
            </w:tcBorders>
          </w:tcPr>
          <w:p w:rsidR="00AE2038" w:rsidRDefault="00AE2038">
            <w:pPr>
              <w:spacing w:before="30" w:after="30"/>
              <w:rPr>
                <w:sz w:val="16"/>
                <w:szCs w:val="16"/>
              </w:rPr>
            </w:pPr>
          </w:p>
        </w:tc>
        <w:tc>
          <w:tcPr>
            <w:tcW w:w="3367"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Chapter 08 02 — Total</w:t>
            </w:r>
          </w:p>
        </w:tc>
        <w:tc>
          <w:tcPr>
            <w:tcW w:w="336"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5 221 705 445</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4 925 342 012</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101 408 291</w:t>
            </w: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5 323 113 736</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4 925 342 012</w:t>
            </w:r>
          </w:p>
        </w:tc>
      </w:tr>
    </w:tbl>
    <w:p w:rsidR="00AE2038" w:rsidRDefault="00AE2038">
      <w:pPr>
        <w:keepNext/>
      </w:pPr>
      <w:r>
        <w:rPr>
          <w:i/>
          <w:iCs/>
        </w:rPr>
        <w:t>Remarks</w:t>
      </w:r>
    </w:p>
    <w:p w:rsidR="00AE2038" w:rsidRDefault="00AE2038">
      <w:r>
        <w:t>These budgetary remarks are applicable to all the budget lines in this chapter.</w:t>
      </w:r>
    </w:p>
    <w:p w:rsidR="00AE2038" w:rsidRDefault="00AE2038">
      <w:r>
        <w:t>This appropriation will be used for Horizon 2020 —the framework programme for research and innovation, which covers the 2014-2020 period and brings together all existing Union research and innovation funding, including the framework programme for research, the innovation related activities of the competitiveness and innovation framework programme and the European Institute of Innovation and Technology (EIT). The programme shall play a central role in the implementation of the Europe 2020 flagship initiative ‘Innovation Union’ and other flagship initiatives, notably ‘A digital agenda for Europe’ ‘Resource-efficient Europe’ and ‘An industrial policy for the globalisation era’, as well as in the development and functioning of the European Research Area (ERA). Horizon 2020 shall contribute to building an economy based on knowledge and innovation across the whole Union by leveraging sufficient additional research, development and innovation funding. The appropriation will be used also for the completion of the previous research programmes (FP7 and prior FP7).</w:t>
      </w:r>
    </w:p>
    <w:p w:rsidR="00AE2038" w:rsidRDefault="00AE2038">
      <w:r>
        <w:t>This appropriation will be used in accordance with the Regulation (EU) No 1290/2013 of the European Parliament and of the Council of 11 December 2013 laying down the rules for the participation and dissemination in ‘Horizon 2020 — the Framework Programme for Research and Innovation (2014-2020)’ and repealing Regulation (EC) No 1906/2006 (OJ L 347, 20.12.2013, p. 81).</w:t>
      </w:r>
    </w:p>
    <w:p w:rsidR="00AE2038" w:rsidRDefault="00AE2038">
      <w:r>
        <w:t>The contributions from the EFTA States pursuant to the Agreement on the European Economic Area, and in particular Article 82 thereof and Protocol 32 thereto, must be added to the appropriations entered in this chapter. By way of information, these amounts derive from contributions from the EFTA States entered against Article 6 3 0 of the statement of revenue, which constitute assigned revenue in accordance with Article 21(2</w:t>
      </w:r>
      <w:proofErr w:type="gramStart"/>
      <w:r>
        <w:t>)(</w:t>
      </w:r>
      <w:proofErr w:type="gramEnd"/>
      <w:r>
        <w:t>e) to (g) of the Financial Regulation; they give rise to the provision of corresponding appropriations and to implementation under the ‘European Economic Area’ Annex to this part of the statement of expenditure in this section, which forms an integral part of the general budget.</w:t>
      </w:r>
    </w:p>
    <w:p w:rsidR="00AE2038" w:rsidRDefault="00AE2038">
      <w:r>
        <w:t>Any revenue from the contributions from candidate countries and, if applicable, the western Balkan potential candidates for participating in Union programmes entered in Item 6 0 3 1 of the statement of revenue may give rise to the provision of additional appropriations in accordance with Article 21(2</w:t>
      </w:r>
      <w:proofErr w:type="gramStart"/>
      <w:r>
        <w:t>)(</w:t>
      </w:r>
      <w:proofErr w:type="gramEnd"/>
      <w:r>
        <w:t>e) to (g) of the Financial Regulation.</w:t>
      </w:r>
    </w:p>
    <w:p w:rsidR="00AE2038" w:rsidRDefault="00AE2038">
      <w:pPr>
        <w:keepNext/>
        <w:autoSpaceDE w:val="0"/>
        <w:autoSpaceDN w:val="0"/>
        <w:spacing w:before="480"/>
        <w:jc w:val="left"/>
        <w:outlineLvl w:val="5"/>
        <w:rPr>
          <w:b/>
          <w:bCs/>
          <w:i/>
          <w:iCs/>
          <w:sz w:val="24"/>
          <w:szCs w:val="24"/>
        </w:rPr>
      </w:pPr>
      <w:r>
        <w:rPr>
          <w:b/>
          <w:bCs/>
          <w:i/>
          <w:iCs/>
          <w:sz w:val="24"/>
          <w:szCs w:val="24"/>
        </w:rPr>
        <w:t>Article 08 02 01 — Excellent science</w:t>
      </w:r>
    </w:p>
    <w:p w:rsidR="00AE2038" w:rsidRDefault="00AE2038">
      <w:pPr>
        <w:keepNext/>
      </w:pPr>
      <w:r>
        <w:rPr>
          <w:i/>
          <w:iCs/>
        </w:rPr>
        <w:t>Remarks</w:t>
      </w:r>
    </w:p>
    <w:p w:rsidR="00AE2038" w:rsidRDefault="00AE2038">
      <w:r>
        <w:t xml:space="preserve">This priority of Horizon 2020 aims to reinforce and extend excellence in the Union’s science base and ensure a steady stream of world-class research to secure the Union’s long-term competitiveness. It will support the best ideas, develop talent within the Union, provide researchers with access to priority research infrastructure, and make the Union an attractive location for the world’s best researchers. Research actions to be funded will be determined according to the need and opportunities of science, without pre-determined thematic priorities. The research agenda will be set in close liaison with the scientific community and research will be funded on the basis of excellence. </w:t>
      </w:r>
    </w:p>
    <w:p w:rsidR="00AE2038" w:rsidRDefault="00AE2038">
      <w:pPr>
        <w:keepNext/>
        <w:autoSpaceDE w:val="0"/>
        <w:autoSpaceDN w:val="0"/>
        <w:spacing w:before="480"/>
        <w:jc w:val="left"/>
        <w:outlineLvl w:val="6"/>
        <w:rPr>
          <w:sz w:val="22"/>
          <w:szCs w:val="22"/>
        </w:rPr>
      </w:pPr>
      <w:r>
        <w:rPr>
          <w:sz w:val="22"/>
          <w:szCs w:val="22"/>
        </w:rPr>
        <w:t>Item 08 02 01 01 — Strengthening frontier research in the European Research Council</w:t>
      </w:r>
    </w:p>
    <w:p w:rsidR="00AE2038" w:rsidRDefault="00AE2038">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796"/>
        <w:gridCol w:w="1795"/>
        <w:gridCol w:w="1796"/>
        <w:gridCol w:w="1795"/>
        <w:gridCol w:w="1796"/>
        <w:gridCol w:w="1795"/>
      </w:tblGrid>
      <w:tr w:rsidR="00AE2038">
        <w:trPr>
          <w:cantSplit/>
          <w:tblHeader/>
        </w:trPr>
        <w:tc>
          <w:tcPr>
            <w:tcW w:w="359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Draft budget 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Letter of amendment No. 1/2016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New amount</w:t>
            </w:r>
          </w:p>
        </w:tc>
      </w:tr>
      <w:tr w:rsidR="00AE2038">
        <w:trPr>
          <w:cantSplit/>
          <w:tblHeader/>
        </w:trPr>
        <w:tc>
          <w:tcPr>
            <w:tcW w:w="1796" w:type="dxa"/>
            <w:tcBorders>
              <w:top w:val="nil"/>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r>
      <w:tr w:rsidR="00AE2038">
        <w:trPr>
          <w:cantSplit/>
        </w:trPr>
        <w:tc>
          <w:tcPr>
            <w:tcW w:w="1796" w:type="dxa"/>
            <w:tcBorders>
              <w:top w:val="single" w:sz="4" w:space="0" w:color="auto"/>
              <w:left w:val="single" w:sz="4" w:space="0" w:color="auto"/>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1 531 421 772</w:t>
            </w:r>
          </w:p>
        </w:tc>
        <w:tc>
          <w:tcPr>
            <w:tcW w:w="1795"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591 884 144</w:t>
            </w:r>
          </w:p>
        </w:tc>
        <w:tc>
          <w:tcPr>
            <w:tcW w:w="1796"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91 300 604</w:t>
            </w:r>
          </w:p>
        </w:tc>
        <w:tc>
          <w:tcPr>
            <w:tcW w:w="1795" w:type="dxa"/>
            <w:tcBorders>
              <w:top w:val="single" w:sz="4" w:space="0" w:color="auto"/>
              <w:left w:val="nil"/>
              <w:bottom w:val="single" w:sz="4" w:space="0" w:color="auto"/>
              <w:right w:val="single" w:sz="4" w:space="0" w:color="auto"/>
            </w:tcBorders>
            <w:vAlign w:val="center"/>
          </w:tcPr>
          <w:p w:rsidR="00AE2038" w:rsidRDefault="00AE2038">
            <w:pPr>
              <w:spacing w:before="30" w:after="30"/>
              <w:rPr>
                <w:sz w:val="16"/>
                <w:szCs w:val="16"/>
              </w:rPr>
            </w:pPr>
          </w:p>
        </w:tc>
        <w:tc>
          <w:tcPr>
            <w:tcW w:w="1796"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1 622 722 376</w:t>
            </w:r>
          </w:p>
        </w:tc>
        <w:tc>
          <w:tcPr>
            <w:tcW w:w="1795"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591 884 144</w:t>
            </w:r>
          </w:p>
        </w:tc>
      </w:tr>
    </w:tbl>
    <w:p w:rsidR="00AE2038" w:rsidRDefault="00AE2038">
      <w:pPr>
        <w:keepNext/>
      </w:pPr>
      <w:r>
        <w:rPr>
          <w:i/>
          <w:iCs/>
        </w:rPr>
        <w:t>Remarks</w:t>
      </w:r>
    </w:p>
    <w:p w:rsidR="00AE2038" w:rsidRDefault="00AE2038">
      <w:r>
        <w:t xml:space="preserve">The fundamental activity of the European Research Council (ERC) shall be to provide attractive long-term funding to support excellent investigators and their research teams to pursue ground-breaking, high-gain/high-risk research. Particular priority shall be given to assisting excellent starting researchers to make the transition to independence by providing adequate support at the critical stage, when they are setting up or consolidating their own research team or programme. The ERC shall also give support, as </w:t>
      </w:r>
      <w:r>
        <w:lastRenderedPageBreak/>
        <w:t>necessary, to emerging new ways of working in the scientific world with the potential to create breakthrough results and facilitate exploration of the commercial and social innovation potential of the research which it funds.</w:t>
      </w:r>
    </w:p>
    <w:p w:rsidR="00AE2038" w:rsidRDefault="00AE2038">
      <w:pPr>
        <w:keepNext/>
      </w:pPr>
      <w:r>
        <w:rPr>
          <w:i/>
          <w:iCs/>
        </w:rPr>
        <w:t>Legal basis</w:t>
      </w:r>
    </w:p>
    <w:p w:rsidR="00AE2038" w:rsidRDefault="00AE2038">
      <w:r>
        <w:t>Council Decision 2013/743/EU of 3 December 2013 establishing the specific programme implementing Horizon 2020 — the Framework Programme for Research and Innovation (2014-2020) and repealing Decisions 2006/971/EC, 2006/972/EC, 2006/973/EC, 2006/974/EC and 2006/975/EC (OJ L 347, 20.12.2013, p. 965), and in particular Article 3(1)(a) thereof.</w:t>
      </w:r>
    </w:p>
    <w:p w:rsidR="00AE2038" w:rsidRDefault="00AE2038">
      <w:r>
        <w:t>Regulation (EU) No 1291/2013 of the European Parliament and of the Council of 11 December 2013 establishing Horizon 2020 — the Framework Programme for Research and Innovation (2014-2020) and repealing Decision No 1982/2006/EC (OJ L 347, 20.12.2013, p. 104).</w:t>
      </w:r>
    </w:p>
    <w:p w:rsidR="00AE2038" w:rsidRDefault="00AE2038">
      <w:pPr>
        <w:keepNext/>
      </w:pPr>
      <w:r>
        <w:rPr>
          <w:i/>
          <w:iCs/>
        </w:rPr>
        <w:t>Reference acts</w:t>
      </w:r>
    </w:p>
    <w:p w:rsidR="00AE2038" w:rsidRDefault="00AE2038">
      <w:r>
        <w:t>Commission Decision C(2014) 9437 of 12 December 2014 amending Decision C(2013) 9428 on delegating powers to the European Research Council Executive Agency with a view to performance of tasks linked to the implementation of Union programmes in the field of frontier research comprising, in particular, implementation of appropriations entered in the general budget of the Union.</w:t>
      </w:r>
    </w:p>
    <w:p w:rsidR="00AE2038" w:rsidRDefault="00AE2038">
      <w:r>
        <w:t>Commission Implementing Decision C(2014)5008 of 22 July 2014 amending the Commission Implementing Decision C(2013)8632 adopting the 2014-2015 work programme in the framework of the Specific Programme Implementing Horizon 2020 – The Framework Programme for Research and Innovation (2014-2020) in relation to the specific objective 'Strengthening frontier research, through the activities of the European Research Council'.</w:t>
      </w:r>
    </w:p>
    <w:p w:rsidR="00AE2038" w:rsidRDefault="00AE2038">
      <w:r>
        <w:t xml:space="preserve">Commission Decision of 17 February 2015 amending Decision </w:t>
      </w:r>
      <w:proofErr w:type="gramStart"/>
      <w:r>
        <w:t>C(</w:t>
      </w:r>
      <w:proofErr w:type="gramEnd"/>
      <w:r>
        <w:t>2013) 8915 establishing the European Research Council (OJ C 58, 18.2.2015, p. 3).</w:t>
      </w:r>
    </w:p>
    <w:p w:rsidR="00AE2038" w:rsidRDefault="00AE2038">
      <w:pPr>
        <w:keepNext/>
        <w:autoSpaceDE w:val="0"/>
        <w:autoSpaceDN w:val="0"/>
        <w:spacing w:before="480"/>
        <w:jc w:val="left"/>
        <w:outlineLvl w:val="5"/>
        <w:rPr>
          <w:b/>
          <w:bCs/>
          <w:i/>
          <w:iCs/>
          <w:sz w:val="24"/>
          <w:szCs w:val="24"/>
        </w:rPr>
      </w:pPr>
      <w:r>
        <w:rPr>
          <w:b/>
          <w:bCs/>
          <w:i/>
          <w:iCs/>
          <w:sz w:val="24"/>
          <w:szCs w:val="24"/>
        </w:rPr>
        <w:t>Article 08 02 03 — Societal challenges</w:t>
      </w:r>
    </w:p>
    <w:p w:rsidR="00AE2038" w:rsidRDefault="00AE2038">
      <w:pPr>
        <w:keepNext/>
      </w:pPr>
      <w:r>
        <w:rPr>
          <w:i/>
          <w:iCs/>
        </w:rPr>
        <w:t>Remarks</w:t>
      </w:r>
    </w:p>
    <w:p w:rsidR="00AE2038" w:rsidRDefault="00AE2038">
      <w:r>
        <w:t xml:space="preserve">This priority of Horizon 2020 responds directly to the policy priorities and societal challenges identified in the Europe 2020 strategy. Those activities will be implemented using a challenge-based approach which brings together resources and knowledge across different fields, technologies and disciplines. The activities will cover the full cycle from research to market, with a new focus on innovation-related activities such as piloting, demonstration, test beds, support for public procurement, design, end-user driven innovation, social innovation and market take-up of innovations. The activities will support directly the corresponding </w:t>
      </w:r>
      <w:proofErr w:type="spellStart"/>
      <w:r>
        <w:t>sectoral</w:t>
      </w:r>
      <w:proofErr w:type="spellEnd"/>
      <w:r>
        <w:t xml:space="preserve"> policy competences at Union level and take a gender-sensitive approach while aiming for balanced participation of men and women. </w:t>
      </w:r>
    </w:p>
    <w:p w:rsidR="00AE2038" w:rsidRDefault="00AE2038">
      <w:pPr>
        <w:keepNext/>
        <w:autoSpaceDE w:val="0"/>
        <w:autoSpaceDN w:val="0"/>
        <w:spacing w:before="480"/>
        <w:jc w:val="left"/>
        <w:outlineLvl w:val="6"/>
        <w:rPr>
          <w:sz w:val="22"/>
          <w:szCs w:val="22"/>
        </w:rPr>
      </w:pPr>
      <w:r>
        <w:rPr>
          <w:sz w:val="22"/>
          <w:szCs w:val="22"/>
        </w:rPr>
        <w:t>Item 08 02 03 01 — Improving lifelong health and well-being</w:t>
      </w:r>
    </w:p>
    <w:p w:rsidR="00AE2038" w:rsidRDefault="00AE2038">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796"/>
        <w:gridCol w:w="1795"/>
        <w:gridCol w:w="1796"/>
        <w:gridCol w:w="1795"/>
        <w:gridCol w:w="1796"/>
        <w:gridCol w:w="1795"/>
      </w:tblGrid>
      <w:tr w:rsidR="00AE2038">
        <w:trPr>
          <w:cantSplit/>
          <w:tblHeader/>
        </w:trPr>
        <w:tc>
          <w:tcPr>
            <w:tcW w:w="359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Draft budget 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Letter of amendment No. 1/2016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New amount</w:t>
            </w:r>
          </w:p>
        </w:tc>
      </w:tr>
      <w:tr w:rsidR="00AE2038">
        <w:trPr>
          <w:cantSplit/>
          <w:tblHeader/>
        </w:trPr>
        <w:tc>
          <w:tcPr>
            <w:tcW w:w="1796" w:type="dxa"/>
            <w:tcBorders>
              <w:top w:val="nil"/>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r>
      <w:tr w:rsidR="00AE2038">
        <w:trPr>
          <w:cantSplit/>
        </w:trPr>
        <w:tc>
          <w:tcPr>
            <w:tcW w:w="1796" w:type="dxa"/>
            <w:tcBorders>
              <w:top w:val="single" w:sz="4" w:space="0" w:color="auto"/>
              <w:left w:val="single" w:sz="4" w:space="0" w:color="auto"/>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521 637 583</w:t>
            </w:r>
          </w:p>
        </w:tc>
        <w:tc>
          <w:tcPr>
            <w:tcW w:w="1795"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299 890 040</w:t>
            </w:r>
          </w:p>
        </w:tc>
        <w:tc>
          <w:tcPr>
            <w:tcW w:w="1796"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838 440</w:t>
            </w:r>
          </w:p>
        </w:tc>
        <w:tc>
          <w:tcPr>
            <w:tcW w:w="1795" w:type="dxa"/>
            <w:tcBorders>
              <w:top w:val="single" w:sz="4" w:space="0" w:color="auto"/>
              <w:left w:val="nil"/>
              <w:bottom w:val="single" w:sz="4" w:space="0" w:color="auto"/>
              <w:right w:val="single" w:sz="4" w:space="0" w:color="auto"/>
            </w:tcBorders>
            <w:vAlign w:val="center"/>
          </w:tcPr>
          <w:p w:rsidR="00AE2038" w:rsidRDefault="00AE2038">
            <w:pPr>
              <w:spacing w:before="30" w:after="30"/>
              <w:rPr>
                <w:sz w:val="16"/>
                <w:szCs w:val="16"/>
              </w:rPr>
            </w:pPr>
          </w:p>
        </w:tc>
        <w:tc>
          <w:tcPr>
            <w:tcW w:w="1796"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522 476 023</w:t>
            </w:r>
          </w:p>
        </w:tc>
        <w:tc>
          <w:tcPr>
            <w:tcW w:w="1795"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299 890 040</w:t>
            </w:r>
          </w:p>
        </w:tc>
      </w:tr>
    </w:tbl>
    <w:p w:rsidR="00AE2038" w:rsidRDefault="00AE2038">
      <w:pPr>
        <w:keepNext/>
      </w:pPr>
      <w:r>
        <w:rPr>
          <w:i/>
          <w:iCs/>
        </w:rPr>
        <w:t>Remarks</w:t>
      </w:r>
    </w:p>
    <w:p w:rsidR="00AE2038" w:rsidRDefault="00AE2038">
      <w:r>
        <w:t>Lifelong health and well-being for all, high-quality and economically sustainable health and care systems, with health care becoming more and more personalised for more efficacy, and opportunities for new jobs and growth in the health sector and its related industries are the aims of this activity. To that respect activities will focus on effective health promotion and disease prevention (e.g. understanding the determinants of health, developing better preventive vaccines). Particular attention will be paid to gender- and age-related health specificities. In addition, emphasis will be placed on managing, treating and curing disease (notably via an increased personalisation of medicine), disability and reduced functionality (e.g. by transferring knowledge to clinical practice and scalable innovation actions, better use of health data, independent and assisted living). Furthermore, efforts will be made to improve decision-making in prevention and treatment provision, identify and support the dissemination of best practice in the healthcare sector, and support integrated care and the uptake of technological, organisational and social innovations empowering in particular older persons as well as disabled persons to remain active and independent. Finally, activities will be based on a gender-sensitive approach that recognises, amongst other things, the position of women in both the informal and the formal care sector.</w:t>
      </w:r>
    </w:p>
    <w:p w:rsidR="00AE2038" w:rsidRDefault="00AE2038">
      <w:pPr>
        <w:keepNext/>
      </w:pPr>
      <w:r>
        <w:rPr>
          <w:i/>
          <w:iCs/>
        </w:rPr>
        <w:lastRenderedPageBreak/>
        <w:t>Legal basis</w:t>
      </w:r>
    </w:p>
    <w:p w:rsidR="00AE2038" w:rsidRDefault="00AE2038">
      <w:r>
        <w:t>Council Decision 2013/743/EU of 3 December 2013 establishing the specific programme implementing Horizon 2020 — the Framework Programme for Research and Innovation (2014-2020) and repealing Decisions 2006/971/EC, 2006/972/EC, 2006/973/EC, 2006/974/EC and 2006/975/EC (OJ L 347, 20.12.2013, p. 965), and in particular Article 3(3)(a) thereof.</w:t>
      </w:r>
    </w:p>
    <w:p w:rsidR="00AE2038" w:rsidRDefault="00AE2038">
      <w:r>
        <w:t>Regulation (EU) No 1291/2013 of the European Parliament and of the Council of 11 December 2013 establishing Horizon 2020 — the Framework Programme for Research and Innovation (2014-2020) and repealing Decision No 1982/2006/EC (OJ L 347, 20.12.2013, p. 104).</w:t>
      </w:r>
    </w:p>
    <w:p w:rsidR="00AE2038" w:rsidRDefault="00AE2038">
      <w:pPr>
        <w:keepNext/>
        <w:autoSpaceDE w:val="0"/>
        <w:autoSpaceDN w:val="0"/>
        <w:spacing w:before="480"/>
        <w:jc w:val="left"/>
        <w:outlineLvl w:val="5"/>
        <w:rPr>
          <w:b/>
          <w:bCs/>
          <w:i/>
          <w:iCs/>
          <w:sz w:val="24"/>
          <w:szCs w:val="24"/>
        </w:rPr>
      </w:pPr>
      <w:r>
        <w:rPr>
          <w:b/>
          <w:bCs/>
          <w:i/>
          <w:iCs/>
          <w:sz w:val="24"/>
          <w:szCs w:val="24"/>
        </w:rPr>
        <w:t>Article 08 02 04 — </w:t>
      </w:r>
      <w:proofErr w:type="gramStart"/>
      <w:r>
        <w:rPr>
          <w:b/>
          <w:bCs/>
          <w:i/>
          <w:iCs/>
          <w:sz w:val="24"/>
          <w:szCs w:val="24"/>
        </w:rPr>
        <w:t>Spreading</w:t>
      </w:r>
      <w:proofErr w:type="gramEnd"/>
      <w:r>
        <w:rPr>
          <w:b/>
          <w:bCs/>
          <w:i/>
          <w:iCs/>
          <w:sz w:val="24"/>
          <w:szCs w:val="24"/>
        </w:rPr>
        <w:t xml:space="preserve"> excellence and widening participation</w:t>
      </w:r>
    </w:p>
    <w:p w:rsidR="00AE2038" w:rsidRDefault="00AE2038">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796"/>
        <w:gridCol w:w="1795"/>
        <w:gridCol w:w="1796"/>
        <w:gridCol w:w="1795"/>
        <w:gridCol w:w="1796"/>
        <w:gridCol w:w="1795"/>
      </w:tblGrid>
      <w:tr w:rsidR="00AE2038">
        <w:trPr>
          <w:cantSplit/>
          <w:tblHeader/>
        </w:trPr>
        <w:tc>
          <w:tcPr>
            <w:tcW w:w="359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Draft budget 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Letter of amendment No. 1/2016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New amount</w:t>
            </w:r>
          </w:p>
        </w:tc>
      </w:tr>
      <w:tr w:rsidR="00AE2038">
        <w:trPr>
          <w:cantSplit/>
          <w:tblHeader/>
        </w:trPr>
        <w:tc>
          <w:tcPr>
            <w:tcW w:w="1796" w:type="dxa"/>
            <w:tcBorders>
              <w:top w:val="nil"/>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r>
      <w:tr w:rsidR="00AE2038">
        <w:trPr>
          <w:cantSplit/>
        </w:trPr>
        <w:tc>
          <w:tcPr>
            <w:tcW w:w="1796" w:type="dxa"/>
            <w:tcBorders>
              <w:top w:val="single" w:sz="4" w:space="0" w:color="auto"/>
              <w:left w:val="single" w:sz="4" w:space="0" w:color="auto"/>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96 201 464</w:t>
            </w:r>
          </w:p>
        </w:tc>
        <w:tc>
          <w:tcPr>
            <w:tcW w:w="1795"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47 808 292</w:t>
            </w:r>
          </w:p>
        </w:tc>
        <w:tc>
          <w:tcPr>
            <w:tcW w:w="1796"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9 269 247</w:t>
            </w:r>
          </w:p>
        </w:tc>
        <w:tc>
          <w:tcPr>
            <w:tcW w:w="1795" w:type="dxa"/>
            <w:tcBorders>
              <w:top w:val="single" w:sz="4" w:space="0" w:color="auto"/>
              <w:left w:val="nil"/>
              <w:bottom w:val="single" w:sz="4" w:space="0" w:color="auto"/>
              <w:right w:val="single" w:sz="4" w:space="0" w:color="auto"/>
            </w:tcBorders>
            <w:vAlign w:val="center"/>
          </w:tcPr>
          <w:p w:rsidR="00AE2038" w:rsidRDefault="00AE2038">
            <w:pPr>
              <w:spacing w:before="30" w:after="30"/>
              <w:rPr>
                <w:sz w:val="16"/>
                <w:szCs w:val="16"/>
              </w:rPr>
            </w:pPr>
          </w:p>
        </w:tc>
        <w:tc>
          <w:tcPr>
            <w:tcW w:w="1796"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105 470 711</w:t>
            </w:r>
          </w:p>
        </w:tc>
        <w:tc>
          <w:tcPr>
            <w:tcW w:w="1795"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47 808 292</w:t>
            </w:r>
          </w:p>
        </w:tc>
      </w:tr>
    </w:tbl>
    <w:p w:rsidR="00AE2038" w:rsidRDefault="00AE2038">
      <w:pPr>
        <w:keepNext/>
      </w:pPr>
      <w:r>
        <w:rPr>
          <w:i/>
          <w:iCs/>
        </w:rPr>
        <w:t>Remarks</w:t>
      </w:r>
    </w:p>
    <w:p w:rsidR="00AE2038" w:rsidRDefault="00AE2038">
      <w:r>
        <w:t>The aim of those activities is to fully exploit the potential of Europe’s talent pool and to ensure that the benefits of an innovation-led economy are both maximised and widely distributed across the Union in accordance with the principle of excellence. By nurturing and connecting pools of excellence, the activities proposed will contribute to strengthening the European Research Area.</w:t>
      </w:r>
    </w:p>
    <w:p w:rsidR="00AE2038" w:rsidRDefault="00AE2038">
      <w:r>
        <w:t>The activities will focus on</w:t>
      </w:r>
      <w:r>
        <w:rPr>
          <w:b/>
          <w:bCs/>
        </w:rPr>
        <w:t> </w:t>
      </w:r>
      <w:r>
        <w:t>teaming of excellent research institutions and low-performing RDI regions aiming at the creation of new (or significant upgrade of existing) centres of excellence in low performing RDI Member States and regions, twinning of research institutions, establishing ‘ERA Chairs’, a Policy Support Facility to improve the design, implementation, and evaluation of national/regional research and innovation policies, supporting access to international networks for excellent researchers and innovators who lack sufficient involvement in European and international networks and strengthening the administrative and operational capacity of transnational networks of national contact points, including through training.</w:t>
      </w:r>
    </w:p>
    <w:p w:rsidR="00AE2038" w:rsidRDefault="00AE2038">
      <w:pPr>
        <w:keepNext/>
      </w:pPr>
      <w:r>
        <w:rPr>
          <w:i/>
          <w:iCs/>
        </w:rPr>
        <w:t>Legal basis</w:t>
      </w:r>
    </w:p>
    <w:p w:rsidR="00AE2038" w:rsidRDefault="00AE2038">
      <w:r>
        <w:t>Council Decision 2013/743/EU of 3 December 2013 establishing the specific programme implementing Horizon 2020 — the Framework Programme for Research and Innovation (2014-2020) and repealing Decisions 2006/971/EC, 2006/972/EC, 2006/973/EC, 2006/974/EC and 2006/975/EC (OJ L 347, 20.12.2013, p. 965), and in particular Article 3(4) thereof.</w:t>
      </w:r>
    </w:p>
    <w:p w:rsidR="00AE2038" w:rsidRDefault="00AE2038">
      <w:r>
        <w:t>Regulation (EU) No 1291/2013 of the European Parliament and of the Council of 11 December 2013 establishing Horizon 2020 — the Framework Programme for Research and Innovation (2014-2020) and repealing Decision No 1982/2006/EC (OJ L 347, 20.12.2013, p. 104).</w:t>
      </w:r>
    </w:p>
    <w:p w:rsidR="00AE2038" w:rsidRDefault="00AE2038">
      <w:pPr>
        <w:keepNext/>
        <w:autoSpaceDE w:val="0"/>
        <w:autoSpaceDN w:val="0"/>
        <w:spacing w:before="480"/>
        <w:jc w:val="left"/>
        <w:outlineLvl w:val="3"/>
        <w:rPr>
          <w:b/>
          <w:bCs/>
          <w:smallCaps/>
          <w:sz w:val="32"/>
          <w:szCs w:val="32"/>
        </w:rPr>
      </w:pPr>
      <w:r>
        <w:rPr>
          <w:b/>
          <w:bCs/>
          <w:smallCaps/>
          <w:sz w:val="32"/>
          <w:szCs w:val="32"/>
        </w:rPr>
        <w:t>Title 15 — Education and culture</w:t>
      </w:r>
    </w:p>
    <w:p w:rsidR="00AE2038" w:rsidRDefault="00AE2038">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AE2038">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Letter of amendment No. 1/2016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New amount</w:t>
            </w:r>
          </w:p>
        </w:tc>
      </w:tr>
      <w:tr w:rsidR="00AE2038">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r>
      <w:tr w:rsidR="00AE2038">
        <w:trPr>
          <w:cantSplit/>
        </w:trPr>
        <w:tc>
          <w:tcPr>
            <w:tcW w:w="695" w:type="dxa"/>
            <w:tcBorders>
              <w:top w:val="single" w:sz="4" w:space="0" w:color="auto"/>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15 01</w:t>
            </w:r>
          </w:p>
        </w:tc>
        <w:tc>
          <w:tcPr>
            <w:tcW w:w="3475" w:type="dxa"/>
            <w:tcBorders>
              <w:top w:val="single" w:sz="4" w:space="0" w:color="auto"/>
              <w:left w:val="nil"/>
              <w:bottom w:val="nil"/>
              <w:right w:val="single" w:sz="4" w:space="0" w:color="auto"/>
            </w:tcBorders>
          </w:tcPr>
          <w:p w:rsidR="00AE2038" w:rsidRDefault="00AE2038">
            <w:pPr>
              <w:pStyle w:val="NormalLeft"/>
              <w:spacing w:before="30" w:after="30"/>
              <w:rPr>
                <w:sz w:val="16"/>
                <w:szCs w:val="16"/>
              </w:rPr>
            </w:pPr>
            <w:r>
              <w:rPr>
                <w:sz w:val="16"/>
                <w:szCs w:val="16"/>
              </w:rPr>
              <w:t xml:space="preserve">Administrative expenditure of the ‘Education and culture’ policy area </w:t>
            </w:r>
          </w:p>
        </w:tc>
        <w:tc>
          <w:tcPr>
            <w:tcW w:w="348"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116 165 287</w:t>
            </w:r>
          </w:p>
        </w:tc>
        <w:tc>
          <w:tcPr>
            <w:tcW w:w="1043" w:type="dxa"/>
            <w:tcBorders>
              <w:top w:val="single" w:sz="4" w:space="0" w:color="auto"/>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116 165 287</w:t>
            </w:r>
          </w:p>
        </w:tc>
        <w:tc>
          <w:tcPr>
            <w:tcW w:w="1042"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43"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116 165 287</w:t>
            </w:r>
          </w:p>
        </w:tc>
        <w:tc>
          <w:tcPr>
            <w:tcW w:w="1043" w:type="dxa"/>
            <w:tcBorders>
              <w:top w:val="single" w:sz="4" w:space="0" w:color="auto"/>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116 165 287</w:t>
            </w:r>
          </w:p>
        </w:tc>
      </w:tr>
      <w:tr w:rsidR="00AE2038">
        <w:trPr>
          <w:cantSplit/>
        </w:trPr>
        <w:tc>
          <w:tcPr>
            <w:tcW w:w="695"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15 02</w:t>
            </w:r>
          </w:p>
        </w:tc>
        <w:tc>
          <w:tcPr>
            <w:tcW w:w="3475"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Erasmus+</w:t>
            </w:r>
          </w:p>
        </w:tc>
        <w:tc>
          <w:tcPr>
            <w:tcW w:w="348"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w:t>
            </w:r>
          </w:p>
        </w:tc>
        <w:tc>
          <w:tcPr>
            <w:tcW w:w="1042"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1 690 785 500</w:t>
            </w:r>
          </w:p>
        </w:tc>
        <w:tc>
          <w:tcPr>
            <w:tcW w:w="1043"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1 768 538 678</w:t>
            </w:r>
          </w:p>
        </w:tc>
        <w:tc>
          <w:tcPr>
            <w:tcW w:w="1042"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43"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42"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1 690 785 500</w:t>
            </w:r>
          </w:p>
        </w:tc>
        <w:tc>
          <w:tcPr>
            <w:tcW w:w="1043"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1 768 538 678</w:t>
            </w:r>
          </w:p>
        </w:tc>
      </w:tr>
      <w:tr w:rsidR="00AE2038">
        <w:trPr>
          <w:cantSplit/>
        </w:trPr>
        <w:tc>
          <w:tcPr>
            <w:tcW w:w="695"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15 03</w:t>
            </w:r>
          </w:p>
        </w:tc>
        <w:tc>
          <w:tcPr>
            <w:tcW w:w="3475"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Horizon 2020</w:t>
            </w:r>
          </w:p>
        </w:tc>
        <w:tc>
          <w:tcPr>
            <w:tcW w:w="348"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w:t>
            </w:r>
          </w:p>
        </w:tc>
        <w:tc>
          <w:tcPr>
            <w:tcW w:w="1042"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937 091 537</w:t>
            </w:r>
          </w:p>
        </w:tc>
        <w:tc>
          <w:tcPr>
            <w:tcW w:w="1043"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1 064 324 156</w:t>
            </w:r>
          </w:p>
        </w:tc>
        <w:tc>
          <w:tcPr>
            <w:tcW w:w="1042"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51 591 709</w:t>
            </w:r>
          </w:p>
        </w:tc>
        <w:tc>
          <w:tcPr>
            <w:tcW w:w="1043"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42"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988 683 246</w:t>
            </w:r>
          </w:p>
        </w:tc>
        <w:tc>
          <w:tcPr>
            <w:tcW w:w="1043"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1 064 324 156</w:t>
            </w:r>
          </w:p>
        </w:tc>
      </w:tr>
      <w:tr w:rsidR="00AE2038">
        <w:trPr>
          <w:cantSplit/>
        </w:trPr>
        <w:tc>
          <w:tcPr>
            <w:tcW w:w="695"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15 04</w:t>
            </w:r>
          </w:p>
        </w:tc>
        <w:tc>
          <w:tcPr>
            <w:tcW w:w="3475" w:type="dxa"/>
            <w:tcBorders>
              <w:top w:val="nil"/>
              <w:left w:val="nil"/>
              <w:bottom w:val="single" w:sz="4" w:space="0" w:color="auto"/>
              <w:right w:val="single" w:sz="4" w:space="0" w:color="auto"/>
            </w:tcBorders>
          </w:tcPr>
          <w:p w:rsidR="00AE2038" w:rsidRDefault="00AE2038">
            <w:pPr>
              <w:pStyle w:val="NormalLeft"/>
              <w:spacing w:before="30" w:after="30"/>
              <w:rPr>
                <w:sz w:val="16"/>
                <w:szCs w:val="16"/>
              </w:rPr>
            </w:pPr>
            <w:r>
              <w:rPr>
                <w:sz w:val="16"/>
                <w:szCs w:val="16"/>
              </w:rPr>
              <w:t xml:space="preserve">Creative Europe </w:t>
            </w:r>
          </w:p>
        </w:tc>
        <w:tc>
          <w:tcPr>
            <w:tcW w:w="348"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3</w:t>
            </w:r>
          </w:p>
        </w:tc>
        <w:tc>
          <w:tcPr>
            <w:tcW w:w="1042"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76 656 000</w:t>
            </w:r>
          </w:p>
        </w:tc>
        <w:tc>
          <w:tcPr>
            <w:tcW w:w="1043"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79 105 220</w:t>
            </w:r>
          </w:p>
        </w:tc>
        <w:tc>
          <w:tcPr>
            <w:tcW w:w="1042"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76 656 000</w:t>
            </w:r>
          </w:p>
        </w:tc>
        <w:tc>
          <w:tcPr>
            <w:tcW w:w="1043"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79 105 220</w:t>
            </w:r>
          </w:p>
        </w:tc>
      </w:tr>
      <w:tr w:rsidR="00AE2038">
        <w:trPr>
          <w:cantSplit/>
        </w:trPr>
        <w:tc>
          <w:tcPr>
            <w:tcW w:w="695" w:type="dxa"/>
            <w:tcBorders>
              <w:top w:val="nil"/>
              <w:left w:val="single" w:sz="4" w:space="0" w:color="auto"/>
              <w:bottom w:val="single" w:sz="4" w:space="0" w:color="auto"/>
              <w:right w:val="single" w:sz="4" w:space="0" w:color="auto"/>
            </w:tcBorders>
          </w:tcPr>
          <w:p w:rsidR="00AE2038" w:rsidRDefault="00AE2038">
            <w:pPr>
              <w:spacing w:before="30" w:after="30"/>
              <w:rPr>
                <w:sz w:val="16"/>
                <w:szCs w:val="16"/>
              </w:rPr>
            </w:pPr>
          </w:p>
        </w:tc>
        <w:tc>
          <w:tcPr>
            <w:tcW w:w="3475"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Title 15 — Total</w:t>
            </w:r>
          </w:p>
        </w:tc>
        <w:tc>
          <w:tcPr>
            <w:tcW w:w="348"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42"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2 820 698 324</w:t>
            </w:r>
          </w:p>
        </w:tc>
        <w:tc>
          <w:tcPr>
            <w:tcW w:w="1043"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3 028 133 341</w:t>
            </w:r>
          </w:p>
        </w:tc>
        <w:tc>
          <w:tcPr>
            <w:tcW w:w="1042"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51 591 709</w:t>
            </w:r>
          </w:p>
        </w:tc>
        <w:tc>
          <w:tcPr>
            <w:tcW w:w="1043"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42"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2 872 290 033</w:t>
            </w:r>
          </w:p>
        </w:tc>
        <w:tc>
          <w:tcPr>
            <w:tcW w:w="1043"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3 028 133 341</w:t>
            </w:r>
          </w:p>
        </w:tc>
      </w:tr>
    </w:tbl>
    <w:p w:rsidR="00AE2038" w:rsidRDefault="00AE2038">
      <w:pPr>
        <w:keepNext/>
        <w:autoSpaceDE w:val="0"/>
        <w:autoSpaceDN w:val="0"/>
        <w:spacing w:before="480"/>
        <w:jc w:val="left"/>
        <w:outlineLvl w:val="4"/>
        <w:rPr>
          <w:b/>
          <w:bCs/>
          <w:smallCaps/>
          <w:sz w:val="28"/>
          <w:szCs w:val="28"/>
        </w:rPr>
      </w:pPr>
      <w:r>
        <w:rPr>
          <w:b/>
          <w:bCs/>
          <w:smallCaps/>
          <w:sz w:val="28"/>
          <w:szCs w:val="28"/>
        </w:rPr>
        <w:lastRenderedPageBreak/>
        <w:t>Chapter 15 03 — Horizon 2020</w:t>
      </w:r>
    </w:p>
    <w:p w:rsidR="00AE2038" w:rsidRDefault="00AE2038">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010"/>
        <w:gridCol w:w="3367"/>
        <w:gridCol w:w="336"/>
        <w:gridCol w:w="1010"/>
        <w:gridCol w:w="1010"/>
        <w:gridCol w:w="1010"/>
        <w:gridCol w:w="1010"/>
        <w:gridCol w:w="1010"/>
        <w:gridCol w:w="1010"/>
      </w:tblGrid>
      <w:tr w:rsidR="00AE2038">
        <w:trPr>
          <w:cantSplit/>
          <w:tblHeader/>
        </w:trPr>
        <w:tc>
          <w:tcPr>
            <w:tcW w:w="101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Title Chapter Article Item</w:t>
            </w:r>
          </w:p>
        </w:tc>
        <w:tc>
          <w:tcPr>
            <w:tcW w:w="3367" w:type="dxa"/>
            <w:vMerge w:val="restart"/>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Heading</w:t>
            </w:r>
          </w:p>
        </w:tc>
        <w:tc>
          <w:tcPr>
            <w:tcW w:w="336" w:type="dxa"/>
            <w:vMerge w:val="restart"/>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FF</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Draft budget 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Letter of amendment No. 1/2016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New amount</w:t>
            </w:r>
          </w:p>
        </w:tc>
      </w:tr>
      <w:tr w:rsidR="00AE2038">
        <w:trPr>
          <w:cantSplit/>
          <w:tblHeader/>
        </w:trPr>
        <w:tc>
          <w:tcPr>
            <w:tcW w:w="1010" w:type="dxa"/>
            <w:vMerge/>
            <w:tcBorders>
              <w:top w:val="nil"/>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3367" w:type="dxa"/>
            <w:vMerge/>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336" w:type="dxa"/>
            <w:vMerge/>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p>
        </w:tc>
        <w:tc>
          <w:tcPr>
            <w:tcW w:w="1010"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r>
      <w:tr w:rsidR="00AE2038">
        <w:trPr>
          <w:cantSplit/>
        </w:trPr>
        <w:tc>
          <w:tcPr>
            <w:tcW w:w="1010" w:type="dxa"/>
            <w:tcBorders>
              <w:top w:val="single" w:sz="4" w:space="0" w:color="auto"/>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15 03</w:t>
            </w:r>
          </w:p>
        </w:tc>
        <w:tc>
          <w:tcPr>
            <w:tcW w:w="3367" w:type="dxa"/>
            <w:tcBorders>
              <w:top w:val="single" w:sz="4" w:space="0" w:color="auto"/>
              <w:left w:val="nil"/>
              <w:bottom w:val="nil"/>
              <w:right w:val="single" w:sz="4" w:space="0" w:color="auto"/>
            </w:tcBorders>
          </w:tcPr>
          <w:p w:rsidR="00AE2038" w:rsidRDefault="00AE2038">
            <w:pPr>
              <w:pStyle w:val="NormalLeft"/>
              <w:spacing w:before="30" w:after="30"/>
              <w:rPr>
                <w:sz w:val="16"/>
                <w:szCs w:val="16"/>
              </w:rPr>
            </w:pPr>
            <w:r>
              <w:rPr>
                <w:sz w:val="16"/>
                <w:szCs w:val="16"/>
              </w:rPr>
              <w:t>Horizon 2020</w:t>
            </w:r>
          </w:p>
        </w:tc>
        <w:tc>
          <w:tcPr>
            <w:tcW w:w="336" w:type="dxa"/>
            <w:tcBorders>
              <w:top w:val="single" w:sz="4" w:space="0" w:color="auto"/>
              <w:left w:val="nil"/>
              <w:bottom w:val="nil"/>
              <w:right w:val="single" w:sz="4" w:space="0" w:color="auto"/>
            </w:tcBorders>
          </w:tcPr>
          <w:p w:rsidR="00AE2038" w:rsidRDefault="00AE2038">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AE2038" w:rsidRDefault="00AE2038">
            <w:pPr>
              <w:spacing w:before="30" w:after="30"/>
              <w:rPr>
                <w:sz w:val="16"/>
                <w:szCs w:val="16"/>
              </w:rPr>
            </w:pP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15 03 01</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Excellent science</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15 03 01 01</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 xml:space="preserve">Marie </w:t>
            </w:r>
            <w:proofErr w:type="spellStart"/>
            <w:r>
              <w:rPr>
                <w:sz w:val="16"/>
                <w:szCs w:val="16"/>
              </w:rPr>
              <w:t>Skłodowska</w:t>
            </w:r>
            <w:proofErr w:type="spellEnd"/>
            <w:r>
              <w:rPr>
                <w:sz w:val="16"/>
                <w:szCs w:val="16"/>
              </w:rPr>
              <w:t>-Curie actions — generating, developing and transferring new skills, knowledge and innovation</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738 895 200</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508 490 935</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30 000 000</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768 895 200</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508 490 935</w:t>
            </w:r>
          </w:p>
        </w:tc>
      </w:tr>
      <w:tr w:rsidR="00AE2038">
        <w:trPr>
          <w:cantSplit/>
        </w:trPr>
        <w:tc>
          <w:tcPr>
            <w:tcW w:w="1010" w:type="dxa"/>
            <w:tcBorders>
              <w:top w:val="nil"/>
              <w:left w:val="single" w:sz="4" w:space="0" w:color="auto"/>
              <w:bottom w:val="nil"/>
              <w:right w:val="single" w:sz="4" w:space="0" w:color="auto"/>
            </w:tcBorders>
          </w:tcPr>
          <w:p w:rsidR="00AE2038" w:rsidRDefault="00AE2038">
            <w:pPr>
              <w:spacing w:before="30" w:after="30"/>
              <w:rPr>
                <w:sz w:val="16"/>
                <w:szCs w:val="16"/>
              </w:rPr>
            </w:pPr>
          </w:p>
        </w:tc>
        <w:tc>
          <w:tcPr>
            <w:tcW w:w="3367" w:type="dxa"/>
            <w:tcBorders>
              <w:top w:val="nil"/>
              <w:left w:val="nil"/>
              <w:bottom w:val="nil"/>
              <w:right w:val="single" w:sz="4" w:space="0" w:color="auto"/>
            </w:tcBorders>
          </w:tcPr>
          <w:p w:rsidR="00AE2038" w:rsidRDefault="00AE2038">
            <w:pPr>
              <w:pStyle w:val="NormalRight"/>
              <w:spacing w:before="30" w:after="30"/>
              <w:rPr>
                <w:sz w:val="16"/>
                <w:szCs w:val="16"/>
              </w:rPr>
            </w:pPr>
            <w:r>
              <w:rPr>
                <w:i/>
                <w:iCs/>
                <w:sz w:val="16"/>
                <w:szCs w:val="16"/>
              </w:rPr>
              <w:t>Article 15 03 01 — Subtotal</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738 895 200</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508 490 935</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30 000 000</w:t>
            </w: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768 895 200</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508 490 935</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15 03 05</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European Institute of Innovation and Technology – integrating the knowledge triangle of higher education, research and innovation</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198 196 337</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251 833 221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21 591 709</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219 788 046</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251 833 221</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15 03 50</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Appropriations accruing from contributions from (non-European Economic Area) third parties to research and technological development</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15 03 50 01</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Appropriations accruing from contributions from (non-European Economic Area) third parties to research and technological development (2014 to 2020)</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AE2038" w:rsidRDefault="00AE2038">
            <w:pPr>
              <w:pStyle w:val="NormalRight"/>
              <w:spacing w:before="30" w:after="30"/>
              <w:rPr>
                <w:sz w:val="16"/>
                <w:szCs w:val="16"/>
              </w:rPr>
            </w:pPr>
            <w:r>
              <w:rPr>
                <w:sz w:val="16"/>
                <w:szCs w:val="16"/>
              </w:rPr>
              <w:t>p.m.</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15 03 50 02</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Appropriations accruing from contributions from (non-European Economic Area) third parties to research and technological development (prior to 2014)</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r>
      <w:tr w:rsidR="00AE2038">
        <w:trPr>
          <w:cantSplit/>
        </w:trPr>
        <w:tc>
          <w:tcPr>
            <w:tcW w:w="1010" w:type="dxa"/>
            <w:tcBorders>
              <w:top w:val="nil"/>
              <w:left w:val="single" w:sz="4" w:space="0" w:color="auto"/>
              <w:bottom w:val="nil"/>
              <w:right w:val="single" w:sz="4" w:space="0" w:color="auto"/>
            </w:tcBorders>
          </w:tcPr>
          <w:p w:rsidR="00AE2038" w:rsidRDefault="00AE2038">
            <w:pPr>
              <w:spacing w:before="30" w:after="30"/>
              <w:rPr>
                <w:sz w:val="16"/>
                <w:szCs w:val="16"/>
              </w:rPr>
            </w:pPr>
          </w:p>
        </w:tc>
        <w:tc>
          <w:tcPr>
            <w:tcW w:w="3367" w:type="dxa"/>
            <w:tcBorders>
              <w:top w:val="nil"/>
              <w:left w:val="nil"/>
              <w:bottom w:val="nil"/>
              <w:right w:val="single" w:sz="4" w:space="0" w:color="auto"/>
            </w:tcBorders>
          </w:tcPr>
          <w:p w:rsidR="00AE2038" w:rsidRDefault="00AE2038">
            <w:pPr>
              <w:pStyle w:val="NormalRight"/>
              <w:spacing w:before="30" w:after="30"/>
              <w:rPr>
                <w:sz w:val="16"/>
                <w:szCs w:val="16"/>
              </w:rPr>
            </w:pPr>
            <w:r>
              <w:rPr>
                <w:i/>
                <w:iCs/>
                <w:sz w:val="16"/>
                <w:szCs w:val="16"/>
              </w:rPr>
              <w:t>Article 15 03 50 — Subtotal</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p.m.</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15 03 51</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Completion of previous research framework programme — Seventh Framework Programme (2007 to 2013)</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304 000 000</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304 000 000</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15 03 53</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 xml:space="preserve">Completion line European Institute of Innovation and Technology </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b/>
                <w:bCs/>
                <w:i/>
                <w:iCs/>
                <w:sz w:val="16"/>
                <w:szCs w:val="16"/>
              </w:rPr>
              <w:t>15 03 77</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b/>
                <w:bCs/>
                <w:i/>
                <w:iCs/>
                <w:sz w:val="16"/>
                <w:szCs w:val="16"/>
              </w:rPr>
              <w:t>Pilot projects and preparatory actions</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c>
          <w:tcPr>
            <w:tcW w:w="1010" w:type="dxa"/>
            <w:tcBorders>
              <w:top w:val="nil"/>
              <w:left w:val="nil"/>
              <w:bottom w:val="nil"/>
              <w:right w:val="single" w:sz="4" w:space="0" w:color="auto"/>
            </w:tcBorders>
            <w:vAlign w:val="bottom"/>
          </w:tcPr>
          <w:p w:rsidR="00AE2038" w:rsidRDefault="00AE2038">
            <w:pPr>
              <w:spacing w:before="30" w:after="30"/>
              <w:rPr>
                <w:sz w:val="16"/>
                <w:szCs w:val="16"/>
              </w:rPr>
            </w:pPr>
          </w:p>
        </w:tc>
      </w:tr>
      <w:tr w:rsidR="00AE2038">
        <w:trPr>
          <w:cantSplit/>
        </w:trPr>
        <w:tc>
          <w:tcPr>
            <w:tcW w:w="1010" w:type="dxa"/>
            <w:tcBorders>
              <w:top w:val="nil"/>
              <w:left w:val="single" w:sz="4" w:space="0" w:color="auto"/>
              <w:bottom w:val="nil"/>
              <w:right w:val="single" w:sz="4" w:space="0" w:color="auto"/>
            </w:tcBorders>
          </w:tcPr>
          <w:p w:rsidR="00AE2038" w:rsidRDefault="00AE2038">
            <w:pPr>
              <w:pStyle w:val="NormalLeft"/>
              <w:spacing w:before="30" w:after="30"/>
              <w:rPr>
                <w:sz w:val="16"/>
                <w:szCs w:val="16"/>
              </w:rPr>
            </w:pPr>
            <w:r>
              <w:rPr>
                <w:sz w:val="16"/>
                <w:szCs w:val="16"/>
              </w:rPr>
              <w:t>15 03 77 01</w:t>
            </w:r>
          </w:p>
        </w:tc>
        <w:tc>
          <w:tcPr>
            <w:tcW w:w="3367" w:type="dxa"/>
            <w:tcBorders>
              <w:top w:val="nil"/>
              <w:left w:val="nil"/>
              <w:bottom w:val="nil"/>
              <w:right w:val="single" w:sz="4" w:space="0" w:color="auto"/>
            </w:tcBorders>
          </w:tcPr>
          <w:p w:rsidR="00AE2038" w:rsidRDefault="00AE2038">
            <w:pPr>
              <w:pStyle w:val="NormalLeft"/>
              <w:spacing w:before="30" w:after="30"/>
              <w:rPr>
                <w:sz w:val="16"/>
                <w:szCs w:val="16"/>
              </w:rPr>
            </w:pPr>
            <w:r>
              <w:rPr>
                <w:sz w:val="16"/>
                <w:szCs w:val="16"/>
              </w:rPr>
              <w:t>Pilot project — Knowledge partnerships</w:t>
            </w:r>
          </w:p>
        </w:tc>
        <w:tc>
          <w:tcPr>
            <w:tcW w:w="336" w:type="dxa"/>
            <w:tcBorders>
              <w:top w:val="nil"/>
              <w:left w:val="nil"/>
              <w:bottom w:val="nil"/>
              <w:right w:val="single" w:sz="4" w:space="0" w:color="auto"/>
            </w:tcBorders>
            <w:vAlign w:val="bottom"/>
          </w:tcPr>
          <w:p w:rsidR="00AE2038" w:rsidRDefault="00AE2038">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AE2038" w:rsidRDefault="00AE2038">
            <w:pPr>
              <w:pStyle w:val="NormalRight"/>
              <w:spacing w:before="30" w:after="30"/>
              <w:rPr>
                <w:sz w:val="16"/>
                <w:szCs w:val="16"/>
              </w:rPr>
            </w:pPr>
            <w:r>
              <w:rPr>
                <w:sz w:val="16"/>
                <w:szCs w:val="16"/>
              </w:rPr>
              <w:t>p.m.</w:t>
            </w:r>
          </w:p>
        </w:tc>
      </w:tr>
      <w:tr w:rsidR="00AE2038">
        <w:trPr>
          <w:cantSplit/>
        </w:trPr>
        <w:tc>
          <w:tcPr>
            <w:tcW w:w="1010" w:type="dxa"/>
            <w:tcBorders>
              <w:top w:val="nil"/>
              <w:left w:val="single" w:sz="4" w:space="0" w:color="auto"/>
              <w:bottom w:val="nil"/>
              <w:right w:val="single" w:sz="4" w:space="0" w:color="auto"/>
            </w:tcBorders>
          </w:tcPr>
          <w:p w:rsidR="00AE2038" w:rsidRDefault="00AE2038">
            <w:pPr>
              <w:spacing w:before="30" w:after="30"/>
              <w:rPr>
                <w:sz w:val="16"/>
                <w:szCs w:val="16"/>
              </w:rPr>
            </w:pPr>
          </w:p>
        </w:tc>
        <w:tc>
          <w:tcPr>
            <w:tcW w:w="3367" w:type="dxa"/>
            <w:tcBorders>
              <w:top w:val="nil"/>
              <w:left w:val="nil"/>
              <w:bottom w:val="nil"/>
              <w:right w:val="single" w:sz="4" w:space="0" w:color="auto"/>
            </w:tcBorders>
          </w:tcPr>
          <w:p w:rsidR="00AE2038" w:rsidRDefault="00AE2038">
            <w:pPr>
              <w:pStyle w:val="NormalRight"/>
              <w:spacing w:before="30" w:after="30"/>
              <w:rPr>
                <w:sz w:val="16"/>
                <w:szCs w:val="16"/>
              </w:rPr>
            </w:pPr>
            <w:r>
              <w:rPr>
                <w:i/>
                <w:iCs/>
                <w:sz w:val="16"/>
                <w:szCs w:val="16"/>
              </w:rPr>
              <w:t>Article 15 03 77 — Subtotal</w:t>
            </w:r>
          </w:p>
        </w:tc>
        <w:tc>
          <w:tcPr>
            <w:tcW w:w="336" w:type="dxa"/>
            <w:tcBorders>
              <w:top w:val="nil"/>
              <w:left w:val="nil"/>
              <w:bottom w:val="nil"/>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sz w:val="16"/>
                <w:szCs w:val="16"/>
              </w:rPr>
              <w:t>p.m.</w:t>
            </w:r>
          </w:p>
        </w:tc>
      </w:tr>
      <w:tr w:rsidR="00AE2038">
        <w:trPr>
          <w:cantSplit/>
        </w:trPr>
        <w:tc>
          <w:tcPr>
            <w:tcW w:w="1010" w:type="dxa"/>
            <w:tcBorders>
              <w:top w:val="nil"/>
              <w:left w:val="single" w:sz="4" w:space="0" w:color="auto"/>
              <w:bottom w:val="single" w:sz="4" w:space="0" w:color="auto"/>
              <w:right w:val="single" w:sz="4" w:space="0" w:color="auto"/>
            </w:tcBorders>
          </w:tcPr>
          <w:p w:rsidR="00AE2038" w:rsidRDefault="00AE2038">
            <w:pPr>
              <w:spacing w:before="30" w:after="30"/>
              <w:rPr>
                <w:sz w:val="16"/>
                <w:szCs w:val="16"/>
              </w:rPr>
            </w:pPr>
          </w:p>
        </w:tc>
        <w:tc>
          <w:tcPr>
            <w:tcW w:w="3367"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Chapter 15 03 — Total</w:t>
            </w:r>
          </w:p>
        </w:tc>
        <w:tc>
          <w:tcPr>
            <w:tcW w:w="336"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937 091 537</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1 064 324 156</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51 591 709</w:t>
            </w:r>
          </w:p>
        </w:tc>
        <w:tc>
          <w:tcPr>
            <w:tcW w:w="1010" w:type="dxa"/>
            <w:tcBorders>
              <w:top w:val="nil"/>
              <w:left w:val="nil"/>
              <w:bottom w:val="single" w:sz="4" w:space="0" w:color="auto"/>
              <w:right w:val="single" w:sz="4" w:space="0" w:color="auto"/>
            </w:tcBorders>
          </w:tcPr>
          <w:p w:rsidR="00AE2038" w:rsidRDefault="00AE2038">
            <w:pPr>
              <w:spacing w:before="30" w:after="30"/>
              <w:rPr>
                <w:sz w:val="16"/>
                <w:szCs w:val="16"/>
              </w:rPr>
            </w:pP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988 683 246</w:t>
            </w:r>
          </w:p>
        </w:tc>
        <w:tc>
          <w:tcPr>
            <w:tcW w:w="1010" w:type="dxa"/>
            <w:tcBorders>
              <w:top w:val="nil"/>
              <w:left w:val="nil"/>
              <w:bottom w:val="single" w:sz="4" w:space="0" w:color="auto"/>
              <w:right w:val="single" w:sz="4" w:space="0" w:color="auto"/>
            </w:tcBorders>
          </w:tcPr>
          <w:p w:rsidR="00AE2038" w:rsidRDefault="00AE2038">
            <w:pPr>
              <w:pStyle w:val="NormalRight"/>
              <w:spacing w:before="30" w:after="30"/>
              <w:rPr>
                <w:sz w:val="16"/>
                <w:szCs w:val="16"/>
              </w:rPr>
            </w:pPr>
            <w:r>
              <w:rPr>
                <w:b/>
                <w:bCs/>
                <w:sz w:val="16"/>
                <w:szCs w:val="16"/>
              </w:rPr>
              <w:t>1 064 324 156</w:t>
            </w:r>
          </w:p>
        </w:tc>
      </w:tr>
    </w:tbl>
    <w:p w:rsidR="00AE2038" w:rsidRDefault="00AE2038">
      <w:pPr>
        <w:keepNext/>
      </w:pPr>
      <w:r>
        <w:rPr>
          <w:i/>
          <w:iCs/>
        </w:rPr>
        <w:t>Remarks</w:t>
      </w:r>
    </w:p>
    <w:p w:rsidR="00AE2038" w:rsidRDefault="00AE2038">
      <w:r>
        <w:t>These remarks are applicable to all the budget lines in this chapter.</w:t>
      </w:r>
    </w:p>
    <w:p w:rsidR="00AE2038" w:rsidRDefault="00AE2038">
      <w:r>
        <w:t>This appropriation will be used for Horizon 2020 — the Framework Programme for Research and Innovation (2014-2020) of the European Union, and for the completion of the previous research programmes (FP7) and the completion of EIT from the previous financial period.</w:t>
      </w:r>
    </w:p>
    <w:p w:rsidR="00AE2038" w:rsidRDefault="00AE2038">
      <w:r>
        <w:t xml:space="preserve">The Programme shall play a central role in the implementation of the Europe 2020 flagship initiative ‘Innovation Union’ and other flagship initiatives, notably ‘Resource-efficient Europe’, ‘An industrial policy for the globalisation era’, and ‘A digital agenda for Europe’, as well as in the development and functioning of the European Research Area (ERA). Horizon 2020 shall contribute to building an economy based on knowledge and innovation across the whole Union by leveraging sufficient additional research, development and innovation funding. </w:t>
      </w:r>
    </w:p>
    <w:p w:rsidR="00AE2038" w:rsidRDefault="00AE2038">
      <w:r>
        <w:t>It will be carried out in order to pursue the general objectives set out in Article 179 of the Treaty on the Functioning of the European Union, in order to contribute to the creation of a society of knowledge, based on the European Research Area, i.e. supporting transnational cooperation at all levels throughout the Union, taking the dynamism, creativity and the excellence of European research to the limits of knowledge, strengthening human resources for research and for technology in Europe, quantitatively and qualitatively and research and innovation capacities in the whole of Europe and ensuring optimum use thereof.</w:t>
      </w:r>
    </w:p>
    <w:p w:rsidR="00AE2038" w:rsidRDefault="00AE2038">
      <w:r>
        <w:t>Also entered against these articles and items are the costs of high-level scientific and technological meetings, conferences, workshops and seminars of European interest organised by the Commission, the funding of high-level scientific and technological analyses and evaluations carried out on behalf of the Union to investigate new areas of research suitable for Union action, inter alia, in the context of the European Research Area, and measures to monitor and disseminate the results of the programmes, including measures under previous framework programmes.</w:t>
      </w:r>
    </w:p>
    <w:p w:rsidR="00AE2038" w:rsidRDefault="00AE2038">
      <w:r>
        <w:lastRenderedPageBreak/>
        <w:t>This appropriation will be used in accordance with Regulation (EU) No 1290/2013 of the European Parliament and of the Council of 11 December 2013 laying down the rules for participation and dissemination in ‘Horizon 2020 — the Framework Programme for Research and Innovation (2014-2020)’ and repealing Regulation (EC) No 1906/2006 (OJ L 347, 20.12.2013, p. 81).</w:t>
      </w:r>
    </w:p>
    <w:p w:rsidR="00AE2038" w:rsidRDefault="00AE2038">
      <w:r>
        <w:t>The contributions from the EFTA States pursuant to the Agreement on the European Economic Area, and in particular Article 82 thereof and Protocol 32 thereto, must be added to the appropriations entered in this chapter. By way of information, these amounts derive from contributions from the EFTA States entered against Article 6 3 0 of the statement of revenue, which constitute assigned revenue in accordance with Article 21(2</w:t>
      </w:r>
      <w:proofErr w:type="gramStart"/>
      <w:r>
        <w:t>)(</w:t>
      </w:r>
      <w:proofErr w:type="gramEnd"/>
      <w:r>
        <w:t>e) to (g) of the Financial Regulation; they give rise to the provision of corresponding appropriations and to implementation under the ‘European Economic Area’ Annex to this part of the statement of expenditure in this section, which forms an integral part of the general budget.</w:t>
      </w:r>
    </w:p>
    <w:p w:rsidR="00AE2038" w:rsidRDefault="00AE2038">
      <w:r>
        <w:t>The possibility of third countries or institutes from third countries taking part in European cooperation in the field of scientific and technical research is envisaged for some of these projects. Any financial contribution entered in Items 6 0 1 3 and 6 0 1 5 of the statement of revenue may give rise to the provision of additional appropriations in accordance with Article 21 of the Financial Regulation.</w:t>
      </w:r>
    </w:p>
    <w:p w:rsidR="00AE2038" w:rsidRDefault="00AE2038">
      <w:r>
        <w:t>Any revenue from States taking part in the European cooperation in the field of scientific and technical research entered in Item 6 0 1 6 of the of the statement of revenue may give rise to the provision of additional appropriations in accordance with Article 21 of the Financial Regulation.</w:t>
      </w:r>
    </w:p>
    <w:p w:rsidR="00AE2038" w:rsidRDefault="00AE2038">
      <w:r>
        <w:t>Any revenue from the contributions from candidate countries and, if applicable, the Western Balkan potential candidates for participating in Union programmes entered in Item 6 0 3 1 of the statement of revenue may give rise to the provision of additional appropriations in accordance with Article 21(2</w:t>
      </w:r>
      <w:proofErr w:type="gramStart"/>
      <w:r>
        <w:t>)(</w:t>
      </w:r>
      <w:proofErr w:type="gramEnd"/>
      <w:r>
        <w:t>e) to (g) of the Financial Regulation.</w:t>
      </w:r>
    </w:p>
    <w:p w:rsidR="00AE2038" w:rsidRDefault="00AE2038">
      <w:r>
        <w:t>Any revenue from the contributions by outside bodies to Union activities entered in Item 6 0 3 3 of the statement of revenue may give rise to the provision of additional appropriations in accordance with Article 21 of the Financial Regulation.</w:t>
      </w:r>
    </w:p>
    <w:p w:rsidR="00AE2038" w:rsidRDefault="00AE2038">
      <w:r>
        <w:t>Additional appropriations will be provided under Item 15 03 50 01.</w:t>
      </w:r>
    </w:p>
    <w:p w:rsidR="00AE2038" w:rsidRDefault="00AE2038">
      <w:r>
        <w:t>Administrative appropriations of this chapter will be provided under Article 15 01 05.</w:t>
      </w:r>
    </w:p>
    <w:p w:rsidR="00AE2038" w:rsidRDefault="00AE2038">
      <w:pPr>
        <w:keepNext/>
        <w:autoSpaceDE w:val="0"/>
        <w:autoSpaceDN w:val="0"/>
        <w:spacing w:before="480"/>
        <w:jc w:val="left"/>
        <w:outlineLvl w:val="5"/>
        <w:rPr>
          <w:b/>
          <w:bCs/>
          <w:i/>
          <w:iCs/>
          <w:sz w:val="24"/>
          <w:szCs w:val="24"/>
        </w:rPr>
      </w:pPr>
      <w:r>
        <w:rPr>
          <w:b/>
          <w:bCs/>
          <w:i/>
          <w:iCs/>
          <w:sz w:val="24"/>
          <w:szCs w:val="24"/>
        </w:rPr>
        <w:t>Article 15 03 01 — Excellent science</w:t>
      </w:r>
    </w:p>
    <w:p w:rsidR="00AE2038" w:rsidRDefault="00AE2038">
      <w:pPr>
        <w:keepNext/>
      </w:pPr>
      <w:r>
        <w:rPr>
          <w:i/>
          <w:iCs/>
        </w:rPr>
        <w:t>Remarks</w:t>
      </w:r>
    </w:p>
    <w:p w:rsidR="00AE2038" w:rsidRDefault="00AE2038">
      <w:r>
        <w:t xml:space="preserve">This priority of Horizon 2020 aims to reinforce and extend the excellence in the Union’s science base and ensure a steady stream of world-class research to secure Europe’s long-term competitiveness. It will support the best ideas, develop talent within Europe, provide researchers with access to priority research infrastructure, and make Europe an attractive location for the world’s best researchers. Research actions to be funded will be determined according to the need and opportunities of science, without pre-determined thematic priorities. The research agenda will be set in close liaison with the scientific community and research will be funded on the basis of excellence. </w:t>
      </w:r>
    </w:p>
    <w:p w:rsidR="00AE2038" w:rsidRDefault="00AE2038">
      <w:pPr>
        <w:keepNext/>
        <w:autoSpaceDE w:val="0"/>
        <w:autoSpaceDN w:val="0"/>
        <w:spacing w:before="480"/>
        <w:jc w:val="left"/>
        <w:outlineLvl w:val="6"/>
        <w:rPr>
          <w:sz w:val="22"/>
          <w:szCs w:val="22"/>
        </w:rPr>
      </w:pPr>
      <w:r>
        <w:rPr>
          <w:sz w:val="22"/>
          <w:szCs w:val="22"/>
        </w:rPr>
        <w:t xml:space="preserve">Item 15 03 01 01 — Marie </w:t>
      </w:r>
      <w:proofErr w:type="spellStart"/>
      <w:r>
        <w:rPr>
          <w:sz w:val="22"/>
          <w:szCs w:val="22"/>
        </w:rPr>
        <w:t>Skłodowska</w:t>
      </w:r>
      <w:proofErr w:type="spellEnd"/>
      <w:r>
        <w:rPr>
          <w:sz w:val="22"/>
          <w:szCs w:val="22"/>
        </w:rPr>
        <w:t>-Curie actions — generating, developing and transferring new skills, knowledge and innovation</w:t>
      </w:r>
    </w:p>
    <w:p w:rsidR="00AE2038" w:rsidRDefault="00AE2038">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796"/>
        <w:gridCol w:w="1795"/>
        <w:gridCol w:w="1796"/>
        <w:gridCol w:w="1795"/>
        <w:gridCol w:w="1796"/>
        <w:gridCol w:w="1795"/>
      </w:tblGrid>
      <w:tr w:rsidR="00AE2038">
        <w:trPr>
          <w:cantSplit/>
          <w:tblHeader/>
        </w:trPr>
        <w:tc>
          <w:tcPr>
            <w:tcW w:w="359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Draft budget 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Letter of amendment No. 1/2016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New amount</w:t>
            </w:r>
          </w:p>
        </w:tc>
      </w:tr>
      <w:tr w:rsidR="00AE2038">
        <w:trPr>
          <w:cantSplit/>
          <w:tblHeader/>
        </w:trPr>
        <w:tc>
          <w:tcPr>
            <w:tcW w:w="1796" w:type="dxa"/>
            <w:tcBorders>
              <w:top w:val="nil"/>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r>
      <w:tr w:rsidR="00AE2038">
        <w:trPr>
          <w:cantSplit/>
        </w:trPr>
        <w:tc>
          <w:tcPr>
            <w:tcW w:w="1796" w:type="dxa"/>
            <w:tcBorders>
              <w:top w:val="single" w:sz="4" w:space="0" w:color="auto"/>
              <w:left w:val="single" w:sz="4" w:space="0" w:color="auto"/>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738 895 200</w:t>
            </w:r>
          </w:p>
        </w:tc>
        <w:tc>
          <w:tcPr>
            <w:tcW w:w="1795"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508 490 935</w:t>
            </w:r>
          </w:p>
        </w:tc>
        <w:tc>
          <w:tcPr>
            <w:tcW w:w="1796"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30 000 000</w:t>
            </w:r>
          </w:p>
        </w:tc>
        <w:tc>
          <w:tcPr>
            <w:tcW w:w="1795" w:type="dxa"/>
            <w:tcBorders>
              <w:top w:val="single" w:sz="4" w:space="0" w:color="auto"/>
              <w:left w:val="nil"/>
              <w:bottom w:val="single" w:sz="4" w:space="0" w:color="auto"/>
              <w:right w:val="single" w:sz="4" w:space="0" w:color="auto"/>
            </w:tcBorders>
            <w:vAlign w:val="center"/>
          </w:tcPr>
          <w:p w:rsidR="00AE2038" w:rsidRDefault="00AE2038">
            <w:pPr>
              <w:spacing w:before="30" w:after="30"/>
              <w:rPr>
                <w:sz w:val="16"/>
                <w:szCs w:val="16"/>
              </w:rPr>
            </w:pPr>
          </w:p>
        </w:tc>
        <w:tc>
          <w:tcPr>
            <w:tcW w:w="1796"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768 895 200</w:t>
            </w:r>
          </w:p>
        </w:tc>
        <w:tc>
          <w:tcPr>
            <w:tcW w:w="1795"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508 490 935</w:t>
            </w:r>
          </w:p>
        </w:tc>
      </w:tr>
    </w:tbl>
    <w:p w:rsidR="00AE2038" w:rsidRDefault="00AE2038">
      <w:pPr>
        <w:keepNext/>
      </w:pPr>
      <w:r>
        <w:rPr>
          <w:i/>
          <w:iCs/>
        </w:rPr>
        <w:t>Remarks</w:t>
      </w:r>
    </w:p>
    <w:p w:rsidR="00AE2038" w:rsidRDefault="00AE2038">
      <w:r>
        <w:t>Europe needs a strong and creative human resource base, mobile across countries and sectors, and has to be attractive for the best researchers, European and non-European. This will be achieved by structuring and raising excellence in a substantial share of the high-quality initial training of early stage researchers and doctoral candidates and by supporting attractive career opportunities for experienced researchers in both public and private sectors worldwide. Researchers are encouraged to move between countries, sectors and disciplines to enhance their creative and innovative potential.</w:t>
      </w:r>
    </w:p>
    <w:p w:rsidR="00AE2038" w:rsidRDefault="00AE2038">
      <w:pPr>
        <w:keepNext/>
      </w:pPr>
      <w:r>
        <w:rPr>
          <w:i/>
          <w:iCs/>
        </w:rPr>
        <w:t>Legal basis</w:t>
      </w:r>
    </w:p>
    <w:p w:rsidR="00AE2038" w:rsidRDefault="00AE2038">
      <w:r>
        <w:t>Regulation (EU) No 1291/2013 of the European Parliament and of the Council of 11 December 2013 establishing Horizon 2020 — the Framework Programme for Research and Innovation (2014-2020) and repealing Decision No 1982/2006/EC (OJ L 347, 20.12.2013, p. 104).</w:t>
      </w:r>
    </w:p>
    <w:p w:rsidR="00AE2038" w:rsidRDefault="00AE2038">
      <w:r>
        <w:lastRenderedPageBreak/>
        <w:t>Council Decision 2013/743/EU of 3 December 2013 establishing the specific programme implementing Horizon 2020 — the Framework Programme for Research and Innovation (2014-2020) and repealing Decisions 2006/971/EC, 2006/972/EC, 2006/973/EC, 2006/974/EC and 2006/975/EC (OJ L 347, 20.12.2013, p. 965), and in particular Article 3(1)(c) thereof.</w:t>
      </w:r>
    </w:p>
    <w:p w:rsidR="00AE2038" w:rsidRDefault="00AE2038">
      <w:pPr>
        <w:keepNext/>
        <w:autoSpaceDE w:val="0"/>
        <w:autoSpaceDN w:val="0"/>
        <w:spacing w:before="480"/>
        <w:jc w:val="left"/>
        <w:outlineLvl w:val="5"/>
        <w:rPr>
          <w:b/>
          <w:bCs/>
          <w:i/>
          <w:iCs/>
          <w:sz w:val="24"/>
          <w:szCs w:val="24"/>
        </w:rPr>
      </w:pPr>
      <w:r>
        <w:rPr>
          <w:b/>
          <w:bCs/>
          <w:i/>
          <w:iCs/>
          <w:sz w:val="24"/>
          <w:szCs w:val="24"/>
        </w:rPr>
        <w:t>Article 15 03 05 — European Institute of Innovation and Technology – integrating the knowledge triangle of higher education, research and innovation</w:t>
      </w:r>
    </w:p>
    <w:p w:rsidR="00AE2038" w:rsidRDefault="00AE2038">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796"/>
        <w:gridCol w:w="1795"/>
        <w:gridCol w:w="1796"/>
        <w:gridCol w:w="1795"/>
        <w:gridCol w:w="1796"/>
        <w:gridCol w:w="1795"/>
      </w:tblGrid>
      <w:tr w:rsidR="00AE2038">
        <w:trPr>
          <w:cantSplit/>
          <w:tblHeader/>
        </w:trPr>
        <w:tc>
          <w:tcPr>
            <w:tcW w:w="359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Draft budget 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Letter of amendment No. 1/2016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New amount</w:t>
            </w:r>
          </w:p>
        </w:tc>
      </w:tr>
      <w:tr w:rsidR="00AE2038">
        <w:trPr>
          <w:cantSplit/>
          <w:tblHeader/>
        </w:trPr>
        <w:tc>
          <w:tcPr>
            <w:tcW w:w="1796" w:type="dxa"/>
            <w:tcBorders>
              <w:top w:val="nil"/>
              <w:left w:val="single" w:sz="4" w:space="0" w:color="auto"/>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AE2038" w:rsidRDefault="00AE2038">
            <w:pPr>
              <w:pStyle w:val="NormalCentered"/>
              <w:keepNext/>
              <w:spacing w:before="30" w:after="30"/>
              <w:rPr>
                <w:sz w:val="16"/>
                <w:szCs w:val="16"/>
              </w:rPr>
            </w:pPr>
            <w:r>
              <w:rPr>
                <w:sz w:val="16"/>
                <w:szCs w:val="16"/>
              </w:rPr>
              <w:t>Payments</w:t>
            </w:r>
          </w:p>
        </w:tc>
      </w:tr>
      <w:tr w:rsidR="00AE2038">
        <w:trPr>
          <w:cantSplit/>
        </w:trPr>
        <w:tc>
          <w:tcPr>
            <w:tcW w:w="1796" w:type="dxa"/>
            <w:tcBorders>
              <w:top w:val="single" w:sz="4" w:space="0" w:color="auto"/>
              <w:left w:val="single" w:sz="4" w:space="0" w:color="auto"/>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198 196 337</w:t>
            </w:r>
          </w:p>
        </w:tc>
        <w:tc>
          <w:tcPr>
            <w:tcW w:w="1795"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251 833 221</w:t>
            </w:r>
          </w:p>
        </w:tc>
        <w:tc>
          <w:tcPr>
            <w:tcW w:w="1796"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21 591 709</w:t>
            </w:r>
          </w:p>
        </w:tc>
        <w:tc>
          <w:tcPr>
            <w:tcW w:w="1795" w:type="dxa"/>
            <w:tcBorders>
              <w:top w:val="single" w:sz="4" w:space="0" w:color="auto"/>
              <w:left w:val="nil"/>
              <w:bottom w:val="single" w:sz="4" w:space="0" w:color="auto"/>
              <w:right w:val="single" w:sz="4" w:space="0" w:color="auto"/>
            </w:tcBorders>
            <w:vAlign w:val="center"/>
          </w:tcPr>
          <w:p w:rsidR="00AE2038" w:rsidRDefault="00AE2038">
            <w:pPr>
              <w:spacing w:before="30" w:after="30"/>
              <w:rPr>
                <w:sz w:val="16"/>
                <w:szCs w:val="16"/>
              </w:rPr>
            </w:pPr>
          </w:p>
        </w:tc>
        <w:tc>
          <w:tcPr>
            <w:tcW w:w="1796"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219 788 046</w:t>
            </w:r>
          </w:p>
        </w:tc>
        <w:tc>
          <w:tcPr>
            <w:tcW w:w="1795" w:type="dxa"/>
            <w:tcBorders>
              <w:top w:val="single" w:sz="4" w:space="0" w:color="auto"/>
              <w:left w:val="nil"/>
              <w:bottom w:val="single" w:sz="4" w:space="0" w:color="auto"/>
              <w:right w:val="single" w:sz="4" w:space="0" w:color="auto"/>
            </w:tcBorders>
            <w:vAlign w:val="center"/>
          </w:tcPr>
          <w:p w:rsidR="00AE2038" w:rsidRDefault="00AE2038">
            <w:pPr>
              <w:pStyle w:val="NormalRight"/>
              <w:spacing w:before="30" w:after="30"/>
              <w:rPr>
                <w:sz w:val="16"/>
                <w:szCs w:val="16"/>
              </w:rPr>
            </w:pPr>
            <w:r>
              <w:rPr>
                <w:sz w:val="16"/>
                <w:szCs w:val="16"/>
              </w:rPr>
              <w:t>251 833 221</w:t>
            </w:r>
          </w:p>
        </w:tc>
      </w:tr>
    </w:tbl>
    <w:p w:rsidR="00AE2038" w:rsidRDefault="00AE2038">
      <w:pPr>
        <w:keepNext/>
      </w:pPr>
      <w:r>
        <w:rPr>
          <w:i/>
          <w:iCs/>
        </w:rPr>
        <w:t>Remarks</w:t>
      </w:r>
    </w:p>
    <w:p w:rsidR="00AE2038" w:rsidRDefault="00AE2038">
      <w:r>
        <w:t>This appropriation is intended to cover staff and administrative expenditure, and operational expenditure relating to the work programme of the European Institute of Innovation and Technology (EIT), including the knowledge and innovation communities (KIC) designated by the EIT.</w:t>
      </w:r>
    </w:p>
    <w:p w:rsidR="00AE2038" w:rsidRDefault="00AE2038">
      <w:r>
        <w:t>The total amount of this appropriation is intended to cover staff and administrative expenditure, and operational expenditure relating to the work programme of the European Institute of Innovation and Technology (EIT), including the knowledge and innovation communities (KIC) designated by the EIT.</w:t>
      </w:r>
    </w:p>
    <w:p w:rsidR="00AE2038" w:rsidRDefault="00AE2038">
      <w:r>
        <w:t xml:space="preserve">In the framework of the EIT’s Strategic Innovation Agenda (SIA) and Regulation (EU) No 1292/2013 of the European Parliament and of the Council of 11 December 2013 amending Regulation (EC) No 294/2008 establishing the European Institute of Innovation and Technology (OJ L 347, 20.12.2013, p. 174), the EIT will contribute to the general objective and priorities of ‘Horizon 2020 — The Framework Programme for Research and Innovation’, with the specific objective of integrating the knowledge triangle of higher education, research and innovation. The EIT aims to give Europe’s innovation capacity a much needed boost and its overall goal is to create a new European way of delivering essential economic growth and societal benefits through innovation by helping transform innovative ideas into products and services that create sustainable growth and jobs. </w:t>
      </w:r>
    </w:p>
    <w:p w:rsidR="00AE2038" w:rsidRDefault="00AE2038">
      <w:r>
        <w:t xml:space="preserve">Knowledge and innovation communities (KICs) are the operational base of the EIT. They are excellence-driven partnerships, which bring together the whole innovation web in order to offer new opportunities for innovation in Europe and generate real impact in terms of new business creation and societal benefits. They address focused innovation topics and integrate public and private research organisations, innovative industries, higher education institutions, investors, start-ups and spin-offs. The first three KICs were designated in December 2009 and address the following societal challenges: climate change mitigation and adaptation (through Climate-KIC), sustainable energy (through KIC InnoEnergy) and future information and communication society (through EIT ICT Labs). In December 2014 two more KICs have been designated. Two additional KICs were designated in 2014 in the themes of Raw Materials and Innovation for Healthy Living and Active Ageing. In the future, the EIT will expand its portfolio of KICs to up to three additional ones addressing the topics Food for the Future, Added Value Manufacturing and Urban Mobility. </w:t>
      </w:r>
    </w:p>
    <w:p w:rsidR="00AE2038" w:rsidRDefault="00AE2038">
      <w:pPr>
        <w:keepNext/>
      </w:pPr>
      <w:r>
        <w:t>The EIT aims to generate tangible impact in the following areas:</w:t>
      </w:r>
    </w:p>
    <w:p w:rsidR="00AE2038" w:rsidRDefault="00AE2038">
      <w:pPr>
        <w:pStyle w:val="Tiret0"/>
      </w:pPr>
      <w:r>
        <w:t>addressing key societal challenges: The KICs combine expertise from across disciplines to ensure innovative and global responses to complex societal challenges,</w:t>
      </w:r>
    </w:p>
    <w:p w:rsidR="00AE2038" w:rsidRDefault="00AE2038">
      <w:pPr>
        <w:pStyle w:val="Tiret0"/>
      </w:pPr>
      <w:r>
        <w:t>setting a clear business-friendly framework: Turning new ideas into tangible new products, services or business opportunities will be the main benchmark of the EIT’s and the KICs’ success,</w:t>
      </w:r>
    </w:p>
    <w:p w:rsidR="00AE2038" w:rsidRDefault="00AE2038">
      <w:pPr>
        <w:pStyle w:val="Tiret0"/>
      </w:pPr>
      <w:proofErr w:type="gramStart"/>
      <w:r>
        <w:t>enhancing</w:t>
      </w:r>
      <w:proofErr w:type="gramEnd"/>
      <w:r>
        <w:t xml:space="preserve"> the free flow of knowledge through co-location: The KICs are organised around co-location centres — geographical locations where most or the whole innovation chain is in close proximity. The emphasis is on people from diverse backgrounds (industry, SMEs, academia, nationality, gender, discipline, etc.) working together with face-to-face contact, thus leading to great mobility of knowledge,</w:t>
      </w:r>
    </w:p>
    <w:p w:rsidR="00AE2038" w:rsidRDefault="00AE2038">
      <w:pPr>
        <w:pStyle w:val="Tiret0"/>
      </w:pPr>
      <w:proofErr w:type="gramStart"/>
      <w:r>
        <w:t>creating</w:t>
      </w:r>
      <w:proofErr w:type="gramEnd"/>
      <w:r>
        <w:t xml:space="preserve"> a new generation of entrepreneurs: people with an entrepreneurial mind-set are the drivers of innovation, thereby keeping our economies and societies moving. The EIT promotes entrepreneurship education as a key feature of KICs’ Masters and doctoral programmes by shifting the emphasis from ‘learning about’ to ‘learning by doing’. The Master and PhD programmes will provide students with the entrepreneurial skills they need to succeed in the knowledge economy, focusing on learning outcomes and the use of innovative teaching methods. </w:t>
      </w:r>
    </w:p>
    <w:p w:rsidR="00AE2038" w:rsidRDefault="00AE2038">
      <w:r>
        <w:t xml:space="preserve">The EIT’s strategic objectives for this period are to consolidate and synergise its operations and to prepare for achieving the priorities set out in the Strategic Innovation Agenda (2014-2020): firstly, by incentivising growth, impact and sustainability by continuing to strengthen its partnership with the three </w:t>
      </w:r>
      <w:proofErr w:type="gramStart"/>
      <w:r>
        <w:t>existing</w:t>
      </w:r>
      <w:proofErr w:type="gramEnd"/>
      <w:r>
        <w:t xml:space="preserve"> KICs whilst creating new KICs. By following an incremental development path in establishing new KICs, the EIT will ensure leading up to a total portfolio of nine KICs in the period 2014-2020 (equalling the set-up </w:t>
      </w:r>
      <w:r>
        <w:lastRenderedPageBreak/>
        <w:t>of 40-50 co-location centres across the Union); secondly, by enhancing the EIT’s impact by fostering entrepreneurship-driven innovation across the Union through wide dissemination of novel innovation models attracting and developing talent from across Europe; and thirdly, by introducing new means of achieving impact, alongside results-oriented monitoring .</w:t>
      </w:r>
    </w:p>
    <w:p w:rsidR="00AE2038" w:rsidRDefault="00AE2038">
      <w:r>
        <w:t>The establishment plan of the EIT is set out in Annex ‘Staff’ to this section.</w:t>
      </w:r>
    </w:p>
    <w:p w:rsidR="00AE2038" w:rsidRDefault="00AE2038">
      <w:pPr>
        <w:keepNext/>
      </w:pPr>
      <w:r>
        <w:rPr>
          <w:i/>
          <w:iCs/>
        </w:rPr>
        <w:t>Legal basis</w:t>
      </w:r>
    </w:p>
    <w:p w:rsidR="00AE2038" w:rsidRDefault="00AE2038">
      <w:r>
        <w:t>Regulation (EU) No 1291/2013 of the European Parliament and of the Council of 11 December 2013 establishing Horizon 2020 — the Framework Programme for Research and Innovation (2014-2020) and repealing Decision No 1982/2006/EC (OJ L 347, 20.12.2013, p. 104), and in particular Article 5(5) thereof.</w:t>
      </w:r>
    </w:p>
    <w:p w:rsidR="00AE2038" w:rsidRDefault="00AE2038">
      <w:r>
        <w:t>Regulation (EU) No 1292/2013 of the European Parliament and of the Council of 11 December 2013 amending Regulation (EC) No 294/2008 establishing the European Institute of Innovation and Technology (OJ L 347, 20.12.2013, p. 174).</w:t>
      </w:r>
    </w:p>
    <w:p w:rsidR="00AE2038" w:rsidRDefault="00AE2038">
      <w:r>
        <w:t>Decision No 1312/2013/EU of the European Parliament and of the Council of 11 December 2013 on Strategic Innovation Agenda of the European Institute of Innovation and Technology (EIT): the contribution of the EIT to a more innovative Europe (OJ L 347, 20.12.2013, p. 892).</w:t>
      </w:r>
    </w:p>
    <w:sectPr w:rsidR="00AE2038">
      <w:footerReference w:type="default" r:id="rId8"/>
      <w:pgSz w:w="11907" w:h="16839"/>
      <w:pgMar w:top="1417" w:right="567" w:bottom="1417" w:left="56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038" w:rsidRDefault="00AE2038">
      <w:pPr>
        <w:autoSpaceDE w:val="0"/>
        <w:autoSpaceDN w:val="0"/>
        <w:rPr>
          <w:sz w:val="24"/>
          <w:szCs w:val="24"/>
        </w:rPr>
      </w:pPr>
      <w:r>
        <w:rPr>
          <w:sz w:val="24"/>
          <w:szCs w:val="24"/>
        </w:rPr>
        <w:separator/>
      </w:r>
    </w:p>
  </w:endnote>
  <w:endnote w:type="continuationSeparator" w:id="0">
    <w:p w:rsidR="00AE2038" w:rsidRDefault="00AE2038">
      <w:pPr>
        <w:autoSpaceDE w:val="0"/>
        <w:autoSpaceDN w:val="0"/>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038" w:rsidRDefault="00AE2038">
    <w:pPr>
      <w:tabs>
        <w:tab w:val="center" w:pos="5387"/>
        <w:tab w:val="right" w:pos="10773"/>
      </w:tabs>
      <w:spacing w:before="360" w:after="0"/>
    </w:pPr>
    <w:r>
      <w:rPr>
        <w:rFonts w:ascii="Arial" w:hAnsi="Arial" w:cs="Arial"/>
        <w:b/>
        <w:bCs/>
        <w:caps/>
        <w:sz w:val="48"/>
        <w:szCs w:val="48"/>
      </w:rPr>
      <w:t>en</w:t>
    </w:r>
    <w:r>
      <w:tab/>
    </w:r>
    <w:r>
      <w:pgNum/>
    </w:r>
    <w:r>
      <w:tab/>
    </w:r>
    <w:proofErr w:type="spellStart"/>
    <w:r>
      <w:rPr>
        <w:rFonts w:ascii="Arial" w:hAnsi="Arial" w:cs="Arial"/>
        <w:b/>
        <w:bCs/>
        <w:caps/>
        <w:sz w:val="48"/>
        <w:szCs w:val="48"/>
      </w:rPr>
      <w:t>en</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038" w:rsidRDefault="00AE2038">
      <w:pPr>
        <w:autoSpaceDE w:val="0"/>
        <w:autoSpaceDN w:val="0"/>
        <w:rPr>
          <w:sz w:val="24"/>
          <w:szCs w:val="24"/>
        </w:rPr>
      </w:pPr>
      <w:r>
        <w:rPr>
          <w:sz w:val="24"/>
          <w:szCs w:val="24"/>
        </w:rPr>
        <w:separator/>
      </w:r>
    </w:p>
  </w:footnote>
  <w:footnote w:type="continuationSeparator" w:id="0">
    <w:p w:rsidR="00AE2038" w:rsidRDefault="00AE2038">
      <w:pPr>
        <w:autoSpaceDE w:val="0"/>
        <w:autoSpaceDN w:val="0"/>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E8"/>
    <w:multiLevelType w:val="multilevel"/>
    <w:tmpl w:val="3B9ACA00"/>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700"/>
        </w:tabs>
        <w:ind w:left="1700" w:hanging="1700"/>
      </w:pPr>
    </w:lvl>
    <w:lvl w:ilvl="5">
      <w:start w:val="1"/>
      <w:numFmt w:val="decimal"/>
      <w:pStyle w:val="Heading6"/>
      <w:lvlText w:val="%1.%2.%3.%4.%5.%6."/>
      <w:lvlJc w:val="left"/>
      <w:pPr>
        <w:tabs>
          <w:tab w:val="num" w:pos="1700"/>
        </w:tabs>
        <w:ind w:left="1700" w:hanging="1700"/>
      </w:pPr>
    </w:lvl>
    <w:lvl w:ilvl="6">
      <w:start w:val="1"/>
      <w:numFmt w:val="decimal"/>
      <w:pStyle w:val="Heading7"/>
      <w:lvlText w:val="%1.%2.%3.%4.%5.%6.%7."/>
      <w:lvlJc w:val="left"/>
      <w:pPr>
        <w:tabs>
          <w:tab w:val="num" w:pos="1700"/>
        </w:tabs>
        <w:ind w:left="1700" w:hanging="1700"/>
      </w:pPr>
    </w:lvl>
    <w:lvl w:ilvl="7">
      <w:start w:val="1"/>
      <w:numFmt w:val="decimal"/>
      <w:pStyle w:val="Heading8"/>
      <w:lvlText w:val="%1.%2.%3.%4.%5.%6.%7.%8."/>
      <w:lvlJc w:val="left"/>
      <w:pPr>
        <w:tabs>
          <w:tab w:val="num" w:pos="1700"/>
        </w:tabs>
        <w:ind w:left="1700" w:hanging="1700"/>
      </w:pPr>
    </w:lvl>
    <w:lvl w:ilvl="8">
      <w:start w:val="1"/>
      <w:numFmt w:val="decimal"/>
      <w:pStyle w:val="Heading9"/>
      <w:lvlText w:val="%1.%2.%3.%4.%5.%6.%7.%8.%9."/>
      <w:lvlJc w:val="left"/>
      <w:pPr>
        <w:tabs>
          <w:tab w:val="num" w:pos="1700"/>
        </w:tabs>
        <w:ind w:left="1700" w:hanging="1700"/>
      </w:pPr>
    </w:lvl>
  </w:abstractNum>
  <w:abstractNum w:abstractNumId="1">
    <w:nsid w:val="000003F2"/>
    <w:multiLevelType w:val="singleLevel"/>
    <w:tmpl w:val="4190AB00"/>
    <w:name w:val="Tiret 0"/>
    <w:lvl w:ilvl="0">
      <w:start w:val="1"/>
      <w:numFmt w:val="bullet"/>
      <w:lvlRestart w:val="0"/>
      <w:pStyle w:val="Tiret0"/>
      <w:lvlText w:val="–"/>
      <w:lvlJc w:val="left"/>
      <w:pPr>
        <w:tabs>
          <w:tab w:val="num" w:pos="850"/>
        </w:tabs>
        <w:ind w:left="850" w:hanging="850"/>
      </w:pPr>
    </w:lvl>
  </w:abstractNum>
  <w:abstractNum w:abstractNumId="2">
    <w:nsid w:val="000003F3"/>
    <w:multiLevelType w:val="singleLevel"/>
    <w:tmpl w:val="4190AB01"/>
    <w:name w:val="Tiret 1"/>
    <w:lvl w:ilvl="0">
      <w:start w:val="1"/>
      <w:numFmt w:val="bullet"/>
      <w:lvlRestart w:val="0"/>
      <w:pStyle w:val="Tiret1"/>
      <w:lvlText w:val="–"/>
      <w:lvlJc w:val="left"/>
      <w:pPr>
        <w:tabs>
          <w:tab w:val="num" w:pos="1417"/>
        </w:tabs>
        <w:ind w:left="1417" w:hanging="567"/>
      </w:pPr>
    </w:lvl>
  </w:abstractNum>
  <w:abstractNum w:abstractNumId="3">
    <w:nsid w:val="000003F4"/>
    <w:multiLevelType w:val="singleLevel"/>
    <w:tmpl w:val="4190AB02"/>
    <w:name w:val="Tiret 2"/>
    <w:lvl w:ilvl="0">
      <w:start w:val="1"/>
      <w:numFmt w:val="bullet"/>
      <w:lvlRestart w:val="0"/>
      <w:pStyle w:val="Tiret2"/>
      <w:lvlText w:val="–"/>
      <w:lvlJc w:val="left"/>
      <w:pPr>
        <w:tabs>
          <w:tab w:val="num" w:pos="1984"/>
        </w:tabs>
        <w:ind w:left="1984" w:hanging="567"/>
      </w:pPr>
    </w:lvl>
  </w:abstractNum>
  <w:abstractNum w:abstractNumId="4">
    <w:nsid w:val="000003F5"/>
    <w:multiLevelType w:val="singleLevel"/>
    <w:tmpl w:val="4190AB03"/>
    <w:name w:val="Tiret 3"/>
    <w:lvl w:ilvl="0">
      <w:start w:val="1"/>
      <w:numFmt w:val="bullet"/>
      <w:lvlRestart w:val="0"/>
      <w:pStyle w:val="Tiret3"/>
      <w:lvlText w:val="–"/>
      <w:lvlJc w:val="left"/>
      <w:pPr>
        <w:tabs>
          <w:tab w:val="num" w:pos="2551"/>
        </w:tabs>
        <w:ind w:left="2551" w:hanging="567"/>
      </w:pPr>
    </w:lvl>
  </w:abstractNum>
  <w:abstractNum w:abstractNumId="5">
    <w:nsid w:val="000003F6"/>
    <w:multiLevelType w:val="singleLevel"/>
    <w:tmpl w:val="4190AB04"/>
    <w:name w:val="Tiret 4"/>
    <w:lvl w:ilvl="0">
      <w:start w:val="1"/>
      <w:numFmt w:val="bullet"/>
      <w:lvlRestart w:val="0"/>
      <w:pStyle w:val="Tiret4"/>
      <w:lvlText w:val="–"/>
      <w:lvlJc w:val="left"/>
      <w:pPr>
        <w:tabs>
          <w:tab w:val="num" w:pos="3118"/>
        </w:tabs>
        <w:ind w:left="3118" w:hanging="567"/>
      </w:pPr>
    </w:lvl>
  </w:abstractNum>
  <w:abstractNum w:abstractNumId="6">
    <w:nsid w:val="0000044C"/>
    <w:multiLevelType w:val="singleLevel"/>
    <w:tmpl w:val="47868C00"/>
    <w:lvl w:ilvl="0">
      <w:start w:val="1"/>
      <w:numFmt w:val="decimal"/>
      <w:lvlText w:val="%1."/>
      <w:lvlJc w:val="left"/>
      <w:pPr>
        <w:tabs>
          <w:tab w:val="num" w:pos="850"/>
        </w:tabs>
        <w:ind w:left="850" w:hanging="850"/>
      </w:pPr>
    </w:lvl>
  </w:abstractNum>
  <w:abstractNum w:abstractNumId="7">
    <w:nsid w:val="0000044D"/>
    <w:multiLevelType w:val="singleLevel"/>
    <w:tmpl w:val="47868C01"/>
    <w:lvl w:ilvl="0">
      <w:start w:val="1"/>
      <w:numFmt w:val="decimal"/>
      <w:lvlText w:val="%1."/>
      <w:lvlJc w:val="left"/>
      <w:pPr>
        <w:tabs>
          <w:tab w:val="num" w:pos="1417"/>
        </w:tabs>
        <w:ind w:left="1417" w:hanging="567"/>
      </w:pPr>
    </w:lvl>
  </w:abstractNum>
  <w:abstractNum w:abstractNumId="8">
    <w:nsid w:val="0000044E"/>
    <w:multiLevelType w:val="singleLevel"/>
    <w:tmpl w:val="47868C02"/>
    <w:lvl w:ilvl="0">
      <w:start w:val="1"/>
      <w:numFmt w:val="decimal"/>
      <w:lvlText w:val="%1."/>
      <w:lvlJc w:val="left"/>
      <w:pPr>
        <w:tabs>
          <w:tab w:val="num" w:pos="1984"/>
        </w:tabs>
        <w:ind w:left="1984" w:hanging="567"/>
      </w:pPr>
    </w:lvl>
  </w:abstractNum>
  <w:abstractNum w:abstractNumId="9">
    <w:nsid w:val="0000044F"/>
    <w:multiLevelType w:val="singleLevel"/>
    <w:tmpl w:val="47868C03"/>
    <w:lvl w:ilvl="0">
      <w:start w:val="1"/>
      <w:numFmt w:val="decimal"/>
      <w:lvlText w:val="%1."/>
      <w:lvlJc w:val="left"/>
      <w:pPr>
        <w:tabs>
          <w:tab w:val="num" w:pos="2551"/>
        </w:tabs>
        <w:ind w:left="2551" w:hanging="567"/>
      </w:pPr>
    </w:lvl>
  </w:abstractNum>
  <w:abstractNum w:abstractNumId="10">
    <w:nsid w:val="00000450"/>
    <w:multiLevelType w:val="singleLevel"/>
    <w:tmpl w:val="47868C04"/>
    <w:lvl w:ilvl="0">
      <w:start w:val="1"/>
      <w:numFmt w:val="decimal"/>
      <w:lvlText w:val="%1."/>
      <w:lvlJc w:val="left"/>
      <w:pPr>
        <w:tabs>
          <w:tab w:val="num" w:pos="3118"/>
        </w:tabs>
        <w:ind w:left="3118" w:hanging="567"/>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sultStruct" w:val="##STRUCT##"/>
  </w:docVars>
  <w:rsids>
    <w:rsidRoot w:val="00E77B11"/>
    <w:rsid w:val="001E5BF9"/>
    <w:rsid w:val="008B1BB6"/>
    <w:rsid w:val="00A07D56"/>
    <w:rsid w:val="00AE2038"/>
    <w:rsid w:val="00E77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nhideWhenUsed="0"/>
    <w:lsdException w:name="toc 2" w:unhideWhenUsed="0"/>
    <w:lsdException w:name="toc 3" w:unhideWhenUsed="0"/>
    <w:lsdException w:name="toc 4" w:unhideWhenUsed="0"/>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before="120" w:after="120" w:line="240" w:lineRule="auto"/>
      <w:jc w:val="both"/>
    </w:pPr>
    <w:rPr>
      <w:rFonts w:ascii="Times New Roman" w:hAnsi="Times New Roman" w:cs="Times New Roman"/>
      <w:sz w:val="20"/>
      <w:szCs w:val="20"/>
    </w:rPr>
  </w:style>
  <w:style w:type="paragraph" w:styleId="Heading1">
    <w:name w:val="heading 1"/>
    <w:basedOn w:val="Normal"/>
    <w:next w:val="Heading2"/>
    <w:link w:val="Heading1Char"/>
    <w:uiPriority w:val="99"/>
    <w:qFormat/>
    <w:pPr>
      <w:keepNext/>
      <w:numPr>
        <w:numId w:val="1"/>
      </w:numPr>
      <w:spacing w:before="360"/>
      <w:outlineLvl w:val="0"/>
    </w:pPr>
    <w:rPr>
      <w:b/>
      <w:bCs/>
      <w:smallCaps/>
      <w:sz w:val="24"/>
      <w:szCs w:val="24"/>
    </w:rPr>
  </w:style>
  <w:style w:type="paragraph" w:styleId="Heading2">
    <w:name w:val="heading 2"/>
    <w:basedOn w:val="Normal"/>
    <w:next w:val="Heading3"/>
    <w:link w:val="Heading2Char"/>
    <w:uiPriority w:val="99"/>
    <w:qFormat/>
    <w:pPr>
      <w:keepNext/>
      <w:numPr>
        <w:ilvl w:val="1"/>
        <w:numId w:val="1"/>
      </w:numPr>
      <w:outlineLvl w:val="1"/>
    </w:pPr>
    <w:rPr>
      <w:b/>
      <w:bCs/>
      <w:sz w:val="24"/>
      <w:szCs w:val="24"/>
    </w:rPr>
  </w:style>
  <w:style w:type="paragraph" w:styleId="Heading3">
    <w:name w:val="heading 3"/>
    <w:basedOn w:val="Normal"/>
    <w:next w:val="Heading4"/>
    <w:link w:val="Heading3Char"/>
    <w:uiPriority w:val="99"/>
    <w:qFormat/>
    <w:pPr>
      <w:keepNext/>
      <w:numPr>
        <w:ilvl w:val="2"/>
        <w:numId w:val="1"/>
      </w:numPr>
      <w:outlineLvl w:val="2"/>
    </w:pPr>
    <w:rPr>
      <w:i/>
      <w:iCs/>
      <w:sz w:val="24"/>
      <w:szCs w:val="24"/>
    </w:rPr>
  </w:style>
  <w:style w:type="paragraph" w:styleId="Heading4">
    <w:name w:val="heading 4"/>
    <w:basedOn w:val="Normal"/>
    <w:next w:val="Normal"/>
    <w:link w:val="Heading4Char"/>
    <w:uiPriority w:val="99"/>
    <w:qFormat/>
    <w:pPr>
      <w:keepNext/>
      <w:numPr>
        <w:ilvl w:val="3"/>
        <w:numId w:val="1"/>
      </w:numPr>
      <w:outlineLvl w:val="3"/>
    </w:pPr>
    <w:rPr>
      <w:sz w:val="24"/>
      <w:szCs w:val="24"/>
    </w:rPr>
  </w:style>
  <w:style w:type="paragraph" w:styleId="Heading5">
    <w:name w:val="heading 5"/>
    <w:basedOn w:val="Normal"/>
    <w:next w:val="Normal"/>
    <w:link w:val="Heading5Char"/>
    <w:uiPriority w:val="99"/>
    <w:qFormat/>
    <w:pPr>
      <w:keepNext/>
      <w:numPr>
        <w:ilvl w:val="4"/>
        <w:numId w:val="1"/>
      </w:numPr>
      <w:outlineLvl w:val="4"/>
    </w:pPr>
    <w:rPr>
      <w:sz w:val="24"/>
      <w:szCs w:val="24"/>
    </w:rPr>
  </w:style>
  <w:style w:type="paragraph" w:styleId="Heading6">
    <w:name w:val="heading 6"/>
    <w:basedOn w:val="Normal"/>
    <w:next w:val="Normal"/>
    <w:link w:val="Heading6Char"/>
    <w:uiPriority w:val="99"/>
    <w:qFormat/>
    <w:pPr>
      <w:keepNext/>
      <w:numPr>
        <w:ilvl w:val="5"/>
        <w:numId w:val="1"/>
      </w:numPr>
      <w:outlineLvl w:val="5"/>
    </w:pPr>
    <w:rPr>
      <w:sz w:val="24"/>
      <w:szCs w:val="24"/>
    </w:rPr>
  </w:style>
  <w:style w:type="paragraph" w:styleId="Heading7">
    <w:name w:val="heading 7"/>
    <w:basedOn w:val="Normal"/>
    <w:next w:val="Normal"/>
    <w:link w:val="Heading7Char"/>
    <w:uiPriority w:val="99"/>
    <w:qFormat/>
    <w:pPr>
      <w:keepNext/>
      <w:numPr>
        <w:ilvl w:val="6"/>
        <w:numId w:val="1"/>
      </w:numPr>
      <w:outlineLvl w:val="6"/>
    </w:pPr>
    <w:rPr>
      <w:sz w:val="24"/>
      <w:szCs w:val="24"/>
    </w:rPr>
  </w:style>
  <w:style w:type="paragraph" w:styleId="Heading8">
    <w:name w:val="heading 8"/>
    <w:basedOn w:val="Normal"/>
    <w:next w:val="Normal"/>
    <w:link w:val="Heading8Char"/>
    <w:uiPriority w:val="99"/>
    <w:qFormat/>
    <w:pPr>
      <w:keepNext/>
      <w:numPr>
        <w:ilvl w:val="7"/>
        <w:numId w:val="1"/>
      </w:numPr>
      <w:outlineLvl w:val="7"/>
    </w:pPr>
    <w:rPr>
      <w:sz w:val="24"/>
      <w:szCs w:val="24"/>
    </w:rPr>
  </w:style>
  <w:style w:type="paragraph" w:styleId="Heading9">
    <w:name w:val="heading 9"/>
    <w:basedOn w:val="Normal"/>
    <w:next w:val="Normal"/>
    <w:link w:val="Heading9Char"/>
    <w:uiPriority w:val="99"/>
    <w:qFormat/>
    <w:pPr>
      <w:keepNext/>
      <w:numPr>
        <w:ilvl w:val="8"/>
        <w:numId w:val="1"/>
      </w:numPr>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FootnoteText">
    <w:name w:val="footnote text"/>
    <w:basedOn w:val="Normal"/>
    <w:link w:val="FootnoteTextChar"/>
    <w:uiPriority w:val="99"/>
    <w:semiHidden/>
    <w:pPr>
      <w:spacing w:before="0" w:after="0"/>
      <w:ind w:left="720" w:hanging="720"/>
    </w:p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styleId="TOC1">
    <w:name w:val="toc 1"/>
    <w:basedOn w:val="Normal"/>
    <w:next w:val="Normal"/>
    <w:uiPriority w:val="99"/>
    <w:semiHidden/>
    <w:pPr>
      <w:tabs>
        <w:tab w:val="right" w:leader="dot" w:pos="10773"/>
      </w:tabs>
      <w:spacing w:before="60"/>
      <w:ind w:left="850" w:hanging="850"/>
      <w:jc w:val="left"/>
    </w:pPr>
    <w:rPr>
      <w:sz w:val="24"/>
      <w:szCs w:val="24"/>
    </w:rPr>
  </w:style>
  <w:style w:type="paragraph" w:styleId="TOC2">
    <w:name w:val="toc 2"/>
    <w:basedOn w:val="Normal"/>
    <w:next w:val="Normal"/>
    <w:uiPriority w:val="99"/>
    <w:semiHidden/>
    <w:pPr>
      <w:tabs>
        <w:tab w:val="right" w:leader="dot" w:pos="10773"/>
      </w:tabs>
      <w:spacing w:before="60"/>
      <w:ind w:left="850" w:hanging="850"/>
      <w:jc w:val="left"/>
    </w:pPr>
    <w:rPr>
      <w:sz w:val="24"/>
      <w:szCs w:val="24"/>
    </w:rPr>
  </w:style>
  <w:style w:type="paragraph" w:styleId="TOC3">
    <w:name w:val="toc 3"/>
    <w:basedOn w:val="Normal"/>
    <w:next w:val="Normal"/>
    <w:uiPriority w:val="99"/>
    <w:semiHidden/>
    <w:pPr>
      <w:tabs>
        <w:tab w:val="right" w:leader="dot" w:pos="10773"/>
      </w:tabs>
      <w:spacing w:before="60"/>
      <w:ind w:left="850" w:hanging="850"/>
      <w:jc w:val="left"/>
    </w:pPr>
    <w:rPr>
      <w:sz w:val="24"/>
      <w:szCs w:val="24"/>
    </w:rPr>
  </w:style>
  <w:style w:type="paragraph" w:styleId="TOC4">
    <w:name w:val="toc 4"/>
    <w:basedOn w:val="Normal"/>
    <w:next w:val="Normal"/>
    <w:uiPriority w:val="99"/>
    <w:semiHidden/>
    <w:pPr>
      <w:tabs>
        <w:tab w:val="right" w:leader="dot" w:pos="10773"/>
      </w:tabs>
      <w:spacing w:before="60"/>
      <w:ind w:left="850" w:hanging="850"/>
      <w:jc w:val="left"/>
    </w:pPr>
    <w:rPr>
      <w:sz w:val="24"/>
      <w:szCs w:val="24"/>
    </w:rPr>
  </w:style>
  <w:style w:type="paragraph" w:customStyle="1" w:styleId="Text1">
    <w:name w:val="Text 1"/>
    <w:basedOn w:val="Normal"/>
    <w:uiPriority w:val="99"/>
    <w:pPr>
      <w:ind w:left="850"/>
    </w:pPr>
  </w:style>
  <w:style w:type="paragraph" w:customStyle="1" w:styleId="NormalCentered">
    <w:name w:val="Normal Centered"/>
    <w:basedOn w:val="Normal"/>
    <w:uiPriority w:val="99"/>
    <w:pPr>
      <w:jc w:val="center"/>
    </w:pPr>
  </w:style>
  <w:style w:type="paragraph" w:customStyle="1" w:styleId="NormalLeft">
    <w:name w:val="Normal Left"/>
    <w:basedOn w:val="Normal"/>
    <w:uiPriority w:val="99"/>
    <w:pPr>
      <w:jc w:val="left"/>
    </w:pPr>
  </w:style>
  <w:style w:type="paragraph" w:customStyle="1" w:styleId="NormalRight">
    <w:name w:val="Normal Right"/>
    <w:basedOn w:val="Normal"/>
    <w:uiPriority w:val="99"/>
    <w:pPr>
      <w:jc w:val="right"/>
    </w:pPr>
  </w:style>
  <w:style w:type="paragraph" w:customStyle="1" w:styleId="Point0">
    <w:name w:val="Point 0"/>
    <w:basedOn w:val="Normal"/>
    <w:uiPriority w:val="99"/>
    <w:pPr>
      <w:ind w:left="850" w:hanging="850"/>
    </w:pPr>
  </w:style>
  <w:style w:type="paragraph" w:customStyle="1" w:styleId="Point1">
    <w:name w:val="Point 1"/>
    <w:basedOn w:val="Normal"/>
    <w:uiPriority w:val="99"/>
    <w:pPr>
      <w:ind w:left="1417" w:hanging="567"/>
    </w:pPr>
  </w:style>
  <w:style w:type="paragraph" w:customStyle="1" w:styleId="Point2">
    <w:name w:val="Point 2"/>
    <w:basedOn w:val="Normal"/>
    <w:uiPriority w:val="99"/>
    <w:pPr>
      <w:ind w:left="1984" w:hanging="567"/>
    </w:pPr>
  </w:style>
  <w:style w:type="paragraph" w:customStyle="1" w:styleId="Point3">
    <w:name w:val="Point 3"/>
    <w:basedOn w:val="Normal"/>
    <w:uiPriority w:val="99"/>
    <w:pPr>
      <w:ind w:left="2551" w:hanging="567"/>
    </w:pPr>
  </w:style>
  <w:style w:type="paragraph" w:customStyle="1" w:styleId="Point4">
    <w:name w:val="Point 4"/>
    <w:basedOn w:val="Normal"/>
    <w:uiPriority w:val="99"/>
    <w:pPr>
      <w:ind w:left="3118" w:hanging="567"/>
    </w:pPr>
  </w:style>
  <w:style w:type="paragraph" w:customStyle="1" w:styleId="Tiret0">
    <w:name w:val="Tiret 0"/>
    <w:basedOn w:val="Point0"/>
    <w:uiPriority w:val="99"/>
    <w:pPr>
      <w:numPr>
        <w:numId w:val="2"/>
      </w:numPr>
    </w:pPr>
  </w:style>
  <w:style w:type="paragraph" w:customStyle="1" w:styleId="Tiret1">
    <w:name w:val="Tiret 1"/>
    <w:basedOn w:val="Point1"/>
    <w:uiPriority w:val="99"/>
    <w:pPr>
      <w:numPr>
        <w:numId w:val="3"/>
      </w:numPr>
    </w:pPr>
  </w:style>
  <w:style w:type="paragraph" w:customStyle="1" w:styleId="Tiret2">
    <w:name w:val="Tiret 2"/>
    <w:basedOn w:val="Point2"/>
    <w:uiPriority w:val="99"/>
    <w:pPr>
      <w:numPr>
        <w:numId w:val="4"/>
      </w:numPr>
    </w:pPr>
  </w:style>
  <w:style w:type="paragraph" w:customStyle="1" w:styleId="Tiret3">
    <w:name w:val="Tiret 3"/>
    <w:basedOn w:val="Point3"/>
    <w:uiPriority w:val="99"/>
    <w:pPr>
      <w:numPr>
        <w:numId w:val="5"/>
      </w:numPr>
    </w:pPr>
  </w:style>
  <w:style w:type="paragraph" w:customStyle="1" w:styleId="Tiret4">
    <w:name w:val="Tiret 4"/>
    <w:basedOn w:val="Point4"/>
    <w:uiPriority w:val="99"/>
    <w:pPr>
      <w:numPr>
        <w:numId w:val="6"/>
      </w:numPr>
    </w:pPr>
  </w:style>
  <w:style w:type="paragraph" w:customStyle="1" w:styleId="SectionTitle">
    <w:name w:val="SectionTitle"/>
    <w:basedOn w:val="Normal"/>
    <w:next w:val="Normal"/>
    <w:uiPriority w:val="99"/>
    <w:pPr>
      <w:keepNext/>
      <w:spacing w:after="360"/>
      <w:jc w:val="center"/>
    </w:pPr>
    <w:rPr>
      <w:b/>
      <w:bCs/>
      <w:smallCaps/>
      <w:sz w:val="28"/>
      <w:szCs w:val="28"/>
    </w:rPr>
  </w:style>
  <w:style w:type="paragraph" w:customStyle="1" w:styleId="TableTitle">
    <w:name w:val="Table Title"/>
    <w:basedOn w:val="Normal"/>
    <w:next w:val="Normal"/>
    <w:uiPriority w:val="99"/>
    <w:pPr>
      <w:jc w:val="center"/>
    </w:pPr>
    <w:rPr>
      <w:b/>
      <w:bCs/>
      <w:sz w:val="24"/>
      <w:szCs w:val="24"/>
    </w:rPr>
  </w:style>
  <w:style w:type="paragraph" w:styleId="TOCHeading">
    <w:name w:val="TOC Heading"/>
    <w:basedOn w:val="Normal"/>
    <w:next w:val="Normal"/>
    <w:uiPriority w:val="99"/>
    <w:qFormat/>
    <w:pPr>
      <w:spacing w:after="240"/>
      <w:jc w:val="center"/>
    </w:pPr>
    <w:rPr>
      <w:b/>
      <w:bCs/>
      <w:sz w:val="28"/>
      <w:szCs w:val="28"/>
    </w:rPr>
  </w:style>
  <w:style w:type="paragraph" w:customStyle="1" w:styleId="Annexetitreglobale">
    <w:name w:val="Annexe titre (globale)"/>
    <w:basedOn w:val="Normal"/>
    <w:next w:val="Normal"/>
    <w:uiPriority w:val="99"/>
    <w:pPr>
      <w:jc w:val="center"/>
    </w:pPr>
    <w:rPr>
      <w:b/>
      <w:bCs/>
      <w:sz w:val="24"/>
      <w:szCs w:val="24"/>
      <w:u w:val="single"/>
    </w:rPr>
  </w:style>
  <w:style w:type="paragraph" w:customStyle="1" w:styleId="Langue">
    <w:name w:val="Langue"/>
    <w:basedOn w:val="Normal"/>
    <w:next w:val="Normal"/>
    <w:uiPriority w:val="99"/>
    <w:pPr>
      <w:spacing w:before="0" w:after="600"/>
      <w:jc w:val="center"/>
    </w:pPr>
    <w:rPr>
      <w:b/>
      <w:bCs/>
      <w:caps/>
      <w:sz w:val="24"/>
      <w:szCs w:val="24"/>
    </w:rPr>
  </w:style>
  <w:style w:type="paragraph" w:customStyle="1" w:styleId="Sous-titreobjet">
    <w:name w:val="Sous-titre objet"/>
    <w:basedOn w:val="Normal"/>
    <w:next w:val="Heading1"/>
    <w:uiPriority w:val="99"/>
    <w:pPr>
      <w:spacing w:before="0" w:after="0"/>
      <w:jc w:val="center"/>
    </w:pPr>
    <w:rPr>
      <w:b/>
      <w:bCs/>
      <w:sz w:val="24"/>
      <w:szCs w:val="24"/>
    </w:rPr>
  </w:style>
  <w:style w:type="paragraph" w:customStyle="1" w:styleId="Titreobjet">
    <w:name w:val="Titre objet"/>
    <w:basedOn w:val="Normal"/>
    <w:next w:val="Sous-titreobjet"/>
    <w:uiPriority w:val="99"/>
    <w:pPr>
      <w:spacing w:before="360" w:after="360"/>
      <w:jc w:val="center"/>
    </w:pPr>
    <w:rPr>
      <w:b/>
      <w:bCs/>
      <w:sz w:val="24"/>
      <w:szCs w:val="24"/>
    </w:rPr>
  </w:style>
  <w:style w:type="paragraph" w:customStyle="1" w:styleId="ReusedInfo">
    <w:name w:val="ReusedInfo"/>
    <w:basedOn w:val="Normal"/>
    <w:next w:val="Normal"/>
    <w:uiPriority w:val="99"/>
    <w:pPr>
      <w:shd w:val="clear" w:color="auto" w:fill="C0C0C0"/>
      <w:spacing w:before="60" w:after="60"/>
      <w:jc w:val="left"/>
    </w:pPr>
  </w:style>
  <w:style w:type="paragraph" w:customStyle="1" w:styleId="literallayout">
    <w:name w:val="literallayout"/>
    <w:basedOn w:val="Normal"/>
    <w:next w:val="Normal"/>
    <w:uiPriority w:val="99"/>
    <w:pPr>
      <w:spacing w:before="0" w:after="0"/>
      <w:jc w:val="left"/>
    </w:pPr>
    <w:rPr>
      <w:rFonts w:ascii="Courier New" w:hAnsi="Courier New" w:cs="Courier New"/>
      <w:sz w:val="18"/>
      <w:szCs w:val="18"/>
    </w:rPr>
  </w:style>
  <w:style w:type="paragraph" w:customStyle="1" w:styleId="copytitle">
    <w:name w:val="copytitle"/>
    <w:basedOn w:val="Normal"/>
    <w:next w:val="Normal"/>
    <w:uiPriority w:val="99"/>
    <w:pPr>
      <w:spacing w:before="360" w:after="360"/>
      <w:jc w:val="center"/>
    </w:pPr>
    <w:rPr>
      <w:b/>
      <w:bCs/>
      <w:sz w:val="32"/>
      <w:szCs w:val="32"/>
    </w:rPr>
  </w:style>
  <w:style w:type="character" w:styleId="FootnoteReference">
    <w:name w:val="footnote reference"/>
    <w:basedOn w:val="DefaultParagraphFont"/>
    <w:uiPriority w:val="99"/>
    <w:semiHidden/>
    <w:rPr>
      <w:vertAlign w:val="superscript"/>
    </w:rPr>
  </w:style>
  <w:style w:type="character" w:customStyle="1" w:styleId="literal">
    <w:name w:val="literal"/>
    <w:basedOn w:val="DefaultParagraphFont"/>
    <w:uiPriority w:val="99"/>
    <w:rPr>
      <w:rFonts w:ascii="Courier New" w:hAnsi="Courier New" w:cs="Courier New"/>
      <w:sz w:val="18"/>
      <w:szCs w:val="18"/>
    </w:rPr>
  </w:style>
  <w:style w:type="character" w:customStyle="1" w:styleId="tw4winExternal">
    <w:name w:val="tw4winExternal"/>
    <w:basedOn w:val="DefaultParagraphFont"/>
    <w:uiPriority w:val="99"/>
  </w:style>
  <w:style w:type="character" w:customStyle="1" w:styleId="tw4winInternal">
    <w:name w:val="tw4winInternal"/>
    <w:basedOn w:val="DefaultParagraphFont"/>
    <w:uiPriority w:val="99"/>
    <w:rPr>
      <w:sz w:val="16"/>
      <w:szCs w:val="16"/>
      <w:u w:val="dash"/>
      <w:shd w:val="clear" w:color="auto" w:fill="FFFF00"/>
    </w:rPr>
  </w:style>
  <w:style w:type="character" w:customStyle="1" w:styleId="Placeholder">
    <w:name w:val="Placeholder"/>
    <w:basedOn w:val="DefaultParagraphFont"/>
    <w:uiPriority w:val="99"/>
    <w:rPr>
      <w:color w:val="008000"/>
    </w:rPr>
  </w:style>
  <w:style w:type="character" w:customStyle="1" w:styleId="ReusedInlineInfo">
    <w:name w:val="ReusedInlineInfo"/>
    <w:basedOn w:val="DefaultParagraphFont"/>
    <w:uiPriority w:val="99"/>
    <w:rPr>
      <w:sz w:val="16"/>
      <w:szCs w:val="16"/>
      <w:u w:val="dash"/>
      <w:shd w:val="clear" w:color="auto" w:fill="FFFF00"/>
    </w:rPr>
  </w:style>
  <w:style w:type="character" w:customStyle="1" w:styleId="Error">
    <w:name w:val="Error"/>
    <w:basedOn w:val="DefaultParagraphFont"/>
    <w:uiPriority w:val="99"/>
    <w:rPr>
      <w:shd w:val="clear" w:color="auto" w:fil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nhideWhenUsed="0"/>
    <w:lsdException w:name="toc 2" w:unhideWhenUsed="0"/>
    <w:lsdException w:name="toc 3" w:unhideWhenUsed="0"/>
    <w:lsdException w:name="toc 4" w:unhideWhenUsed="0"/>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before="120" w:after="120" w:line="240" w:lineRule="auto"/>
      <w:jc w:val="both"/>
    </w:pPr>
    <w:rPr>
      <w:rFonts w:ascii="Times New Roman" w:hAnsi="Times New Roman" w:cs="Times New Roman"/>
      <w:sz w:val="20"/>
      <w:szCs w:val="20"/>
    </w:rPr>
  </w:style>
  <w:style w:type="paragraph" w:styleId="Heading1">
    <w:name w:val="heading 1"/>
    <w:basedOn w:val="Normal"/>
    <w:next w:val="Heading2"/>
    <w:link w:val="Heading1Char"/>
    <w:uiPriority w:val="99"/>
    <w:qFormat/>
    <w:pPr>
      <w:keepNext/>
      <w:numPr>
        <w:numId w:val="1"/>
      </w:numPr>
      <w:spacing w:before="360"/>
      <w:outlineLvl w:val="0"/>
    </w:pPr>
    <w:rPr>
      <w:b/>
      <w:bCs/>
      <w:smallCaps/>
      <w:sz w:val="24"/>
      <w:szCs w:val="24"/>
    </w:rPr>
  </w:style>
  <w:style w:type="paragraph" w:styleId="Heading2">
    <w:name w:val="heading 2"/>
    <w:basedOn w:val="Normal"/>
    <w:next w:val="Heading3"/>
    <w:link w:val="Heading2Char"/>
    <w:uiPriority w:val="99"/>
    <w:qFormat/>
    <w:pPr>
      <w:keepNext/>
      <w:numPr>
        <w:ilvl w:val="1"/>
        <w:numId w:val="1"/>
      </w:numPr>
      <w:outlineLvl w:val="1"/>
    </w:pPr>
    <w:rPr>
      <w:b/>
      <w:bCs/>
      <w:sz w:val="24"/>
      <w:szCs w:val="24"/>
    </w:rPr>
  </w:style>
  <w:style w:type="paragraph" w:styleId="Heading3">
    <w:name w:val="heading 3"/>
    <w:basedOn w:val="Normal"/>
    <w:next w:val="Heading4"/>
    <w:link w:val="Heading3Char"/>
    <w:uiPriority w:val="99"/>
    <w:qFormat/>
    <w:pPr>
      <w:keepNext/>
      <w:numPr>
        <w:ilvl w:val="2"/>
        <w:numId w:val="1"/>
      </w:numPr>
      <w:outlineLvl w:val="2"/>
    </w:pPr>
    <w:rPr>
      <w:i/>
      <w:iCs/>
      <w:sz w:val="24"/>
      <w:szCs w:val="24"/>
    </w:rPr>
  </w:style>
  <w:style w:type="paragraph" w:styleId="Heading4">
    <w:name w:val="heading 4"/>
    <w:basedOn w:val="Normal"/>
    <w:next w:val="Normal"/>
    <w:link w:val="Heading4Char"/>
    <w:uiPriority w:val="99"/>
    <w:qFormat/>
    <w:pPr>
      <w:keepNext/>
      <w:numPr>
        <w:ilvl w:val="3"/>
        <w:numId w:val="1"/>
      </w:numPr>
      <w:outlineLvl w:val="3"/>
    </w:pPr>
    <w:rPr>
      <w:sz w:val="24"/>
      <w:szCs w:val="24"/>
    </w:rPr>
  </w:style>
  <w:style w:type="paragraph" w:styleId="Heading5">
    <w:name w:val="heading 5"/>
    <w:basedOn w:val="Normal"/>
    <w:next w:val="Normal"/>
    <w:link w:val="Heading5Char"/>
    <w:uiPriority w:val="99"/>
    <w:qFormat/>
    <w:pPr>
      <w:keepNext/>
      <w:numPr>
        <w:ilvl w:val="4"/>
        <w:numId w:val="1"/>
      </w:numPr>
      <w:outlineLvl w:val="4"/>
    </w:pPr>
    <w:rPr>
      <w:sz w:val="24"/>
      <w:szCs w:val="24"/>
    </w:rPr>
  </w:style>
  <w:style w:type="paragraph" w:styleId="Heading6">
    <w:name w:val="heading 6"/>
    <w:basedOn w:val="Normal"/>
    <w:next w:val="Normal"/>
    <w:link w:val="Heading6Char"/>
    <w:uiPriority w:val="99"/>
    <w:qFormat/>
    <w:pPr>
      <w:keepNext/>
      <w:numPr>
        <w:ilvl w:val="5"/>
        <w:numId w:val="1"/>
      </w:numPr>
      <w:outlineLvl w:val="5"/>
    </w:pPr>
    <w:rPr>
      <w:sz w:val="24"/>
      <w:szCs w:val="24"/>
    </w:rPr>
  </w:style>
  <w:style w:type="paragraph" w:styleId="Heading7">
    <w:name w:val="heading 7"/>
    <w:basedOn w:val="Normal"/>
    <w:next w:val="Normal"/>
    <w:link w:val="Heading7Char"/>
    <w:uiPriority w:val="99"/>
    <w:qFormat/>
    <w:pPr>
      <w:keepNext/>
      <w:numPr>
        <w:ilvl w:val="6"/>
        <w:numId w:val="1"/>
      </w:numPr>
      <w:outlineLvl w:val="6"/>
    </w:pPr>
    <w:rPr>
      <w:sz w:val="24"/>
      <w:szCs w:val="24"/>
    </w:rPr>
  </w:style>
  <w:style w:type="paragraph" w:styleId="Heading8">
    <w:name w:val="heading 8"/>
    <w:basedOn w:val="Normal"/>
    <w:next w:val="Normal"/>
    <w:link w:val="Heading8Char"/>
    <w:uiPriority w:val="99"/>
    <w:qFormat/>
    <w:pPr>
      <w:keepNext/>
      <w:numPr>
        <w:ilvl w:val="7"/>
        <w:numId w:val="1"/>
      </w:numPr>
      <w:outlineLvl w:val="7"/>
    </w:pPr>
    <w:rPr>
      <w:sz w:val="24"/>
      <w:szCs w:val="24"/>
    </w:rPr>
  </w:style>
  <w:style w:type="paragraph" w:styleId="Heading9">
    <w:name w:val="heading 9"/>
    <w:basedOn w:val="Normal"/>
    <w:next w:val="Normal"/>
    <w:link w:val="Heading9Char"/>
    <w:uiPriority w:val="99"/>
    <w:qFormat/>
    <w:pPr>
      <w:keepNext/>
      <w:numPr>
        <w:ilvl w:val="8"/>
        <w:numId w:val="1"/>
      </w:numPr>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FootnoteText">
    <w:name w:val="footnote text"/>
    <w:basedOn w:val="Normal"/>
    <w:link w:val="FootnoteTextChar"/>
    <w:uiPriority w:val="99"/>
    <w:semiHidden/>
    <w:pPr>
      <w:spacing w:before="0" w:after="0"/>
      <w:ind w:left="720" w:hanging="720"/>
    </w:p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styleId="TOC1">
    <w:name w:val="toc 1"/>
    <w:basedOn w:val="Normal"/>
    <w:next w:val="Normal"/>
    <w:uiPriority w:val="99"/>
    <w:semiHidden/>
    <w:pPr>
      <w:tabs>
        <w:tab w:val="right" w:leader="dot" w:pos="10773"/>
      </w:tabs>
      <w:spacing w:before="60"/>
      <w:ind w:left="850" w:hanging="850"/>
      <w:jc w:val="left"/>
    </w:pPr>
    <w:rPr>
      <w:sz w:val="24"/>
      <w:szCs w:val="24"/>
    </w:rPr>
  </w:style>
  <w:style w:type="paragraph" w:styleId="TOC2">
    <w:name w:val="toc 2"/>
    <w:basedOn w:val="Normal"/>
    <w:next w:val="Normal"/>
    <w:uiPriority w:val="99"/>
    <w:semiHidden/>
    <w:pPr>
      <w:tabs>
        <w:tab w:val="right" w:leader="dot" w:pos="10773"/>
      </w:tabs>
      <w:spacing w:before="60"/>
      <w:ind w:left="850" w:hanging="850"/>
      <w:jc w:val="left"/>
    </w:pPr>
    <w:rPr>
      <w:sz w:val="24"/>
      <w:szCs w:val="24"/>
    </w:rPr>
  </w:style>
  <w:style w:type="paragraph" w:styleId="TOC3">
    <w:name w:val="toc 3"/>
    <w:basedOn w:val="Normal"/>
    <w:next w:val="Normal"/>
    <w:uiPriority w:val="99"/>
    <w:semiHidden/>
    <w:pPr>
      <w:tabs>
        <w:tab w:val="right" w:leader="dot" w:pos="10773"/>
      </w:tabs>
      <w:spacing w:before="60"/>
      <w:ind w:left="850" w:hanging="850"/>
      <w:jc w:val="left"/>
    </w:pPr>
    <w:rPr>
      <w:sz w:val="24"/>
      <w:szCs w:val="24"/>
    </w:rPr>
  </w:style>
  <w:style w:type="paragraph" w:styleId="TOC4">
    <w:name w:val="toc 4"/>
    <w:basedOn w:val="Normal"/>
    <w:next w:val="Normal"/>
    <w:uiPriority w:val="99"/>
    <w:semiHidden/>
    <w:pPr>
      <w:tabs>
        <w:tab w:val="right" w:leader="dot" w:pos="10773"/>
      </w:tabs>
      <w:spacing w:before="60"/>
      <w:ind w:left="850" w:hanging="850"/>
      <w:jc w:val="left"/>
    </w:pPr>
    <w:rPr>
      <w:sz w:val="24"/>
      <w:szCs w:val="24"/>
    </w:rPr>
  </w:style>
  <w:style w:type="paragraph" w:customStyle="1" w:styleId="Text1">
    <w:name w:val="Text 1"/>
    <w:basedOn w:val="Normal"/>
    <w:uiPriority w:val="99"/>
    <w:pPr>
      <w:ind w:left="850"/>
    </w:pPr>
  </w:style>
  <w:style w:type="paragraph" w:customStyle="1" w:styleId="NormalCentered">
    <w:name w:val="Normal Centered"/>
    <w:basedOn w:val="Normal"/>
    <w:uiPriority w:val="99"/>
    <w:pPr>
      <w:jc w:val="center"/>
    </w:pPr>
  </w:style>
  <w:style w:type="paragraph" w:customStyle="1" w:styleId="NormalLeft">
    <w:name w:val="Normal Left"/>
    <w:basedOn w:val="Normal"/>
    <w:uiPriority w:val="99"/>
    <w:pPr>
      <w:jc w:val="left"/>
    </w:pPr>
  </w:style>
  <w:style w:type="paragraph" w:customStyle="1" w:styleId="NormalRight">
    <w:name w:val="Normal Right"/>
    <w:basedOn w:val="Normal"/>
    <w:uiPriority w:val="99"/>
    <w:pPr>
      <w:jc w:val="right"/>
    </w:pPr>
  </w:style>
  <w:style w:type="paragraph" w:customStyle="1" w:styleId="Point0">
    <w:name w:val="Point 0"/>
    <w:basedOn w:val="Normal"/>
    <w:uiPriority w:val="99"/>
    <w:pPr>
      <w:ind w:left="850" w:hanging="850"/>
    </w:pPr>
  </w:style>
  <w:style w:type="paragraph" w:customStyle="1" w:styleId="Point1">
    <w:name w:val="Point 1"/>
    <w:basedOn w:val="Normal"/>
    <w:uiPriority w:val="99"/>
    <w:pPr>
      <w:ind w:left="1417" w:hanging="567"/>
    </w:pPr>
  </w:style>
  <w:style w:type="paragraph" w:customStyle="1" w:styleId="Point2">
    <w:name w:val="Point 2"/>
    <w:basedOn w:val="Normal"/>
    <w:uiPriority w:val="99"/>
    <w:pPr>
      <w:ind w:left="1984" w:hanging="567"/>
    </w:pPr>
  </w:style>
  <w:style w:type="paragraph" w:customStyle="1" w:styleId="Point3">
    <w:name w:val="Point 3"/>
    <w:basedOn w:val="Normal"/>
    <w:uiPriority w:val="99"/>
    <w:pPr>
      <w:ind w:left="2551" w:hanging="567"/>
    </w:pPr>
  </w:style>
  <w:style w:type="paragraph" w:customStyle="1" w:styleId="Point4">
    <w:name w:val="Point 4"/>
    <w:basedOn w:val="Normal"/>
    <w:uiPriority w:val="99"/>
    <w:pPr>
      <w:ind w:left="3118" w:hanging="567"/>
    </w:pPr>
  </w:style>
  <w:style w:type="paragraph" w:customStyle="1" w:styleId="Tiret0">
    <w:name w:val="Tiret 0"/>
    <w:basedOn w:val="Point0"/>
    <w:uiPriority w:val="99"/>
    <w:pPr>
      <w:numPr>
        <w:numId w:val="2"/>
      </w:numPr>
    </w:pPr>
  </w:style>
  <w:style w:type="paragraph" w:customStyle="1" w:styleId="Tiret1">
    <w:name w:val="Tiret 1"/>
    <w:basedOn w:val="Point1"/>
    <w:uiPriority w:val="99"/>
    <w:pPr>
      <w:numPr>
        <w:numId w:val="3"/>
      </w:numPr>
    </w:pPr>
  </w:style>
  <w:style w:type="paragraph" w:customStyle="1" w:styleId="Tiret2">
    <w:name w:val="Tiret 2"/>
    <w:basedOn w:val="Point2"/>
    <w:uiPriority w:val="99"/>
    <w:pPr>
      <w:numPr>
        <w:numId w:val="4"/>
      </w:numPr>
    </w:pPr>
  </w:style>
  <w:style w:type="paragraph" w:customStyle="1" w:styleId="Tiret3">
    <w:name w:val="Tiret 3"/>
    <w:basedOn w:val="Point3"/>
    <w:uiPriority w:val="99"/>
    <w:pPr>
      <w:numPr>
        <w:numId w:val="5"/>
      </w:numPr>
    </w:pPr>
  </w:style>
  <w:style w:type="paragraph" w:customStyle="1" w:styleId="Tiret4">
    <w:name w:val="Tiret 4"/>
    <w:basedOn w:val="Point4"/>
    <w:uiPriority w:val="99"/>
    <w:pPr>
      <w:numPr>
        <w:numId w:val="6"/>
      </w:numPr>
    </w:pPr>
  </w:style>
  <w:style w:type="paragraph" w:customStyle="1" w:styleId="SectionTitle">
    <w:name w:val="SectionTitle"/>
    <w:basedOn w:val="Normal"/>
    <w:next w:val="Normal"/>
    <w:uiPriority w:val="99"/>
    <w:pPr>
      <w:keepNext/>
      <w:spacing w:after="360"/>
      <w:jc w:val="center"/>
    </w:pPr>
    <w:rPr>
      <w:b/>
      <w:bCs/>
      <w:smallCaps/>
      <w:sz w:val="28"/>
      <w:szCs w:val="28"/>
    </w:rPr>
  </w:style>
  <w:style w:type="paragraph" w:customStyle="1" w:styleId="TableTitle">
    <w:name w:val="Table Title"/>
    <w:basedOn w:val="Normal"/>
    <w:next w:val="Normal"/>
    <w:uiPriority w:val="99"/>
    <w:pPr>
      <w:jc w:val="center"/>
    </w:pPr>
    <w:rPr>
      <w:b/>
      <w:bCs/>
      <w:sz w:val="24"/>
      <w:szCs w:val="24"/>
    </w:rPr>
  </w:style>
  <w:style w:type="paragraph" w:styleId="TOCHeading">
    <w:name w:val="TOC Heading"/>
    <w:basedOn w:val="Normal"/>
    <w:next w:val="Normal"/>
    <w:uiPriority w:val="99"/>
    <w:qFormat/>
    <w:pPr>
      <w:spacing w:after="240"/>
      <w:jc w:val="center"/>
    </w:pPr>
    <w:rPr>
      <w:b/>
      <w:bCs/>
      <w:sz w:val="28"/>
      <w:szCs w:val="28"/>
    </w:rPr>
  </w:style>
  <w:style w:type="paragraph" w:customStyle="1" w:styleId="Annexetitreglobale">
    <w:name w:val="Annexe titre (globale)"/>
    <w:basedOn w:val="Normal"/>
    <w:next w:val="Normal"/>
    <w:uiPriority w:val="99"/>
    <w:pPr>
      <w:jc w:val="center"/>
    </w:pPr>
    <w:rPr>
      <w:b/>
      <w:bCs/>
      <w:sz w:val="24"/>
      <w:szCs w:val="24"/>
      <w:u w:val="single"/>
    </w:rPr>
  </w:style>
  <w:style w:type="paragraph" w:customStyle="1" w:styleId="Langue">
    <w:name w:val="Langue"/>
    <w:basedOn w:val="Normal"/>
    <w:next w:val="Normal"/>
    <w:uiPriority w:val="99"/>
    <w:pPr>
      <w:spacing w:before="0" w:after="600"/>
      <w:jc w:val="center"/>
    </w:pPr>
    <w:rPr>
      <w:b/>
      <w:bCs/>
      <w:caps/>
      <w:sz w:val="24"/>
      <w:szCs w:val="24"/>
    </w:rPr>
  </w:style>
  <w:style w:type="paragraph" w:customStyle="1" w:styleId="Sous-titreobjet">
    <w:name w:val="Sous-titre objet"/>
    <w:basedOn w:val="Normal"/>
    <w:next w:val="Heading1"/>
    <w:uiPriority w:val="99"/>
    <w:pPr>
      <w:spacing w:before="0" w:after="0"/>
      <w:jc w:val="center"/>
    </w:pPr>
    <w:rPr>
      <w:b/>
      <w:bCs/>
      <w:sz w:val="24"/>
      <w:szCs w:val="24"/>
    </w:rPr>
  </w:style>
  <w:style w:type="paragraph" w:customStyle="1" w:styleId="Titreobjet">
    <w:name w:val="Titre objet"/>
    <w:basedOn w:val="Normal"/>
    <w:next w:val="Sous-titreobjet"/>
    <w:uiPriority w:val="99"/>
    <w:pPr>
      <w:spacing w:before="360" w:after="360"/>
      <w:jc w:val="center"/>
    </w:pPr>
    <w:rPr>
      <w:b/>
      <w:bCs/>
      <w:sz w:val="24"/>
      <w:szCs w:val="24"/>
    </w:rPr>
  </w:style>
  <w:style w:type="paragraph" w:customStyle="1" w:styleId="ReusedInfo">
    <w:name w:val="ReusedInfo"/>
    <w:basedOn w:val="Normal"/>
    <w:next w:val="Normal"/>
    <w:uiPriority w:val="99"/>
    <w:pPr>
      <w:shd w:val="clear" w:color="auto" w:fill="C0C0C0"/>
      <w:spacing w:before="60" w:after="60"/>
      <w:jc w:val="left"/>
    </w:pPr>
  </w:style>
  <w:style w:type="paragraph" w:customStyle="1" w:styleId="literallayout">
    <w:name w:val="literallayout"/>
    <w:basedOn w:val="Normal"/>
    <w:next w:val="Normal"/>
    <w:uiPriority w:val="99"/>
    <w:pPr>
      <w:spacing w:before="0" w:after="0"/>
      <w:jc w:val="left"/>
    </w:pPr>
    <w:rPr>
      <w:rFonts w:ascii="Courier New" w:hAnsi="Courier New" w:cs="Courier New"/>
      <w:sz w:val="18"/>
      <w:szCs w:val="18"/>
    </w:rPr>
  </w:style>
  <w:style w:type="paragraph" w:customStyle="1" w:styleId="copytitle">
    <w:name w:val="copytitle"/>
    <w:basedOn w:val="Normal"/>
    <w:next w:val="Normal"/>
    <w:uiPriority w:val="99"/>
    <w:pPr>
      <w:spacing w:before="360" w:after="360"/>
      <w:jc w:val="center"/>
    </w:pPr>
    <w:rPr>
      <w:b/>
      <w:bCs/>
      <w:sz w:val="32"/>
      <w:szCs w:val="32"/>
    </w:rPr>
  </w:style>
  <w:style w:type="character" w:styleId="FootnoteReference">
    <w:name w:val="footnote reference"/>
    <w:basedOn w:val="DefaultParagraphFont"/>
    <w:uiPriority w:val="99"/>
    <w:semiHidden/>
    <w:rPr>
      <w:vertAlign w:val="superscript"/>
    </w:rPr>
  </w:style>
  <w:style w:type="character" w:customStyle="1" w:styleId="literal">
    <w:name w:val="literal"/>
    <w:basedOn w:val="DefaultParagraphFont"/>
    <w:uiPriority w:val="99"/>
    <w:rPr>
      <w:rFonts w:ascii="Courier New" w:hAnsi="Courier New" w:cs="Courier New"/>
      <w:sz w:val="18"/>
      <w:szCs w:val="18"/>
    </w:rPr>
  </w:style>
  <w:style w:type="character" w:customStyle="1" w:styleId="tw4winExternal">
    <w:name w:val="tw4winExternal"/>
    <w:basedOn w:val="DefaultParagraphFont"/>
    <w:uiPriority w:val="99"/>
  </w:style>
  <w:style w:type="character" w:customStyle="1" w:styleId="tw4winInternal">
    <w:name w:val="tw4winInternal"/>
    <w:basedOn w:val="DefaultParagraphFont"/>
    <w:uiPriority w:val="99"/>
    <w:rPr>
      <w:sz w:val="16"/>
      <w:szCs w:val="16"/>
      <w:u w:val="dash"/>
      <w:shd w:val="clear" w:color="auto" w:fill="FFFF00"/>
    </w:rPr>
  </w:style>
  <w:style w:type="character" w:customStyle="1" w:styleId="Placeholder">
    <w:name w:val="Placeholder"/>
    <w:basedOn w:val="DefaultParagraphFont"/>
    <w:uiPriority w:val="99"/>
    <w:rPr>
      <w:color w:val="008000"/>
    </w:rPr>
  </w:style>
  <w:style w:type="character" w:customStyle="1" w:styleId="ReusedInlineInfo">
    <w:name w:val="ReusedInlineInfo"/>
    <w:basedOn w:val="DefaultParagraphFont"/>
    <w:uiPriority w:val="99"/>
    <w:rPr>
      <w:sz w:val="16"/>
      <w:szCs w:val="16"/>
      <w:u w:val="dash"/>
      <w:shd w:val="clear" w:color="auto" w:fill="FFFF00"/>
    </w:rPr>
  </w:style>
  <w:style w:type="character" w:customStyle="1" w:styleId="Error">
    <w:name w:val="Error"/>
    <w:basedOn w:val="DefaultParagraphFont"/>
    <w:uiPriority w:val="99"/>
    <w:rPr>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9570</Words>
  <Characters>49150</Characters>
  <Application>Microsoft Office Word</Application>
  <DocSecurity>0</DocSecurity>
  <Lines>409</Lines>
  <Paragraphs>117</Paragraphs>
  <ScaleCrop>false</ScaleCrop>
  <HeadingPairs>
    <vt:vector size="2" baseType="variant">
      <vt:variant>
        <vt:lpstr>Title</vt:lpstr>
      </vt:variant>
      <vt:variant>
        <vt:i4>1</vt:i4>
      </vt:variant>
    </vt:vector>
  </HeadingPairs>
  <TitlesOfParts>
    <vt:vector size="1" baseType="lpstr">
      <vt:lpstr>CIBA generated file</vt:lpstr>
    </vt:vector>
  </TitlesOfParts>
  <Company>European Commission</Company>
  <LinksUpToDate>false</LinksUpToDate>
  <CharactersWithSpaces>58603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CIBA generated file</dc:title>
  <dc:creator>YLIEFF Sylvain (BUDG)</dc:creator>
  <cp:lastModifiedBy>YLIEFF Sylvain (BUDG)</cp:lastModifiedBy>
  <cp:revision>2</cp:revision>
  <dcterms:created xsi:type="dcterms:W3CDTF">2015-06-26T08:01:00Z</dcterms:created>
  <dcterms:modified xsi:type="dcterms:W3CDTF">2015-06-26T08:01:00Z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model">
    <vt:lpwstr>frt</vt:lpwstr>
  </property>
  <property fmtid="{D5CDD505-2E9C-101B-9397-08002B2CF9AE}" pid="3" name="cr.language">
    <vt:lpwstr>en</vt:lpwstr>
  </property>
  <property fmtid="{D5CDD505-2E9C-101B-9397-08002B2CF9AE}" pid="4" name="cr.template">
    <vt:lpwstr/>
  </property>
  <property fmtid="{D5CDD505-2E9C-101B-9397-08002B2CF9AE}" pid="5" name="cr.env">
    <vt:lpwstr/>
  </property>
  <property fmtid="{D5CDD505-2E9C-101B-9397-08002B2CF9AE}" pid="6" name="cr.request.type">
    <vt:lpwstr/>
  </property>
  <property fmtid="{D5CDD505-2E9C-101B-9397-08002B2CF9AE}" pid="7" name="cr.request.id">
    <vt:lpwstr/>
  </property>
  <property fmtid="{D5CDD505-2E9C-101B-9397-08002B2CF9AE}" pid="8" name="cr.lock.token">
    <vt:lpwstr/>
  </property>
  <property fmtid="{D5CDD505-2E9C-101B-9397-08002B2CF9AE}" pid="9" name="cr.request.doc.creation.date">
    <vt:lpwstr/>
  </property>
</Properties>
</file>