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28C61" w14:textId="77777777" w:rsidR="00711D97" w:rsidRPr="001C60E2" w:rsidRDefault="00711D97" w:rsidP="00711D97">
      <w:pPr>
        <w:spacing w:line="276" w:lineRule="auto"/>
        <w:jc w:val="center"/>
        <w:rPr>
          <w:rFonts w:cs="Arial"/>
          <w:noProof/>
        </w:rPr>
      </w:pPr>
      <w:bookmarkStart w:id="0" w:name="_GoBack"/>
      <w:bookmarkEnd w:id="0"/>
      <w:r w:rsidRPr="001C60E2">
        <w:rPr>
          <w:rFonts w:cs="Arial"/>
          <w:b/>
        </w:rPr>
        <w:t>DOSTAVLJANJE OBAVIJESTI O MJERAMA I METODOLOGIJAMA DRŽAVA ČLANICA ZA PROVEDBU ČLANKA 7. DIREKTIVE 2012/27/EU [U INAČICI KAKO JE IZMIJENJENA U SKLADU S PRIJEDLOGOM COM(2016) 761]</w:t>
      </w:r>
    </w:p>
    <w:p w14:paraId="57902FF1" w14:textId="77777777" w:rsidR="00711D97" w:rsidRPr="001C60E2" w:rsidRDefault="00711D97" w:rsidP="00711D97">
      <w:pPr>
        <w:pStyle w:val="Text2"/>
        <w:spacing w:before="0" w:after="0" w:line="276" w:lineRule="auto"/>
        <w:ind w:left="0"/>
        <w:rPr>
          <w:rFonts w:ascii="Arial" w:hAnsi="Arial" w:cs="Arial"/>
          <w:sz w:val="22"/>
        </w:rPr>
      </w:pPr>
    </w:p>
    <w:p w14:paraId="518C2510" w14:textId="77777777" w:rsidR="00711D97" w:rsidRPr="001C60E2" w:rsidRDefault="00711D97" w:rsidP="00711D97">
      <w:pPr>
        <w:pStyle w:val="Text2"/>
        <w:spacing w:before="0" w:after="0" w:line="276" w:lineRule="auto"/>
        <w:ind w:left="0"/>
        <w:jc w:val="both"/>
        <w:rPr>
          <w:rFonts w:ascii="Arial" w:hAnsi="Arial" w:cs="Arial"/>
          <w:sz w:val="22"/>
        </w:rPr>
      </w:pPr>
      <w:r w:rsidRPr="001C60E2">
        <w:rPr>
          <w:rFonts w:ascii="Arial" w:hAnsi="Arial" w:cs="Arial"/>
          <w:sz w:val="22"/>
        </w:rPr>
        <w:t xml:space="preserve">Republika Hrvatska u skladu s točkom 5. Priloga V. Direktivi 2012/27/EU obavješćuje Komisiju o predloženoj detaljnoj metodologiji za rad sustava obveze energetske učinkovitosti i o alternativnim mjerama iz članaka 7.a i 7.b te članka 20. stavka 6. te Direktive. </w:t>
      </w:r>
    </w:p>
    <w:p w14:paraId="0876C1F7" w14:textId="77777777" w:rsidR="00711D97" w:rsidRPr="001C60E2" w:rsidRDefault="00711D97" w:rsidP="00711D97">
      <w:pPr>
        <w:pStyle w:val="Text2"/>
        <w:spacing w:before="0" w:after="0" w:line="276" w:lineRule="auto"/>
        <w:ind w:left="0"/>
        <w:jc w:val="both"/>
        <w:rPr>
          <w:rFonts w:ascii="Arial" w:hAnsi="Arial" w:cs="Arial"/>
          <w:sz w:val="22"/>
        </w:rPr>
      </w:pPr>
    </w:p>
    <w:p w14:paraId="220285B4" w14:textId="77777777" w:rsidR="00711D97" w:rsidRPr="001C60E2" w:rsidRDefault="00711D97" w:rsidP="00711D97">
      <w:pPr>
        <w:pStyle w:val="ManualNumPar1"/>
        <w:numPr>
          <w:ilvl w:val="0"/>
          <w:numId w:val="12"/>
        </w:numPr>
        <w:spacing w:before="0" w:after="0" w:line="276" w:lineRule="auto"/>
        <w:jc w:val="both"/>
        <w:rPr>
          <w:rFonts w:ascii="Arial" w:hAnsi="Arial" w:cs="Arial"/>
          <w:b/>
          <w:i/>
          <w:sz w:val="22"/>
        </w:rPr>
      </w:pPr>
      <w:r w:rsidRPr="001C60E2">
        <w:rPr>
          <w:rFonts w:ascii="Arial" w:hAnsi="Arial" w:cs="Arial"/>
          <w:b/>
          <w:i/>
          <w:sz w:val="22"/>
        </w:rPr>
        <w:t>Izračun razine propisanih ušteda energije koje se trebaju ostvariti tijekom čitavog razdoblja od 1. siječnja 2021. do 31. prosinca 2030., uz prikaz načina na koji su sljedeći elementi uzeti u obzir:</w:t>
      </w:r>
    </w:p>
    <w:p w14:paraId="55D00E46" w14:textId="77777777" w:rsidR="00711D97" w:rsidRPr="001C60E2" w:rsidRDefault="00711D97" w:rsidP="00711D97">
      <w:pPr>
        <w:spacing w:before="0" w:after="0"/>
        <w:rPr>
          <w:lang w:eastAsia="en-US"/>
        </w:rPr>
      </w:pPr>
    </w:p>
    <w:p w14:paraId="29C08300" w14:textId="204AABFF" w:rsidR="00711D97" w:rsidRPr="001C60E2" w:rsidRDefault="00E5709B" w:rsidP="00711D97">
      <w:pPr>
        <w:pStyle w:val="PointManual1"/>
        <w:numPr>
          <w:ilvl w:val="0"/>
          <w:numId w:val="10"/>
        </w:numPr>
        <w:spacing w:before="0" w:after="0" w:line="276" w:lineRule="auto"/>
        <w:rPr>
          <w:rFonts w:ascii="Arial" w:hAnsi="Arial" w:cs="Arial"/>
          <w:i/>
          <w:sz w:val="22"/>
        </w:rPr>
      </w:pPr>
      <w:r w:rsidRPr="001C60E2">
        <w:rPr>
          <w:rFonts w:ascii="Arial" w:hAnsi="Arial" w:cs="Arial"/>
          <w:i/>
          <w:sz w:val="22"/>
        </w:rPr>
        <w:t xml:space="preserve">godišnja neposredna potrošnja energije prema prosjeku za razdoblje zadnje tri godine prije 1. siječnja 2019. [u </w:t>
      </w:r>
      <w:proofErr w:type="spellStart"/>
      <w:r w:rsidRPr="001C60E2">
        <w:rPr>
          <w:rFonts w:ascii="Arial" w:hAnsi="Arial" w:cs="Arial"/>
          <w:i/>
          <w:sz w:val="22"/>
        </w:rPr>
        <w:t>ktoe</w:t>
      </w:r>
      <w:proofErr w:type="spellEnd"/>
      <w:r w:rsidRPr="001C60E2">
        <w:rPr>
          <w:rFonts w:ascii="Arial" w:hAnsi="Arial" w:cs="Arial"/>
          <w:i/>
          <w:sz w:val="22"/>
        </w:rPr>
        <w:t>]</w:t>
      </w:r>
    </w:p>
    <w:p w14:paraId="596E5C3C" w14:textId="77777777" w:rsidR="00711D97" w:rsidRPr="001C60E2" w:rsidRDefault="00711D97" w:rsidP="00711D97">
      <w:pPr>
        <w:pStyle w:val="PointManual1"/>
        <w:spacing w:before="0" w:after="0" w:line="276" w:lineRule="auto"/>
        <w:ind w:left="0" w:firstLine="0"/>
        <w:rPr>
          <w:rFonts w:ascii="Arial" w:hAnsi="Arial" w:cs="Arial"/>
          <w:sz w:val="22"/>
        </w:rPr>
      </w:pPr>
    </w:p>
    <w:p w14:paraId="79D53D57" w14:textId="6BDEA579" w:rsidR="00711D97" w:rsidRPr="001C60E2" w:rsidRDefault="00711D97" w:rsidP="00711D97">
      <w:pPr>
        <w:pStyle w:val="PointManual1"/>
        <w:spacing w:before="0" w:after="0" w:line="276" w:lineRule="auto"/>
        <w:ind w:left="0" w:firstLine="0"/>
        <w:jc w:val="both"/>
        <w:rPr>
          <w:rFonts w:ascii="Arial" w:hAnsi="Arial" w:cs="Arial"/>
          <w:sz w:val="22"/>
        </w:rPr>
      </w:pPr>
      <w:r w:rsidRPr="001C60E2">
        <w:rPr>
          <w:rFonts w:ascii="Arial" w:hAnsi="Arial" w:cs="Arial"/>
          <w:sz w:val="22"/>
        </w:rPr>
        <w:t xml:space="preserve">Zadnja godina za koju je dostupna </w:t>
      </w:r>
      <w:r w:rsidR="00E5709B" w:rsidRPr="001C60E2">
        <w:rPr>
          <w:rFonts w:ascii="Arial" w:hAnsi="Arial" w:cs="Arial"/>
          <w:sz w:val="22"/>
        </w:rPr>
        <w:t xml:space="preserve">službena </w:t>
      </w:r>
      <w:r w:rsidRPr="001C60E2">
        <w:rPr>
          <w:rFonts w:ascii="Arial" w:hAnsi="Arial" w:cs="Arial"/>
          <w:sz w:val="22"/>
        </w:rPr>
        <w:t xml:space="preserve">energetska bilanca za RH je </w:t>
      </w:r>
      <w:r w:rsidR="000D2216" w:rsidRPr="001C60E2">
        <w:rPr>
          <w:rFonts w:ascii="Arial" w:hAnsi="Arial" w:cs="Arial"/>
          <w:sz w:val="22"/>
        </w:rPr>
        <w:t>2018</w:t>
      </w:r>
      <w:r w:rsidRPr="001C60E2">
        <w:rPr>
          <w:rFonts w:ascii="Arial" w:hAnsi="Arial" w:cs="Arial"/>
          <w:sz w:val="22"/>
        </w:rPr>
        <w:t xml:space="preserve">. stoga se izračun temelji na podatcima iz </w:t>
      </w:r>
      <w:r w:rsidR="005B7B7A" w:rsidRPr="001C60E2">
        <w:rPr>
          <w:rFonts w:ascii="Arial" w:hAnsi="Arial" w:cs="Arial"/>
          <w:sz w:val="22"/>
        </w:rPr>
        <w:t xml:space="preserve">energetskih bilanci za </w:t>
      </w:r>
      <w:r w:rsidR="000D2216" w:rsidRPr="001C60E2">
        <w:rPr>
          <w:rFonts w:ascii="Arial" w:hAnsi="Arial" w:cs="Arial"/>
          <w:sz w:val="22"/>
        </w:rPr>
        <w:t>2016</w:t>
      </w:r>
      <w:r w:rsidRPr="001C60E2">
        <w:rPr>
          <w:rFonts w:ascii="Arial" w:hAnsi="Arial" w:cs="Arial"/>
          <w:sz w:val="22"/>
        </w:rPr>
        <w:t xml:space="preserve">., </w:t>
      </w:r>
      <w:r w:rsidR="000D2216" w:rsidRPr="001C60E2">
        <w:rPr>
          <w:rFonts w:ascii="Arial" w:hAnsi="Arial" w:cs="Arial"/>
          <w:sz w:val="22"/>
        </w:rPr>
        <w:t>2017</w:t>
      </w:r>
      <w:r w:rsidRPr="001C60E2">
        <w:rPr>
          <w:rFonts w:ascii="Arial" w:hAnsi="Arial" w:cs="Arial"/>
          <w:sz w:val="22"/>
        </w:rPr>
        <w:t xml:space="preserve">. i </w:t>
      </w:r>
      <w:r w:rsidR="000D2216" w:rsidRPr="001C60E2">
        <w:rPr>
          <w:rFonts w:ascii="Arial" w:hAnsi="Arial" w:cs="Arial"/>
          <w:sz w:val="22"/>
        </w:rPr>
        <w:t>2018</w:t>
      </w:r>
      <w:r w:rsidRPr="001C60E2">
        <w:rPr>
          <w:rFonts w:ascii="Arial" w:hAnsi="Arial" w:cs="Arial"/>
          <w:sz w:val="22"/>
        </w:rPr>
        <w:t xml:space="preserve">. </w:t>
      </w:r>
      <w:r w:rsidR="005B7B7A" w:rsidRPr="001C60E2">
        <w:rPr>
          <w:rFonts w:ascii="Arial" w:hAnsi="Arial" w:cs="Arial"/>
          <w:sz w:val="22"/>
        </w:rPr>
        <w:t>godinu</w:t>
      </w:r>
      <w:r w:rsidR="00274193" w:rsidRPr="001C60E2">
        <w:rPr>
          <w:rFonts w:ascii="Arial" w:hAnsi="Arial" w:cs="Arial"/>
          <w:sz w:val="22"/>
        </w:rPr>
        <w:t>, prema EUROSTAT metodi</w:t>
      </w:r>
      <w:r w:rsidRPr="001C60E2">
        <w:rPr>
          <w:rFonts w:ascii="Arial" w:hAnsi="Arial" w:cs="Arial"/>
          <w:sz w:val="22"/>
        </w:rPr>
        <w:t xml:space="preserve">. </w:t>
      </w:r>
    </w:p>
    <w:tbl>
      <w:tblPr>
        <w:tblStyle w:val="GridTable1Light"/>
        <w:tblW w:w="5000" w:type="pct"/>
        <w:tblLook w:val="04A0" w:firstRow="1" w:lastRow="0" w:firstColumn="1" w:lastColumn="0" w:noHBand="0" w:noVBand="1"/>
      </w:tblPr>
      <w:tblGrid>
        <w:gridCol w:w="2594"/>
        <w:gridCol w:w="2156"/>
        <w:gridCol w:w="2156"/>
        <w:gridCol w:w="2156"/>
      </w:tblGrid>
      <w:tr w:rsidR="001C60E2" w:rsidRPr="001C60E2" w14:paraId="664BF32B" w14:textId="3CD4D0B7" w:rsidTr="00A10628">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pct"/>
          </w:tcPr>
          <w:p w14:paraId="049F20C1" w14:textId="77777777" w:rsidR="00956CBA" w:rsidRPr="001C60E2" w:rsidRDefault="00956CBA" w:rsidP="00E5709B">
            <w:pPr>
              <w:spacing w:before="0" w:after="0" w:line="276" w:lineRule="auto"/>
              <w:rPr>
                <w:rFonts w:cs="Arial"/>
                <w:sz w:val="20"/>
                <w:szCs w:val="20"/>
              </w:rPr>
            </w:pPr>
          </w:p>
        </w:tc>
        <w:tc>
          <w:tcPr>
            <w:tcW w:w="0" w:type="pct"/>
          </w:tcPr>
          <w:p w14:paraId="2283547F" w14:textId="77777777" w:rsidR="00956CBA" w:rsidRPr="001C60E2" w:rsidRDefault="00956CBA" w:rsidP="00E5709B">
            <w:pPr>
              <w:spacing w:before="0" w:after="0" w:line="276" w:lineRule="auto"/>
              <w:jc w:val="right"/>
              <w:cnfStyle w:val="100000000000" w:firstRow="1"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2016.</w:t>
            </w:r>
          </w:p>
        </w:tc>
        <w:tc>
          <w:tcPr>
            <w:tcW w:w="0" w:type="pct"/>
          </w:tcPr>
          <w:p w14:paraId="234D448F" w14:textId="77777777" w:rsidR="00956CBA" w:rsidRPr="001C60E2" w:rsidRDefault="00956CBA" w:rsidP="00E5709B">
            <w:pPr>
              <w:spacing w:before="0" w:after="0" w:line="276" w:lineRule="auto"/>
              <w:jc w:val="right"/>
              <w:cnfStyle w:val="100000000000" w:firstRow="1"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2017.</w:t>
            </w:r>
          </w:p>
        </w:tc>
        <w:tc>
          <w:tcPr>
            <w:tcW w:w="0" w:type="pct"/>
          </w:tcPr>
          <w:p w14:paraId="4B57DB0A" w14:textId="0ADC2A60" w:rsidR="00956CBA" w:rsidRPr="001C60E2" w:rsidRDefault="00956CBA" w:rsidP="00E5709B">
            <w:pPr>
              <w:spacing w:before="0" w:after="0" w:line="276" w:lineRule="auto"/>
              <w:jc w:val="right"/>
              <w:cnfStyle w:val="100000000000" w:firstRow="1"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2018</w:t>
            </w:r>
          </w:p>
        </w:tc>
      </w:tr>
      <w:tr w:rsidR="001C60E2" w:rsidRPr="001C60E2" w14:paraId="45F858C6" w14:textId="3BB237FA" w:rsidTr="00A10628">
        <w:trPr>
          <w:trHeight w:val="264"/>
        </w:trPr>
        <w:tc>
          <w:tcPr>
            <w:cnfStyle w:val="001000000000" w:firstRow="0" w:lastRow="0" w:firstColumn="1" w:lastColumn="0" w:oddVBand="0" w:evenVBand="0" w:oddHBand="0" w:evenHBand="0" w:firstRowFirstColumn="0" w:firstRowLastColumn="0" w:lastRowFirstColumn="0" w:lastRowLastColumn="0"/>
            <w:tcW w:w="0" w:type="pct"/>
            <w:shd w:val="clear" w:color="auto" w:fill="D9D9D9" w:themeFill="background1" w:themeFillShade="D9"/>
          </w:tcPr>
          <w:p w14:paraId="0ABCB4EE" w14:textId="77777777" w:rsidR="00F12548" w:rsidRPr="001C60E2" w:rsidRDefault="00F12548" w:rsidP="00F12548">
            <w:pPr>
              <w:spacing w:before="0" w:after="0" w:line="276" w:lineRule="auto"/>
              <w:rPr>
                <w:rFonts w:cs="Arial"/>
                <w:sz w:val="20"/>
                <w:szCs w:val="20"/>
              </w:rPr>
            </w:pPr>
            <w:r w:rsidRPr="001C60E2">
              <w:rPr>
                <w:rFonts w:cs="Arial"/>
                <w:sz w:val="20"/>
                <w:szCs w:val="20"/>
              </w:rPr>
              <w:t>NEPOSREDNA POTROŠNJA ENERGIJE [</w:t>
            </w:r>
            <w:proofErr w:type="spellStart"/>
            <w:r w:rsidRPr="001C60E2">
              <w:rPr>
                <w:rFonts w:cs="Arial"/>
                <w:sz w:val="20"/>
                <w:szCs w:val="20"/>
              </w:rPr>
              <w:t>ktoe</w:t>
            </w:r>
            <w:proofErr w:type="spellEnd"/>
            <w:r w:rsidRPr="001C60E2">
              <w:rPr>
                <w:rFonts w:cs="Arial"/>
                <w:sz w:val="20"/>
                <w:szCs w:val="20"/>
              </w:rPr>
              <w:t>]</w:t>
            </w:r>
          </w:p>
        </w:tc>
        <w:tc>
          <w:tcPr>
            <w:tcW w:w="0" w:type="pct"/>
            <w:shd w:val="clear" w:color="auto" w:fill="D9D9D9" w:themeFill="background1" w:themeFillShade="D9"/>
          </w:tcPr>
          <w:p w14:paraId="3694EF3A" w14:textId="7188A121" w:rsidR="00F12548" w:rsidRPr="001C60E2" w:rsidRDefault="00F12548" w:rsidP="00F12548">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6.636,0</w:t>
            </w:r>
          </w:p>
        </w:tc>
        <w:tc>
          <w:tcPr>
            <w:tcW w:w="0" w:type="pct"/>
            <w:shd w:val="clear" w:color="auto" w:fill="D9D9D9" w:themeFill="background1" w:themeFillShade="D9"/>
          </w:tcPr>
          <w:p w14:paraId="0AAA652E" w14:textId="77777777" w:rsidR="00F12548" w:rsidRPr="001C60E2" w:rsidRDefault="00F12548" w:rsidP="00F12548">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6.924,0</w:t>
            </w:r>
          </w:p>
        </w:tc>
        <w:tc>
          <w:tcPr>
            <w:tcW w:w="0" w:type="pct"/>
            <w:shd w:val="clear" w:color="auto" w:fill="D9D9D9" w:themeFill="background1" w:themeFillShade="D9"/>
            <w:vAlign w:val="center"/>
          </w:tcPr>
          <w:p w14:paraId="3F1A45F7" w14:textId="6931D0A4" w:rsidR="00F12548" w:rsidRPr="001C60E2" w:rsidRDefault="00F12548" w:rsidP="00F12548">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6.851,4</w:t>
            </w:r>
          </w:p>
        </w:tc>
      </w:tr>
      <w:tr w:rsidR="001C60E2" w:rsidRPr="001C60E2" w14:paraId="3BAD530F" w14:textId="6A6FEE90" w:rsidTr="00A10628">
        <w:trPr>
          <w:trHeight w:val="265"/>
        </w:trPr>
        <w:tc>
          <w:tcPr>
            <w:cnfStyle w:val="001000000000" w:firstRow="0" w:lastRow="0" w:firstColumn="1" w:lastColumn="0" w:oddVBand="0" w:evenVBand="0" w:oddHBand="0" w:evenHBand="0" w:firstRowFirstColumn="0" w:firstRowLastColumn="0" w:lastRowFirstColumn="0" w:lastRowLastColumn="0"/>
            <w:tcW w:w="0" w:type="pct"/>
          </w:tcPr>
          <w:p w14:paraId="63726D35" w14:textId="77777777" w:rsidR="00F12548" w:rsidRPr="001C60E2" w:rsidRDefault="00F12548" w:rsidP="00DB5C17">
            <w:pPr>
              <w:spacing w:before="0" w:after="0" w:line="276" w:lineRule="auto"/>
              <w:ind w:left="27"/>
              <w:rPr>
                <w:rFonts w:cs="Arial"/>
                <w:b w:val="0"/>
                <w:sz w:val="20"/>
                <w:szCs w:val="20"/>
              </w:rPr>
            </w:pPr>
            <w:r w:rsidRPr="001C60E2">
              <w:rPr>
                <w:rFonts w:cs="Arial"/>
                <w:sz w:val="20"/>
                <w:szCs w:val="20"/>
              </w:rPr>
              <w:t>Industrija</w:t>
            </w:r>
          </w:p>
        </w:tc>
        <w:tc>
          <w:tcPr>
            <w:tcW w:w="0" w:type="pct"/>
          </w:tcPr>
          <w:p w14:paraId="6DC553B6" w14:textId="3997BFEE" w:rsidR="00F12548" w:rsidRPr="001C60E2" w:rsidRDefault="00F12548" w:rsidP="00F12548">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1.084,9</w:t>
            </w:r>
          </w:p>
        </w:tc>
        <w:tc>
          <w:tcPr>
            <w:tcW w:w="0" w:type="pct"/>
          </w:tcPr>
          <w:p w14:paraId="46295BA3" w14:textId="77777777" w:rsidR="00F12548" w:rsidRPr="001C60E2" w:rsidRDefault="00F12548" w:rsidP="00F12548">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1.178,3</w:t>
            </w:r>
          </w:p>
        </w:tc>
        <w:tc>
          <w:tcPr>
            <w:tcW w:w="0" w:type="pct"/>
            <w:vAlign w:val="center"/>
          </w:tcPr>
          <w:p w14:paraId="6320027F" w14:textId="371DFFBE" w:rsidR="00F12548" w:rsidRPr="001C60E2" w:rsidRDefault="00F12548" w:rsidP="00F12548">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1.191,7</w:t>
            </w:r>
          </w:p>
        </w:tc>
      </w:tr>
      <w:tr w:rsidR="001C60E2" w:rsidRPr="001C60E2" w14:paraId="239073C9" w14:textId="47EB0A7B" w:rsidTr="00A10628">
        <w:trPr>
          <w:trHeight w:val="264"/>
        </w:trPr>
        <w:tc>
          <w:tcPr>
            <w:cnfStyle w:val="001000000000" w:firstRow="0" w:lastRow="0" w:firstColumn="1" w:lastColumn="0" w:oddVBand="0" w:evenVBand="0" w:oddHBand="0" w:evenHBand="0" w:firstRowFirstColumn="0" w:firstRowLastColumn="0" w:lastRowFirstColumn="0" w:lastRowLastColumn="0"/>
            <w:tcW w:w="0" w:type="pct"/>
          </w:tcPr>
          <w:p w14:paraId="03582DEF" w14:textId="77777777" w:rsidR="00F12548" w:rsidRPr="001C60E2" w:rsidRDefault="00F12548" w:rsidP="00DB5C17">
            <w:pPr>
              <w:spacing w:before="0" w:after="0" w:line="276" w:lineRule="auto"/>
              <w:ind w:left="27"/>
              <w:rPr>
                <w:rFonts w:cs="Arial"/>
                <w:b w:val="0"/>
                <w:sz w:val="20"/>
                <w:szCs w:val="20"/>
              </w:rPr>
            </w:pPr>
            <w:r w:rsidRPr="001C60E2">
              <w:rPr>
                <w:rFonts w:cs="Arial"/>
                <w:sz w:val="20"/>
                <w:szCs w:val="20"/>
              </w:rPr>
              <w:t>Promet</w:t>
            </w:r>
          </w:p>
        </w:tc>
        <w:tc>
          <w:tcPr>
            <w:tcW w:w="0" w:type="pct"/>
          </w:tcPr>
          <w:p w14:paraId="7D6851C2" w14:textId="6E9DFBFB" w:rsidR="00F12548" w:rsidRPr="001C60E2" w:rsidRDefault="00F12548" w:rsidP="00F12548">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2.162,2</w:t>
            </w:r>
          </w:p>
        </w:tc>
        <w:tc>
          <w:tcPr>
            <w:tcW w:w="0" w:type="pct"/>
          </w:tcPr>
          <w:p w14:paraId="26158B5F" w14:textId="77777777" w:rsidR="00F12548" w:rsidRPr="001C60E2" w:rsidRDefault="00F12548" w:rsidP="00F12548">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2.336,9</w:t>
            </w:r>
          </w:p>
        </w:tc>
        <w:tc>
          <w:tcPr>
            <w:tcW w:w="0" w:type="pct"/>
            <w:vAlign w:val="center"/>
          </w:tcPr>
          <w:p w14:paraId="1EFDFBFC" w14:textId="14E8DF89" w:rsidR="00F12548" w:rsidRPr="001C60E2" w:rsidRDefault="00F12548" w:rsidP="00F12548">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2.140,3</w:t>
            </w:r>
          </w:p>
        </w:tc>
      </w:tr>
      <w:tr w:rsidR="001C60E2" w:rsidRPr="001C60E2" w14:paraId="1061A522" w14:textId="65427F76" w:rsidTr="00A10628">
        <w:trPr>
          <w:trHeight w:val="265"/>
        </w:trPr>
        <w:tc>
          <w:tcPr>
            <w:cnfStyle w:val="001000000000" w:firstRow="0" w:lastRow="0" w:firstColumn="1" w:lastColumn="0" w:oddVBand="0" w:evenVBand="0" w:oddHBand="0" w:evenHBand="0" w:firstRowFirstColumn="0" w:firstRowLastColumn="0" w:lastRowFirstColumn="0" w:lastRowLastColumn="0"/>
            <w:tcW w:w="0" w:type="pct"/>
          </w:tcPr>
          <w:p w14:paraId="77B6A94D" w14:textId="77777777" w:rsidR="00F12548" w:rsidRPr="001C60E2" w:rsidRDefault="00F12548" w:rsidP="00DB5C17">
            <w:pPr>
              <w:spacing w:before="0" w:after="0" w:line="276" w:lineRule="auto"/>
              <w:ind w:left="27"/>
              <w:rPr>
                <w:rFonts w:cs="Arial"/>
                <w:b w:val="0"/>
                <w:sz w:val="20"/>
                <w:szCs w:val="20"/>
              </w:rPr>
            </w:pPr>
            <w:r w:rsidRPr="001C60E2">
              <w:rPr>
                <w:rFonts w:cs="Arial"/>
                <w:sz w:val="20"/>
                <w:szCs w:val="20"/>
              </w:rPr>
              <w:t>Kućanstva</w:t>
            </w:r>
          </w:p>
        </w:tc>
        <w:tc>
          <w:tcPr>
            <w:tcW w:w="0" w:type="pct"/>
          </w:tcPr>
          <w:p w14:paraId="08501B99" w14:textId="3F7F36A6" w:rsidR="00F12548" w:rsidRPr="001C60E2" w:rsidRDefault="00F12548" w:rsidP="00F12548">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2.392,5</w:t>
            </w:r>
          </w:p>
        </w:tc>
        <w:tc>
          <w:tcPr>
            <w:tcW w:w="0" w:type="pct"/>
          </w:tcPr>
          <w:p w14:paraId="043F6DBD" w14:textId="77777777" w:rsidR="00F12548" w:rsidRPr="001C60E2" w:rsidRDefault="00F12548" w:rsidP="00F12548">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2.377,1</w:t>
            </w:r>
          </w:p>
        </w:tc>
        <w:tc>
          <w:tcPr>
            <w:tcW w:w="0" w:type="pct"/>
            <w:vAlign w:val="center"/>
          </w:tcPr>
          <w:p w14:paraId="4320B513" w14:textId="44D4577F" w:rsidR="00F12548" w:rsidRPr="001C60E2" w:rsidRDefault="00F12548" w:rsidP="00F12548">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2 284,0</w:t>
            </w:r>
          </w:p>
        </w:tc>
      </w:tr>
      <w:tr w:rsidR="001C60E2" w:rsidRPr="001C60E2" w14:paraId="6558E4EC" w14:textId="4A68277B" w:rsidTr="00A10628">
        <w:trPr>
          <w:trHeight w:val="264"/>
        </w:trPr>
        <w:tc>
          <w:tcPr>
            <w:cnfStyle w:val="001000000000" w:firstRow="0" w:lastRow="0" w:firstColumn="1" w:lastColumn="0" w:oddVBand="0" w:evenVBand="0" w:oddHBand="0" w:evenHBand="0" w:firstRowFirstColumn="0" w:firstRowLastColumn="0" w:lastRowFirstColumn="0" w:lastRowLastColumn="0"/>
            <w:tcW w:w="0" w:type="pct"/>
          </w:tcPr>
          <w:p w14:paraId="0D08C90B" w14:textId="0E604FAE" w:rsidR="00F12548" w:rsidRPr="001C60E2" w:rsidRDefault="00F12548" w:rsidP="00DB5C17">
            <w:pPr>
              <w:spacing w:before="0" w:after="0" w:line="276" w:lineRule="auto"/>
              <w:ind w:left="27"/>
              <w:rPr>
                <w:rFonts w:cs="Arial"/>
                <w:b w:val="0"/>
                <w:sz w:val="20"/>
                <w:szCs w:val="20"/>
              </w:rPr>
            </w:pPr>
            <w:r w:rsidRPr="001C60E2">
              <w:rPr>
                <w:rFonts w:cs="Arial"/>
                <w:sz w:val="20"/>
                <w:szCs w:val="20"/>
              </w:rPr>
              <w:t>Uslužni sektor</w:t>
            </w:r>
          </w:p>
        </w:tc>
        <w:tc>
          <w:tcPr>
            <w:tcW w:w="0" w:type="pct"/>
          </w:tcPr>
          <w:p w14:paraId="421ABF81" w14:textId="10135548" w:rsidR="00F12548" w:rsidRPr="001C60E2" w:rsidRDefault="00F12548" w:rsidP="00F12548">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761,9</w:t>
            </w:r>
          </w:p>
        </w:tc>
        <w:tc>
          <w:tcPr>
            <w:tcW w:w="0" w:type="pct"/>
          </w:tcPr>
          <w:p w14:paraId="17319CCB" w14:textId="77777777" w:rsidR="00F12548" w:rsidRPr="001C60E2" w:rsidRDefault="00F12548" w:rsidP="00F12548">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801,1</w:t>
            </w:r>
          </w:p>
        </w:tc>
        <w:tc>
          <w:tcPr>
            <w:tcW w:w="0" w:type="pct"/>
            <w:vAlign w:val="center"/>
          </w:tcPr>
          <w:p w14:paraId="18BF7998" w14:textId="212D7CFA" w:rsidR="00F12548" w:rsidRPr="001C60E2" w:rsidRDefault="00F12548" w:rsidP="00F12548">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816,1</w:t>
            </w:r>
          </w:p>
        </w:tc>
      </w:tr>
      <w:tr w:rsidR="001C60E2" w:rsidRPr="001C60E2" w14:paraId="0092798F" w14:textId="6EC28DA4" w:rsidTr="00A10628">
        <w:trPr>
          <w:trHeight w:val="265"/>
        </w:trPr>
        <w:tc>
          <w:tcPr>
            <w:cnfStyle w:val="001000000000" w:firstRow="0" w:lastRow="0" w:firstColumn="1" w:lastColumn="0" w:oddVBand="0" w:evenVBand="0" w:oddHBand="0" w:evenHBand="0" w:firstRowFirstColumn="0" w:firstRowLastColumn="0" w:lastRowFirstColumn="0" w:lastRowLastColumn="0"/>
            <w:tcW w:w="0" w:type="pct"/>
          </w:tcPr>
          <w:p w14:paraId="1E530F06" w14:textId="77777777" w:rsidR="00F12548" w:rsidRPr="001C60E2" w:rsidRDefault="00F12548" w:rsidP="00DB5C17">
            <w:pPr>
              <w:spacing w:before="0" w:after="0" w:line="276" w:lineRule="auto"/>
              <w:ind w:left="27"/>
              <w:rPr>
                <w:rFonts w:cs="Arial"/>
                <w:b w:val="0"/>
                <w:sz w:val="20"/>
                <w:szCs w:val="20"/>
              </w:rPr>
            </w:pPr>
            <w:r w:rsidRPr="001C60E2">
              <w:rPr>
                <w:rFonts w:cs="Arial"/>
                <w:sz w:val="20"/>
                <w:szCs w:val="20"/>
              </w:rPr>
              <w:t>Poljoprivreda i šumarstvo</w:t>
            </w:r>
          </w:p>
        </w:tc>
        <w:tc>
          <w:tcPr>
            <w:tcW w:w="0" w:type="pct"/>
          </w:tcPr>
          <w:p w14:paraId="46E83143" w14:textId="42941735" w:rsidR="00F12548" w:rsidRPr="001C60E2" w:rsidRDefault="00F12548" w:rsidP="00F12548">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206,7</w:t>
            </w:r>
          </w:p>
        </w:tc>
        <w:tc>
          <w:tcPr>
            <w:tcW w:w="0" w:type="pct"/>
          </w:tcPr>
          <w:p w14:paraId="54B6B6DF" w14:textId="77777777" w:rsidR="00F12548" w:rsidRPr="001C60E2" w:rsidRDefault="00F12548" w:rsidP="00F12548">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204,9</w:t>
            </w:r>
          </w:p>
        </w:tc>
        <w:tc>
          <w:tcPr>
            <w:tcW w:w="0" w:type="pct"/>
            <w:vAlign w:val="center"/>
          </w:tcPr>
          <w:p w14:paraId="38C0ADFC" w14:textId="6920547D" w:rsidR="00F12548" w:rsidRPr="001C60E2" w:rsidRDefault="00F12548" w:rsidP="00F12548">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211,3</w:t>
            </w:r>
          </w:p>
        </w:tc>
      </w:tr>
      <w:tr w:rsidR="001C60E2" w:rsidRPr="001C60E2" w14:paraId="3FE8AFA1" w14:textId="6F40B82B" w:rsidTr="00A10628">
        <w:trPr>
          <w:trHeight w:val="264"/>
        </w:trPr>
        <w:tc>
          <w:tcPr>
            <w:cnfStyle w:val="001000000000" w:firstRow="0" w:lastRow="0" w:firstColumn="1" w:lastColumn="0" w:oddVBand="0" w:evenVBand="0" w:oddHBand="0" w:evenHBand="0" w:firstRowFirstColumn="0" w:firstRowLastColumn="0" w:lastRowFirstColumn="0" w:lastRowLastColumn="0"/>
            <w:tcW w:w="0" w:type="pct"/>
          </w:tcPr>
          <w:p w14:paraId="0E4E0FAF" w14:textId="464B32D5" w:rsidR="00F12548" w:rsidRPr="001C60E2" w:rsidRDefault="00F12548" w:rsidP="00DB5C17">
            <w:pPr>
              <w:spacing w:before="0" w:after="0" w:line="276" w:lineRule="auto"/>
              <w:ind w:left="27"/>
              <w:rPr>
                <w:rFonts w:cs="Arial"/>
                <w:b w:val="0"/>
                <w:sz w:val="20"/>
                <w:szCs w:val="20"/>
              </w:rPr>
            </w:pPr>
            <w:r w:rsidRPr="001C60E2">
              <w:rPr>
                <w:rFonts w:cs="Arial"/>
                <w:sz w:val="20"/>
                <w:szCs w:val="20"/>
              </w:rPr>
              <w:t>Ribarstvo</w:t>
            </w:r>
          </w:p>
        </w:tc>
        <w:tc>
          <w:tcPr>
            <w:tcW w:w="0" w:type="pct"/>
          </w:tcPr>
          <w:p w14:paraId="4F4472CC" w14:textId="209F7F22" w:rsidR="00F12548" w:rsidRPr="001C60E2" w:rsidRDefault="00F12548" w:rsidP="00F12548">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26,8</w:t>
            </w:r>
          </w:p>
        </w:tc>
        <w:tc>
          <w:tcPr>
            <w:tcW w:w="0" w:type="pct"/>
          </w:tcPr>
          <w:p w14:paraId="0FF4DDAB" w14:textId="77777777" w:rsidR="00F12548" w:rsidRPr="001C60E2" w:rsidRDefault="00F12548" w:rsidP="00F12548">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25,7</w:t>
            </w:r>
          </w:p>
        </w:tc>
        <w:tc>
          <w:tcPr>
            <w:tcW w:w="0" w:type="pct"/>
            <w:vAlign w:val="center"/>
          </w:tcPr>
          <w:p w14:paraId="20E63153" w14:textId="18563F2A" w:rsidR="00F12548" w:rsidRPr="001C60E2" w:rsidRDefault="00F12548" w:rsidP="00F12548">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23,7</w:t>
            </w:r>
          </w:p>
        </w:tc>
      </w:tr>
      <w:tr w:rsidR="001C60E2" w:rsidRPr="001C60E2" w14:paraId="4B978F35" w14:textId="77777777" w:rsidTr="00A10628">
        <w:trPr>
          <w:trHeight w:val="264"/>
        </w:trPr>
        <w:tc>
          <w:tcPr>
            <w:cnfStyle w:val="001000000000" w:firstRow="0" w:lastRow="0" w:firstColumn="1" w:lastColumn="0" w:oddVBand="0" w:evenVBand="0" w:oddHBand="0" w:evenHBand="0" w:firstRowFirstColumn="0" w:firstRowLastColumn="0" w:lastRowFirstColumn="0" w:lastRowLastColumn="0"/>
            <w:tcW w:w="0" w:type="pct"/>
          </w:tcPr>
          <w:p w14:paraId="1AA30FDE" w14:textId="6FBB13AF" w:rsidR="00F12548" w:rsidRPr="001C60E2" w:rsidRDefault="00F12548" w:rsidP="00DB5C17">
            <w:pPr>
              <w:spacing w:before="0" w:after="0" w:line="276" w:lineRule="auto"/>
              <w:ind w:left="27"/>
              <w:rPr>
                <w:rFonts w:cs="Arial"/>
                <w:sz w:val="20"/>
                <w:szCs w:val="20"/>
              </w:rPr>
            </w:pPr>
            <w:r w:rsidRPr="001C60E2">
              <w:rPr>
                <w:rFonts w:cs="Arial"/>
                <w:sz w:val="20"/>
                <w:szCs w:val="20"/>
              </w:rPr>
              <w:t>PROSJEK [</w:t>
            </w:r>
            <w:proofErr w:type="spellStart"/>
            <w:r w:rsidRPr="001C60E2">
              <w:rPr>
                <w:rFonts w:cs="Arial"/>
                <w:sz w:val="20"/>
                <w:szCs w:val="20"/>
              </w:rPr>
              <w:t>ktoe</w:t>
            </w:r>
            <w:proofErr w:type="spellEnd"/>
            <w:r w:rsidRPr="001C60E2">
              <w:rPr>
                <w:rFonts w:cs="Arial"/>
                <w:sz w:val="20"/>
                <w:szCs w:val="20"/>
              </w:rPr>
              <w:t>]</w:t>
            </w:r>
          </w:p>
        </w:tc>
        <w:tc>
          <w:tcPr>
            <w:tcW w:w="0" w:type="pct"/>
            <w:gridSpan w:val="3"/>
          </w:tcPr>
          <w:p w14:paraId="14D85DEA" w14:textId="2650611F" w:rsidR="00F12548" w:rsidRPr="001C60E2" w:rsidRDefault="00F12548" w:rsidP="00F12548">
            <w:pPr>
              <w:suppressAutoHyphens w:val="0"/>
              <w:spacing w:before="0" w:after="0" w:line="240" w:lineRule="auto"/>
              <w:ind w:firstLineChars="200" w:firstLine="400"/>
              <w:jc w:val="right"/>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1C60E2">
              <w:rPr>
                <w:rFonts w:cs="Arial"/>
                <w:b/>
                <w:bCs/>
                <w:sz w:val="20"/>
                <w:szCs w:val="20"/>
              </w:rPr>
              <w:t>6.803,8</w:t>
            </w:r>
          </w:p>
        </w:tc>
      </w:tr>
    </w:tbl>
    <w:p w14:paraId="2B671E34" w14:textId="77777777" w:rsidR="00711D97" w:rsidRPr="001C60E2" w:rsidRDefault="00711D97" w:rsidP="00711D97">
      <w:pPr>
        <w:pStyle w:val="PointManual1"/>
        <w:spacing w:before="0" w:after="0" w:line="276" w:lineRule="auto"/>
        <w:ind w:left="1701"/>
        <w:rPr>
          <w:rFonts w:ascii="Arial" w:hAnsi="Arial" w:cs="Arial"/>
          <w:noProof/>
          <w:sz w:val="22"/>
        </w:rPr>
      </w:pPr>
    </w:p>
    <w:p w14:paraId="2DFE6FE8" w14:textId="77777777" w:rsidR="002E6504" w:rsidRPr="001C60E2" w:rsidRDefault="002E6504" w:rsidP="00711D97">
      <w:pPr>
        <w:pStyle w:val="PointManual1"/>
        <w:numPr>
          <w:ilvl w:val="0"/>
          <w:numId w:val="10"/>
        </w:numPr>
        <w:spacing w:before="0" w:after="0" w:line="276" w:lineRule="auto"/>
        <w:rPr>
          <w:rFonts w:ascii="Arial" w:hAnsi="Arial" w:cs="Arial"/>
          <w:i/>
          <w:sz w:val="22"/>
        </w:rPr>
      </w:pPr>
      <w:r w:rsidRPr="001C60E2">
        <w:rPr>
          <w:rFonts w:ascii="Arial" w:hAnsi="Arial" w:cs="Arial"/>
          <w:i/>
          <w:sz w:val="22"/>
        </w:rPr>
        <w:t xml:space="preserve">ukupna kumulativna količina uštede energije u krajnjoj potrošnji koju je potrebno ostvariti [u </w:t>
      </w:r>
      <w:proofErr w:type="spellStart"/>
      <w:r w:rsidRPr="001C60E2">
        <w:rPr>
          <w:rFonts w:ascii="Arial" w:hAnsi="Arial" w:cs="Arial"/>
          <w:i/>
          <w:sz w:val="22"/>
        </w:rPr>
        <w:t>ktoe</w:t>
      </w:r>
      <w:proofErr w:type="spellEnd"/>
      <w:r w:rsidRPr="001C60E2">
        <w:rPr>
          <w:rFonts w:ascii="Arial" w:hAnsi="Arial" w:cs="Arial"/>
          <w:i/>
          <w:sz w:val="22"/>
        </w:rPr>
        <w:t>] u skladu s člankom 7. stavkom 1. točkom (b) Direktive 2012/27/EU</w:t>
      </w:r>
    </w:p>
    <w:tbl>
      <w:tblPr>
        <w:tblStyle w:val="GridTable1Light"/>
        <w:tblW w:w="5000" w:type="pct"/>
        <w:tblLook w:val="04A0" w:firstRow="1" w:lastRow="0" w:firstColumn="1" w:lastColumn="0" w:noHBand="0" w:noVBand="1"/>
      </w:tblPr>
      <w:tblGrid>
        <w:gridCol w:w="1072"/>
        <w:gridCol w:w="685"/>
        <w:gridCol w:w="685"/>
        <w:gridCol w:w="685"/>
        <w:gridCol w:w="685"/>
        <w:gridCol w:w="686"/>
        <w:gridCol w:w="686"/>
        <w:gridCol w:w="686"/>
        <w:gridCol w:w="686"/>
        <w:gridCol w:w="686"/>
        <w:gridCol w:w="689"/>
        <w:gridCol w:w="1131"/>
      </w:tblGrid>
      <w:tr w:rsidR="001C60E2" w:rsidRPr="001C60E2" w14:paraId="17F0E0AA" w14:textId="77777777" w:rsidTr="00A106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3" w:type="pct"/>
            <w:gridSpan w:val="11"/>
            <w:vAlign w:val="center"/>
          </w:tcPr>
          <w:p w14:paraId="1517E7E8" w14:textId="77777777" w:rsidR="002E6504" w:rsidRPr="001C60E2" w:rsidRDefault="002E6504" w:rsidP="00815525">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Osnova za izračun cilja [ktoe]</w:t>
            </w:r>
          </w:p>
        </w:tc>
        <w:tc>
          <w:tcPr>
            <w:tcW w:w="637" w:type="pct"/>
            <w:vAlign w:val="center"/>
          </w:tcPr>
          <w:p w14:paraId="512873D7" w14:textId="288A886D" w:rsidR="002E6504" w:rsidRPr="001C60E2" w:rsidRDefault="00D92F17" w:rsidP="00A10628">
            <w:pPr>
              <w:pStyle w:val="PointManual1"/>
              <w:spacing w:before="0" w:after="0" w:line="276" w:lineRule="auto"/>
              <w:ind w:left="0" w:firstLine="0"/>
              <w:jc w:val="right"/>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6.803,8</w:t>
            </w:r>
          </w:p>
        </w:tc>
      </w:tr>
      <w:tr w:rsidR="001C60E2" w:rsidRPr="001C60E2" w14:paraId="5B795194" w14:textId="77777777" w:rsidTr="00A10628">
        <w:tc>
          <w:tcPr>
            <w:cnfStyle w:val="001000000000" w:firstRow="0" w:lastRow="0" w:firstColumn="1" w:lastColumn="0" w:oddVBand="0" w:evenVBand="0" w:oddHBand="0" w:evenHBand="0" w:firstRowFirstColumn="0" w:firstRowLastColumn="0" w:lastRowFirstColumn="0" w:lastRowLastColumn="0"/>
            <w:tcW w:w="451" w:type="pct"/>
            <w:vAlign w:val="center"/>
          </w:tcPr>
          <w:p w14:paraId="0EE7A045" w14:textId="77777777" w:rsidR="002E6504" w:rsidRPr="001C60E2" w:rsidRDefault="002E6504" w:rsidP="00815525">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Godišnje uštede [ktoe]</w:t>
            </w:r>
          </w:p>
        </w:tc>
        <w:tc>
          <w:tcPr>
            <w:tcW w:w="391" w:type="pct"/>
            <w:vAlign w:val="center"/>
          </w:tcPr>
          <w:p w14:paraId="66FC279E" w14:textId="77777777" w:rsidR="002E6504" w:rsidRPr="001C60E2" w:rsidRDefault="002E6504" w:rsidP="00815525">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391" w:type="pct"/>
            <w:vAlign w:val="center"/>
          </w:tcPr>
          <w:p w14:paraId="7288CD35" w14:textId="77777777" w:rsidR="002E6504" w:rsidRPr="001C60E2" w:rsidRDefault="002E6504" w:rsidP="00815525">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391" w:type="pct"/>
            <w:vAlign w:val="center"/>
          </w:tcPr>
          <w:p w14:paraId="05357147" w14:textId="77777777" w:rsidR="002E6504" w:rsidRPr="001C60E2" w:rsidRDefault="002E6504" w:rsidP="00815525">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391" w:type="pct"/>
            <w:vAlign w:val="center"/>
          </w:tcPr>
          <w:p w14:paraId="6E47708E" w14:textId="77777777" w:rsidR="002E6504" w:rsidRPr="001C60E2" w:rsidRDefault="002E6504" w:rsidP="00815525">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391" w:type="pct"/>
            <w:vAlign w:val="center"/>
          </w:tcPr>
          <w:p w14:paraId="45B5E787" w14:textId="77777777" w:rsidR="002E6504" w:rsidRPr="001C60E2" w:rsidRDefault="002E6504" w:rsidP="00815525">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391" w:type="pct"/>
            <w:vAlign w:val="center"/>
          </w:tcPr>
          <w:p w14:paraId="6E800E44" w14:textId="77777777" w:rsidR="002E6504" w:rsidRPr="001C60E2" w:rsidRDefault="002E6504" w:rsidP="00815525">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391" w:type="pct"/>
            <w:vAlign w:val="center"/>
          </w:tcPr>
          <w:p w14:paraId="41B039F1" w14:textId="77777777" w:rsidR="002E6504" w:rsidRPr="001C60E2" w:rsidRDefault="002E6504" w:rsidP="00815525">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391" w:type="pct"/>
            <w:vAlign w:val="center"/>
          </w:tcPr>
          <w:p w14:paraId="20ABBA7B" w14:textId="77777777" w:rsidR="002E6504" w:rsidRPr="001C60E2" w:rsidRDefault="002E6504" w:rsidP="00815525">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391" w:type="pct"/>
            <w:vAlign w:val="center"/>
          </w:tcPr>
          <w:p w14:paraId="771DB1AF" w14:textId="77777777" w:rsidR="002E6504" w:rsidRPr="001C60E2" w:rsidRDefault="002E6504" w:rsidP="00815525">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391" w:type="pct"/>
            <w:vAlign w:val="center"/>
          </w:tcPr>
          <w:p w14:paraId="49367ED5" w14:textId="77777777" w:rsidR="002E6504" w:rsidRPr="001C60E2" w:rsidRDefault="002E6504" w:rsidP="00815525">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635" w:type="pct"/>
            <w:vAlign w:val="center"/>
          </w:tcPr>
          <w:p w14:paraId="4AAC9FBF" w14:textId="77777777" w:rsidR="002E6504" w:rsidRPr="001C60E2" w:rsidRDefault="002E6504" w:rsidP="00815525">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p>
        </w:tc>
      </w:tr>
      <w:tr w:rsidR="001C60E2" w:rsidRPr="001C60E2" w14:paraId="2319ED42" w14:textId="77777777" w:rsidTr="001D0466">
        <w:tc>
          <w:tcPr>
            <w:cnfStyle w:val="001000000000" w:firstRow="0" w:lastRow="0" w:firstColumn="1" w:lastColumn="0" w:oddVBand="0" w:evenVBand="0" w:oddHBand="0" w:evenHBand="0" w:firstRowFirstColumn="0" w:firstRowLastColumn="0" w:lastRowFirstColumn="0" w:lastRowLastColumn="0"/>
            <w:tcW w:w="451" w:type="pct"/>
          </w:tcPr>
          <w:p w14:paraId="583B89E2" w14:textId="77777777" w:rsidR="001D0466" w:rsidRPr="001C60E2" w:rsidRDefault="001D0466" w:rsidP="001D0466">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2021</w:t>
            </w:r>
          </w:p>
        </w:tc>
        <w:tc>
          <w:tcPr>
            <w:tcW w:w="391" w:type="pct"/>
            <w:vAlign w:val="center"/>
          </w:tcPr>
          <w:p w14:paraId="7F258B40" w14:textId="65A09184"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5E5C0285" w14:textId="36F5E78F"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0AD9944B" w14:textId="12C13A49"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581AAAE8" w14:textId="19E5B420"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121B5FD3" w14:textId="1C3BEC8B"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3F37D774" w14:textId="41EE5DD3"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5C5140A6" w14:textId="70922C82"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342A1365" w14:textId="32C274A8"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4D36E388" w14:textId="69022D91"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4DC3AA14" w14:textId="139AFA08"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635" w:type="pct"/>
            <w:vAlign w:val="center"/>
          </w:tcPr>
          <w:p w14:paraId="66609AA7" w14:textId="5BFB5F93"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r>
      <w:tr w:rsidR="001C60E2" w:rsidRPr="001C60E2" w14:paraId="54B7C146" w14:textId="77777777" w:rsidTr="001D0466">
        <w:tc>
          <w:tcPr>
            <w:cnfStyle w:val="001000000000" w:firstRow="0" w:lastRow="0" w:firstColumn="1" w:lastColumn="0" w:oddVBand="0" w:evenVBand="0" w:oddHBand="0" w:evenHBand="0" w:firstRowFirstColumn="0" w:firstRowLastColumn="0" w:lastRowFirstColumn="0" w:lastRowLastColumn="0"/>
            <w:tcW w:w="451" w:type="pct"/>
          </w:tcPr>
          <w:p w14:paraId="34AFC8BB" w14:textId="77777777" w:rsidR="001D0466" w:rsidRPr="001C60E2" w:rsidRDefault="001D0466" w:rsidP="001D0466">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2022</w:t>
            </w:r>
          </w:p>
        </w:tc>
        <w:tc>
          <w:tcPr>
            <w:tcW w:w="391" w:type="pct"/>
            <w:vAlign w:val="center"/>
          </w:tcPr>
          <w:p w14:paraId="56B479E9" w14:textId="558E7673"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64B5C086" w14:textId="5562F0C5"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2BA7CF90" w14:textId="78A46D95"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5FD29CF4" w14:textId="570CD3EE"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2DDC2E15" w14:textId="222B3365"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72E0B59D" w14:textId="6E5F6CAD"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31A44E02" w14:textId="5DD91185"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075173E1" w14:textId="6B821213"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5AD72759" w14:textId="77FC5F48"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0B0D6C68" w14:textId="27E03B14"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635" w:type="pct"/>
            <w:vAlign w:val="center"/>
          </w:tcPr>
          <w:p w14:paraId="1D049AEA" w14:textId="4FBB8AFC"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108,9</w:t>
            </w:r>
          </w:p>
        </w:tc>
      </w:tr>
      <w:tr w:rsidR="001C60E2" w:rsidRPr="001C60E2" w14:paraId="3CE31F91" w14:textId="77777777" w:rsidTr="001D0466">
        <w:tc>
          <w:tcPr>
            <w:cnfStyle w:val="001000000000" w:firstRow="0" w:lastRow="0" w:firstColumn="1" w:lastColumn="0" w:oddVBand="0" w:evenVBand="0" w:oddHBand="0" w:evenHBand="0" w:firstRowFirstColumn="0" w:firstRowLastColumn="0" w:lastRowFirstColumn="0" w:lastRowLastColumn="0"/>
            <w:tcW w:w="451" w:type="pct"/>
          </w:tcPr>
          <w:p w14:paraId="287E7219" w14:textId="77777777" w:rsidR="001D0466" w:rsidRPr="001C60E2" w:rsidRDefault="001D0466" w:rsidP="001D0466">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2023</w:t>
            </w:r>
          </w:p>
        </w:tc>
        <w:tc>
          <w:tcPr>
            <w:tcW w:w="391" w:type="pct"/>
            <w:vAlign w:val="center"/>
          </w:tcPr>
          <w:p w14:paraId="15EBF07E" w14:textId="68CFC215"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1775C939" w14:textId="055585FC"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1CB55312" w14:textId="3D01CCAB"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73409853" w14:textId="3159D905"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1020B09A" w14:textId="5EE77147"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5123AE94" w14:textId="6FF1902D"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60ED4B2A" w14:textId="2134F0F5"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0A697D93" w14:textId="070C9BFB"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0C0338C9" w14:textId="09C8AFC6"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72A63C53" w14:textId="730BEC42"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635" w:type="pct"/>
            <w:vAlign w:val="center"/>
          </w:tcPr>
          <w:p w14:paraId="6E653D07" w14:textId="091597D6"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163,3</w:t>
            </w:r>
          </w:p>
        </w:tc>
      </w:tr>
      <w:tr w:rsidR="001C60E2" w:rsidRPr="001C60E2" w14:paraId="5422CB09" w14:textId="77777777" w:rsidTr="001D0466">
        <w:tc>
          <w:tcPr>
            <w:cnfStyle w:val="001000000000" w:firstRow="0" w:lastRow="0" w:firstColumn="1" w:lastColumn="0" w:oddVBand="0" w:evenVBand="0" w:oddHBand="0" w:evenHBand="0" w:firstRowFirstColumn="0" w:firstRowLastColumn="0" w:lastRowFirstColumn="0" w:lastRowLastColumn="0"/>
            <w:tcW w:w="451" w:type="pct"/>
          </w:tcPr>
          <w:p w14:paraId="703ED869" w14:textId="77777777" w:rsidR="001D0466" w:rsidRPr="001C60E2" w:rsidRDefault="001D0466" w:rsidP="001D0466">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2024</w:t>
            </w:r>
          </w:p>
        </w:tc>
        <w:tc>
          <w:tcPr>
            <w:tcW w:w="391" w:type="pct"/>
            <w:vAlign w:val="center"/>
          </w:tcPr>
          <w:p w14:paraId="36013313" w14:textId="1C6EACCF"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67112E5A" w14:textId="5CE8404A"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192C135B" w14:textId="54F72E79"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4AEF49AC" w14:textId="29BEBEC3"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58EA2D7D" w14:textId="56F200DC"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2AE004BB" w14:textId="1D17D429"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6F22381F" w14:textId="3632F360"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0ECFF453" w14:textId="5BAF727B"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5ADCDFC1" w14:textId="74C7B2E5"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6680D384" w14:textId="2C26EFB5"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635" w:type="pct"/>
            <w:vAlign w:val="center"/>
          </w:tcPr>
          <w:p w14:paraId="773F5813" w14:textId="15A8FA69"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217,7</w:t>
            </w:r>
          </w:p>
        </w:tc>
      </w:tr>
      <w:tr w:rsidR="001C60E2" w:rsidRPr="001C60E2" w14:paraId="5B23BF5F" w14:textId="77777777" w:rsidTr="001D0466">
        <w:tc>
          <w:tcPr>
            <w:cnfStyle w:val="001000000000" w:firstRow="0" w:lastRow="0" w:firstColumn="1" w:lastColumn="0" w:oddVBand="0" w:evenVBand="0" w:oddHBand="0" w:evenHBand="0" w:firstRowFirstColumn="0" w:firstRowLastColumn="0" w:lastRowFirstColumn="0" w:lastRowLastColumn="0"/>
            <w:tcW w:w="451" w:type="pct"/>
          </w:tcPr>
          <w:p w14:paraId="55D3F51B" w14:textId="77777777" w:rsidR="001D0466" w:rsidRPr="001C60E2" w:rsidRDefault="001D0466" w:rsidP="001D0466">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2025</w:t>
            </w:r>
          </w:p>
        </w:tc>
        <w:tc>
          <w:tcPr>
            <w:tcW w:w="391" w:type="pct"/>
            <w:vAlign w:val="center"/>
          </w:tcPr>
          <w:p w14:paraId="3F6EE8AC" w14:textId="0E9B5122"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1CE0DC7D" w14:textId="778447A9"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79775E41" w14:textId="28BE1515"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7367E250" w14:textId="1F3B95AE"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73621D42" w14:textId="4BE9FFE3"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1609531B" w14:textId="69983209"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7EC5FC76" w14:textId="0EC47577"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0C7329EA" w14:textId="21DB02D1"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391BB0FA" w14:textId="6A07C252"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76613EC8" w14:textId="46B6BF0C"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635" w:type="pct"/>
            <w:vAlign w:val="center"/>
          </w:tcPr>
          <w:p w14:paraId="0BB2884E" w14:textId="6B0A92D6"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272,2</w:t>
            </w:r>
          </w:p>
        </w:tc>
      </w:tr>
      <w:tr w:rsidR="001C60E2" w:rsidRPr="001C60E2" w14:paraId="2ECE0CAB" w14:textId="77777777" w:rsidTr="001D0466">
        <w:tc>
          <w:tcPr>
            <w:cnfStyle w:val="001000000000" w:firstRow="0" w:lastRow="0" w:firstColumn="1" w:lastColumn="0" w:oddVBand="0" w:evenVBand="0" w:oddHBand="0" w:evenHBand="0" w:firstRowFirstColumn="0" w:firstRowLastColumn="0" w:lastRowFirstColumn="0" w:lastRowLastColumn="0"/>
            <w:tcW w:w="451" w:type="pct"/>
          </w:tcPr>
          <w:p w14:paraId="057191B5" w14:textId="77777777" w:rsidR="001D0466" w:rsidRPr="001C60E2" w:rsidRDefault="001D0466" w:rsidP="001D0466">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2026</w:t>
            </w:r>
          </w:p>
        </w:tc>
        <w:tc>
          <w:tcPr>
            <w:tcW w:w="391" w:type="pct"/>
            <w:vAlign w:val="center"/>
          </w:tcPr>
          <w:p w14:paraId="70EF7955" w14:textId="0FB000C0"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2E0EB501" w14:textId="6E197387"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0542BC69" w14:textId="61720192"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6C42C1D6" w14:textId="6DB31DDF"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581329B3" w14:textId="0B8DDA11"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723394B6" w14:textId="5BF380EF"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3FDCFE68" w14:textId="53752219"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1C18B207" w14:textId="4FA9F6F7"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7A726CA3" w14:textId="4674526C"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12BEAEF7" w14:textId="778ADA43"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635" w:type="pct"/>
            <w:vAlign w:val="center"/>
          </w:tcPr>
          <w:p w14:paraId="384AF60C" w14:textId="27A64AF6"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326,6</w:t>
            </w:r>
          </w:p>
        </w:tc>
      </w:tr>
      <w:tr w:rsidR="001C60E2" w:rsidRPr="001C60E2" w14:paraId="65A10413" w14:textId="77777777" w:rsidTr="001D0466">
        <w:tc>
          <w:tcPr>
            <w:cnfStyle w:val="001000000000" w:firstRow="0" w:lastRow="0" w:firstColumn="1" w:lastColumn="0" w:oddVBand="0" w:evenVBand="0" w:oddHBand="0" w:evenHBand="0" w:firstRowFirstColumn="0" w:firstRowLastColumn="0" w:lastRowFirstColumn="0" w:lastRowLastColumn="0"/>
            <w:tcW w:w="451" w:type="pct"/>
          </w:tcPr>
          <w:p w14:paraId="31C8BB96" w14:textId="77777777" w:rsidR="001D0466" w:rsidRPr="001C60E2" w:rsidRDefault="001D0466" w:rsidP="001D0466">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2027</w:t>
            </w:r>
          </w:p>
        </w:tc>
        <w:tc>
          <w:tcPr>
            <w:tcW w:w="391" w:type="pct"/>
            <w:vAlign w:val="center"/>
          </w:tcPr>
          <w:p w14:paraId="7CD13D8F" w14:textId="20CDD583"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02338F83" w14:textId="319675B1"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0F15521C" w14:textId="4CFEAB57"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3FFBB485" w14:textId="742DD539"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36493393" w14:textId="1D59E851"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314C5F67" w14:textId="1D32219A"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59F4B374" w14:textId="273FD0F0"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1B955C75" w14:textId="276536A5"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4C08BCE2" w14:textId="70EE189A"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064315C7" w14:textId="7932C2C7"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635" w:type="pct"/>
            <w:vAlign w:val="center"/>
          </w:tcPr>
          <w:p w14:paraId="56A72771" w14:textId="563F3F4F"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381,0</w:t>
            </w:r>
          </w:p>
        </w:tc>
      </w:tr>
      <w:tr w:rsidR="001C60E2" w:rsidRPr="001C60E2" w14:paraId="136581C1" w14:textId="77777777" w:rsidTr="001D0466">
        <w:tc>
          <w:tcPr>
            <w:cnfStyle w:val="001000000000" w:firstRow="0" w:lastRow="0" w:firstColumn="1" w:lastColumn="0" w:oddVBand="0" w:evenVBand="0" w:oddHBand="0" w:evenHBand="0" w:firstRowFirstColumn="0" w:firstRowLastColumn="0" w:lastRowFirstColumn="0" w:lastRowLastColumn="0"/>
            <w:tcW w:w="451" w:type="pct"/>
          </w:tcPr>
          <w:p w14:paraId="6D262790" w14:textId="77777777" w:rsidR="001D0466" w:rsidRPr="001C60E2" w:rsidRDefault="001D0466" w:rsidP="001D0466">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2028</w:t>
            </w:r>
          </w:p>
        </w:tc>
        <w:tc>
          <w:tcPr>
            <w:tcW w:w="391" w:type="pct"/>
            <w:vAlign w:val="center"/>
          </w:tcPr>
          <w:p w14:paraId="6BC8B745" w14:textId="536C9569"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0E2BCAEE" w14:textId="07ACC393"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4114BF7D" w14:textId="09D79D7F"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5402ECA2" w14:textId="2FC1C25E"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0F3CF4F8" w14:textId="374A5096"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308E9A13" w14:textId="39026C6D"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69B9856B" w14:textId="2D065496"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0D4054C2" w14:textId="66E7C0CD"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780045C1" w14:textId="065E3352"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91" w:type="pct"/>
            <w:vAlign w:val="center"/>
          </w:tcPr>
          <w:p w14:paraId="3D80EE8E" w14:textId="66E38443"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635" w:type="pct"/>
            <w:vAlign w:val="center"/>
          </w:tcPr>
          <w:p w14:paraId="164C97BA" w14:textId="63DC6F28"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435,4</w:t>
            </w:r>
          </w:p>
        </w:tc>
      </w:tr>
      <w:tr w:rsidR="001C60E2" w:rsidRPr="001C60E2" w14:paraId="75AA7DCC" w14:textId="77777777" w:rsidTr="001D0466">
        <w:tc>
          <w:tcPr>
            <w:cnfStyle w:val="001000000000" w:firstRow="0" w:lastRow="0" w:firstColumn="1" w:lastColumn="0" w:oddVBand="0" w:evenVBand="0" w:oddHBand="0" w:evenHBand="0" w:firstRowFirstColumn="0" w:firstRowLastColumn="0" w:lastRowFirstColumn="0" w:lastRowLastColumn="0"/>
            <w:tcW w:w="451" w:type="pct"/>
          </w:tcPr>
          <w:p w14:paraId="382F9205" w14:textId="77777777" w:rsidR="001D0466" w:rsidRPr="001C60E2" w:rsidRDefault="001D0466" w:rsidP="001D0466">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2029</w:t>
            </w:r>
          </w:p>
        </w:tc>
        <w:tc>
          <w:tcPr>
            <w:tcW w:w="391" w:type="pct"/>
            <w:vAlign w:val="center"/>
          </w:tcPr>
          <w:p w14:paraId="1401998B" w14:textId="1AA146F2"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1C6C272A" w14:textId="382B7D98"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7C273C8A" w14:textId="777DF53A"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084A6283" w14:textId="36359713"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28B1F01E" w14:textId="40F1880C"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4D556F09" w14:textId="0CFD0D87"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619198B0" w14:textId="62FCAD5C"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299B91C6" w14:textId="1293A0E7"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503419BE" w14:textId="449088C5"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79CC6C6E" w14:textId="6681D3E4"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635" w:type="pct"/>
            <w:vAlign w:val="center"/>
          </w:tcPr>
          <w:p w14:paraId="3268B312" w14:textId="77DBD903"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489,9</w:t>
            </w:r>
          </w:p>
        </w:tc>
      </w:tr>
      <w:tr w:rsidR="001C60E2" w:rsidRPr="001C60E2" w14:paraId="3A4D507B" w14:textId="77777777" w:rsidTr="001D0466">
        <w:tc>
          <w:tcPr>
            <w:cnfStyle w:val="001000000000" w:firstRow="0" w:lastRow="0" w:firstColumn="1" w:lastColumn="0" w:oddVBand="0" w:evenVBand="0" w:oddHBand="0" w:evenHBand="0" w:firstRowFirstColumn="0" w:firstRowLastColumn="0" w:lastRowFirstColumn="0" w:lastRowLastColumn="0"/>
            <w:tcW w:w="451" w:type="pct"/>
          </w:tcPr>
          <w:p w14:paraId="28A8E728" w14:textId="77777777" w:rsidR="001D0466" w:rsidRPr="001C60E2" w:rsidRDefault="001D0466" w:rsidP="001D0466">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2030</w:t>
            </w:r>
          </w:p>
        </w:tc>
        <w:tc>
          <w:tcPr>
            <w:tcW w:w="391" w:type="pct"/>
            <w:vAlign w:val="center"/>
          </w:tcPr>
          <w:p w14:paraId="72B8C0AC" w14:textId="48213410"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34C469D7" w14:textId="3CD719E9"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6E1D318C" w14:textId="2309E027"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7102BCE5" w14:textId="4CE91035"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111592E8" w14:textId="241FAB81"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03B18F8C" w14:textId="6E033D11"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4DDCA95A" w14:textId="0D4AA0C7"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2559C414" w14:textId="03069F7B"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7FC3F9B2" w14:textId="3020D31A"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91" w:type="pct"/>
            <w:vAlign w:val="center"/>
          </w:tcPr>
          <w:p w14:paraId="1C4F17FA" w14:textId="764F66BC"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635" w:type="pct"/>
            <w:vAlign w:val="center"/>
          </w:tcPr>
          <w:p w14:paraId="2157A478" w14:textId="5F25266B" w:rsidR="001D0466" w:rsidRPr="001C60E2" w:rsidRDefault="001D0466" w:rsidP="001D0466">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544,3</w:t>
            </w:r>
          </w:p>
        </w:tc>
      </w:tr>
      <w:tr w:rsidR="001C60E2" w:rsidRPr="001C60E2" w14:paraId="4447AF3F" w14:textId="77777777" w:rsidTr="00A10628">
        <w:tc>
          <w:tcPr>
            <w:cnfStyle w:val="001000000000" w:firstRow="0" w:lastRow="0" w:firstColumn="1" w:lastColumn="0" w:oddVBand="0" w:evenVBand="0" w:oddHBand="0" w:evenHBand="0" w:firstRowFirstColumn="0" w:firstRowLastColumn="0" w:lastRowFirstColumn="0" w:lastRowLastColumn="0"/>
            <w:tcW w:w="4363" w:type="pct"/>
            <w:gridSpan w:val="11"/>
          </w:tcPr>
          <w:p w14:paraId="43156410" w14:textId="77777777" w:rsidR="00476CD2" w:rsidRPr="001C60E2" w:rsidRDefault="00476CD2" w:rsidP="00476CD2">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UKUPNI KUMULATIVNI CILJ ZA RAZDOBLJE 2021. – 2030. [ktoe]</w:t>
            </w:r>
          </w:p>
        </w:tc>
        <w:tc>
          <w:tcPr>
            <w:tcW w:w="637" w:type="pct"/>
            <w:vAlign w:val="center"/>
          </w:tcPr>
          <w:p w14:paraId="26AC8A70" w14:textId="2F3FB4E8" w:rsidR="00476CD2" w:rsidRPr="001C60E2" w:rsidRDefault="008D0F48" w:rsidP="00476CD2">
            <w:pPr>
              <w:suppressAutoHyphens w:val="0"/>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1C60E2">
              <w:rPr>
                <w:rFonts w:cs="Arial"/>
                <w:b/>
                <w:bCs/>
                <w:sz w:val="20"/>
                <w:szCs w:val="20"/>
              </w:rPr>
              <w:t>2.993,7</w:t>
            </w:r>
          </w:p>
        </w:tc>
      </w:tr>
      <w:tr w:rsidR="001C60E2" w:rsidRPr="001C60E2" w14:paraId="63B990A6" w14:textId="77777777" w:rsidTr="00A10628">
        <w:tc>
          <w:tcPr>
            <w:cnfStyle w:val="001000000000" w:firstRow="0" w:lastRow="0" w:firstColumn="1" w:lastColumn="0" w:oddVBand="0" w:evenVBand="0" w:oddHBand="0" w:evenHBand="0" w:firstRowFirstColumn="0" w:firstRowLastColumn="0" w:lastRowFirstColumn="0" w:lastRowLastColumn="0"/>
            <w:tcW w:w="4363" w:type="pct"/>
            <w:gridSpan w:val="11"/>
          </w:tcPr>
          <w:p w14:paraId="0D1AE572" w14:textId="77777777" w:rsidR="00476CD2" w:rsidRPr="001C60E2" w:rsidRDefault="00476CD2" w:rsidP="00476CD2">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lastRenderedPageBreak/>
              <w:t>UKUPNI KUMULATIVNI CILJ ZA RAZDOBLJE 2021. – 2030. [PJ]</w:t>
            </w:r>
          </w:p>
        </w:tc>
        <w:tc>
          <w:tcPr>
            <w:tcW w:w="637" w:type="pct"/>
            <w:vAlign w:val="center"/>
          </w:tcPr>
          <w:p w14:paraId="5BE10CEC" w14:textId="3A0C008C" w:rsidR="00476CD2" w:rsidRPr="001C60E2" w:rsidRDefault="008D0F48" w:rsidP="00A10628">
            <w:pPr>
              <w:suppressAutoHyphens w:val="0"/>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1C60E2">
              <w:rPr>
                <w:rFonts w:cs="Arial"/>
                <w:b/>
                <w:bCs/>
                <w:sz w:val="18"/>
                <w:szCs w:val="18"/>
              </w:rPr>
              <w:t>125,3</w:t>
            </w:r>
          </w:p>
        </w:tc>
      </w:tr>
      <w:tr w:rsidR="001C60E2" w:rsidRPr="001C60E2" w14:paraId="49A0BD90" w14:textId="77777777" w:rsidTr="00A10628">
        <w:tc>
          <w:tcPr>
            <w:cnfStyle w:val="001000000000" w:firstRow="0" w:lastRow="0" w:firstColumn="1" w:lastColumn="0" w:oddVBand="0" w:evenVBand="0" w:oddHBand="0" w:evenHBand="0" w:firstRowFirstColumn="0" w:firstRowLastColumn="0" w:lastRowFirstColumn="0" w:lastRowLastColumn="0"/>
            <w:tcW w:w="4363" w:type="pct"/>
            <w:gridSpan w:val="11"/>
          </w:tcPr>
          <w:p w14:paraId="60EF251E" w14:textId="77777777" w:rsidR="00476CD2" w:rsidRPr="001C60E2" w:rsidRDefault="00476CD2" w:rsidP="00476CD2">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Godišnje uštede [PJ]</w:t>
            </w:r>
          </w:p>
        </w:tc>
        <w:tc>
          <w:tcPr>
            <w:tcW w:w="637" w:type="pct"/>
            <w:vAlign w:val="center"/>
          </w:tcPr>
          <w:p w14:paraId="516FD08E" w14:textId="797DD3A5" w:rsidR="00476CD2" w:rsidRPr="001C60E2" w:rsidRDefault="00476CD2" w:rsidP="00476CD2">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cs="Arial"/>
                <w:b/>
                <w:noProof/>
                <w:sz w:val="20"/>
                <w:szCs w:val="20"/>
              </w:rPr>
            </w:pPr>
            <w:r w:rsidRPr="001C60E2">
              <w:rPr>
                <w:rFonts w:cs="Arial"/>
                <w:b/>
                <w:bCs/>
                <w:sz w:val="20"/>
                <w:szCs w:val="20"/>
              </w:rPr>
              <w:t>2,</w:t>
            </w:r>
            <w:r w:rsidR="008D0F48" w:rsidRPr="001C60E2">
              <w:rPr>
                <w:rFonts w:cs="Arial"/>
                <w:b/>
                <w:bCs/>
                <w:sz w:val="20"/>
                <w:szCs w:val="20"/>
              </w:rPr>
              <w:t>3</w:t>
            </w:r>
          </w:p>
        </w:tc>
      </w:tr>
    </w:tbl>
    <w:p w14:paraId="36951F52" w14:textId="77777777" w:rsidR="00B47CE5" w:rsidRPr="001C60E2" w:rsidRDefault="00B47CE5" w:rsidP="00B47CE5">
      <w:pPr>
        <w:pStyle w:val="PointManual1"/>
        <w:spacing w:before="0" w:after="0" w:line="276" w:lineRule="auto"/>
        <w:ind w:left="927" w:firstLine="0"/>
        <w:rPr>
          <w:rFonts w:ascii="Arial" w:hAnsi="Arial" w:cs="Arial"/>
          <w:i/>
          <w:sz w:val="22"/>
        </w:rPr>
      </w:pPr>
    </w:p>
    <w:p w14:paraId="5A1D2EBD" w14:textId="22DA1B62" w:rsidR="00326335" w:rsidRPr="001C60E2" w:rsidRDefault="00771669" w:rsidP="00326335">
      <w:pPr>
        <w:pStyle w:val="PointManual1"/>
        <w:spacing w:before="0" w:after="0" w:line="276" w:lineRule="auto"/>
        <w:ind w:left="0" w:firstLine="0"/>
        <w:rPr>
          <w:rFonts w:ascii="Arial" w:hAnsi="Arial" w:cs="Arial"/>
          <w:iCs/>
          <w:sz w:val="22"/>
        </w:rPr>
      </w:pPr>
      <w:r w:rsidRPr="001C60E2">
        <w:rPr>
          <w:rFonts w:ascii="Arial" w:hAnsi="Arial" w:cs="Arial"/>
          <w:iCs/>
          <w:sz w:val="22"/>
        </w:rPr>
        <w:t>Izračun novog kumulativnog cilja prema</w:t>
      </w:r>
      <w:r w:rsidR="00DC7B51" w:rsidRPr="001C60E2">
        <w:rPr>
          <w:rFonts w:ascii="Arial" w:hAnsi="Arial" w:cs="Arial"/>
          <w:iCs/>
          <w:sz w:val="22"/>
        </w:rPr>
        <w:t xml:space="preserve"> </w:t>
      </w:r>
      <w:r w:rsidR="00A14F76" w:rsidRPr="001C60E2">
        <w:rPr>
          <w:rFonts w:ascii="Arial" w:hAnsi="Arial" w:cs="Arial"/>
          <w:iCs/>
          <w:sz w:val="22"/>
        </w:rPr>
        <w:t xml:space="preserve">reviziji Direktive </w:t>
      </w:r>
      <w:r w:rsidR="00974053" w:rsidRPr="001C60E2">
        <w:rPr>
          <w:rFonts w:ascii="Arial" w:hAnsi="Arial" w:cs="Arial"/>
          <w:iCs/>
          <w:sz w:val="22"/>
        </w:rPr>
        <w:t>iz</w:t>
      </w:r>
      <w:r w:rsidR="00A14F76" w:rsidRPr="001C60E2">
        <w:rPr>
          <w:rFonts w:ascii="Arial" w:hAnsi="Arial" w:cs="Arial"/>
          <w:iCs/>
          <w:sz w:val="22"/>
        </w:rPr>
        <w:t xml:space="preserve"> 2023.</w:t>
      </w:r>
      <w:r w:rsidRPr="001C60E2">
        <w:rPr>
          <w:rFonts w:ascii="Arial" w:hAnsi="Arial" w:cs="Arial"/>
          <w:i/>
          <w:sz w:val="22"/>
        </w:rPr>
        <w:t xml:space="preserve"> </w:t>
      </w:r>
      <w:r w:rsidR="00974053" w:rsidRPr="001C60E2">
        <w:rPr>
          <w:rFonts w:ascii="Arial" w:hAnsi="Arial" w:cs="Arial"/>
          <w:iCs/>
          <w:sz w:val="22"/>
        </w:rPr>
        <w:t>godine</w:t>
      </w:r>
      <w:r w:rsidR="00347BD2" w:rsidRPr="001C60E2">
        <w:rPr>
          <w:rFonts w:ascii="Arial" w:hAnsi="Arial" w:cs="Arial"/>
          <w:iCs/>
          <w:sz w:val="22"/>
        </w:rPr>
        <w:t>, članak 8</w:t>
      </w:r>
      <w:r w:rsidR="008956A1" w:rsidRPr="001C60E2">
        <w:rPr>
          <w:rFonts w:ascii="Arial" w:hAnsi="Arial" w:cs="Arial"/>
          <w:iCs/>
          <w:sz w:val="22"/>
        </w:rPr>
        <w:t>.</w:t>
      </w:r>
      <w:r w:rsidR="00347BD2" w:rsidRPr="001C60E2">
        <w:rPr>
          <w:rFonts w:ascii="Arial" w:hAnsi="Arial" w:cs="Arial"/>
          <w:iCs/>
          <w:sz w:val="22"/>
        </w:rPr>
        <w:t xml:space="preserve">, </w:t>
      </w:r>
      <w:r w:rsidR="00894411" w:rsidRPr="001C60E2">
        <w:rPr>
          <w:rFonts w:ascii="Arial" w:hAnsi="Arial" w:cs="Arial"/>
          <w:iCs/>
          <w:sz w:val="22"/>
        </w:rPr>
        <w:t>stavak 1.b.</w:t>
      </w:r>
    </w:p>
    <w:p w14:paraId="497A7A52" w14:textId="77777777" w:rsidR="00974053" w:rsidRPr="001C60E2" w:rsidRDefault="00974053" w:rsidP="00326335">
      <w:pPr>
        <w:pStyle w:val="PointManual1"/>
        <w:spacing w:before="0" w:after="0" w:line="276" w:lineRule="auto"/>
        <w:ind w:left="0" w:firstLine="0"/>
        <w:rPr>
          <w:rFonts w:ascii="Arial" w:hAnsi="Arial" w:cs="Arial"/>
          <w:iCs/>
          <w:sz w:val="22"/>
        </w:rPr>
      </w:pPr>
    </w:p>
    <w:tbl>
      <w:tblPr>
        <w:tblStyle w:val="GridTable1Light"/>
        <w:tblW w:w="5000" w:type="pct"/>
        <w:tblLook w:val="04A0" w:firstRow="1" w:lastRow="0" w:firstColumn="1" w:lastColumn="0" w:noHBand="0" w:noVBand="1"/>
      </w:tblPr>
      <w:tblGrid>
        <w:gridCol w:w="1072"/>
        <w:gridCol w:w="681"/>
        <w:gridCol w:w="685"/>
        <w:gridCol w:w="685"/>
        <w:gridCol w:w="685"/>
        <w:gridCol w:w="687"/>
        <w:gridCol w:w="687"/>
        <w:gridCol w:w="687"/>
        <w:gridCol w:w="687"/>
        <w:gridCol w:w="687"/>
        <w:gridCol w:w="692"/>
        <w:gridCol w:w="1127"/>
      </w:tblGrid>
      <w:tr w:rsidR="001C60E2" w:rsidRPr="001C60E2" w14:paraId="32A8270F" w14:textId="77777777" w:rsidTr="008E10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8" w:type="pct"/>
            <w:gridSpan w:val="11"/>
            <w:vAlign w:val="center"/>
          </w:tcPr>
          <w:p w14:paraId="4F7B17F1" w14:textId="77777777" w:rsidR="00974053" w:rsidRPr="001C60E2" w:rsidRDefault="00974053" w:rsidP="009A5CE1">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Osnova za izračun cilja [ktoe]</w:t>
            </w:r>
          </w:p>
        </w:tc>
        <w:tc>
          <w:tcPr>
            <w:tcW w:w="622" w:type="pct"/>
            <w:vAlign w:val="center"/>
          </w:tcPr>
          <w:p w14:paraId="40525C35" w14:textId="77777777" w:rsidR="00974053" w:rsidRPr="001C60E2" w:rsidRDefault="00974053" w:rsidP="009A5CE1">
            <w:pPr>
              <w:pStyle w:val="PointManual1"/>
              <w:spacing w:before="0" w:after="0" w:line="276" w:lineRule="auto"/>
              <w:ind w:left="0" w:firstLine="0"/>
              <w:jc w:val="right"/>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6.803,8</w:t>
            </w:r>
          </w:p>
        </w:tc>
      </w:tr>
      <w:tr w:rsidR="001C60E2" w:rsidRPr="001C60E2" w14:paraId="643CD820" w14:textId="77777777" w:rsidTr="004544AD">
        <w:tc>
          <w:tcPr>
            <w:cnfStyle w:val="001000000000" w:firstRow="0" w:lastRow="0" w:firstColumn="1" w:lastColumn="0" w:oddVBand="0" w:evenVBand="0" w:oddHBand="0" w:evenHBand="0" w:firstRowFirstColumn="0" w:firstRowLastColumn="0" w:lastRowFirstColumn="0" w:lastRowLastColumn="0"/>
            <w:tcW w:w="591" w:type="pct"/>
            <w:vAlign w:val="center"/>
          </w:tcPr>
          <w:p w14:paraId="77EF4110" w14:textId="77777777" w:rsidR="00974053" w:rsidRPr="001C60E2" w:rsidRDefault="00974053" w:rsidP="009A5CE1">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Godišnje uštede [ktoe]</w:t>
            </w:r>
          </w:p>
        </w:tc>
        <w:tc>
          <w:tcPr>
            <w:tcW w:w="376" w:type="pct"/>
            <w:vAlign w:val="center"/>
          </w:tcPr>
          <w:p w14:paraId="30A0021E" w14:textId="77777777" w:rsidR="00974053" w:rsidRPr="001C60E2" w:rsidRDefault="00974053" w:rsidP="009A5CE1">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378" w:type="pct"/>
            <w:vAlign w:val="center"/>
          </w:tcPr>
          <w:p w14:paraId="057E03C1" w14:textId="77777777" w:rsidR="00974053" w:rsidRPr="001C60E2" w:rsidRDefault="00974053" w:rsidP="009A5CE1">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378" w:type="pct"/>
            <w:vAlign w:val="center"/>
          </w:tcPr>
          <w:p w14:paraId="4E62C832" w14:textId="77777777" w:rsidR="00974053" w:rsidRPr="001C60E2" w:rsidRDefault="00974053" w:rsidP="009A5CE1">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378" w:type="pct"/>
            <w:vAlign w:val="center"/>
          </w:tcPr>
          <w:p w14:paraId="3EA71223" w14:textId="7C34BB76" w:rsidR="00974053" w:rsidRPr="001C60E2" w:rsidRDefault="00171657" w:rsidP="009A5CE1">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b/>
                <w:bCs/>
                <w:noProof/>
                <w:sz w:val="20"/>
                <w:szCs w:val="20"/>
              </w:rPr>
            </w:pPr>
            <w:r w:rsidRPr="001C60E2">
              <w:rPr>
                <w:rFonts w:ascii="Arial" w:hAnsi="Arial" w:cs="Arial"/>
                <w:b/>
                <w:bCs/>
                <w:noProof/>
                <w:sz w:val="20"/>
                <w:szCs w:val="20"/>
              </w:rPr>
              <w:t>1,3</w:t>
            </w:r>
            <w:r w:rsidR="00974053" w:rsidRPr="001C60E2">
              <w:rPr>
                <w:rFonts w:ascii="Arial" w:hAnsi="Arial" w:cs="Arial"/>
                <w:b/>
                <w:bCs/>
                <w:noProof/>
                <w:sz w:val="20"/>
                <w:szCs w:val="20"/>
              </w:rPr>
              <w:t>%</w:t>
            </w:r>
          </w:p>
        </w:tc>
        <w:tc>
          <w:tcPr>
            <w:tcW w:w="379" w:type="pct"/>
            <w:vAlign w:val="center"/>
          </w:tcPr>
          <w:p w14:paraId="2A6F98BD" w14:textId="14EACE75" w:rsidR="00974053" w:rsidRPr="001C60E2" w:rsidRDefault="006D00F4" w:rsidP="009A5CE1">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b/>
                <w:bCs/>
                <w:noProof/>
                <w:sz w:val="20"/>
                <w:szCs w:val="20"/>
              </w:rPr>
            </w:pPr>
            <w:r w:rsidRPr="001C60E2">
              <w:rPr>
                <w:rFonts w:ascii="Arial" w:hAnsi="Arial" w:cs="Arial"/>
                <w:b/>
                <w:bCs/>
                <w:noProof/>
                <w:sz w:val="20"/>
                <w:szCs w:val="20"/>
              </w:rPr>
              <w:t>1,3</w:t>
            </w:r>
            <w:r w:rsidR="00974053" w:rsidRPr="001C60E2">
              <w:rPr>
                <w:rFonts w:ascii="Arial" w:hAnsi="Arial" w:cs="Arial"/>
                <w:b/>
                <w:bCs/>
                <w:noProof/>
                <w:sz w:val="20"/>
                <w:szCs w:val="20"/>
              </w:rPr>
              <w:t>%</w:t>
            </w:r>
          </w:p>
        </w:tc>
        <w:tc>
          <w:tcPr>
            <w:tcW w:w="379" w:type="pct"/>
            <w:vAlign w:val="center"/>
          </w:tcPr>
          <w:p w14:paraId="16436434" w14:textId="1C79EE77" w:rsidR="00974053" w:rsidRPr="001C60E2" w:rsidRDefault="006D00F4" w:rsidP="009A5CE1">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b/>
                <w:bCs/>
                <w:noProof/>
                <w:sz w:val="20"/>
                <w:szCs w:val="20"/>
              </w:rPr>
            </w:pPr>
            <w:r w:rsidRPr="001C60E2">
              <w:rPr>
                <w:rFonts w:ascii="Arial" w:hAnsi="Arial" w:cs="Arial"/>
                <w:b/>
                <w:bCs/>
                <w:noProof/>
                <w:sz w:val="20"/>
                <w:szCs w:val="20"/>
              </w:rPr>
              <w:t>1,5</w:t>
            </w:r>
            <w:r w:rsidR="00974053" w:rsidRPr="001C60E2">
              <w:rPr>
                <w:rFonts w:ascii="Arial" w:hAnsi="Arial" w:cs="Arial"/>
                <w:b/>
                <w:bCs/>
                <w:noProof/>
                <w:sz w:val="20"/>
                <w:szCs w:val="20"/>
              </w:rPr>
              <w:t>%</w:t>
            </w:r>
          </w:p>
        </w:tc>
        <w:tc>
          <w:tcPr>
            <w:tcW w:w="379" w:type="pct"/>
            <w:vAlign w:val="center"/>
          </w:tcPr>
          <w:p w14:paraId="3267D4B1" w14:textId="56221AE8" w:rsidR="00974053" w:rsidRPr="001C60E2" w:rsidRDefault="006D00F4" w:rsidP="009A5CE1">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b/>
                <w:bCs/>
                <w:noProof/>
                <w:sz w:val="20"/>
                <w:szCs w:val="20"/>
              </w:rPr>
            </w:pPr>
            <w:r w:rsidRPr="001C60E2">
              <w:rPr>
                <w:rFonts w:ascii="Arial" w:hAnsi="Arial" w:cs="Arial"/>
                <w:b/>
                <w:bCs/>
                <w:noProof/>
                <w:sz w:val="20"/>
                <w:szCs w:val="20"/>
              </w:rPr>
              <w:t>1,5</w:t>
            </w:r>
            <w:r w:rsidR="00974053" w:rsidRPr="001C60E2">
              <w:rPr>
                <w:rFonts w:ascii="Arial" w:hAnsi="Arial" w:cs="Arial"/>
                <w:b/>
                <w:bCs/>
                <w:noProof/>
                <w:sz w:val="20"/>
                <w:szCs w:val="20"/>
              </w:rPr>
              <w:t>%</w:t>
            </w:r>
          </w:p>
        </w:tc>
        <w:tc>
          <w:tcPr>
            <w:tcW w:w="379" w:type="pct"/>
            <w:vAlign w:val="center"/>
          </w:tcPr>
          <w:p w14:paraId="54574DCF" w14:textId="64AB778F" w:rsidR="00974053" w:rsidRPr="001C60E2" w:rsidRDefault="006D00F4" w:rsidP="009A5CE1">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b/>
                <w:bCs/>
                <w:noProof/>
                <w:sz w:val="20"/>
                <w:szCs w:val="20"/>
              </w:rPr>
            </w:pPr>
            <w:r w:rsidRPr="001C60E2">
              <w:rPr>
                <w:rFonts w:ascii="Arial" w:hAnsi="Arial" w:cs="Arial"/>
                <w:b/>
                <w:bCs/>
                <w:noProof/>
                <w:sz w:val="20"/>
                <w:szCs w:val="20"/>
              </w:rPr>
              <w:t>1,9</w:t>
            </w:r>
            <w:r w:rsidR="00974053" w:rsidRPr="001C60E2">
              <w:rPr>
                <w:rFonts w:ascii="Arial" w:hAnsi="Arial" w:cs="Arial"/>
                <w:b/>
                <w:bCs/>
                <w:noProof/>
                <w:sz w:val="20"/>
                <w:szCs w:val="20"/>
              </w:rPr>
              <w:t>%</w:t>
            </w:r>
          </w:p>
        </w:tc>
        <w:tc>
          <w:tcPr>
            <w:tcW w:w="379" w:type="pct"/>
            <w:vAlign w:val="center"/>
          </w:tcPr>
          <w:p w14:paraId="3450F14A" w14:textId="60A38979" w:rsidR="00974053" w:rsidRPr="001C60E2" w:rsidRDefault="006D00F4" w:rsidP="009A5CE1">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b/>
                <w:bCs/>
                <w:noProof/>
                <w:sz w:val="20"/>
                <w:szCs w:val="20"/>
              </w:rPr>
            </w:pPr>
            <w:r w:rsidRPr="001C60E2">
              <w:rPr>
                <w:rFonts w:ascii="Arial" w:hAnsi="Arial" w:cs="Arial"/>
                <w:b/>
                <w:bCs/>
                <w:noProof/>
                <w:sz w:val="20"/>
                <w:szCs w:val="20"/>
              </w:rPr>
              <w:t>1,9</w:t>
            </w:r>
            <w:r w:rsidR="00974053" w:rsidRPr="001C60E2">
              <w:rPr>
                <w:rFonts w:ascii="Arial" w:hAnsi="Arial" w:cs="Arial"/>
                <w:b/>
                <w:bCs/>
                <w:noProof/>
                <w:sz w:val="20"/>
                <w:szCs w:val="20"/>
              </w:rPr>
              <w:t>%</w:t>
            </w:r>
          </w:p>
        </w:tc>
        <w:tc>
          <w:tcPr>
            <w:tcW w:w="382" w:type="pct"/>
            <w:vAlign w:val="center"/>
          </w:tcPr>
          <w:p w14:paraId="20457DB9" w14:textId="7B3C5F11" w:rsidR="00974053" w:rsidRPr="001C60E2" w:rsidRDefault="006D00F4" w:rsidP="009A5CE1">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b/>
                <w:bCs/>
                <w:noProof/>
                <w:sz w:val="20"/>
                <w:szCs w:val="20"/>
              </w:rPr>
            </w:pPr>
            <w:r w:rsidRPr="001C60E2">
              <w:rPr>
                <w:rFonts w:ascii="Arial" w:hAnsi="Arial" w:cs="Arial"/>
                <w:b/>
                <w:bCs/>
                <w:noProof/>
                <w:sz w:val="20"/>
                <w:szCs w:val="20"/>
              </w:rPr>
              <w:t>1,9</w:t>
            </w:r>
            <w:r w:rsidR="00974053" w:rsidRPr="001C60E2">
              <w:rPr>
                <w:rFonts w:ascii="Arial" w:hAnsi="Arial" w:cs="Arial"/>
                <w:b/>
                <w:bCs/>
                <w:noProof/>
                <w:sz w:val="20"/>
                <w:szCs w:val="20"/>
              </w:rPr>
              <w:t>%</w:t>
            </w:r>
          </w:p>
        </w:tc>
        <w:tc>
          <w:tcPr>
            <w:tcW w:w="622" w:type="pct"/>
            <w:vAlign w:val="center"/>
          </w:tcPr>
          <w:p w14:paraId="24F4F3E1" w14:textId="77777777" w:rsidR="00974053" w:rsidRPr="001C60E2" w:rsidRDefault="00974053" w:rsidP="009A5CE1">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p>
        </w:tc>
      </w:tr>
      <w:tr w:rsidR="001C60E2" w:rsidRPr="001C60E2" w14:paraId="5F345E85" w14:textId="77777777" w:rsidTr="004544AD">
        <w:tc>
          <w:tcPr>
            <w:cnfStyle w:val="001000000000" w:firstRow="0" w:lastRow="0" w:firstColumn="1" w:lastColumn="0" w:oddVBand="0" w:evenVBand="0" w:oddHBand="0" w:evenHBand="0" w:firstRowFirstColumn="0" w:firstRowLastColumn="0" w:lastRowFirstColumn="0" w:lastRowLastColumn="0"/>
            <w:tcW w:w="591" w:type="pct"/>
          </w:tcPr>
          <w:p w14:paraId="0D3C3838" w14:textId="77777777" w:rsidR="00974053" w:rsidRPr="001C60E2" w:rsidRDefault="00974053" w:rsidP="009A5CE1">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2021</w:t>
            </w:r>
          </w:p>
        </w:tc>
        <w:tc>
          <w:tcPr>
            <w:tcW w:w="376" w:type="pct"/>
            <w:vAlign w:val="center"/>
          </w:tcPr>
          <w:p w14:paraId="5A4561BB"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vAlign w:val="center"/>
          </w:tcPr>
          <w:p w14:paraId="32C33546"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8" w:type="pct"/>
            <w:vAlign w:val="center"/>
          </w:tcPr>
          <w:p w14:paraId="05DF9F51"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8" w:type="pct"/>
            <w:vAlign w:val="center"/>
          </w:tcPr>
          <w:p w14:paraId="6EEF9494"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7823EDC5"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15659016"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745556A8"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08EA73DB"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256B3FBF"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82" w:type="pct"/>
            <w:vAlign w:val="center"/>
          </w:tcPr>
          <w:p w14:paraId="1E795C27"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622" w:type="pct"/>
            <w:vAlign w:val="center"/>
          </w:tcPr>
          <w:p w14:paraId="30D10EDF"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r>
      <w:tr w:rsidR="001C60E2" w:rsidRPr="001C60E2" w14:paraId="740C56C1" w14:textId="77777777" w:rsidTr="004544AD">
        <w:tc>
          <w:tcPr>
            <w:cnfStyle w:val="001000000000" w:firstRow="0" w:lastRow="0" w:firstColumn="1" w:lastColumn="0" w:oddVBand="0" w:evenVBand="0" w:oddHBand="0" w:evenHBand="0" w:firstRowFirstColumn="0" w:firstRowLastColumn="0" w:lastRowFirstColumn="0" w:lastRowLastColumn="0"/>
            <w:tcW w:w="591" w:type="pct"/>
          </w:tcPr>
          <w:p w14:paraId="771B0887" w14:textId="77777777" w:rsidR="00974053" w:rsidRPr="001C60E2" w:rsidRDefault="00974053" w:rsidP="009A5CE1">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2022</w:t>
            </w:r>
          </w:p>
        </w:tc>
        <w:tc>
          <w:tcPr>
            <w:tcW w:w="376" w:type="pct"/>
            <w:vAlign w:val="center"/>
          </w:tcPr>
          <w:p w14:paraId="632318AE"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vAlign w:val="center"/>
          </w:tcPr>
          <w:p w14:paraId="5476ABF1"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vAlign w:val="center"/>
          </w:tcPr>
          <w:p w14:paraId="67AF297F"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8" w:type="pct"/>
            <w:vAlign w:val="center"/>
          </w:tcPr>
          <w:p w14:paraId="45D7CB06"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02946F83"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1386AF43"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30FE5970"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28B9DBBB"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7D2F57B1"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82" w:type="pct"/>
            <w:vAlign w:val="center"/>
          </w:tcPr>
          <w:p w14:paraId="1C441B70"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622" w:type="pct"/>
            <w:vAlign w:val="center"/>
          </w:tcPr>
          <w:p w14:paraId="7BDD4E28"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108,9</w:t>
            </w:r>
          </w:p>
        </w:tc>
      </w:tr>
      <w:tr w:rsidR="001C60E2" w:rsidRPr="001C60E2" w14:paraId="15483A5D" w14:textId="77777777" w:rsidTr="004544AD">
        <w:tc>
          <w:tcPr>
            <w:cnfStyle w:val="001000000000" w:firstRow="0" w:lastRow="0" w:firstColumn="1" w:lastColumn="0" w:oddVBand="0" w:evenVBand="0" w:oddHBand="0" w:evenHBand="0" w:firstRowFirstColumn="0" w:firstRowLastColumn="0" w:lastRowFirstColumn="0" w:lastRowLastColumn="0"/>
            <w:tcW w:w="591" w:type="pct"/>
          </w:tcPr>
          <w:p w14:paraId="18691EA1" w14:textId="77777777" w:rsidR="00974053" w:rsidRPr="001C60E2" w:rsidRDefault="00974053" w:rsidP="009A5CE1">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2023</w:t>
            </w:r>
          </w:p>
        </w:tc>
        <w:tc>
          <w:tcPr>
            <w:tcW w:w="376" w:type="pct"/>
            <w:vAlign w:val="center"/>
          </w:tcPr>
          <w:p w14:paraId="13C8CB5A"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vAlign w:val="center"/>
          </w:tcPr>
          <w:p w14:paraId="192DEC67"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vAlign w:val="center"/>
          </w:tcPr>
          <w:p w14:paraId="11D2E172"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vAlign w:val="center"/>
          </w:tcPr>
          <w:p w14:paraId="621F8477"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6E29AFF4"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505024F7"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2DA7055A"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7B851D91"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3CCC35A4"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82" w:type="pct"/>
            <w:vAlign w:val="center"/>
          </w:tcPr>
          <w:p w14:paraId="0132B910"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622" w:type="pct"/>
            <w:vAlign w:val="center"/>
          </w:tcPr>
          <w:p w14:paraId="11F23E2F" w14:textId="77777777" w:rsidR="00974053" w:rsidRPr="001C60E2" w:rsidRDefault="00974053" w:rsidP="009A5CE1">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163,3</w:t>
            </w:r>
          </w:p>
        </w:tc>
      </w:tr>
      <w:tr w:rsidR="001C60E2" w:rsidRPr="001C60E2" w14:paraId="57027188" w14:textId="77777777" w:rsidTr="004544AD">
        <w:tc>
          <w:tcPr>
            <w:cnfStyle w:val="001000000000" w:firstRow="0" w:lastRow="0" w:firstColumn="1" w:lastColumn="0" w:oddVBand="0" w:evenVBand="0" w:oddHBand="0" w:evenHBand="0" w:firstRowFirstColumn="0" w:firstRowLastColumn="0" w:lastRowFirstColumn="0" w:lastRowLastColumn="0"/>
            <w:tcW w:w="591" w:type="pct"/>
          </w:tcPr>
          <w:p w14:paraId="0EF3C3FD" w14:textId="77777777" w:rsidR="004544AD" w:rsidRPr="001C60E2" w:rsidRDefault="004544AD" w:rsidP="004544AD">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2024</w:t>
            </w:r>
          </w:p>
        </w:tc>
        <w:tc>
          <w:tcPr>
            <w:tcW w:w="376" w:type="pct"/>
            <w:vAlign w:val="center"/>
          </w:tcPr>
          <w:p w14:paraId="38B2739A"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vAlign w:val="center"/>
          </w:tcPr>
          <w:p w14:paraId="31099CFF"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vAlign w:val="center"/>
          </w:tcPr>
          <w:p w14:paraId="58D8ADB7"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vAlign w:val="center"/>
          </w:tcPr>
          <w:p w14:paraId="0B8D1F79" w14:textId="733D951D"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88,4</w:t>
            </w:r>
          </w:p>
        </w:tc>
        <w:tc>
          <w:tcPr>
            <w:tcW w:w="379" w:type="pct"/>
            <w:vAlign w:val="center"/>
          </w:tcPr>
          <w:p w14:paraId="3FFD1E34"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6C7C8209"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7F95889B"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26A68D88"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5E90718C"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82" w:type="pct"/>
            <w:vAlign w:val="center"/>
          </w:tcPr>
          <w:p w14:paraId="6660EB36"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622" w:type="pct"/>
          </w:tcPr>
          <w:p w14:paraId="2F2C7147" w14:textId="7ECBE6B2"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C60E2">
              <w:rPr>
                <w:rFonts w:ascii="Arial" w:hAnsi="Arial" w:cs="Arial"/>
                <w:sz w:val="18"/>
                <w:szCs w:val="18"/>
              </w:rPr>
              <w:t>251,7</w:t>
            </w:r>
          </w:p>
        </w:tc>
      </w:tr>
      <w:tr w:rsidR="001C60E2" w:rsidRPr="001C60E2" w14:paraId="7F6F9A15" w14:textId="77777777" w:rsidTr="004544AD">
        <w:tc>
          <w:tcPr>
            <w:cnfStyle w:val="001000000000" w:firstRow="0" w:lastRow="0" w:firstColumn="1" w:lastColumn="0" w:oddVBand="0" w:evenVBand="0" w:oddHBand="0" w:evenHBand="0" w:firstRowFirstColumn="0" w:firstRowLastColumn="0" w:lastRowFirstColumn="0" w:lastRowLastColumn="0"/>
            <w:tcW w:w="591" w:type="pct"/>
          </w:tcPr>
          <w:p w14:paraId="13CA45DA" w14:textId="77777777" w:rsidR="004544AD" w:rsidRPr="001C60E2" w:rsidRDefault="004544AD" w:rsidP="004544AD">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2025</w:t>
            </w:r>
          </w:p>
        </w:tc>
        <w:tc>
          <w:tcPr>
            <w:tcW w:w="376" w:type="pct"/>
            <w:vAlign w:val="center"/>
          </w:tcPr>
          <w:p w14:paraId="51E66EB2"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vAlign w:val="center"/>
          </w:tcPr>
          <w:p w14:paraId="10318CD7"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vAlign w:val="center"/>
          </w:tcPr>
          <w:p w14:paraId="57F4D657"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tcPr>
          <w:p w14:paraId="66CFB752" w14:textId="3132477A"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88,4</w:t>
            </w:r>
          </w:p>
        </w:tc>
        <w:tc>
          <w:tcPr>
            <w:tcW w:w="379" w:type="pct"/>
          </w:tcPr>
          <w:p w14:paraId="49B8BE53" w14:textId="369E7E2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88,4</w:t>
            </w:r>
          </w:p>
        </w:tc>
        <w:tc>
          <w:tcPr>
            <w:tcW w:w="379" w:type="pct"/>
            <w:vAlign w:val="center"/>
          </w:tcPr>
          <w:p w14:paraId="4F6A4174"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3A5DEE09"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4081A284"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48447439"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82" w:type="pct"/>
            <w:vAlign w:val="center"/>
          </w:tcPr>
          <w:p w14:paraId="052B997C"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622" w:type="pct"/>
          </w:tcPr>
          <w:p w14:paraId="74ABD74D" w14:textId="0ED113B5"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C60E2">
              <w:rPr>
                <w:rFonts w:ascii="Arial" w:hAnsi="Arial" w:cs="Arial"/>
                <w:sz w:val="18"/>
                <w:szCs w:val="18"/>
              </w:rPr>
              <w:t>340,2</w:t>
            </w:r>
          </w:p>
        </w:tc>
      </w:tr>
      <w:tr w:rsidR="001C60E2" w:rsidRPr="001C60E2" w14:paraId="0E553214" w14:textId="77777777" w:rsidTr="004544AD">
        <w:tc>
          <w:tcPr>
            <w:cnfStyle w:val="001000000000" w:firstRow="0" w:lastRow="0" w:firstColumn="1" w:lastColumn="0" w:oddVBand="0" w:evenVBand="0" w:oddHBand="0" w:evenHBand="0" w:firstRowFirstColumn="0" w:firstRowLastColumn="0" w:lastRowFirstColumn="0" w:lastRowLastColumn="0"/>
            <w:tcW w:w="591" w:type="pct"/>
          </w:tcPr>
          <w:p w14:paraId="7777143B" w14:textId="77777777" w:rsidR="004544AD" w:rsidRPr="001C60E2" w:rsidRDefault="004544AD" w:rsidP="004544AD">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2026</w:t>
            </w:r>
          </w:p>
        </w:tc>
        <w:tc>
          <w:tcPr>
            <w:tcW w:w="376" w:type="pct"/>
            <w:vAlign w:val="center"/>
          </w:tcPr>
          <w:p w14:paraId="2E501E56"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vAlign w:val="center"/>
          </w:tcPr>
          <w:p w14:paraId="52A8894E"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vAlign w:val="center"/>
          </w:tcPr>
          <w:p w14:paraId="26A85ACA"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tcPr>
          <w:p w14:paraId="23AFCEFA" w14:textId="4976108B"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88,4</w:t>
            </w:r>
          </w:p>
        </w:tc>
        <w:tc>
          <w:tcPr>
            <w:tcW w:w="379" w:type="pct"/>
          </w:tcPr>
          <w:p w14:paraId="2AA40D43" w14:textId="1F3EF074"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88,4</w:t>
            </w:r>
          </w:p>
        </w:tc>
        <w:tc>
          <w:tcPr>
            <w:tcW w:w="379" w:type="pct"/>
            <w:vAlign w:val="center"/>
          </w:tcPr>
          <w:p w14:paraId="729D7EE8" w14:textId="1008EDFE"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102,1</w:t>
            </w:r>
          </w:p>
        </w:tc>
        <w:tc>
          <w:tcPr>
            <w:tcW w:w="379" w:type="pct"/>
            <w:vAlign w:val="center"/>
          </w:tcPr>
          <w:p w14:paraId="1F1A73A2"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54D2D050"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368E6B53"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82" w:type="pct"/>
            <w:vAlign w:val="center"/>
          </w:tcPr>
          <w:p w14:paraId="10B815F6"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622" w:type="pct"/>
          </w:tcPr>
          <w:p w14:paraId="012F4ACC" w14:textId="0BF73C25"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C60E2">
              <w:rPr>
                <w:rFonts w:ascii="Arial" w:hAnsi="Arial" w:cs="Arial"/>
                <w:sz w:val="18"/>
                <w:szCs w:val="18"/>
              </w:rPr>
              <w:t>442,2</w:t>
            </w:r>
          </w:p>
        </w:tc>
      </w:tr>
      <w:tr w:rsidR="001C60E2" w:rsidRPr="001C60E2" w14:paraId="4F6D5382" w14:textId="77777777" w:rsidTr="004544AD">
        <w:tc>
          <w:tcPr>
            <w:cnfStyle w:val="001000000000" w:firstRow="0" w:lastRow="0" w:firstColumn="1" w:lastColumn="0" w:oddVBand="0" w:evenVBand="0" w:oddHBand="0" w:evenHBand="0" w:firstRowFirstColumn="0" w:firstRowLastColumn="0" w:lastRowFirstColumn="0" w:lastRowLastColumn="0"/>
            <w:tcW w:w="591" w:type="pct"/>
          </w:tcPr>
          <w:p w14:paraId="756EE50F" w14:textId="77777777" w:rsidR="004544AD" w:rsidRPr="001C60E2" w:rsidRDefault="004544AD" w:rsidP="004544AD">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2027</w:t>
            </w:r>
          </w:p>
        </w:tc>
        <w:tc>
          <w:tcPr>
            <w:tcW w:w="376" w:type="pct"/>
            <w:vAlign w:val="center"/>
          </w:tcPr>
          <w:p w14:paraId="3A5653D8"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vAlign w:val="center"/>
          </w:tcPr>
          <w:p w14:paraId="1CDB4A2E"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vAlign w:val="center"/>
          </w:tcPr>
          <w:p w14:paraId="23B98FD8"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tcPr>
          <w:p w14:paraId="20D00FBD" w14:textId="3FDFE191"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88,4</w:t>
            </w:r>
          </w:p>
        </w:tc>
        <w:tc>
          <w:tcPr>
            <w:tcW w:w="379" w:type="pct"/>
          </w:tcPr>
          <w:p w14:paraId="68F876F6" w14:textId="7C0F8CF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88,4</w:t>
            </w:r>
          </w:p>
        </w:tc>
        <w:tc>
          <w:tcPr>
            <w:tcW w:w="379" w:type="pct"/>
            <w:vAlign w:val="center"/>
          </w:tcPr>
          <w:p w14:paraId="1EF8A924" w14:textId="30AD562A"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102,1</w:t>
            </w:r>
          </w:p>
        </w:tc>
        <w:tc>
          <w:tcPr>
            <w:tcW w:w="379" w:type="pct"/>
            <w:vAlign w:val="center"/>
          </w:tcPr>
          <w:p w14:paraId="447D8186" w14:textId="321089F8"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102,1</w:t>
            </w:r>
          </w:p>
        </w:tc>
        <w:tc>
          <w:tcPr>
            <w:tcW w:w="379" w:type="pct"/>
            <w:vAlign w:val="center"/>
          </w:tcPr>
          <w:p w14:paraId="1DDEDB68"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79" w:type="pct"/>
            <w:vAlign w:val="center"/>
          </w:tcPr>
          <w:p w14:paraId="0993E393"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82" w:type="pct"/>
            <w:vAlign w:val="center"/>
          </w:tcPr>
          <w:p w14:paraId="098E3A20"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622" w:type="pct"/>
          </w:tcPr>
          <w:p w14:paraId="30588830" w14:textId="558E7521"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C60E2">
              <w:rPr>
                <w:rFonts w:ascii="Arial" w:hAnsi="Arial" w:cs="Arial"/>
                <w:sz w:val="18"/>
                <w:szCs w:val="18"/>
              </w:rPr>
              <w:t>544,3</w:t>
            </w:r>
          </w:p>
        </w:tc>
      </w:tr>
      <w:tr w:rsidR="001C60E2" w:rsidRPr="001C60E2" w14:paraId="66E159E7" w14:textId="77777777" w:rsidTr="004544AD">
        <w:tc>
          <w:tcPr>
            <w:cnfStyle w:val="001000000000" w:firstRow="0" w:lastRow="0" w:firstColumn="1" w:lastColumn="0" w:oddVBand="0" w:evenVBand="0" w:oddHBand="0" w:evenHBand="0" w:firstRowFirstColumn="0" w:firstRowLastColumn="0" w:lastRowFirstColumn="0" w:lastRowLastColumn="0"/>
            <w:tcW w:w="591" w:type="pct"/>
          </w:tcPr>
          <w:p w14:paraId="3029734D" w14:textId="77777777" w:rsidR="004544AD" w:rsidRPr="001C60E2" w:rsidRDefault="004544AD" w:rsidP="004544AD">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2028</w:t>
            </w:r>
          </w:p>
        </w:tc>
        <w:tc>
          <w:tcPr>
            <w:tcW w:w="376" w:type="pct"/>
            <w:vAlign w:val="center"/>
          </w:tcPr>
          <w:p w14:paraId="413918FB"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vAlign w:val="center"/>
          </w:tcPr>
          <w:p w14:paraId="46801E04"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vAlign w:val="center"/>
          </w:tcPr>
          <w:p w14:paraId="3C0C4836"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tcPr>
          <w:p w14:paraId="3E3B0168" w14:textId="672B4B05"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88,4</w:t>
            </w:r>
          </w:p>
        </w:tc>
        <w:tc>
          <w:tcPr>
            <w:tcW w:w="379" w:type="pct"/>
          </w:tcPr>
          <w:p w14:paraId="78B1B8B0" w14:textId="3BFA8CA1"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88,4</w:t>
            </w:r>
          </w:p>
        </w:tc>
        <w:tc>
          <w:tcPr>
            <w:tcW w:w="379" w:type="pct"/>
            <w:vAlign w:val="center"/>
          </w:tcPr>
          <w:p w14:paraId="550723D5" w14:textId="23C8DFDE"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102,1</w:t>
            </w:r>
          </w:p>
        </w:tc>
        <w:tc>
          <w:tcPr>
            <w:tcW w:w="379" w:type="pct"/>
            <w:vAlign w:val="center"/>
          </w:tcPr>
          <w:p w14:paraId="0DF691CD" w14:textId="23D18BCB"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102,1</w:t>
            </w:r>
          </w:p>
        </w:tc>
        <w:tc>
          <w:tcPr>
            <w:tcW w:w="379" w:type="pct"/>
            <w:vAlign w:val="center"/>
          </w:tcPr>
          <w:p w14:paraId="47441CC5" w14:textId="24F9D41C"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129,3</w:t>
            </w:r>
          </w:p>
        </w:tc>
        <w:tc>
          <w:tcPr>
            <w:tcW w:w="379" w:type="pct"/>
            <w:vAlign w:val="center"/>
          </w:tcPr>
          <w:p w14:paraId="1B108D5B"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382" w:type="pct"/>
            <w:vAlign w:val="center"/>
          </w:tcPr>
          <w:p w14:paraId="650BA317"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622" w:type="pct"/>
          </w:tcPr>
          <w:p w14:paraId="0A7C8AB1" w14:textId="3B1C9A60"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C60E2">
              <w:rPr>
                <w:rFonts w:ascii="Arial" w:hAnsi="Arial" w:cs="Arial"/>
                <w:sz w:val="18"/>
                <w:szCs w:val="18"/>
              </w:rPr>
              <w:t>673,6</w:t>
            </w:r>
          </w:p>
        </w:tc>
      </w:tr>
      <w:tr w:rsidR="001C60E2" w:rsidRPr="001C60E2" w14:paraId="46AADAF4" w14:textId="77777777" w:rsidTr="004544AD">
        <w:tc>
          <w:tcPr>
            <w:cnfStyle w:val="001000000000" w:firstRow="0" w:lastRow="0" w:firstColumn="1" w:lastColumn="0" w:oddVBand="0" w:evenVBand="0" w:oddHBand="0" w:evenHBand="0" w:firstRowFirstColumn="0" w:firstRowLastColumn="0" w:lastRowFirstColumn="0" w:lastRowLastColumn="0"/>
            <w:tcW w:w="591" w:type="pct"/>
          </w:tcPr>
          <w:p w14:paraId="6E42D632" w14:textId="77777777" w:rsidR="004544AD" w:rsidRPr="001C60E2" w:rsidRDefault="004544AD" w:rsidP="004544AD">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2029</w:t>
            </w:r>
          </w:p>
        </w:tc>
        <w:tc>
          <w:tcPr>
            <w:tcW w:w="376" w:type="pct"/>
            <w:vAlign w:val="center"/>
          </w:tcPr>
          <w:p w14:paraId="15202FDB"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vAlign w:val="center"/>
          </w:tcPr>
          <w:p w14:paraId="0ED8A96C"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vAlign w:val="center"/>
          </w:tcPr>
          <w:p w14:paraId="28E844F1"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tcPr>
          <w:p w14:paraId="71A98792" w14:textId="63D84C48"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88,4</w:t>
            </w:r>
          </w:p>
        </w:tc>
        <w:tc>
          <w:tcPr>
            <w:tcW w:w="379" w:type="pct"/>
          </w:tcPr>
          <w:p w14:paraId="0FC2EAD2" w14:textId="777EFFCA"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88,4</w:t>
            </w:r>
          </w:p>
        </w:tc>
        <w:tc>
          <w:tcPr>
            <w:tcW w:w="379" w:type="pct"/>
            <w:vAlign w:val="center"/>
          </w:tcPr>
          <w:p w14:paraId="43B73AA7" w14:textId="166FCF76"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102,1</w:t>
            </w:r>
          </w:p>
        </w:tc>
        <w:tc>
          <w:tcPr>
            <w:tcW w:w="379" w:type="pct"/>
            <w:vAlign w:val="center"/>
          </w:tcPr>
          <w:p w14:paraId="6751F3A1" w14:textId="68DABE3D"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102,1</w:t>
            </w:r>
          </w:p>
        </w:tc>
        <w:tc>
          <w:tcPr>
            <w:tcW w:w="379" w:type="pct"/>
          </w:tcPr>
          <w:p w14:paraId="4DFC54F5" w14:textId="65A75C01"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129,3</w:t>
            </w:r>
          </w:p>
        </w:tc>
        <w:tc>
          <w:tcPr>
            <w:tcW w:w="379" w:type="pct"/>
          </w:tcPr>
          <w:p w14:paraId="6454234D" w14:textId="014A396E"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129,3</w:t>
            </w:r>
          </w:p>
        </w:tc>
        <w:tc>
          <w:tcPr>
            <w:tcW w:w="382" w:type="pct"/>
            <w:vAlign w:val="center"/>
          </w:tcPr>
          <w:p w14:paraId="0ADB3B2F"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622" w:type="pct"/>
          </w:tcPr>
          <w:p w14:paraId="177A375E" w14:textId="6AEB41DC"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C60E2">
              <w:rPr>
                <w:rFonts w:ascii="Arial" w:hAnsi="Arial" w:cs="Arial"/>
                <w:sz w:val="18"/>
                <w:szCs w:val="18"/>
              </w:rPr>
              <w:t>802,8</w:t>
            </w:r>
          </w:p>
        </w:tc>
      </w:tr>
      <w:tr w:rsidR="001C60E2" w:rsidRPr="001C60E2" w14:paraId="7CC06EBF" w14:textId="77777777" w:rsidTr="004544AD">
        <w:tc>
          <w:tcPr>
            <w:cnfStyle w:val="001000000000" w:firstRow="0" w:lastRow="0" w:firstColumn="1" w:lastColumn="0" w:oddVBand="0" w:evenVBand="0" w:oddHBand="0" w:evenHBand="0" w:firstRowFirstColumn="0" w:firstRowLastColumn="0" w:lastRowFirstColumn="0" w:lastRowLastColumn="0"/>
            <w:tcW w:w="591" w:type="pct"/>
          </w:tcPr>
          <w:p w14:paraId="239E9943" w14:textId="77777777" w:rsidR="004544AD" w:rsidRPr="001C60E2" w:rsidRDefault="004544AD" w:rsidP="004544AD">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2030</w:t>
            </w:r>
          </w:p>
        </w:tc>
        <w:tc>
          <w:tcPr>
            <w:tcW w:w="376" w:type="pct"/>
            <w:vAlign w:val="center"/>
          </w:tcPr>
          <w:p w14:paraId="166A51EB"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vAlign w:val="center"/>
          </w:tcPr>
          <w:p w14:paraId="07D56F27"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vAlign w:val="center"/>
          </w:tcPr>
          <w:p w14:paraId="2215E949" w14:textId="77777777"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54,4</w:t>
            </w:r>
          </w:p>
        </w:tc>
        <w:tc>
          <w:tcPr>
            <w:tcW w:w="378" w:type="pct"/>
          </w:tcPr>
          <w:p w14:paraId="3DA35F40" w14:textId="42409064"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88,4</w:t>
            </w:r>
          </w:p>
        </w:tc>
        <w:tc>
          <w:tcPr>
            <w:tcW w:w="379" w:type="pct"/>
          </w:tcPr>
          <w:p w14:paraId="3F89E9E6" w14:textId="3D8E032B"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88,4</w:t>
            </w:r>
          </w:p>
        </w:tc>
        <w:tc>
          <w:tcPr>
            <w:tcW w:w="379" w:type="pct"/>
            <w:vAlign w:val="center"/>
          </w:tcPr>
          <w:p w14:paraId="28DEF99E" w14:textId="127FE051"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102,1</w:t>
            </w:r>
          </w:p>
        </w:tc>
        <w:tc>
          <w:tcPr>
            <w:tcW w:w="379" w:type="pct"/>
            <w:vAlign w:val="center"/>
          </w:tcPr>
          <w:p w14:paraId="0D1AECCE" w14:textId="4CEDE134"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102,1</w:t>
            </w:r>
          </w:p>
        </w:tc>
        <w:tc>
          <w:tcPr>
            <w:tcW w:w="379" w:type="pct"/>
          </w:tcPr>
          <w:p w14:paraId="5CFB5C79" w14:textId="602C580B"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129,3</w:t>
            </w:r>
          </w:p>
        </w:tc>
        <w:tc>
          <w:tcPr>
            <w:tcW w:w="379" w:type="pct"/>
          </w:tcPr>
          <w:p w14:paraId="32176C4B" w14:textId="21945CC6"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129,3</w:t>
            </w:r>
          </w:p>
        </w:tc>
        <w:tc>
          <w:tcPr>
            <w:tcW w:w="382" w:type="pct"/>
            <w:vAlign w:val="center"/>
          </w:tcPr>
          <w:p w14:paraId="47A24706" w14:textId="77204520"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129,3</w:t>
            </w:r>
          </w:p>
        </w:tc>
        <w:tc>
          <w:tcPr>
            <w:tcW w:w="622" w:type="pct"/>
          </w:tcPr>
          <w:p w14:paraId="378B797D" w14:textId="6AAFE7C1" w:rsidR="004544AD" w:rsidRPr="001C60E2" w:rsidRDefault="004544AD" w:rsidP="004544AD">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C60E2">
              <w:rPr>
                <w:rFonts w:ascii="Arial" w:hAnsi="Arial" w:cs="Arial"/>
                <w:sz w:val="18"/>
                <w:szCs w:val="18"/>
              </w:rPr>
              <w:t>932,1</w:t>
            </w:r>
          </w:p>
        </w:tc>
      </w:tr>
      <w:tr w:rsidR="001C60E2" w:rsidRPr="001C60E2" w14:paraId="6A4DD461" w14:textId="77777777" w:rsidTr="005C4FEC">
        <w:tc>
          <w:tcPr>
            <w:cnfStyle w:val="001000000000" w:firstRow="0" w:lastRow="0" w:firstColumn="1" w:lastColumn="0" w:oddVBand="0" w:evenVBand="0" w:oddHBand="0" w:evenHBand="0" w:firstRowFirstColumn="0" w:firstRowLastColumn="0" w:lastRowFirstColumn="0" w:lastRowLastColumn="0"/>
            <w:tcW w:w="4378" w:type="pct"/>
            <w:gridSpan w:val="11"/>
          </w:tcPr>
          <w:p w14:paraId="7D659A62" w14:textId="77777777" w:rsidR="000036AA" w:rsidRPr="001C60E2" w:rsidRDefault="000036AA" w:rsidP="000036AA">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UKUPNI KUMULATIVNI CILJ ZA RAZDOBLJE 2021. – 2030. [ktoe]</w:t>
            </w:r>
          </w:p>
        </w:tc>
        <w:tc>
          <w:tcPr>
            <w:tcW w:w="622" w:type="pct"/>
          </w:tcPr>
          <w:p w14:paraId="3DE08B53" w14:textId="5C6BA708" w:rsidR="000036AA" w:rsidRPr="001C60E2" w:rsidRDefault="000036AA" w:rsidP="000036AA">
            <w:pPr>
              <w:suppressAutoHyphens w:val="0"/>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Calibri" w:cs="Arial"/>
                <w:b/>
                <w:bCs/>
                <w:sz w:val="18"/>
                <w:szCs w:val="18"/>
                <w:lang w:eastAsia="en-US"/>
              </w:rPr>
            </w:pPr>
            <w:r w:rsidRPr="001C60E2">
              <w:rPr>
                <w:rFonts w:eastAsia="Calibri" w:cs="Arial"/>
                <w:b/>
                <w:bCs/>
                <w:sz w:val="18"/>
                <w:szCs w:val="18"/>
                <w:lang w:eastAsia="en-US"/>
              </w:rPr>
              <w:t>4.313,6</w:t>
            </w:r>
          </w:p>
        </w:tc>
      </w:tr>
      <w:tr w:rsidR="001C60E2" w:rsidRPr="001C60E2" w14:paraId="35623762" w14:textId="77777777" w:rsidTr="005C4FEC">
        <w:tc>
          <w:tcPr>
            <w:cnfStyle w:val="001000000000" w:firstRow="0" w:lastRow="0" w:firstColumn="1" w:lastColumn="0" w:oddVBand="0" w:evenVBand="0" w:oddHBand="0" w:evenHBand="0" w:firstRowFirstColumn="0" w:firstRowLastColumn="0" w:lastRowFirstColumn="0" w:lastRowLastColumn="0"/>
            <w:tcW w:w="4378" w:type="pct"/>
            <w:gridSpan w:val="11"/>
          </w:tcPr>
          <w:p w14:paraId="46D9764A" w14:textId="77777777" w:rsidR="000036AA" w:rsidRPr="001C60E2" w:rsidRDefault="000036AA" w:rsidP="000036AA">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UKUPNI KUMULATIVNI CILJ ZA RAZDOBLJE 2021. – 2030. [PJ]</w:t>
            </w:r>
          </w:p>
        </w:tc>
        <w:tc>
          <w:tcPr>
            <w:tcW w:w="622" w:type="pct"/>
          </w:tcPr>
          <w:p w14:paraId="1F9BC1B0" w14:textId="299D8365" w:rsidR="000036AA" w:rsidRPr="001C60E2" w:rsidRDefault="000036AA" w:rsidP="000036AA">
            <w:pPr>
              <w:suppressAutoHyphens w:val="0"/>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eastAsia="Calibri" w:cs="Arial"/>
                <w:b/>
                <w:bCs/>
                <w:sz w:val="18"/>
                <w:szCs w:val="18"/>
                <w:lang w:eastAsia="en-US"/>
              </w:rPr>
            </w:pPr>
            <w:r w:rsidRPr="001C60E2">
              <w:rPr>
                <w:rFonts w:eastAsia="Calibri" w:cs="Arial"/>
                <w:b/>
                <w:bCs/>
                <w:sz w:val="18"/>
                <w:szCs w:val="18"/>
                <w:lang w:eastAsia="en-US"/>
              </w:rPr>
              <w:t>180,6</w:t>
            </w:r>
          </w:p>
        </w:tc>
      </w:tr>
      <w:tr w:rsidR="001C60E2" w:rsidRPr="001C60E2" w14:paraId="29022088" w14:textId="77777777" w:rsidTr="008E1086">
        <w:tc>
          <w:tcPr>
            <w:cnfStyle w:val="001000000000" w:firstRow="0" w:lastRow="0" w:firstColumn="1" w:lastColumn="0" w:oddVBand="0" w:evenVBand="0" w:oddHBand="0" w:evenHBand="0" w:firstRowFirstColumn="0" w:firstRowLastColumn="0" w:lastRowFirstColumn="0" w:lastRowLastColumn="0"/>
            <w:tcW w:w="4378" w:type="pct"/>
            <w:gridSpan w:val="11"/>
          </w:tcPr>
          <w:p w14:paraId="13F37828" w14:textId="66CD7959" w:rsidR="00974053" w:rsidRPr="001C60E2" w:rsidRDefault="00974053" w:rsidP="009A5CE1">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Godišnje uštede</w:t>
            </w:r>
            <w:r w:rsidR="000036AA" w:rsidRPr="001C60E2">
              <w:rPr>
                <w:rFonts w:ascii="Arial" w:hAnsi="Arial" w:cs="Arial"/>
                <w:noProof/>
                <w:sz w:val="20"/>
                <w:szCs w:val="20"/>
              </w:rPr>
              <w:t xml:space="preserve"> (prosjek)</w:t>
            </w:r>
            <w:r w:rsidRPr="001C60E2">
              <w:rPr>
                <w:rFonts w:ascii="Arial" w:hAnsi="Arial" w:cs="Arial"/>
                <w:noProof/>
                <w:sz w:val="20"/>
                <w:szCs w:val="20"/>
              </w:rPr>
              <w:t xml:space="preserve"> [PJ]</w:t>
            </w:r>
          </w:p>
        </w:tc>
        <w:tc>
          <w:tcPr>
            <w:tcW w:w="622" w:type="pct"/>
            <w:vAlign w:val="center"/>
          </w:tcPr>
          <w:p w14:paraId="7E5549EE" w14:textId="4BFBF954" w:rsidR="00974053" w:rsidRPr="001C60E2" w:rsidRDefault="00347BD2" w:rsidP="009A5CE1">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cs="Arial"/>
                <w:b/>
                <w:noProof/>
                <w:sz w:val="20"/>
                <w:szCs w:val="20"/>
              </w:rPr>
            </w:pPr>
            <w:r w:rsidRPr="001C60E2">
              <w:rPr>
                <w:rFonts w:cs="Arial"/>
                <w:b/>
                <w:bCs/>
                <w:sz w:val="20"/>
                <w:szCs w:val="20"/>
              </w:rPr>
              <w:t>3</w:t>
            </w:r>
            <w:r w:rsidR="00974053" w:rsidRPr="001C60E2">
              <w:rPr>
                <w:rFonts w:cs="Arial"/>
                <w:b/>
                <w:bCs/>
                <w:sz w:val="20"/>
                <w:szCs w:val="20"/>
              </w:rPr>
              <w:t>,</w:t>
            </w:r>
            <w:r w:rsidRPr="001C60E2">
              <w:rPr>
                <w:rFonts w:cs="Arial"/>
                <w:b/>
                <w:bCs/>
                <w:sz w:val="20"/>
                <w:szCs w:val="20"/>
              </w:rPr>
              <w:t>9</w:t>
            </w:r>
          </w:p>
        </w:tc>
      </w:tr>
    </w:tbl>
    <w:p w14:paraId="4CCC806A" w14:textId="77777777" w:rsidR="00326335" w:rsidRPr="001C60E2" w:rsidRDefault="00326335" w:rsidP="00326335">
      <w:pPr>
        <w:pStyle w:val="PointManual1"/>
        <w:spacing w:before="0" w:after="0" w:line="276" w:lineRule="auto"/>
        <w:ind w:left="927" w:firstLine="0"/>
        <w:rPr>
          <w:rFonts w:ascii="Arial" w:hAnsi="Arial" w:cs="Arial"/>
          <w:i/>
          <w:sz w:val="22"/>
        </w:rPr>
      </w:pPr>
    </w:p>
    <w:p w14:paraId="11DF56BF" w14:textId="644BD8E4" w:rsidR="00B47CE5" w:rsidRPr="001C60E2" w:rsidRDefault="00B47CE5" w:rsidP="00884182">
      <w:pPr>
        <w:pStyle w:val="PointManual1"/>
        <w:numPr>
          <w:ilvl w:val="0"/>
          <w:numId w:val="10"/>
        </w:numPr>
        <w:spacing w:before="0" w:after="0" w:line="276" w:lineRule="auto"/>
        <w:rPr>
          <w:rFonts w:ascii="Arial" w:hAnsi="Arial" w:cs="Arial"/>
          <w:i/>
          <w:sz w:val="22"/>
        </w:rPr>
      </w:pPr>
      <w:r w:rsidRPr="001C60E2">
        <w:rPr>
          <w:rFonts w:ascii="Arial" w:hAnsi="Arial" w:cs="Arial"/>
          <w:i/>
          <w:sz w:val="22"/>
        </w:rPr>
        <w:t>izvori koji su upotrijebljeni u izračunu neposredne potrošnje energije, uključujući opravdanje za uporabu alternativnih statističkih izvora i moguće razlike u pogledu izračunatih količina (ako su upotrijebljeni drugi izvori, a ne Eurostat)</w:t>
      </w:r>
    </w:p>
    <w:p w14:paraId="400F9B94" w14:textId="77777777" w:rsidR="00B47CE5" w:rsidRPr="001C60E2" w:rsidRDefault="00B47CE5" w:rsidP="00B47CE5">
      <w:pPr>
        <w:pStyle w:val="PointManual1"/>
        <w:spacing w:before="0" w:after="0" w:line="276" w:lineRule="auto"/>
        <w:ind w:left="708" w:firstLine="0"/>
        <w:rPr>
          <w:rFonts w:ascii="Arial" w:hAnsi="Arial" w:cs="Arial"/>
          <w:i/>
          <w:sz w:val="22"/>
        </w:rPr>
      </w:pPr>
    </w:p>
    <w:p w14:paraId="3F3A5807" w14:textId="42103D0D" w:rsidR="00EC7ADA" w:rsidRPr="001C60E2" w:rsidRDefault="00B47CE5" w:rsidP="00B47CE5">
      <w:pPr>
        <w:pStyle w:val="PointManual1"/>
        <w:spacing w:before="0" w:after="0" w:line="276" w:lineRule="auto"/>
        <w:ind w:left="0" w:firstLine="0"/>
        <w:jc w:val="both"/>
        <w:rPr>
          <w:rFonts w:ascii="Arial" w:hAnsi="Arial" w:cs="Arial"/>
          <w:sz w:val="22"/>
        </w:rPr>
      </w:pPr>
      <w:r w:rsidRPr="001C60E2">
        <w:rPr>
          <w:rFonts w:ascii="Arial" w:hAnsi="Arial" w:cs="Arial"/>
          <w:sz w:val="22"/>
        </w:rPr>
        <w:t xml:space="preserve">Gore navedeni podatci preuzeti su iz godišnjih energetskih izvješća „Energija u Hrvatskoj“ za godine </w:t>
      </w:r>
      <w:r w:rsidR="00DC0734" w:rsidRPr="001C60E2">
        <w:rPr>
          <w:rFonts w:ascii="Arial" w:hAnsi="Arial" w:cs="Arial"/>
          <w:sz w:val="22"/>
        </w:rPr>
        <w:t>2016</w:t>
      </w:r>
      <w:r w:rsidRPr="001C60E2">
        <w:rPr>
          <w:rFonts w:ascii="Arial" w:hAnsi="Arial" w:cs="Arial"/>
          <w:sz w:val="22"/>
        </w:rPr>
        <w:t xml:space="preserve">. i </w:t>
      </w:r>
      <w:r w:rsidR="00DC0734" w:rsidRPr="001C60E2">
        <w:rPr>
          <w:rFonts w:ascii="Arial" w:hAnsi="Arial" w:cs="Arial"/>
          <w:sz w:val="22"/>
        </w:rPr>
        <w:t>2017</w:t>
      </w:r>
      <w:r w:rsidRPr="001C60E2">
        <w:rPr>
          <w:rFonts w:ascii="Arial" w:hAnsi="Arial" w:cs="Arial"/>
          <w:sz w:val="22"/>
        </w:rPr>
        <w:t xml:space="preserve">. i </w:t>
      </w:r>
      <w:r w:rsidR="00DC0734" w:rsidRPr="001C60E2">
        <w:rPr>
          <w:rFonts w:ascii="Arial" w:hAnsi="Arial" w:cs="Arial"/>
          <w:sz w:val="22"/>
        </w:rPr>
        <w:t>2018</w:t>
      </w:r>
      <w:r w:rsidRPr="001C60E2">
        <w:rPr>
          <w:rFonts w:ascii="Arial" w:hAnsi="Arial" w:cs="Arial"/>
          <w:sz w:val="22"/>
        </w:rPr>
        <w:t xml:space="preserve">. Izvješća, između ostaloga, sadrže energetske bilance izrađene prema EUROSTAT metodologiji. Sva izvješća dostupna su na mrežnoj stranici Ministarstva </w:t>
      </w:r>
      <w:r w:rsidR="00EC7ADA" w:rsidRPr="001C60E2">
        <w:rPr>
          <w:rFonts w:ascii="Arial" w:hAnsi="Arial" w:cs="Arial"/>
          <w:sz w:val="22"/>
        </w:rPr>
        <w:t>gospodarstva i održivog razvoja</w:t>
      </w:r>
      <w:r w:rsidRPr="001C60E2">
        <w:rPr>
          <w:rFonts w:ascii="Arial" w:hAnsi="Arial" w:cs="Arial"/>
          <w:sz w:val="22"/>
        </w:rPr>
        <w:t xml:space="preserve">: </w:t>
      </w:r>
      <w:hyperlink r:id="rId11" w:history="1">
        <w:r w:rsidR="00EC7ADA" w:rsidRPr="001C60E2">
          <w:rPr>
            <w:rStyle w:val="Hyperlink"/>
            <w:noProof w:val="0"/>
            <w:color w:val="auto"/>
          </w:rPr>
          <w:t>https://mingor.gov.hr/o-ministarstvu-1065/djelokrug/uprava-za-energetiku-1999/energetska-politika-i-planiranje/energija-u-hrvatskoj/5330</w:t>
        </w:r>
      </w:hyperlink>
      <w:r w:rsidR="00EC7ADA" w:rsidRPr="001C60E2">
        <w:t xml:space="preserve"> </w:t>
      </w:r>
    </w:p>
    <w:p w14:paraId="1F3899C3" w14:textId="77777777" w:rsidR="00B47CE5" w:rsidRPr="001C60E2" w:rsidRDefault="00B47CE5" w:rsidP="00EC7ADA">
      <w:pPr>
        <w:pStyle w:val="PointManual1"/>
        <w:spacing w:before="0" w:after="0" w:line="276" w:lineRule="auto"/>
        <w:ind w:left="0" w:firstLine="0"/>
        <w:jc w:val="both"/>
        <w:rPr>
          <w:rFonts w:ascii="Arial" w:hAnsi="Arial" w:cs="Arial"/>
          <w:b/>
          <w:i/>
          <w:sz w:val="22"/>
          <w:highlight w:val="yellow"/>
        </w:rPr>
      </w:pPr>
    </w:p>
    <w:p w14:paraId="596F84E9" w14:textId="265DB931" w:rsidR="002E6504" w:rsidRPr="001C60E2" w:rsidRDefault="00D4079C" w:rsidP="00B47CE5">
      <w:pPr>
        <w:pStyle w:val="ManualNumPar1"/>
        <w:numPr>
          <w:ilvl w:val="0"/>
          <w:numId w:val="12"/>
        </w:numPr>
        <w:spacing w:before="0" w:after="0" w:line="276" w:lineRule="auto"/>
        <w:jc w:val="both"/>
        <w:rPr>
          <w:rFonts w:ascii="Arial" w:hAnsi="Arial" w:cs="Arial"/>
          <w:b/>
          <w:i/>
          <w:sz w:val="22"/>
        </w:rPr>
      </w:pPr>
      <w:r w:rsidRPr="001C60E2">
        <w:rPr>
          <w:rFonts w:ascii="Arial" w:hAnsi="Arial" w:cs="Arial"/>
          <w:b/>
          <w:i/>
          <w:sz w:val="22"/>
        </w:rPr>
        <w:t>Države članice koje odluče iskoristiti bilo koju od mogućnosti iz članka 7. stavka 2. Direktive 2012/27/EU izvješćuju o svojem izračunu razine uštede energije tijekom cijelog razdoblja od 1. siječnja 2021. do 31. prosinca 2030., pokazujući kako se uzimaju u obzir i sljedeći elementi:</w:t>
      </w:r>
    </w:p>
    <w:p w14:paraId="07F9274B" w14:textId="77777777" w:rsidR="00EF3DBF" w:rsidRPr="001C60E2" w:rsidRDefault="00DC0734" w:rsidP="00DC0734">
      <w:pPr>
        <w:rPr>
          <w:b/>
          <w:bCs/>
          <w:lang w:eastAsia="en-US"/>
        </w:rPr>
      </w:pPr>
      <w:r w:rsidRPr="001C60E2">
        <w:rPr>
          <w:b/>
          <w:bCs/>
          <w:lang w:eastAsia="en-US"/>
        </w:rPr>
        <w:t xml:space="preserve">Republika Hrvatska </w:t>
      </w:r>
      <w:r w:rsidR="007A0A19" w:rsidRPr="001C60E2">
        <w:rPr>
          <w:b/>
          <w:bCs/>
          <w:lang w:eastAsia="en-US"/>
        </w:rPr>
        <w:t xml:space="preserve">neće koristiti mogućnosti iz članka 7. stavka 2. Direktive. </w:t>
      </w:r>
      <w:r w:rsidR="00A95C69" w:rsidRPr="001C60E2">
        <w:rPr>
          <w:b/>
          <w:bCs/>
          <w:lang w:eastAsia="en-US"/>
        </w:rPr>
        <w:t xml:space="preserve">Ipak, </w:t>
      </w:r>
      <w:r w:rsidR="00B854B9" w:rsidRPr="001C60E2">
        <w:rPr>
          <w:b/>
          <w:bCs/>
          <w:lang w:eastAsia="en-US"/>
        </w:rPr>
        <w:t>u nastavku se prikazuju relevantni podatci.</w:t>
      </w:r>
    </w:p>
    <w:p w14:paraId="749665E3" w14:textId="3CDE1114" w:rsidR="00DC0734" w:rsidRPr="001C60E2" w:rsidRDefault="00A867E3" w:rsidP="00DC0734">
      <w:pPr>
        <w:rPr>
          <w:b/>
          <w:bCs/>
          <w:lang w:eastAsia="en-US"/>
        </w:rPr>
      </w:pPr>
      <w:r w:rsidRPr="001C60E2">
        <w:rPr>
          <w:b/>
          <w:bCs/>
          <w:lang w:eastAsia="en-US"/>
        </w:rPr>
        <w:t>Zbog toga</w:t>
      </w:r>
      <w:r w:rsidR="002931B3" w:rsidRPr="001C60E2">
        <w:rPr>
          <w:b/>
          <w:bCs/>
          <w:lang w:eastAsia="en-US"/>
        </w:rPr>
        <w:t xml:space="preserve"> se ovaj dio dokumenta (točka 2.) ne </w:t>
      </w:r>
      <w:r w:rsidR="003522A4" w:rsidRPr="001C60E2">
        <w:rPr>
          <w:b/>
          <w:bCs/>
          <w:lang w:eastAsia="en-US"/>
        </w:rPr>
        <w:t xml:space="preserve">revidira. Revizija ovog dijela ne bi imala utjecaj na utvrđeni ukupni kumulativni cilj za razdoblje 2021. </w:t>
      </w:r>
      <w:r w:rsidR="007529DD" w:rsidRPr="001C60E2">
        <w:rPr>
          <w:b/>
          <w:bCs/>
          <w:lang w:eastAsia="en-US"/>
        </w:rPr>
        <w:t>–</w:t>
      </w:r>
      <w:r w:rsidR="003522A4" w:rsidRPr="001C60E2">
        <w:rPr>
          <w:b/>
          <w:bCs/>
          <w:lang w:eastAsia="en-US"/>
        </w:rPr>
        <w:t xml:space="preserve"> 2030. prema članku 8. stavku 1.b. </w:t>
      </w:r>
      <w:r w:rsidR="007529DD" w:rsidRPr="001C60E2">
        <w:rPr>
          <w:b/>
          <w:bCs/>
          <w:lang w:eastAsia="en-US"/>
        </w:rPr>
        <w:t>revizije</w:t>
      </w:r>
      <w:r w:rsidR="00B35BB8" w:rsidRPr="001C60E2">
        <w:rPr>
          <w:b/>
          <w:bCs/>
          <w:lang w:eastAsia="en-US"/>
        </w:rPr>
        <w:t xml:space="preserve"> Direktive iz 2</w:t>
      </w:r>
      <w:r w:rsidR="007529DD" w:rsidRPr="001C60E2">
        <w:rPr>
          <w:b/>
          <w:bCs/>
          <w:lang w:eastAsia="en-US"/>
        </w:rPr>
        <w:t>0</w:t>
      </w:r>
      <w:r w:rsidR="00B35BB8" w:rsidRPr="001C60E2">
        <w:rPr>
          <w:b/>
          <w:bCs/>
          <w:lang w:eastAsia="en-US"/>
        </w:rPr>
        <w:t xml:space="preserve">23. godine. </w:t>
      </w:r>
      <w:r w:rsidR="002931B3" w:rsidRPr="001C60E2">
        <w:rPr>
          <w:b/>
          <w:bCs/>
          <w:lang w:eastAsia="en-US"/>
        </w:rPr>
        <w:t xml:space="preserve"> </w:t>
      </w:r>
    </w:p>
    <w:p w14:paraId="1E7CBD3A" w14:textId="77777777" w:rsidR="00D4079C" w:rsidRPr="001C60E2" w:rsidRDefault="00D4079C" w:rsidP="00D4079C">
      <w:pPr>
        <w:pStyle w:val="PointManual1"/>
        <w:numPr>
          <w:ilvl w:val="0"/>
          <w:numId w:val="22"/>
        </w:numPr>
        <w:spacing w:before="0" w:after="0" w:line="276" w:lineRule="auto"/>
        <w:rPr>
          <w:rFonts w:ascii="Arial" w:hAnsi="Arial" w:cs="Arial"/>
          <w:i/>
          <w:sz w:val="22"/>
        </w:rPr>
      </w:pPr>
      <w:r w:rsidRPr="001C60E2">
        <w:rPr>
          <w:rFonts w:ascii="Arial" w:hAnsi="Arial" w:cs="Arial"/>
          <w:i/>
          <w:sz w:val="22"/>
        </w:rPr>
        <w:t>godišnja stopa uštede</w:t>
      </w:r>
    </w:p>
    <w:p w14:paraId="327413EB" w14:textId="44029AF2" w:rsidR="00D4079C" w:rsidRPr="001C60E2" w:rsidRDefault="00D4079C" w:rsidP="00D4079C">
      <w:pPr>
        <w:pStyle w:val="PointManual1"/>
        <w:spacing w:before="0" w:after="0" w:line="276" w:lineRule="auto"/>
        <w:ind w:left="0" w:firstLine="0"/>
        <w:rPr>
          <w:rFonts w:ascii="Arial" w:hAnsi="Arial" w:cs="Arial"/>
          <w:sz w:val="22"/>
        </w:rPr>
      </w:pPr>
      <w:r w:rsidRPr="001C60E2">
        <w:rPr>
          <w:rFonts w:ascii="Arial" w:hAnsi="Arial" w:cs="Arial"/>
          <w:sz w:val="22"/>
        </w:rPr>
        <w:t>Primjenjuje se godišnja stopa uštede od 0,8%</w:t>
      </w:r>
      <w:r w:rsidR="009E0981" w:rsidRPr="001C60E2">
        <w:rPr>
          <w:rFonts w:ascii="Arial" w:hAnsi="Arial" w:cs="Arial"/>
          <w:sz w:val="22"/>
        </w:rPr>
        <w:t>, u skladu s člankom 7. stavkom 1. točkom (b).</w:t>
      </w:r>
    </w:p>
    <w:p w14:paraId="17576088" w14:textId="77777777" w:rsidR="0043155C" w:rsidRPr="001C60E2" w:rsidRDefault="0043155C" w:rsidP="00D4079C">
      <w:pPr>
        <w:pStyle w:val="PointManual1"/>
        <w:spacing w:before="0" w:after="0" w:line="276" w:lineRule="auto"/>
        <w:ind w:left="0" w:firstLine="0"/>
        <w:rPr>
          <w:rFonts w:ascii="Arial" w:hAnsi="Arial" w:cs="Arial"/>
          <w:sz w:val="22"/>
        </w:rPr>
      </w:pPr>
    </w:p>
    <w:p w14:paraId="32FF0FAE" w14:textId="72691145" w:rsidR="00742A52" w:rsidRPr="001C60E2" w:rsidRDefault="00742A52" w:rsidP="00D4079C">
      <w:pPr>
        <w:pStyle w:val="PointManual1"/>
        <w:spacing w:before="0" w:after="0" w:line="276" w:lineRule="auto"/>
        <w:ind w:left="0" w:firstLine="0"/>
        <w:rPr>
          <w:rFonts w:ascii="Arial" w:hAnsi="Arial" w:cs="Arial"/>
          <w:sz w:val="22"/>
        </w:rPr>
      </w:pPr>
      <w:r w:rsidRPr="001C60E2">
        <w:rPr>
          <w:rFonts w:ascii="Arial" w:hAnsi="Arial" w:cs="Arial"/>
          <w:sz w:val="22"/>
        </w:rPr>
        <w:lastRenderedPageBreak/>
        <w:t xml:space="preserve">Pod točkom </w:t>
      </w:r>
      <w:r w:rsidR="003F2E21" w:rsidRPr="001C60E2">
        <w:rPr>
          <w:rFonts w:ascii="Arial" w:hAnsi="Arial" w:cs="Arial"/>
          <w:sz w:val="22"/>
        </w:rPr>
        <w:t>2.</w:t>
      </w:r>
      <w:r w:rsidR="0043155C" w:rsidRPr="001C60E2">
        <w:rPr>
          <w:rFonts w:ascii="Arial" w:hAnsi="Arial" w:cs="Arial"/>
          <w:sz w:val="22"/>
        </w:rPr>
        <w:t xml:space="preserve">(c) prikazuje se izračun godišnje stope ušteda koja bi bila potrebna da se RH odlučila za korištenje mogućnosti iz stavka 2. </w:t>
      </w:r>
    </w:p>
    <w:p w14:paraId="2A2CDA8A" w14:textId="77777777" w:rsidR="00D4079C" w:rsidRPr="001C60E2" w:rsidRDefault="00D4079C" w:rsidP="00D4079C">
      <w:pPr>
        <w:pStyle w:val="PointManual1"/>
        <w:spacing w:before="0" w:after="0" w:line="276" w:lineRule="auto"/>
        <w:ind w:left="0" w:firstLine="0"/>
        <w:rPr>
          <w:rFonts w:ascii="Arial" w:hAnsi="Arial" w:cs="Arial"/>
          <w:i/>
          <w:sz w:val="22"/>
        </w:rPr>
      </w:pPr>
    </w:p>
    <w:p w14:paraId="15C8B481" w14:textId="35D11506" w:rsidR="00B47CE5" w:rsidRPr="001C60E2" w:rsidRDefault="00711D97" w:rsidP="00B47CE5">
      <w:pPr>
        <w:pStyle w:val="PointManual1"/>
        <w:numPr>
          <w:ilvl w:val="0"/>
          <w:numId w:val="22"/>
        </w:numPr>
        <w:spacing w:before="0" w:after="0" w:line="276" w:lineRule="auto"/>
        <w:rPr>
          <w:rFonts w:ascii="Arial" w:hAnsi="Arial" w:cs="Arial"/>
          <w:i/>
          <w:sz w:val="22"/>
        </w:rPr>
      </w:pPr>
      <w:r w:rsidRPr="001C60E2">
        <w:rPr>
          <w:rFonts w:ascii="Arial" w:hAnsi="Arial" w:cs="Arial"/>
          <w:i/>
          <w:sz w:val="22"/>
        </w:rPr>
        <w:t>energij</w:t>
      </w:r>
      <w:r w:rsidR="00B47CE5" w:rsidRPr="001C60E2">
        <w:rPr>
          <w:rFonts w:ascii="Arial" w:hAnsi="Arial" w:cs="Arial"/>
          <w:i/>
          <w:sz w:val="22"/>
        </w:rPr>
        <w:t>a</w:t>
      </w:r>
      <w:r w:rsidRPr="001C60E2">
        <w:rPr>
          <w:rFonts w:ascii="Arial" w:hAnsi="Arial" w:cs="Arial"/>
          <w:i/>
          <w:sz w:val="22"/>
        </w:rPr>
        <w:t xml:space="preserve"> </w:t>
      </w:r>
      <w:r w:rsidR="00B47CE5" w:rsidRPr="001C60E2">
        <w:rPr>
          <w:rFonts w:ascii="Arial" w:hAnsi="Arial" w:cs="Arial"/>
          <w:i/>
          <w:sz w:val="22"/>
        </w:rPr>
        <w:t xml:space="preserve">upotrijebljena </w:t>
      </w:r>
      <w:r w:rsidRPr="001C60E2">
        <w:rPr>
          <w:rFonts w:ascii="Arial" w:hAnsi="Arial" w:cs="Arial"/>
          <w:i/>
          <w:sz w:val="22"/>
        </w:rPr>
        <w:t xml:space="preserve">u prometu, </w:t>
      </w:r>
      <w:r w:rsidR="00B47CE5" w:rsidRPr="001C60E2">
        <w:rPr>
          <w:rFonts w:ascii="Arial" w:hAnsi="Arial" w:cs="Arial"/>
          <w:i/>
          <w:sz w:val="22"/>
        </w:rPr>
        <w:t xml:space="preserve">u cijelosti ili djelomično, </w:t>
      </w:r>
      <w:r w:rsidRPr="001C60E2">
        <w:rPr>
          <w:rFonts w:ascii="Arial" w:hAnsi="Arial" w:cs="Arial"/>
          <w:i/>
          <w:sz w:val="22"/>
        </w:rPr>
        <w:t xml:space="preserve">koja je isključena iz izračuna [u </w:t>
      </w:r>
      <w:proofErr w:type="spellStart"/>
      <w:r w:rsidRPr="001C60E2">
        <w:rPr>
          <w:rFonts w:ascii="Arial" w:hAnsi="Arial" w:cs="Arial"/>
          <w:i/>
          <w:sz w:val="22"/>
        </w:rPr>
        <w:t>ktoe</w:t>
      </w:r>
      <w:proofErr w:type="spellEnd"/>
      <w:r w:rsidRPr="001C60E2">
        <w:rPr>
          <w:rFonts w:ascii="Arial" w:hAnsi="Arial" w:cs="Arial"/>
          <w:i/>
          <w:sz w:val="22"/>
        </w:rPr>
        <w:t>]</w:t>
      </w:r>
    </w:p>
    <w:p w14:paraId="05950DC2" w14:textId="33170BC4" w:rsidR="009E0981" w:rsidRPr="001C60E2" w:rsidRDefault="009E0981" w:rsidP="0024143D">
      <w:pPr>
        <w:pStyle w:val="PointManual1"/>
        <w:spacing w:before="0" w:after="0" w:line="276" w:lineRule="auto"/>
        <w:ind w:left="0" w:firstLine="0"/>
        <w:rPr>
          <w:rFonts w:ascii="Arial" w:hAnsi="Arial" w:cs="Arial"/>
          <w:sz w:val="22"/>
        </w:rPr>
      </w:pPr>
    </w:p>
    <w:tbl>
      <w:tblPr>
        <w:tblStyle w:val="GridTable1Light"/>
        <w:tblW w:w="4921" w:type="pct"/>
        <w:tblLayout w:type="fixed"/>
        <w:tblLook w:val="04A0" w:firstRow="1" w:lastRow="0" w:firstColumn="1" w:lastColumn="0" w:noHBand="0" w:noVBand="1"/>
      </w:tblPr>
      <w:tblGrid>
        <w:gridCol w:w="3826"/>
        <w:gridCol w:w="1702"/>
        <w:gridCol w:w="1695"/>
        <w:gridCol w:w="1696"/>
      </w:tblGrid>
      <w:tr w:rsidR="001C60E2" w:rsidRPr="001C60E2" w14:paraId="6BD7E85A" w14:textId="5E786701" w:rsidTr="006B6E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5" w:type="pct"/>
          </w:tcPr>
          <w:p w14:paraId="4FC18092" w14:textId="2171712B" w:rsidR="00B854B9" w:rsidRPr="001C60E2" w:rsidRDefault="00B854B9" w:rsidP="00E5709B">
            <w:pPr>
              <w:spacing w:before="0" w:after="0" w:line="276" w:lineRule="auto"/>
              <w:rPr>
                <w:rFonts w:cs="Arial"/>
                <w:sz w:val="20"/>
                <w:szCs w:val="20"/>
              </w:rPr>
            </w:pPr>
          </w:p>
        </w:tc>
        <w:tc>
          <w:tcPr>
            <w:tcW w:w="954" w:type="pct"/>
          </w:tcPr>
          <w:p w14:paraId="17DB86AA" w14:textId="3E5CDAD9" w:rsidR="00B854B9" w:rsidRPr="001C60E2" w:rsidRDefault="00B854B9" w:rsidP="00E5709B">
            <w:pPr>
              <w:spacing w:before="0" w:after="0" w:line="276" w:lineRule="auto"/>
              <w:jc w:val="right"/>
              <w:cnfStyle w:val="100000000000" w:firstRow="1"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2016.</w:t>
            </w:r>
          </w:p>
        </w:tc>
        <w:tc>
          <w:tcPr>
            <w:tcW w:w="950" w:type="pct"/>
          </w:tcPr>
          <w:p w14:paraId="5BC9E80B" w14:textId="0B448A4E" w:rsidR="00B854B9" w:rsidRPr="001C60E2" w:rsidRDefault="00B854B9" w:rsidP="00E5709B">
            <w:pPr>
              <w:spacing w:before="0" w:after="0" w:line="276" w:lineRule="auto"/>
              <w:jc w:val="right"/>
              <w:cnfStyle w:val="100000000000" w:firstRow="1"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2017.</w:t>
            </w:r>
          </w:p>
        </w:tc>
        <w:tc>
          <w:tcPr>
            <w:tcW w:w="951" w:type="pct"/>
          </w:tcPr>
          <w:p w14:paraId="4C1489D9" w14:textId="5CB5DE75" w:rsidR="00B854B9" w:rsidRPr="001C60E2" w:rsidRDefault="00B854B9" w:rsidP="00E5709B">
            <w:pPr>
              <w:spacing w:before="0" w:after="0" w:line="276" w:lineRule="auto"/>
              <w:jc w:val="right"/>
              <w:cnfStyle w:val="100000000000" w:firstRow="1"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2018.</w:t>
            </w:r>
          </w:p>
        </w:tc>
      </w:tr>
      <w:tr w:rsidR="001C60E2" w:rsidRPr="001C60E2" w14:paraId="11B28B85" w14:textId="571C168C" w:rsidTr="006B6ECB">
        <w:tc>
          <w:tcPr>
            <w:cnfStyle w:val="001000000000" w:firstRow="0" w:lastRow="0" w:firstColumn="1" w:lastColumn="0" w:oddVBand="0" w:evenVBand="0" w:oddHBand="0" w:evenHBand="0" w:firstRowFirstColumn="0" w:firstRowLastColumn="0" w:lastRowFirstColumn="0" w:lastRowLastColumn="0"/>
            <w:tcW w:w="2145" w:type="pct"/>
          </w:tcPr>
          <w:p w14:paraId="54F9B649" w14:textId="77777777" w:rsidR="00B854B9" w:rsidRPr="001C60E2" w:rsidRDefault="00B854B9" w:rsidP="006B6ECB">
            <w:pPr>
              <w:spacing w:before="0" w:after="0" w:line="276" w:lineRule="auto"/>
              <w:ind w:left="22"/>
              <w:rPr>
                <w:rFonts w:cs="Arial"/>
                <w:b w:val="0"/>
                <w:sz w:val="20"/>
                <w:szCs w:val="20"/>
              </w:rPr>
            </w:pPr>
            <w:r w:rsidRPr="001C60E2">
              <w:rPr>
                <w:rFonts w:cs="Arial"/>
                <w:sz w:val="20"/>
                <w:szCs w:val="20"/>
              </w:rPr>
              <w:t>Promet</w:t>
            </w:r>
          </w:p>
        </w:tc>
        <w:tc>
          <w:tcPr>
            <w:tcW w:w="954" w:type="pct"/>
          </w:tcPr>
          <w:p w14:paraId="5A454AC7" w14:textId="7C6BF736" w:rsidR="00B854B9" w:rsidRPr="001C60E2" w:rsidRDefault="00B854B9" w:rsidP="00B47CE5">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2.162,2</w:t>
            </w:r>
          </w:p>
        </w:tc>
        <w:tc>
          <w:tcPr>
            <w:tcW w:w="950" w:type="pct"/>
          </w:tcPr>
          <w:p w14:paraId="2F52AC8E" w14:textId="54F7CDB9" w:rsidR="00B854B9" w:rsidRPr="001C60E2" w:rsidRDefault="00B854B9" w:rsidP="00B47CE5">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2.336,9</w:t>
            </w:r>
          </w:p>
        </w:tc>
        <w:tc>
          <w:tcPr>
            <w:tcW w:w="951" w:type="pct"/>
          </w:tcPr>
          <w:p w14:paraId="6B99D611" w14:textId="1A38AFF1" w:rsidR="00B854B9" w:rsidRPr="001C60E2" w:rsidRDefault="00B854B9" w:rsidP="00B47CE5">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2.140,3</w:t>
            </w:r>
          </w:p>
        </w:tc>
      </w:tr>
      <w:tr w:rsidR="001C60E2" w:rsidRPr="001C60E2" w14:paraId="79CADFF4" w14:textId="77777777" w:rsidTr="006B6ECB">
        <w:tc>
          <w:tcPr>
            <w:cnfStyle w:val="001000000000" w:firstRow="0" w:lastRow="0" w:firstColumn="1" w:lastColumn="0" w:oddVBand="0" w:evenVBand="0" w:oddHBand="0" w:evenHBand="0" w:firstRowFirstColumn="0" w:firstRowLastColumn="0" w:lastRowFirstColumn="0" w:lastRowLastColumn="0"/>
            <w:tcW w:w="2145" w:type="pct"/>
          </w:tcPr>
          <w:p w14:paraId="63D3E53E" w14:textId="5BBE4B17" w:rsidR="006B6ECB" w:rsidRPr="001C60E2" w:rsidRDefault="006B6ECB" w:rsidP="006B6ECB">
            <w:pPr>
              <w:spacing w:before="0" w:after="0" w:line="276" w:lineRule="auto"/>
              <w:ind w:left="22"/>
              <w:rPr>
                <w:rFonts w:cs="Arial"/>
                <w:sz w:val="20"/>
                <w:szCs w:val="20"/>
              </w:rPr>
            </w:pPr>
            <w:r w:rsidRPr="001C60E2">
              <w:rPr>
                <w:rFonts w:cs="Arial"/>
                <w:sz w:val="20"/>
                <w:szCs w:val="20"/>
              </w:rPr>
              <w:t>PROSJEK [</w:t>
            </w:r>
            <w:proofErr w:type="spellStart"/>
            <w:r w:rsidRPr="001C60E2">
              <w:rPr>
                <w:rFonts w:cs="Arial"/>
                <w:sz w:val="20"/>
                <w:szCs w:val="20"/>
              </w:rPr>
              <w:t>ktoe</w:t>
            </w:r>
            <w:proofErr w:type="spellEnd"/>
            <w:r w:rsidRPr="001C60E2">
              <w:rPr>
                <w:rFonts w:cs="Arial"/>
                <w:sz w:val="20"/>
                <w:szCs w:val="20"/>
              </w:rPr>
              <w:t>]</w:t>
            </w:r>
          </w:p>
        </w:tc>
        <w:tc>
          <w:tcPr>
            <w:tcW w:w="2855" w:type="pct"/>
            <w:gridSpan w:val="3"/>
          </w:tcPr>
          <w:p w14:paraId="7A46662E" w14:textId="36A9C507" w:rsidR="006B6ECB" w:rsidRPr="001C60E2" w:rsidRDefault="000E6D9D" w:rsidP="00B47CE5">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2.213,1</w:t>
            </w:r>
          </w:p>
        </w:tc>
      </w:tr>
      <w:tr w:rsidR="001C60E2" w:rsidRPr="001C60E2" w14:paraId="56E7DAD4" w14:textId="77777777" w:rsidTr="006B6ECB">
        <w:tc>
          <w:tcPr>
            <w:cnfStyle w:val="001000000000" w:firstRow="0" w:lastRow="0" w:firstColumn="1" w:lastColumn="0" w:oddVBand="0" w:evenVBand="0" w:oddHBand="0" w:evenHBand="0" w:firstRowFirstColumn="0" w:firstRowLastColumn="0" w:lastRowFirstColumn="0" w:lastRowLastColumn="0"/>
            <w:tcW w:w="2145" w:type="pct"/>
          </w:tcPr>
          <w:p w14:paraId="52280628" w14:textId="47C51764" w:rsidR="006B6ECB" w:rsidRPr="001C60E2" w:rsidRDefault="006B6ECB" w:rsidP="006B6ECB">
            <w:pPr>
              <w:spacing w:before="0" w:after="0" w:line="276" w:lineRule="auto"/>
              <w:ind w:left="22"/>
              <w:rPr>
                <w:rFonts w:cs="Arial"/>
                <w:sz w:val="20"/>
                <w:szCs w:val="20"/>
              </w:rPr>
            </w:pPr>
            <w:r w:rsidRPr="001C60E2">
              <w:rPr>
                <w:rFonts w:cs="Arial"/>
                <w:sz w:val="20"/>
                <w:szCs w:val="20"/>
              </w:rPr>
              <w:t>Nova osnovica za izračun cilja [</w:t>
            </w:r>
            <w:proofErr w:type="spellStart"/>
            <w:r w:rsidRPr="001C60E2">
              <w:rPr>
                <w:rFonts w:cs="Arial"/>
                <w:sz w:val="20"/>
                <w:szCs w:val="20"/>
              </w:rPr>
              <w:t>ktoe</w:t>
            </w:r>
            <w:proofErr w:type="spellEnd"/>
            <w:r w:rsidRPr="001C60E2">
              <w:rPr>
                <w:rFonts w:cs="Arial"/>
                <w:sz w:val="20"/>
                <w:szCs w:val="20"/>
              </w:rPr>
              <w:t>]</w:t>
            </w:r>
          </w:p>
        </w:tc>
        <w:tc>
          <w:tcPr>
            <w:tcW w:w="2855" w:type="pct"/>
            <w:gridSpan w:val="3"/>
          </w:tcPr>
          <w:p w14:paraId="3D8949FA" w14:textId="24C21BB5" w:rsidR="006B6ECB" w:rsidRPr="001C60E2" w:rsidRDefault="009D3652" w:rsidP="006B6ECB">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4.590,7</w:t>
            </w:r>
          </w:p>
        </w:tc>
      </w:tr>
    </w:tbl>
    <w:p w14:paraId="5C749E7F" w14:textId="77777777" w:rsidR="00711D97" w:rsidRPr="001C60E2" w:rsidRDefault="00711D97" w:rsidP="00711D97">
      <w:pPr>
        <w:pStyle w:val="PointManual1"/>
        <w:spacing w:before="0" w:after="0" w:line="276" w:lineRule="auto"/>
        <w:ind w:left="1701"/>
        <w:rPr>
          <w:rFonts w:ascii="Arial" w:hAnsi="Arial" w:cs="Arial"/>
          <w:noProof/>
          <w:sz w:val="22"/>
        </w:rPr>
      </w:pPr>
      <w:r w:rsidRPr="001C60E2">
        <w:rPr>
          <w:rFonts w:ascii="Arial" w:hAnsi="Arial" w:cs="Arial"/>
          <w:noProof/>
          <w:sz w:val="22"/>
        </w:rPr>
        <w:t xml:space="preserve"> </w:t>
      </w:r>
    </w:p>
    <w:p w14:paraId="00F14848" w14:textId="77777777" w:rsidR="00B47CE5" w:rsidRPr="001C60E2" w:rsidRDefault="00B47CE5" w:rsidP="00D4079C">
      <w:pPr>
        <w:pStyle w:val="PointManual1"/>
        <w:numPr>
          <w:ilvl w:val="0"/>
          <w:numId w:val="22"/>
        </w:numPr>
        <w:spacing w:before="0" w:after="0" w:line="276" w:lineRule="auto"/>
        <w:rPr>
          <w:rFonts w:ascii="Arial" w:hAnsi="Arial" w:cs="Arial"/>
          <w:i/>
          <w:sz w:val="22"/>
        </w:rPr>
      </w:pPr>
      <w:r w:rsidRPr="001C60E2">
        <w:rPr>
          <w:rFonts w:ascii="Arial" w:hAnsi="Arial" w:cs="Arial"/>
          <w:i/>
          <w:sz w:val="22"/>
        </w:rPr>
        <w:t xml:space="preserve">izračunati kumulativni iznos uštede energije tijekom čitavog razdoblja od 1. siječnja 2021. do 31. prosinca 2030. (prije primjene mogućnosti iz članka 7. stavka 4. točaka od (b) do (g) Direktive 2012/27/EU [u </w:t>
      </w:r>
      <w:proofErr w:type="spellStart"/>
      <w:r w:rsidRPr="001C60E2">
        <w:rPr>
          <w:rFonts w:ascii="Arial" w:hAnsi="Arial" w:cs="Arial"/>
          <w:i/>
          <w:sz w:val="22"/>
        </w:rPr>
        <w:t>ktoe</w:t>
      </w:r>
      <w:proofErr w:type="spellEnd"/>
      <w:r w:rsidRPr="001C60E2">
        <w:rPr>
          <w:rFonts w:ascii="Arial" w:hAnsi="Arial" w:cs="Arial"/>
          <w:i/>
          <w:sz w:val="22"/>
        </w:rPr>
        <w:t>]</w:t>
      </w:r>
    </w:p>
    <w:p w14:paraId="436EA9FA" w14:textId="77777777" w:rsidR="00B47CE5" w:rsidRPr="001C60E2" w:rsidRDefault="00B47CE5" w:rsidP="00B47CE5">
      <w:pPr>
        <w:pStyle w:val="PointManual1"/>
        <w:spacing w:before="0" w:after="0" w:line="276" w:lineRule="auto"/>
        <w:ind w:left="0" w:firstLine="0"/>
        <w:rPr>
          <w:rFonts w:ascii="Arial" w:hAnsi="Arial" w:cs="Arial"/>
          <w:i/>
          <w:sz w:val="22"/>
        </w:rPr>
      </w:pPr>
    </w:p>
    <w:tbl>
      <w:tblPr>
        <w:tblStyle w:val="GridTable1Light"/>
        <w:tblW w:w="5000" w:type="pct"/>
        <w:tblLook w:val="04A0" w:firstRow="1" w:lastRow="0" w:firstColumn="1" w:lastColumn="0" w:noHBand="0" w:noVBand="1"/>
      </w:tblPr>
      <w:tblGrid>
        <w:gridCol w:w="1072"/>
        <w:gridCol w:w="710"/>
        <w:gridCol w:w="710"/>
        <w:gridCol w:w="710"/>
        <w:gridCol w:w="710"/>
        <w:gridCol w:w="711"/>
        <w:gridCol w:w="711"/>
        <w:gridCol w:w="711"/>
        <w:gridCol w:w="711"/>
        <w:gridCol w:w="711"/>
        <w:gridCol w:w="711"/>
        <w:gridCol w:w="884"/>
      </w:tblGrid>
      <w:tr w:rsidR="001C60E2" w:rsidRPr="001C60E2" w14:paraId="7644FFBC" w14:textId="77777777" w:rsidTr="003F6D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pct"/>
            <w:gridSpan w:val="11"/>
            <w:vAlign w:val="center"/>
          </w:tcPr>
          <w:p w14:paraId="077BC207" w14:textId="77777777" w:rsidR="00B47CE5" w:rsidRPr="001C60E2" w:rsidRDefault="00B47CE5" w:rsidP="00815525">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Osnova za izračun cilja 1.(b) – 2.(b) [ktoe]</w:t>
            </w:r>
          </w:p>
        </w:tc>
        <w:tc>
          <w:tcPr>
            <w:tcW w:w="482" w:type="pct"/>
            <w:vAlign w:val="center"/>
          </w:tcPr>
          <w:p w14:paraId="31CF3C31" w14:textId="162B3F8A" w:rsidR="00B47CE5" w:rsidRPr="001C60E2" w:rsidRDefault="00B47CE5" w:rsidP="00815525">
            <w:pPr>
              <w:pStyle w:val="PointManual1"/>
              <w:spacing w:before="0" w:after="0" w:line="276" w:lineRule="auto"/>
              <w:ind w:left="0" w:firstLine="0"/>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4.5</w:t>
            </w:r>
            <w:r w:rsidR="009D3652" w:rsidRPr="001C60E2">
              <w:rPr>
                <w:rFonts w:ascii="Arial" w:hAnsi="Arial" w:cs="Arial"/>
                <w:noProof/>
                <w:sz w:val="20"/>
                <w:szCs w:val="20"/>
              </w:rPr>
              <w:t>90</w:t>
            </w:r>
            <w:r w:rsidRPr="001C60E2">
              <w:rPr>
                <w:rFonts w:ascii="Arial" w:hAnsi="Arial" w:cs="Arial"/>
                <w:noProof/>
                <w:sz w:val="20"/>
                <w:szCs w:val="20"/>
              </w:rPr>
              <w:t>,7</w:t>
            </w:r>
          </w:p>
        </w:tc>
      </w:tr>
      <w:tr w:rsidR="001C60E2" w:rsidRPr="001C60E2" w14:paraId="71EB99A3" w14:textId="77777777" w:rsidTr="003F6D54">
        <w:tc>
          <w:tcPr>
            <w:cnfStyle w:val="001000000000" w:firstRow="0" w:lastRow="0" w:firstColumn="1" w:lastColumn="0" w:oddVBand="0" w:evenVBand="0" w:oddHBand="0" w:evenHBand="0" w:firstRowFirstColumn="0" w:firstRowLastColumn="0" w:lastRowFirstColumn="0" w:lastRowLastColumn="0"/>
            <w:tcW w:w="468" w:type="pct"/>
            <w:vAlign w:val="center"/>
          </w:tcPr>
          <w:p w14:paraId="5013CAA1" w14:textId="77777777" w:rsidR="00B47CE5" w:rsidRPr="001C60E2" w:rsidRDefault="00B47CE5" w:rsidP="00815525">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Godišnje uštede [ktoe]</w:t>
            </w:r>
          </w:p>
        </w:tc>
        <w:tc>
          <w:tcPr>
            <w:tcW w:w="405" w:type="pct"/>
            <w:vAlign w:val="center"/>
          </w:tcPr>
          <w:p w14:paraId="22515BBB" w14:textId="77777777" w:rsidR="00B47CE5" w:rsidRPr="001C60E2" w:rsidRDefault="00B47CE5" w:rsidP="00815525">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405" w:type="pct"/>
            <w:vAlign w:val="center"/>
          </w:tcPr>
          <w:p w14:paraId="2638D539" w14:textId="77777777" w:rsidR="00B47CE5" w:rsidRPr="001C60E2" w:rsidRDefault="00B47CE5" w:rsidP="00815525">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405" w:type="pct"/>
            <w:vAlign w:val="center"/>
          </w:tcPr>
          <w:p w14:paraId="6D58BFB3" w14:textId="77777777" w:rsidR="00B47CE5" w:rsidRPr="001C60E2" w:rsidRDefault="00B47CE5" w:rsidP="00815525">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405" w:type="pct"/>
            <w:vAlign w:val="center"/>
          </w:tcPr>
          <w:p w14:paraId="00BF279F" w14:textId="77777777" w:rsidR="00B47CE5" w:rsidRPr="001C60E2" w:rsidRDefault="00B47CE5" w:rsidP="00815525">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405" w:type="pct"/>
            <w:vAlign w:val="center"/>
          </w:tcPr>
          <w:p w14:paraId="405FC053" w14:textId="77777777" w:rsidR="00B47CE5" w:rsidRPr="001C60E2" w:rsidRDefault="00B47CE5" w:rsidP="00815525">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405" w:type="pct"/>
            <w:vAlign w:val="center"/>
          </w:tcPr>
          <w:p w14:paraId="34620785" w14:textId="77777777" w:rsidR="00B47CE5" w:rsidRPr="001C60E2" w:rsidRDefault="00B47CE5" w:rsidP="00815525">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405" w:type="pct"/>
            <w:vAlign w:val="center"/>
          </w:tcPr>
          <w:p w14:paraId="2FC756AE" w14:textId="77777777" w:rsidR="00B47CE5" w:rsidRPr="001C60E2" w:rsidRDefault="00B47CE5" w:rsidP="00815525">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405" w:type="pct"/>
            <w:vAlign w:val="center"/>
          </w:tcPr>
          <w:p w14:paraId="0D551121" w14:textId="77777777" w:rsidR="00B47CE5" w:rsidRPr="001C60E2" w:rsidRDefault="00B47CE5" w:rsidP="00815525">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405" w:type="pct"/>
            <w:vAlign w:val="center"/>
          </w:tcPr>
          <w:p w14:paraId="137ED025" w14:textId="77777777" w:rsidR="00B47CE5" w:rsidRPr="001C60E2" w:rsidRDefault="00B47CE5" w:rsidP="00815525">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405" w:type="pct"/>
            <w:vAlign w:val="center"/>
          </w:tcPr>
          <w:p w14:paraId="0303D4EA" w14:textId="77777777" w:rsidR="00B47CE5" w:rsidRPr="001C60E2" w:rsidRDefault="00B47CE5" w:rsidP="00815525">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C60E2">
              <w:rPr>
                <w:rFonts w:ascii="Arial" w:hAnsi="Arial" w:cs="Arial"/>
                <w:noProof/>
                <w:sz w:val="20"/>
                <w:szCs w:val="20"/>
              </w:rPr>
              <w:t>0,8%</w:t>
            </w:r>
          </w:p>
        </w:tc>
        <w:tc>
          <w:tcPr>
            <w:tcW w:w="473" w:type="pct"/>
            <w:vAlign w:val="center"/>
          </w:tcPr>
          <w:p w14:paraId="450BD4B2" w14:textId="77777777" w:rsidR="00B47CE5" w:rsidRPr="001C60E2" w:rsidRDefault="00B47CE5" w:rsidP="00815525">
            <w:pPr>
              <w:pStyle w:val="PointManual1"/>
              <w:spacing w:before="0" w:after="0" w:line="276"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p>
        </w:tc>
      </w:tr>
      <w:tr w:rsidR="001C60E2" w:rsidRPr="001C60E2" w14:paraId="7F77EC7D" w14:textId="77777777" w:rsidTr="00A10628">
        <w:tc>
          <w:tcPr>
            <w:cnfStyle w:val="001000000000" w:firstRow="0" w:lastRow="0" w:firstColumn="1" w:lastColumn="0" w:oddVBand="0" w:evenVBand="0" w:oddHBand="0" w:evenHBand="0" w:firstRowFirstColumn="0" w:firstRowLastColumn="0" w:lastRowFirstColumn="0" w:lastRowLastColumn="0"/>
            <w:tcW w:w="468" w:type="pct"/>
          </w:tcPr>
          <w:p w14:paraId="76720569" w14:textId="77777777" w:rsidR="003F6D54" w:rsidRPr="001C60E2" w:rsidRDefault="003F6D54" w:rsidP="003F6D54">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2021</w:t>
            </w:r>
          </w:p>
        </w:tc>
        <w:tc>
          <w:tcPr>
            <w:tcW w:w="405" w:type="pct"/>
            <w:vAlign w:val="center"/>
          </w:tcPr>
          <w:p w14:paraId="0F468F73" w14:textId="143142BD"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20F9DD76" w14:textId="3E8DBA7A"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2CB1B190" w14:textId="5E37C132"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37F5B5E8" w14:textId="1BFB8411"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685061E4" w14:textId="1B063F0B"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6EC85525" w14:textId="59AD4BAE"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16776D2C" w14:textId="683D4560"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7EA3E6DB" w14:textId="119B54AF"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70DC5066" w14:textId="0F0C8B21"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4F05482C" w14:textId="6F422463"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73" w:type="pct"/>
            <w:vAlign w:val="center"/>
          </w:tcPr>
          <w:p w14:paraId="18AEA836" w14:textId="40DA0994"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r>
      <w:tr w:rsidR="001C60E2" w:rsidRPr="001C60E2" w14:paraId="5BC1284C" w14:textId="77777777" w:rsidTr="00A10628">
        <w:tc>
          <w:tcPr>
            <w:cnfStyle w:val="001000000000" w:firstRow="0" w:lastRow="0" w:firstColumn="1" w:lastColumn="0" w:oddVBand="0" w:evenVBand="0" w:oddHBand="0" w:evenHBand="0" w:firstRowFirstColumn="0" w:firstRowLastColumn="0" w:lastRowFirstColumn="0" w:lastRowLastColumn="0"/>
            <w:tcW w:w="468" w:type="pct"/>
          </w:tcPr>
          <w:p w14:paraId="36B8858D" w14:textId="77777777" w:rsidR="003F6D54" w:rsidRPr="001C60E2" w:rsidRDefault="003F6D54" w:rsidP="003F6D54">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2022</w:t>
            </w:r>
          </w:p>
        </w:tc>
        <w:tc>
          <w:tcPr>
            <w:tcW w:w="405" w:type="pct"/>
            <w:vAlign w:val="center"/>
          </w:tcPr>
          <w:p w14:paraId="5FE83BBA" w14:textId="07AE4018"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6B482FAD" w14:textId="42DD9D94"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4B59E945" w14:textId="2B272878"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5356EBC9" w14:textId="18485F3C"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48A05131" w14:textId="2B7A39E5"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4957901A" w14:textId="0B0BC968"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3F402457" w14:textId="5E3A4BA2"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1ABEF0DA" w14:textId="7D74702C"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2A2AAD78" w14:textId="77003E85"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424D9901" w14:textId="5F6B5BF1"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73" w:type="pct"/>
            <w:vAlign w:val="center"/>
          </w:tcPr>
          <w:p w14:paraId="35F38EFC" w14:textId="4AF30DD5"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73,5</w:t>
            </w:r>
          </w:p>
        </w:tc>
      </w:tr>
      <w:tr w:rsidR="001C60E2" w:rsidRPr="001C60E2" w14:paraId="73156A5C" w14:textId="77777777" w:rsidTr="00A10628">
        <w:tc>
          <w:tcPr>
            <w:cnfStyle w:val="001000000000" w:firstRow="0" w:lastRow="0" w:firstColumn="1" w:lastColumn="0" w:oddVBand="0" w:evenVBand="0" w:oddHBand="0" w:evenHBand="0" w:firstRowFirstColumn="0" w:firstRowLastColumn="0" w:lastRowFirstColumn="0" w:lastRowLastColumn="0"/>
            <w:tcW w:w="468" w:type="pct"/>
          </w:tcPr>
          <w:p w14:paraId="1C33C1C8" w14:textId="77777777" w:rsidR="003F6D54" w:rsidRPr="001C60E2" w:rsidRDefault="003F6D54" w:rsidP="003F6D54">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2023</w:t>
            </w:r>
          </w:p>
        </w:tc>
        <w:tc>
          <w:tcPr>
            <w:tcW w:w="405" w:type="pct"/>
            <w:vAlign w:val="center"/>
          </w:tcPr>
          <w:p w14:paraId="089DC4CA" w14:textId="696680C3"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27933687" w14:textId="1C66B79F"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559F94E9" w14:textId="2B9F0F20"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66208D80" w14:textId="3534F8B2"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09E1660F" w14:textId="4C35834E"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2714F8E9" w14:textId="3BFB1B7B"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6A9DC39B" w14:textId="2B5A16DA"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4165FDA8" w14:textId="3A2B6284"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00C0E28A" w14:textId="2D6F3A12"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02BF66B5" w14:textId="1F138F65"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73" w:type="pct"/>
            <w:vAlign w:val="center"/>
          </w:tcPr>
          <w:p w14:paraId="03D3E56E" w14:textId="10141997"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110,2</w:t>
            </w:r>
          </w:p>
        </w:tc>
      </w:tr>
      <w:tr w:rsidR="001C60E2" w:rsidRPr="001C60E2" w14:paraId="5E257411" w14:textId="77777777" w:rsidTr="00A10628">
        <w:tc>
          <w:tcPr>
            <w:cnfStyle w:val="001000000000" w:firstRow="0" w:lastRow="0" w:firstColumn="1" w:lastColumn="0" w:oddVBand="0" w:evenVBand="0" w:oddHBand="0" w:evenHBand="0" w:firstRowFirstColumn="0" w:firstRowLastColumn="0" w:lastRowFirstColumn="0" w:lastRowLastColumn="0"/>
            <w:tcW w:w="468" w:type="pct"/>
          </w:tcPr>
          <w:p w14:paraId="179E423C" w14:textId="77777777" w:rsidR="003F6D54" w:rsidRPr="001C60E2" w:rsidRDefault="003F6D54" w:rsidP="003F6D54">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2024</w:t>
            </w:r>
          </w:p>
        </w:tc>
        <w:tc>
          <w:tcPr>
            <w:tcW w:w="405" w:type="pct"/>
            <w:vAlign w:val="center"/>
          </w:tcPr>
          <w:p w14:paraId="2D5FA714" w14:textId="6E267CF6"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49997558" w14:textId="5594D1AB"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1F378AF6" w14:textId="493C60F7"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30DAB89D" w14:textId="2C60C763"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51E9302F" w14:textId="2CEF82F5"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79EA4A0C" w14:textId="7B7FCA64"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2C27996F" w14:textId="708452EA"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06360088" w14:textId="1F6DCD20"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60BF26A3" w14:textId="526310AD"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203A3520" w14:textId="3D83A4B3"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73" w:type="pct"/>
            <w:vAlign w:val="center"/>
          </w:tcPr>
          <w:p w14:paraId="7414D467" w14:textId="17CDEAC6"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146,9</w:t>
            </w:r>
          </w:p>
        </w:tc>
      </w:tr>
      <w:tr w:rsidR="001C60E2" w:rsidRPr="001C60E2" w14:paraId="0EC3AA51" w14:textId="77777777" w:rsidTr="00A10628">
        <w:tc>
          <w:tcPr>
            <w:cnfStyle w:val="001000000000" w:firstRow="0" w:lastRow="0" w:firstColumn="1" w:lastColumn="0" w:oddVBand="0" w:evenVBand="0" w:oddHBand="0" w:evenHBand="0" w:firstRowFirstColumn="0" w:firstRowLastColumn="0" w:lastRowFirstColumn="0" w:lastRowLastColumn="0"/>
            <w:tcW w:w="468" w:type="pct"/>
          </w:tcPr>
          <w:p w14:paraId="5DE2ABBB" w14:textId="77777777" w:rsidR="003F6D54" w:rsidRPr="001C60E2" w:rsidRDefault="003F6D54" w:rsidP="003F6D54">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2025</w:t>
            </w:r>
          </w:p>
        </w:tc>
        <w:tc>
          <w:tcPr>
            <w:tcW w:w="405" w:type="pct"/>
            <w:vAlign w:val="center"/>
          </w:tcPr>
          <w:p w14:paraId="5BE312ED" w14:textId="51B45E2F"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315A00D0" w14:textId="0F8E0A04"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64DE08EC" w14:textId="5723063B"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35092C03" w14:textId="75B2E9E9"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3BEA469B" w14:textId="6BC47FBC"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25A38825" w14:textId="2A7CD11E"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0DAAB322" w14:textId="116F4777"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68A6E1F6" w14:textId="7515525B"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65378690" w14:textId="4E055AC1"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1E32273E" w14:textId="3E7774F5"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73" w:type="pct"/>
            <w:vAlign w:val="center"/>
          </w:tcPr>
          <w:p w14:paraId="051842B4" w14:textId="6C65454E"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183,6</w:t>
            </w:r>
          </w:p>
        </w:tc>
      </w:tr>
      <w:tr w:rsidR="001C60E2" w:rsidRPr="001C60E2" w14:paraId="07ABED04" w14:textId="77777777" w:rsidTr="00A10628">
        <w:tc>
          <w:tcPr>
            <w:cnfStyle w:val="001000000000" w:firstRow="0" w:lastRow="0" w:firstColumn="1" w:lastColumn="0" w:oddVBand="0" w:evenVBand="0" w:oddHBand="0" w:evenHBand="0" w:firstRowFirstColumn="0" w:firstRowLastColumn="0" w:lastRowFirstColumn="0" w:lastRowLastColumn="0"/>
            <w:tcW w:w="468" w:type="pct"/>
          </w:tcPr>
          <w:p w14:paraId="03699E60" w14:textId="77777777" w:rsidR="003F6D54" w:rsidRPr="001C60E2" w:rsidRDefault="003F6D54" w:rsidP="003F6D54">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2026</w:t>
            </w:r>
          </w:p>
        </w:tc>
        <w:tc>
          <w:tcPr>
            <w:tcW w:w="405" w:type="pct"/>
            <w:vAlign w:val="center"/>
          </w:tcPr>
          <w:p w14:paraId="05ED7E27" w14:textId="0420C4D7"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030D5744" w14:textId="782C1730"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31D98EEA" w14:textId="4E827749"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024C7E3B" w14:textId="7E270641"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4B935208" w14:textId="3A27EA8B"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6DBEEA60" w14:textId="285DA4F3"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5032642D" w14:textId="30494BF1"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383A0391" w14:textId="06F3205D"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24A796C3" w14:textId="382D5206"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4C4F7C73" w14:textId="3DB07989"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73" w:type="pct"/>
            <w:vAlign w:val="center"/>
          </w:tcPr>
          <w:p w14:paraId="206617CE" w14:textId="2B8DB893"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220,4</w:t>
            </w:r>
          </w:p>
        </w:tc>
      </w:tr>
      <w:tr w:rsidR="001C60E2" w:rsidRPr="001C60E2" w14:paraId="21363C77" w14:textId="77777777" w:rsidTr="00A10628">
        <w:tc>
          <w:tcPr>
            <w:cnfStyle w:val="001000000000" w:firstRow="0" w:lastRow="0" w:firstColumn="1" w:lastColumn="0" w:oddVBand="0" w:evenVBand="0" w:oddHBand="0" w:evenHBand="0" w:firstRowFirstColumn="0" w:firstRowLastColumn="0" w:lastRowFirstColumn="0" w:lastRowLastColumn="0"/>
            <w:tcW w:w="468" w:type="pct"/>
          </w:tcPr>
          <w:p w14:paraId="69B06840" w14:textId="77777777" w:rsidR="003F6D54" w:rsidRPr="001C60E2" w:rsidRDefault="003F6D54" w:rsidP="003F6D54">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2027</w:t>
            </w:r>
          </w:p>
        </w:tc>
        <w:tc>
          <w:tcPr>
            <w:tcW w:w="405" w:type="pct"/>
            <w:vAlign w:val="center"/>
          </w:tcPr>
          <w:p w14:paraId="2F9C4920" w14:textId="76EE9F03"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19AE1D5B" w14:textId="3B573E76"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47A8DF89" w14:textId="1D03FED3"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34945C71" w14:textId="3D53A2D8"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3AAB3471" w14:textId="4C9B092B"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5507A146" w14:textId="72BB8225"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20C2EC8C" w14:textId="1E7CC93E"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70F982D6" w14:textId="7A373774"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2F1D2CA0" w14:textId="33574DD5"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0D45CAB9" w14:textId="3751C569"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73" w:type="pct"/>
            <w:vAlign w:val="center"/>
          </w:tcPr>
          <w:p w14:paraId="497ED174" w14:textId="3441167B"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257,1</w:t>
            </w:r>
          </w:p>
        </w:tc>
      </w:tr>
      <w:tr w:rsidR="001C60E2" w:rsidRPr="001C60E2" w14:paraId="6A1161F5" w14:textId="77777777" w:rsidTr="00A10628">
        <w:tc>
          <w:tcPr>
            <w:cnfStyle w:val="001000000000" w:firstRow="0" w:lastRow="0" w:firstColumn="1" w:lastColumn="0" w:oddVBand="0" w:evenVBand="0" w:oddHBand="0" w:evenHBand="0" w:firstRowFirstColumn="0" w:firstRowLastColumn="0" w:lastRowFirstColumn="0" w:lastRowLastColumn="0"/>
            <w:tcW w:w="468" w:type="pct"/>
          </w:tcPr>
          <w:p w14:paraId="38BA553B" w14:textId="77777777" w:rsidR="003F6D54" w:rsidRPr="001C60E2" w:rsidRDefault="003F6D54" w:rsidP="003F6D54">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2028</w:t>
            </w:r>
          </w:p>
        </w:tc>
        <w:tc>
          <w:tcPr>
            <w:tcW w:w="405" w:type="pct"/>
            <w:vAlign w:val="center"/>
          </w:tcPr>
          <w:p w14:paraId="5F649485" w14:textId="4008470C"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30A29539" w14:textId="189A7373"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68437C8D" w14:textId="784BBF51"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000E2D0E" w14:textId="0CF77DA4"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3AE320EB" w14:textId="0D9BAFC2"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36729F01" w14:textId="28B25B47"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664AC35A" w14:textId="5D64764D"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5D35334D" w14:textId="721B5B0F"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5CFE087B" w14:textId="0ADDA5B8"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05" w:type="pct"/>
            <w:vAlign w:val="center"/>
          </w:tcPr>
          <w:p w14:paraId="18984C06" w14:textId="742B379E"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73" w:type="pct"/>
            <w:vAlign w:val="center"/>
          </w:tcPr>
          <w:p w14:paraId="25A946E4" w14:textId="1E814EA7"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293,8</w:t>
            </w:r>
          </w:p>
        </w:tc>
      </w:tr>
      <w:tr w:rsidR="001C60E2" w:rsidRPr="001C60E2" w14:paraId="2B3981BC" w14:textId="77777777" w:rsidTr="00A10628">
        <w:tc>
          <w:tcPr>
            <w:cnfStyle w:val="001000000000" w:firstRow="0" w:lastRow="0" w:firstColumn="1" w:lastColumn="0" w:oddVBand="0" w:evenVBand="0" w:oddHBand="0" w:evenHBand="0" w:firstRowFirstColumn="0" w:firstRowLastColumn="0" w:lastRowFirstColumn="0" w:lastRowLastColumn="0"/>
            <w:tcW w:w="468" w:type="pct"/>
          </w:tcPr>
          <w:p w14:paraId="37E7D8A2" w14:textId="77777777" w:rsidR="003F6D54" w:rsidRPr="001C60E2" w:rsidRDefault="003F6D54" w:rsidP="003F6D54">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2029</w:t>
            </w:r>
          </w:p>
        </w:tc>
        <w:tc>
          <w:tcPr>
            <w:tcW w:w="405" w:type="pct"/>
            <w:vAlign w:val="center"/>
          </w:tcPr>
          <w:p w14:paraId="546E9684" w14:textId="61B32E6A"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319133B9" w14:textId="320878DE"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2A7A1E05" w14:textId="0A11A6C2"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29DE692E" w14:textId="6237063D"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5475C880" w14:textId="73F740FA"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4599B895" w14:textId="6F84A975"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354AFD0D" w14:textId="4F65EA69"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18DABC28" w14:textId="13DE9032"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1A711B9B" w14:textId="5C4E7DAB"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003CD152" w14:textId="545D2659"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 </w:t>
            </w:r>
          </w:p>
        </w:tc>
        <w:tc>
          <w:tcPr>
            <w:tcW w:w="473" w:type="pct"/>
            <w:vAlign w:val="center"/>
          </w:tcPr>
          <w:p w14:paraId="3836D942" w14:textId="4A37E91B"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330,5</w:t>
            </w:r>
          </w:p>
        </w:tc>
      </w:tr>
      <w:tr w:rsidR="001C60E2" w:rsidRPr="001C60E2" w14:paraId="107824C5" w14:textId="77777777" w:rsidTr="00A10628">
        <w:tc>
          <w:tcPr>
            <w:cnfStyle w:val="001000000000" w:firstRow="0" w:lastRow="0" w:firstColumn="1" w:lastColumn="0" w:oddVBand="0" w:evenVBand="0" w:oddHBand="0" w:evenHBand="0" w:firstRowFirstColumn="0" w:firstRowLastColumn="0" w:lastRowFirstColumn="0" w:lastRowLastColumn="0"/>
            <w:tcW w:w="468" w:type="pct"/>
          </w:tcPr>
          <w:p w14:paraId="5832D978" w14:textId="77777777" w:rsidR="003F6D54" w:rsidRPr="001C60E2" w:rsidRDefault="003F6D54" w:rsidP="003F6D54">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2030</w:t>
            </w:r>
          </w:p>
        </w:tc>
        <w:tc>
          <w:tcPr>
            <w:tcW w:w="405" w:type="pct"/>
            <w:vAlign w:val="center"/>
          </w:tcPr>
          <w:p w14:paraId="31CDB812" w14:textId="5DF67E6F"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3C1B5E76" w14:textId="545D490E"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01039922" w14:textId="19C88B09"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02164CAD" w14:textId="3D8A8FCB"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2C88397B" w14:textId="07BB2914"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0111DE3E" w14:textId="32239EF0"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25879E58" w14:textId="1B951948"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5ED25F70" w14:textId="41F7AC8F"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47A421A1" w14:textId="55A3B5C7"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05" w:type="pct"/>
            <w:vAlign w:val="center"/>
          </w:tcPr>
          <w:p w14:paraId="7EAB0470" w14:textId="0481663E"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w:t>
            </w:r>
          </w:p>
        </w:tc>
        <w:tc>
          <w:tcPr>
            <w:tcW w:w="473" w:type="pct"/>
            <w:vAlign w:val="center"/>
          </w:tcPr>
          <w:p w14:paraId="01D62C8F" w14:textId="733C0EEB" w:rsidR="003F6D54" w:rsidRPr="001C60E2" w:rsidRDefault="003F6D54" w:rsidP="003F6D54">
            <w:pPr>
              <w:pStyle w:val="PointManual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C60E2">
              <w:rPr>
                <w:rFonts w:ascii="Arial" w:hAnsi="Arial" w:cs="Arial"/>
                <w:sz w:val="18"/>
                <w:szCs w:val="18"/>
              </w:rPr>
              <w:t>367,3</w:t>
            </w:r>
          </w:p>
        </w:tc>
      </w:tr>
      <w:tr w:rsidR="001C60E2" w:rsidRPr="001C60E2" w14:paraId="2303230D" w14:textId="77777777" w:rsidTr="003F6D54">
        <w:tc>
          <w:tcPr>
            <w:cnfStyle w:val="001000000000" w:firstRow="0" w:lastRow="0" w:firstColumn="1" w:lastColumn="0" w:oddVBand="0" w:evenVBand="0" w:oddHBand="0" w:evenHBand="0" w:firstRowFirstColumn="0" w:firstRowLastColumn="0" w:lastRowFirstColumn="0" w:lastRowLastColumn="0"/>
            <w:tcW w:w="4518" w:type="pct"/>
            <w:gridSpan w:val="11"/>
          </w:tcPr>
          <w:p w14:paraId="6C276398" w14:textId="77777777" w:rsidR="00476CD2" w:rsidRPr="001C60E2" w:rsidRDefault="00476CD2" w:rsidP="00476CD2">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UKUPNI KUMULATIVNI CILJ ZA RAZDOBLJE 2021. – 2030. [ktoe]</w:t>
            </w:r>
          </w:p>
        </w:tc>
        <w:tc>
          <w:tcPr>
            <w:tcW w:w="482" w:type="pct"/>
            <w:vAlign w:val="center"/>
          </w:tcPr>
          <w:p w14:paraId="3E24C0BF" w14:textId="621548A0" w:rsidR="00476CD2" w:rsidRPr="001C60E2" w:rsidRDefault="003F6D54" w:rsidP="00476CD2">
            <w:pPr>
              <w:suppressAutoHyphens w:val="0"/>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1C60E2">
              <w:rPr>
                <w:rFonts w:cs="Arial"/>
                <w:b/>
                <w:bCs/>
                <w:sz w:val="20"/>
                <w:szCs w:val="20"/>
              </w:rPr>
              <w:t>2.019,9</w:t>
            </w:r>
          </w:p>
        </w:tc>
      </w:tr>
      <w:tr w:rsidR="001C60E2" w:rsidRPr="001C60E2" w14:paraId="1C83EDB7" w14:textId="77777777" w:rsidTr="003F6D54">
        <w:tc>
          <w:tcPr>
            <w:cnfStyle w:val="001000000000" w:firstRow="0" w:lastRow="0" w:firstColumn="1" w:lastColumn="0" w:oddVBand="0" w:evenVBand="0" w:oddHBand="0" w:evenHBand="0" w:firstRowFirstColumn="0" w:firstRowLastColumn="0" w:lastRowFirstColumn="0" w:lastRowLastColumn="0"/>
            <w:tcW w:w="4518" w:type="pct"/>
            <w:gridSpan w:val="11"/>
          </w:tcPr>
          <w:p w14:paraId="4A645E06" w14:textId="77777777" w:rsidR="00476CD2" w:rsidRPr="001C60E2" w:rsidRDefault="00476CD2" w:rsidP="00476CD2">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UKUPNI KUMULATIVNI CILJ ZA RAZDOBLJE 2021. – 2030. [PJ]</w:t>
            </w:r>
          </w:p>
        </w:tc>
        <w:tc>
          <w:tcPr>
            <w:tcW w:w="482" w:type="pct"/>
            <w:vAlign w:val="center"/>
          </w:tcPr>
          <w:p w14:paraId="0777DDC8" w14:textId="645C8F60" w:rsidR="00476CD2" w:rsidRPr="001C60E2" w:rsidRDefault="003F6D54" w:rsidP="00476CD2">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cs="Arial"/>
                <w:b/>
                <w:noProof/>
                <w:sz w:val="20"/>
                <w:szCs w:val="20"/>
              </w:rPr>
            </w:pPr>
            <w:r w:rsidRPr="001C60E2">
              <w:rPr>
                <w:rFonts w:cs="Arial"/>
                <w:b/>
                <w:bCs/>
                <w:sz w:val="20"/>
                <w:szCs w:val="20"/>
              </w:rPr>
              <w:t>84</w:t>
            </w:r>
            <w:r w:rsidR="00476CD2" w:rsidRPr="001C60E2">
              <w:rPr>
                <w:rFonts w:cs="Arial"/>
                <w:b/>
                <w:bCs/>
                <w:sz w:val="20"/>
                <w:szCs w:val="20"/>
              </w:rPr>
              <w:t>,</w:t>
            </w:r>
            <w:r w:rsidRPr="001C60E2">
              <w:rPr>
                <w:rFonts w:cs="Arial"/>
                <w:b/>
                <w:bCs/>
                <w:sz w:val="20"/>
                <w:szCs w:val="20"/>
              </w:rPr>
              <w:t>6</w:t>
            </w:r>
          </w:p>
        </w:tc>
      </w:tr>
      <w:tr w:rsidR="001C60E2" w:rsidRPr="001C60E2" w14:paraId="58C69130" w14:textId="77777777" w:rsidTr="003F6D54">
        <w:tc>
          <w:tcPr>
            <w:cnfStyle w:val="001000000000" w:firstRow="0" w:lastRow="0" w:firstColumn="1" w:lastColumn="0" w:oddVBand="0" w:evenVBand="0" w:oddHBand="0" w:evenHBand="0" w:firstRowFirstColumn="0" w:firstRowLastColumn="0" w:lastRowFirstColumn="0" w:lastRowLastColumn="0"/>
            <w:tcW w:w="4518" w:type="pct"/>
            <w:gridSpan w:val="11"/>
          </w:tcPr>
          <w:p w14:paraId="0C4357D5" w14:textId="77777777" w:rsidR="00476CD2" w:rsidRPr="001C60E2" w:rsidRDefault="00476CD2" w:rsidP="00476CD2">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Godišnje uštede [PJ]</w:t>
            </w:r>
          </w:p>
        </w:tc>
        <w:tc>
          <w:tcPr>
            <w:tcW w:w="482" w:type="pct"/>
            <w:vAlign w:val="center"/>
          </w:tcPr>
          <w:p w14:paraId="0E8D2B66" w14:textId="7B0953D1" w:rsidR="00476CD2" w:rsidRPr="001C60E2" w:rsidRDefault="00476CD2" w:rsidP="00476CD2">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cs="Arial"/>
                <w:b/>
                <w:noProof/>
                <w:sz w:val="20"/>
                <w:szCs w:val="20"/>
              </w:rPr>
            </w:pPr>
            <w:r w:rsidRPr="001C60E2">
              <w:rPr>
                <w:rFonts w:cs="Arial"/>
                <w:b/>
                <w:bCs/>
                <w:sz w:val="20"/>
                <w:szCs w:val="20"/>
              </w:rPr>
              <w:t>1,5</w:t>
            </w:r>
          </w:p>
        </w:tc>
      </w:tr>
    </w:tbl>
    <w:p w14:paraId="54BCD3ED" w14:textId="77777777" w:rsidR="00B47CE5" w:rsidRPr="001C60E2" w:rsidRDefault="00B47CE5" w:rsidP="00B47CE5">
      <w:pPr>
        <w:pStyle w:val="PointManual1"/>
        <w:spacing w:before="0" w:after="0" w:line="276" w:lineRule="auto"/>
        <w:ind w:left="0" w:firstLine="0"/>
        <w:rPr>
          <w:rFonts w:ascii="Arial" w:hAnsi="Arial" w:cs="Arial"/>
          <w:i/>
          <w:sz w:val="22"/>
        </w:rPr>
      </w:pPr>
    </w:p>
    <w:p w14:paraId="32A50CD6" w14:textId="77777777" w:rsidR="00913A33" w:rsidRPr="001C60E2" w:rsidRDefault="00CB22AC">
      <w:pPr>
        <w:suppressAutoHyphens w:val="0"/>
        <w:spacing w:before="0" w:after="160" w:line="259" w:lineRule="auto"/>
        <w:jc w:val="left"/>
        <w:rPr>
          <w:rFonts w:cs="Arial"/>
          <w:iCs/>
        </w:rPr>
      </w:pPr>
      <w:r w:rsidRPr="001C60E2">
        <w:rPr>
          <w:rFonts w:cs="Arial"/>
          <w:iCs/>
        </w:rPr>
        <w:t xml:space="preserve">Ukoliko bi se iz izračuna izuzela </w:t>
      </w:r>
      <w:r w:rsidR="00913A33" w:rsidRPr="001C60E2">
        <w:rPr>
          <w:rFonts w:cs="Arial"/>
          <w:iCs/>
        </w:rPr>
        <w:t xml:space="preserve">potrošnja energije u prometu, RH bi morala primijeniti novu godišnju stopu ušteda energije od </w:t>
      </w:r>
      <w:r w:rsidR="00913A33" w:rsidRPr="001C60E2">
        <w:rPr>
          <w:rFonts w:cs="Arial"/>
          <w:b/>
          <w:bCs/>
          <w:iCs/>
        </w:rPr>
        <w:t>1,19%</w:t>
      </w:r>
      <w:r w:rsidR="00913A33" w:rsidRPr="001C60E2">
        <w:rPr>
          <w:rFonts w:cs="Arial"/>
          <w:iCs/>
        </w:rPr>
        <w:t xml:space="preserve"> kako bi se ostvario kumulativni cilj jednak onome izračunatom u skladu s člankom 7. stavkom 1. točkom b. Direktive.</w:t>
      </w:r>
    </w:p>
    <w:p w14:paraId="4E7E24B5" w14:textId="4DF553FB" w:rsidR="006D1797" w:rsidRPr="001C60E2" w:rsidRDefault="006D1797">
      <w:pPr>
        <w:suppressAutoHyphens w:val="0"/>
        <w:spacing w:before="0" w:after="160" w:line="259" w:lineRule="auto"/>
        <w:jc w:val="left"/>
        <w:rPr>
          <w:rFonts w:eastAsia="Calibri" w:cs="Arial"/>
          <w:i/>
          <w:lang w:eastAsia="en-US"/>
        </w:rPr>
      </w:pPr>
    </w:p>
    <w:p w14:paraId="6B1AFDBE" w14:textId="326E59F7" w:rsidR="00B47CE5" w:rsidRPr="001C60E2" w:rsidRDefault="00B47CE5" w:rsidP="00B47CE5">
      <w:pPr>
        <w:pStyle w:val="PointManual1"/>
        <w:numPr>
          <w:ilvl w:val="0"/>
          <w:numId w:val="22"/>
        </w:numPr>
        <w:spacing w:before="0" w:after="0" w:line="276" w:lineRule="auto"/>
        <w:rPr>
          <w:rFonts w:ascii="Arial" w:hAnsi="Arial" w:cs="Arial"/>
          <w:i/>
          <w:sz w:val="22"/>
        </w:rPr>
      </w:pPr>
      <w:r w:rsidRPr="001C60E2">
        <w:rPr>
          <w:rFonts w:ascii="Arial" w:hAnsi="Arial" w:cs="Arial"/>
          <w:i/>
          <w:sz w:val="22"/>
        </w:rPr>
        <w:t>primjena mogućnosti iz članka 7. stavka 4. točaka od (b) do (g) Direktive 2012/27/EU:</w:t>
      </w:r>
    </w:p>
    <w:p w14:paraId="05854947" w14:textId="77777777" w:rsidR="0024623A" w:rsidRPr="001C60E2" w:rsidRDefault="0024623A" w:rsidP="0024623A">
      <w:pPr>
        <w:pStyle w:val="PointManual1"/>
        <w:numPr>
          <w:ilvl w:val="1"/>
          <w:numId w:val="23"/>
        </w:numPr>
        <w:spacing w:before="0" w:after="0" w:line="276" w:lineRule="auto"/>
        <w:rPr>
          <w:rFonts w:ascii="Arial" w:hAnsi="Arial" w:cs="Arial"/>
          <w:i/>
          <w:sz w:val="22"/>
        </w:rPr>
      </w:pPr>
      <w:r w:rsidRPr="001C60E2">
        <w:rPr>
          <w:rFonts w:ascii="Arial" w:hAnsi="Arial" w:cs="Arial"/>
          <w:i/>
          <w:sz w:val="22"/>
        </w:rPr>
        <w:t xml:space="preserve">neposredna potrošnja energije koja se upotrebljava u industrijskim djelatnostima [u </w:t>
      </w:r>
      <w:proofErr w:type="spellStart"/>
      <w:r w:rsidRPr="001C60E2">
        <w:rPr>
          <w:rFonts w:ascii="Arial" w:hAnsi="Arial" w:cs="Arial"/>
          <w:i/>
          <w:sz w:val="22"/>
        </w:rPr>
        <w:t>ktoe</w:t>
      </w:r>
      <w:proofErr w:type="spellEnd"/>
      <w:r w:rsidRPr="001C60E2">
        <w:rPr>
          <w:rFonts w:ascii="Arial" w:hAnsi="Arial" w:cs="Arial"/>
          <w:i/>
          <w:sz w:val="22"/>
        </w:rPr>
        <w:t>] navedenima u Prilogu I. Direktivi 2003/87/EZ, koja je isključena iz izračuna u skladu s člankom 7. stavkom 4. točkom (b) Direktive 2012/27/EU</w:t>
      </w:r>
    </w:p>
    <w:tbl>
      <w:tblPr>
        <w:tblStyle w:val="GridTable1Light"/>
        <w:tblW w:w="5000" w:type="pct"/>
        <w:tblLook w:val="04A0" w:firstRow="1" w:lastRow="0" w:firstColumn="1" w:lastColumn="0" w:noHBand="0" w:noVBand="1"/>
      </w:tblPr>
      <w:tblGrid>
        <w:gridCol w:w="4139"/>
        <w:gridCol w:w="1023"/>
        <w:gridCol w:w="1023"/>
        <w:gridCol w:w="2877"/>
      </w:tblGrid>
      <w:tr w:rsidR="001C60E2" w:rsidRPr="001C60E2" w14:paraId="4BA32398" w14:textId="77777777" w:rsidTr="00A106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6558E7F5" w14:textId="77777777" w:rsidR="002F3F59" w:rsidRPr="001C60E2" w:rsidRDefault="002F3F59" w:rsidP="002F3F59">
            <w:pPr>
              <w:spacing w:before="0" w:after="0" w:line="276" w:lineRule="auto"/>
              <w:rPr>
                <w:rFonts w:cs="Arial"/>
                <w:sz w:val="20"/>
                <w:szCs w:val="20"/>
              </w:rPr>
            </w:pPr>
          </w:p>
        </w:tc>
        <w:tc>
          <w:tcPr>
            <w:tcW w:w="0" w:type="pct"/>
          </w:tcPr>
          <w:p w14:paraId="1EC78091" w14:textId="57A3928F" w:rsidR="002F3F59" w:rsidRPr="001C60E2" w:rsidRDefault="008F0EE8" w:rsidP="002F3F59">
            <w:pPr>
              <w:spacing w:before="0" w:after="0" w:line="276" w:lineRule="auto"/>
              <w:jc w:val="right"/>
              <w:cnfStyle w:val="100000000000" w:firstRow="1"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2016.</w:t>
            </w:r>
          </w:p>
        </w:tc>
        <w:tc>
          <w:tcPr>
            <w:tcW w:w="0" w:type="pct"/>
          </w:tcPr>
          <w:p w14:paraId="669BF6FE" w14:textId="393A51A4" w:rsidR="002F3F59" w:rsidRPr="001C60E2" w:rsidRDefault="008F0EE8" w:rsidP="002F3F59">
            <w:pPr>
              <w:spacing w:before="0" w:after="0" w:line="276" w:lineRule="auto"/>
              <w:jc w:val="right"/>
              <w:cnfStyle w:val="100000000000" w:firstRow="1"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2017.</w:t>
            </w:r>
          </w:p>
        </w:tc>
        <w:tc>
          <w:tcPr>
            <w:tcW w:w="716" w:type="pct"/>
          </w:tcPr>
          <w:p w14:paraId="085F5095" w14:textId="0D5AC451" w:rsidR="002F3F59" w:rsidRPr="001C60E2" w:rsidRDefault="008F0EE8" w:rsidP="002F3F59">
            <w:pPr>
              <w:spacing w:before="0" w:after="0" w:line="276" w:lineRule="auto"/>
              <w:jc w:val="right"/>
              <w:cnfStyle w:val="100000000000" w:firstRow="1"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2018</w:t>
            </w:r>
            <w:r w:rsidR="002F3F59" w:rsidRPr="001C60E2">
              <w:rPr>
                <w:rFonts w:cs="Arial"/>
                <w:sz w:val="20"/>
                <w:szCs w:val="20"/>
              </w:rPr>
              <w:t>.</w:t>
            </w:r>
          </w:p>
        </w:tc>
      </w:tr>
      <w:tr w:rsidR="001C60E2" w:rsidRPr="001C60E2" w14:paraId="4EF27488" w14:textId="77777777" w:rsidTr="00A10628">
        <w:tc>
          <w:tcPr>
            <w:cnfStyle w:val="001000000000" w:firstRow="0" w:lastRow="0" w:firstColumn="1" w:lastColumn="0" w:oddVBand="0" w:evenVBand="0" w:oddHBand="0" w:evenHBand="0" w:firstRowFirstColumn="0" w:firstRowLastColumn="0" w:lastRowFirstColumn="0" w:lastRowLastColumn="0"/>
            <w:tcW w:w="0" w:type="pct"/>
          </w:tcPr>
          <w:p w14:paraId="4C99524A" w14:textId="77777777" w:rsidR="008F0EE8" w:rsidRPr="001C60E2" w:rsidRDefault="008F0EE8" w:rsidP="008F0EE8">
            <w:pPr>
              <w:spacing w:before="0" w:after="0" w:line="276" w:lineRule="auto"/>
              <w:ind w:left="306"/>
              <w:rPr>
                <w:rFonts w:cs="Arial"/>
                <w:b w:val="0"/>
                <w:sz w:val="20"/>
                <w:szCs w:val="20"/>
              </w:rPr>
            </w:pPr>
            <w:r w:rsidRPr="001C60E2">
              <w:rPr>
                <w:rFonts w:cs="Arial"/>
                <w:b w:val="0"/>
                <w:sz w:val="20"/>
                <w:szCs w:val="20"/>
              </w:rPr>
              <w:t>EU ETS postrojenja</w:t>
            </w:r>
          </w:p>
        </w:tc>
        <w:tc>
          <w:tcPr>
            <w:tcW w:w="0" w:type="pct"/>
          </w:tcPr>
          <w:p w14:paraId="30F6B315" w14:textId="50D7AC06" w:rsidR="008F0EE8" w:rsidRPr="001C60E2" w:rsidRDefault="008F0EE8" w:rsidP="008F0EE8">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712,8</w:t>
            </w:r>
          </w:p>
        </w:tc>
        <w:tc>
          <w:tcPr>
            <w:tcW w:w="0" w:type="pct"/>
          </w:tcPr>
          <w:p w14:paraId="0340EA13" w14:textId="3A6F7F9C" w:rsidR="008F0EE8" w:rsidRPr="001C60E2" w:rsidRDefault="008F0EE8" w:rsidP="008F0EE8">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711,7</w:t>
            </w:r>
          </w:p>
        </w:tc>
        <w:tc>
          <w:tcPr>
            <w:tcW w:w="716" w:type="pct"/>
          </w:tcPr>
          <w:p w14:paraId="6C608C47" w14:textId="627F677A" w:rsidR="008F0EE8" w:rsidRPr="001C60E2" w:rsidRDefault="00F76DB1" w:rsidP="008F0EE8">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770,1</w:t>
            </w:r>
          </w:p>
        </w:tc>
      </w:tr>
      <w:tr w:rsidR="001C60E2" w:rsidRPr="001C60E2" w14:paraId="7C316AE1" w14:textId="77777777" w:rsidTr="0024143D">
        <w:tc>
          <w:tcPr>
            <w:cnfStyle w:val="001000000000" w:firstRow="0" w:lastRow="0" w:firstColumn="1" w:lastColumn="0" w:oddVBand="0" w:evenVBand="0" w:oddHBand="0" w:evenHBand="0" w:firstRowFirstColumn="0" w:firstRowLastColumn="0" w:lastRowFirstColumn="0" w:lastRowLastColumn="0"/>
            <w:tcW w:w="2848" w:type="pct"/>
            <w:shd w:val="clear" w:color="auto" w:fill="D9D9D9" w:themeFill="background1" w:themeFillShade="D9"/>
          </w:tcPr>
          <w:p w14:paraId="466D762C" w14:textId="77777777" w:rsidR="008F0EE8" w:rsidRPr="001C60E2" w:rsidRDefault="008F0EE8" w:rsidP="008F0EE8">
            <w:pPr>
              <w:spacing w:before="0" w:after="0" w:line="276" w:lineRule="auto"/>
              <w:ind w:left="22"/>
              <w:rPr>
                <w:rFonts w:cs="Arial"/>
                <w:sz w:val="20"/>
                <w:szCs w:val="20"/>
              </w:rPr>
            </w:pPr>
            <w:r w:rsidRPr="001C60E2">
              <w:rPr>
                <w:rFonts w:cs="Arial"/>
                <w:sz w:val="20"/>
                <w:szCs w:val="20"/>
              </w:rPr>
              <w:t>PROSJEK [</w:t>
            </w:r>
            <w:proofErr w:type="spellStart"/>
            <w:r w:rsidRPr="001C60E2">
              <w:rPr>
                <w:rFonts w:cs="Arial"/>
                <w:sz w:val="20"/>
                <w:szCs w:val="20"/>
              </w:rPr>
              <w:t>ktoe</w:t>
            </w:r>
            <w:proofErr w:type="spellEnd"/>
            <w:r w:rsidRPr="001C60E2">
              <w:rPr>
                <w:rFonts w:cs="Arial"/>
                <w:sz w:val="20"/>
                <w:szCs w:val="20"/>
              </w:rPr>
              <w:t>]</w:t>
            </w:r>
          </w:p>
        </w:tc>
        <w:tc>
          <w:tcPr>
            <w:tcW w:w="2152" w:type="pct"/>
            <w:gridSpan w:val="3"/>
            <w:shd w:val="clear" w:color="auto" w:fill="D9D9D9" w:themeFill="background1" w:themeFillShade="D9"/>
          </w:tcPr>
          <w:p w14:paraId="705B5DFB" w14:textId="53E87F66" w:rsidR="008F0EE8" w:rsidRPr="001C60E2" w:rsidRDefault="008F0EE8" w:rsidP="008F0EE8">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cs="Arial"/>
                <w:b/>
                <w:sz w:val="20"/>
                <w:szCs w:val="20"/>
              </w:rPr>
            </w:pPr>
            <w:r w:rsidRPr="001C60E2">
              <w:rPr>
                <w:rFonts w:cs="Arial"/>
                <w:b/>
                <w:sz w:val="20"/>
                <w:szCs w:val="20"/>
              </w:rPr>
              <w:t>731,5</w:t>
            </w:r>
          </w:p>
        </w:tc>
      </w:tr>
    </w:tbl>
    <w:p w14:paraId="29FFEEE8" w14:textId="36563ABB" w:rsidR="0024623A" w:rsidRPr="001C60E2" w:rsidRDefault="0024623A" w:rsidP="00604252">
      <w:pPr>
        <w:pStyle w:val="PointManual1"/>
        <w:spacing w:before="0" w:after="0" w:line="276" w:lineRule="auto"/>
        <w:ind w:left="0" w:firstLine="0"/>
        <w:rPr>
          <w:rFonts w:ascii="Arial" w:hAnsi="Arial" w:cs="Arial"/>
          <w:iCs/>
          <w:sz w:val="22"/>
        </w:rPr>
      </w:pPr>
    </w:p>
    <w:p w14:paraId="2517D693" w14:textId="109912DA" w:rsidR="00F76DB1" w:rsidRPr="001C60E2" w:rsidRDefault="00F76DB1" w:rsidP="00604252">
      <w:pPr>
        <w:pStyle w:val="PointManual1"/>
        <w:spacing w:before="0" w:after="0" w:line="276" w:lineRule="auto"/>
        <w:ind w:left="0" w:firstLine="0"/>
        <w:rPr>
          <w:rFonts w:ascii="Arial" w:hAnsi="Arial" w:cs="Arial"/>
          <w:iCs/>
          <w:sz w:val="22"/>
        </w:rPr>
      </w:pPr>
      <w:r w:rsidRPr="001C60E2">
        <w:rPr>
          <w:rFonts w:ascii="Arial" w:hAnsi="Arial" w:cs="Arial"/>
          <w:iCs/>
          <w:sz w:val="22"/>
        </w:rPr>
        <w:t>Ova potrošnja predstavlja 10,75% ukupne neposredne potrošnje ene</w:t>
      </w:r>
      <w:r w:rsidR="00CF6282" w:rsidRPr="001C60E2">
        <w:rPr>
          <w:rFonts w:ascii="Arial" w:hAnsi="Arial" w:cs="Arial"/>
          <w:iCs/>
          <w:sz w:val="22"/>
        </w:rPr>
        <w:t xml:space="preserve">rgije u RH. </w:t>
      </w:r>
    </w:p>
    <w:p w14:paraId="71360F12" w14:textId="77777777" w:rsidR="00443ED1" w:rsidRPr="001C60E2" w:rsidRDefault="00443ED1" w:rsidP="00604252">
      <w:pPr>
        <w:pStyle w:val="PointManual1"/>
        <w:spacing w:before="0" w:after="0" w:line="276" w:lineRule="auto"/>
        <w:ind w:left="0" w:firstLine="0"/>
        <w:rPr>
          <w:rFonts w:ascii="Arial" w:hAnsi="Arial" w:cs="Arial"/>
          <w:i/>
          <w:sz w:val="22"/>
        </w:rPr>
      </w:pPr>
    </w:p>
    <w:p w14:paraId="077D0ABD" w14:textId="44CF85CE" w:rsidR="00711D97" w:rsidRPr="001C60E2" w:rsidRDefault="00711D97" w:rsidP="00604252">
      <w:pPr>
        <w:pStyle w:val="PointManual1"/>
        <w:numPr>
          <w:ilvl w:val="1"/>
          <w:numId w:val="23"/>
        </w:numPr>
        <w:spacing w:before="0" w:after="0" w:line="276" w:lineRule="auto"/>
        <w:rPr>
          <w:rFonts w:ascii="Arial" w:hAnsi="Arial" w:cs="Arial"/>
          <w:i/>
          <w:sz w:val="22"/>
        </w:rPr>
      </w:pPr>
      <w:r w:rsidRPr="001C60E2">
        <w:rPr>
          <w:rFonts w:ascii="Arial" w:hAnsi="Arial" w:cs="Arial"/>
          <w:i/>
          <w:sz w:val="22"/>
        </w:rPr>
        <w:t xml:space="preserve">iznos uštede energije [u </w:t>
      </w:r>
      <w:proofErr w:type="spellStart"/>
      <w:r w:rsidRPr="001C60E2">
        <w:rPr>
          <w:rFonts w:ascii="Arial" w:hAnsi="Arial" w:cs="Arial"/>
          <w:i/>
          <w:sz w:val="22"/>
        </w:rPr>
        <w:t>ktoe</w:t>
      </w:r>
      <w:proofErr w:type="spellEnd"/>
      <w:r w:rsidRPr="001C60E2">
        <w:rPr>
          <w:rFonts w:ascii="Arial" w:hAnsi="Arial" w:cs="Arial"/>
          <w:i/>
          <w:sz w:val="22"/>
        </w:rPr>
        <w:t>] ostvarene u sektorima pretvorbe, distribucije i prijenosa energije</w:t>
      </w:r>
      <w:r w:rsidR="00604252" w:rsidRPr="001C60E2">
        <w:rPr>
          <w:rFonts w:ascii="Arial" w:hAnsi="Arial" w:cs="Arial"/>
          <w:i/>
          <w:sz w:val="22"/>
        </w:rPr>
        <w:t>,</w:t>
      </w:r>
      <w:r w:rsidRPr="001C60E2">
        <w:rPr>
          <w:rFonts w:ascii="Arial" w:hAnsi="Arial" w:cs="Arial"/>
          <w:i/>
          <w:sz w:val="22"/>
        </w:rPr>
        <w:t xml:space="preserve"> </w:t>
      </w:r>
      <w:r w:rsidR="00604252" w:rsidRPr="001C60E2">
        <w:rPr>
          <w:rFonts w:ascii="Arial" w:hAnsi="Arial" w:cs="Arial"/>
          <w:i/>
          <w:sz w:val="22"/>
        </w:rPr>
        <w:t>uključujući infrastrukturu za učinkovito centralizirano grijanje i hlađenje, u skladu s člankom 7. stavkom 4. točkom (c) Direktive 2012/27/EU</w:t>
      </w:r>
    </w:p>
    <w:p w14:paraId="3AE660A0" w14:textId="4C7D6E1E" w:rsidR="00520924" w:rsidRPr="001C60E2" w:rsidRDefault="00581BDC" w:rsidP="00711D97">
      <w:pPr>
        <w:pStyle w:val="PointManual1"/>
        <w:spacing w:before="0" w:after="0" w:line="276" w:lineRule="auto"/>
        <w:ind w:left="0" w:firstLine="0"/>
        <w:jc w:val="both"/>
        <w:rPr>
          <w:rFonts w:ascii="Arial" w:hAnsi="Arial" w:cs="Arial"/>
          <w:sz w:val="22"/>
        </w:rPr>
      </w:pPr>
      <w:r w:rsidRPr="001C60E2">
        <w:rPr>
          <w:rFonts w:ascii="Arial" w:hAnsi="Arial" w:cs="Arial"/>
          <w:sz w:val="22"/>
        </w:rPr>
        <w:t>P</w:t>
      </w:r>
      <w:r w:rsidR="00711D97" w:rsidRPr="001C60E2">
        <w:rPr>
          <w:rFonts w:ascii="Arial" w:hAnsi="Arial" w:cs="Arial"/>
          <w:sz w:val="22"/>
        </w:rPr>
        <w:t xml:space="preserve">otencijal za povećanje energetske učinkovitosti infrastrukture za </w:t>
      </w:r>
      <w:r w:rsidRPr="001C60E2">
        <w:rPr>
          <w:rFonts w:ascii="Arial" w:hAnsi="Arial" w:cs="Arial"/>
          <w:sz w:val="22"/>
        </w:rPr>
        <w:t>prijenos električne energije ocijenjen je u Desetogodišnjem  planu  razvoja  prijenosne  mreže za razdoblje  2019. – 2028. Hrvatskog operatora prijenosnog sustava (HOPS) (pogledati mjeru ENU-14). Na temelju tih procjena izračunate su kumulativne očekivane uštede energije zbog smanjenja gubitaka u prijenosnoj mreži</w:t>
      </w:r>
      <w:r w:rsidR="00711D97" w:rsidRPr="001C60E2">
        <w:rPr>
          <w:rFonts w:ascii="Arial" w:hAnsi="Arial" w:cs="Arial"/>
          <w:sz w:val="22"/>
        </w:rPr>
        <w:t xml:space="preserve"> za razdoblje od </w:t>
      </w:r>
      <w:r w:rsidR="00C76744" w:rsidRPr="001C60E2">
        <w:rPr>
          <w:rFonts w:ascii="Arial" w:hAnsi="Arial" w:cs="Arial"/>
          <w:sz w:val="22"/>
        </w:rPr>
        <w:t>2021</w:t>
      </w:r>
      <w:r w:rsidR="00711D97" w:rsidRPr="001C60E2">
        <w:rPr>
          <w:rFonts w:ascii="Arial" w:hAnsi="Arial" w:cs="Arial"/>
          <w:sz w:val="22"/>
        </w:rPr>
        <w:t xml:space="preserve">. do </w:t>
      </w:r>
      <w:r w:rsidR="00CC6A13" w:rsidRPr="001C60E2">
        <w:rPr>
          <w:rFonts w:ascii="Arial" w:hAnsi="Arial" w:cs="Arial"/>
          <w:sz w:val="22"/>
        </w:rPr>
        <w:t>2030</w:t>
      </w:r>
      <w:r w:rsidR="00711D97" w:rsidRPr="001C60E2">
        <w:rPr>
          <w:rFonts w:ascii="Arial" w:hAnsi="Arial" w:cs="Arial"/>
          <w:sz w:val="22"/>
        </w:rPr>
        <w:t>. godine</w:t>
      </w:r>
      <w:r w:rsidRPr="001C60E2">
        <w:rPr>
          <w:rFonts w:ascii="Arial" w:hAnsi="Arial" w:cs="Arial"/>
          <w:sz w:val="22"/>
        </w:rPr>
        <w:t xml:space="preserve">, koje iznose </w:t>
      </w:r>
      <w:r w:rsidR="00520924" w:rsidRPr="001C60E2">
        <w:rPr>
          <w:rFonts w:ascii="Arial" w:hAnsi="Arial" w:cs="Arial"/>
          <w:sz w:val="22"/>
        </w:rPr>
        <w:t>1.443 GWh</w:t>
      </w:r>
      <w:r w:rsidR="00711D97" w:rsidRPr="001C60E2">
        <w:rPr>
          <w:rFonts w:ascii="Arial" w:hAnsi="Arial" w:cs="Arial"/>
          <w:sz w:val="22"/>
        </w:rPr>
        <w:t xml:space="preserve"> odnosno </w:t>
      </w:r>
      <w:r w:rsidR="00520924" w:rsidRPr="001C60E2">
        <w:rPr>
          <w:rFonts w:ascii="Arial" w:hAnsi="Arial" w:cs="Arial"/>
          <w:sz w:val="22"/>
        </w:rPr>
        <w:t>124</w:t>
      </w:r>
      <w:r w:rsidR="00711D97" w:rsidRPr="001C60E2">
        <w:rPr>
          <w:rFonts w:ascii="Arial" w:hAnsi="Arial" w:cs="Arial"/>
          <w:sz w:val="22"/>
        </w:rPr>
        <w:t>,</w:t>
      </w:r>
      <w:r w:rsidR="00520924" w:rsidRPr="001C60E2">
        <w:rPr>
          <w:rFonts w:ascii="Arial" w:hAnsi="Arial" w:cs="Arial"/>
          <w:sz w:val="22"/>
        </w:rPr>
        <w:t xml:space="preserve">1 </w:t>
      </w:r>
      <w:proofErr w:type="spellStart"/>
      <w:r w:rsidR="00711D97" w:rsidRPr="001C60E2">
        <w:rPr>
          <w:rFonts w:ascii="Arial" w:hAnsi="Arial" w:cs="Arial"/>
          <w:sz w:val="22"/>
        </w:rPr>
        <w:t>ktoe</w:t>
      </w:r>
      <w:proofErr w:type="spellEnd"/>
      <w:r w:rsidR="00711D97" w:rsidRPr="001C60E2">
        <w:rPr>
          <w:rFonts w:ascii="Arial" w:hAnsi="Arial" w:cs="Arial"/>
          <w:sz w:val="22"/>
        </w:rPr>
        <w:t xml:space="preserve"> (</w:t>
      </w:r>
      <w:r w:rsidR="00520924" w:rsidRPr="001C60E2">
        <w:rPr>
          <w:rFonts w:ascii="Arial" w:hAnsi="Arial" w:cs="Arial"/>
          <w:sz w:val="22"/>
        </w:rPr>
        <w:t>5</w:t>
      </w:r>
      <w:r w:rsidR="00711D97" w:rsidRPr="001C60E2">
        <w:rPr>
          <w:rFonts w:ascii="Arial" w:hAnsi="Arial" w:cs="Arial"/>
          <w:sz w:val="22"/>
        </w:rPr>
        <w:t>,</w:t>
      </w:r>
      <w:r w:rsidR="00520924" w:rsidRPr="001C60E2">
        <w:rPr>
          <w:rFonts w:ascii="Arial" w:hAnsi="Arial" w:cs="Arial"/>
          <w:sz w:val="22"/>
        </w:rPr>
        <w:t xml:space="preserve">2 </w:t>
      </w:r>
      <w:r w:rsidR="00711D97" w:rsidRPr="001C60E2">
        <w:rPr>
          <w:rFonts w:ascii="Arial" w:hAnsi="Arial" w:cs="Arial"/>
          <w:sz w:val="22"/>
        </w:rPr>
        <w:t xml:space="preserve">PJ). </w:t>
      </w:r>
    </w:p>
    <w:p w14:paraId="50E2BDBE" w14:textId="5640A5C9" w:rsidR="00520924" w:rsidRPr="001C60E2" w:rsidRDefault="00520924" w:rsidP="00520924">
      <w:pPr>
        <w:pStyle w:val="PointManual1"/>
        <w:spacing w:before="0" w:after="0" w:line="276" w:lineRule="auto"/>
        <w:ind w:left="0" w:firstLine="0"/>
        <w:jc w:val="both"/>
        <w:rPr>
          <w:rFonts w:ascii="Arial" w:hAnsi="Arial" w:cs="Arial"/>
          <w:sz w:val="22"/>
        </w:rPr>
      </w:pPr>
      <w:r w:rsidRPr="001C60E2">
        <w:rPr>
          <w:rFonts w:ascii="Arial" w:hAnsi="Arial" w:cs="Arial"/>
          <w:sz w:val="22"/>
        </w:rPr>
        <w:t xml:space="preserve">Potencijal za povećanje energetske učinkovitosti infrastrukture za distribuciju električne energije ocijenjen je u Desetogodišnjem  planu  razvoja  distribucijske mreže za razdoblje  2019. – 2028. HEP – Operatora distribucijskog sustava (HEP-ODS) (pogledati mjeru ENU-15). Na temelju tih procjena kumulativne očekivane uštede energije zbog smanjenja gubitaka u </w:t>
      </w:r>
      <w:r w:rsidR="00E53004" w:rsidRPr="001C60E2">
        <w:rPr>
          <w:rFonts w:ascii="Arial" w:hAnsi="Arial" w:cs="Arial"/>
          <w:sz w:val="22"/>
        </w:rPr>
        <w:t>distribucijskoj</w:t>
      </w:r>
      <w:r w:rsidRPr="001C60E2">
        <w:rPr>
          <w:rFonts w:ascii="Arial" w:hAnsi="Arial" w:cs="Arial"/>
          <w:sz w:val="22"/>
        </w:rPr>
        <w:t xml:space="preserve"> mreži za razdoblje od 2021. do 2030. godine iznose </w:t>
      </w:r>
      <w:r w:rsidR="00E53004" w:rsidRPr="001C60E2">
        <w:rPr>
          <w:rFonts w:ascii="Arial" w:hAnsi="Arial" w:cs="Arial"/>
          <w:sz w:val="22"/>
        </w:rPr>
        <w:t>284</w:t>
      </w:r>
      <w:r w:rsidRPr="001C60E2">
        <w:rPr>
          <w:rFonts w:ascii="Arial" w:hAnsi="Arial" w:cs="Arial"/>
          <w:sz w:val="22"/>
        </w:rPr>
        <w:t xml:space="preserve"> GWh odnosno 24,</w:t>
      </w:r>
      <w:r w:rsidR="000045E9" w:rsidRPr="001C60E2">
        <w:rPr>
          <w:rFonts w:ascii="Arial" w:hAnsi="Arial" w:cs="Arial"/>
          <w:sz w:val="22"/>
        </w:rPr>
        <w:t>4</w:t>
      </w:r>
      <w:r w:rsidRPr="001C60E2">
        <w:rPr>
          <w:rFonts w:ascii="Arial" w:hAnsi="Arial" w:cs="Arial"/>
          <w:sz w:val="22"/>
        </w:rPr>
        <w:t xml:space="preserve"> </w:t>
      </w:r>
      <w:proofErr w:type="spellStart"/>
      <w:r w:rsidRPr="001C60E2">
        <w:rPr>
          <w:rFonts w:ascii="Arial" w:hAnsi="Arial" w:cs="Arial"/>
          <w:sz w:val="22"/>
        </w:rPr>
        <w:t>ktoe</w:t>
      </w:r>
      <w:proofErr w:type="spellEnd"/>
      <w:r w:rsidRPr="001C60E2">
        <w:rPr>
          <w:rFonts w:ascii="Arial" w:hAnsi="Arial" w:cs="Arial"/>
          <w:sz w:val="22"/>
        </w:rPr>
        <w:t xml:space="preserve"> (</w:t>
      </w:r>
      <w:r w:rsidR="000045E9" w:rsidRPr="001C60E2">
        <w:rPr>
          <w:rFonts w:ascii="Arial" w:hAnsi="Arial" w:cs="Arial"/>
          <w:sz w:val="22"/>
        </w:rPr>
        <w:t>1,0</w:t>
      </w:r>
      <w:r w:rsidRPr="001C60E2">
        <w:rPr>
          <w:rFonts w:ascii="Arial" w:hAnsi="Arial" w:cs="Arial"/>
          <w:sz w:val="22"/>
        </w:rPr>
        <w:t xml:space="preserve"> PJ). </w:t>
      </w:r>
    </w:p>
    <w:p w14:paraId="6457E8DF" w14:textId="77777777" w:rsidR="00520924" w:rsidRPr="001C60E2" w:rsidRDefault="00520924" w:rsidP="00711D97">
      <w:pPr>
        <w:pStyle w:val="PointManual1"/>
        <w:spacing w:before="0" w:after="0" w:line="276" w:lineRule="auto"/>
        <w:ind w:left="0" w:firstLine="0"/>
        <w:jc w:val="both"/>
        <w:rPr>
          <w:rFonts w:ascii="Arial" w:hAnsi="Arial" w:cs="Arial"/>
          <w:sz w:val="22"/>
        </w:rPr>
      </w:pPr>
    </w:p>
    <w:p w14:paraId="631197F3" w14:textId="082AAD57" w:rsidR="00711D97" w:rsidRPr="001C60E2" w:rsidRDefault="00711D97" w:rsidP="00711D97">
      <w:pPr>
        <w:pStyle w:val="PointManual1"/>
        <w:spacing w:before="0" w:after="0" w:line="276" w:lineRule="auto"/>
        <w:ind w:left="0" w:firstLine="0"/>
        <w:jc w:val="both"/>
        <w:rPr>
          <w:rFonts w:ascii="Arial" w:hAnsi="Arial" w:cs="Arial"/>
          <w:sz w:val="22"/>
        </w:rPr>
      </w:pPr>
      <w:r w:rsidRPr="001C60E2">
        <w:rPr>
          <w:rFonts w:ascii="Arial" w:hAnsi="Arial" w:cs="Arial"/>
          <w:sz w:val="22"/>
        </w:rPr>
        <w:t xml:space="preserve">Uz uvažavanje učinka ovih mjera i do 2030. godine, </w:t>
      </w:r>
      <w:r w:rsidRPr="001C60E2">
        <w:rPr>
          <w:rFonts w:ascii="Arial" w:hAnsi="Arial" w:cs="Arial"/>
          <w:b/>
          <w:sz w:val="22"/>
        </w:rPr>
        <w:t xml:space="preserve">ukupan iznos kumulativnih ušteda iznosi </w:t>
      </w:r>
      <w:r w:rsidR="000045E9" w:rsidRPr="001C60E2">
        <w:rPr>
          <w:rFonts w:ascii="Arial" w:hAnsi="Arial" w:cs="Arial"/>
          <w:b/>
          <w:sz w:val="22"/>
        </w:rPr>
        <w:t>1</w:t>
      </w:r>
      <w:r w:rsidRPr="001C60E2">
        <w:rPr>
          <w:rFonts w:ascii="Arial" w:hAnsi="Arial" w:cs="Arial"/>
          <w:b/>
          <w:sz w:val="22"/>
        </w:rPr>
        <w:t>.</w:t>
      </w:r>
      <w:r w:rsidR="000045E9" w:rsidRPr="001C60E2">
        <w:rPr>
          <w:rFonts w:ascii="Arial" w:hAnsi="Arial" w:cs="Arial"/>
          <w:b/>
          <w:sz w:val="22"/>
        </w:rPr>
        <w:t xml:space="preserve">720 </w:t>
      </w:r>
      <w:r w:rsidRPr="001C60E2">
        <w:rPr>
          <w:rFonts w:ascii="Arial" w:hAnsi="Arial" w:cs="Arial"/>
          <w:b/>
          <w:sz w:val="22"/>
        </w:rPr>
        <w:t xml:space="preserve">GWh odnosno </w:t>
      </w:r>
      <w:r w:rsidR="000045E9" w:rsidRPr="001C60E2">
        <w:rPr>
          <w:rFonts w:ascii="Arial" w:hAnsi="Arial" w:cs="Arial"/>
          <w:b/>
          <w:sz w:val="22"/>
        </w:rPr>
        <w:t>148</w:t>
      </w:r>
      <w:r w:rsidRPr="001C60E2">
        <w:rPr>
          <w:rFonts w:ascii="Arial" w:hAnsi="Arial" w:cs="Arial"/>
          <w:b/>
          <w:sz w:val="22"/>
        </w:rPr>
        <w:t>,</w:t>
      </w:r>
      <w:r w:rsidR="000045E9" w:rsidRPr="001C60E2">
        <w:rPr>
          <w:rFonts w:ascii="Arial" w:hAnsi="Arial" w:cs="Arial"/>
          <w:b/>
          <w:sz w:val="22"/>
        </w:rPr>
        <w:t xml:space="preserve">5 </w:t>
      </w:r>
      <w:proofErr w:type="spellStart"/>
      <w:r w:rsidRPr="001C60E2">
        <w:rPr>
          <w:rFonts w:ascii="Arial" w:hAnsi="Arial" w:cs="Arial"/>
          <w:b/>
          <w:sz w:val="22"/>
        </w:rPr>
        <w:t>ktoe</w:t>
      </w:r>
      <w:proofErr w:type="spellEnd"/>
      <w:r w:rsidRPr="001C60E2">
        <w:rPr>
          <w:rFonts w:ascii="Arial" w:hAnsi="Arial" w:cs="Arial"/>
          <w:b/>
          <w:sz w:val="22"/>
        </w:rPr>
        <w:t xml:space="preserve"> (</w:t>
      </w:r>
      <w:r w:rsidR="000045E9" w:rsidRPr="001C60E2">
        <w:rPr>
          <w:rFonts w:ascii="Arial" w:hAnsi="Arial" w:cs="Arial"/>
          <w:b/>
          <w:sz w:val="22"/>
        </w:rPr>
        <w:t>6</w:t>
      </w:r>
      <w:r w:rsidRPr="001C60E2">
        <w:rPr>
          <w:rFonts w:ascii="Arial" w:hAnsi="Arial" w:cs="Arial"/>
          <w:b/>
          <w:sz w:val="22"/>
        </w:rPr>
        <w:t>,</w:t>
      </w:r>
      <w:r w:rsidR="000045E9" w:rsidRPr="001C60E2">
        <w:rPr>
          <w:rFonts w:ascii="Arial" w:hAnsi="Arial" w:cs="Arial"/>
          <w:b/>
          <w:sz w:val="22"/>
        </w:rPr>
        <w:t xml:space="preserve">2 </w:t>
      </w:r>
      <w:r w:rsidRPr="001C60E2">
        <w:rPr>
          <w:rFonts w:ascii="Arial" w:hAnsi="Arial" w:cs="Arial"/>
          <w:b/>
          <w:sz w:val="22"/>
        </w:rPr>
        <w:t>PJ)</w:t>
      </w:r>
      <w:r w:rsidRPr="001C60E2">
        <w:rPr>
          <w:rFonts w:ascii="Arial" w:hAnsi="Arial" w:cs="Arial"/>
          <w:sz w:val="22"/>
        </w:rPr>
        <w:t>.</w:t>
      </w:r>
    </w:p>
    <w:p w14:paraId="34FF3452" w14:textId="77777777" w:rsidR="00711D97" w:rsidRPr="001C60E2" w:rsidRDefault="00711D97" w:rsidP="00711D97">
      <w:pPr>
        <w:pStyle w:val="PointManual1"/>
        <w:spacing w:before="0" w:after="0" w:line="276" w:lineRule="auto"/>
        <w:ind w:left="0" w:firstLine="0"/>
        <w:rPr>
          <w:rFonts w:ascii="Arial" w:hAnsi="Arial" w:cs="Arial"/>
          <w:sz w:val="22"/>
        </w:rPr>
      </w:pPr>
    </w:p>
    <w:p w14:paraId="3D870EF9" w14:textId="6848A058" w:rsidR="00711D97" w:rsidRPr="001C60E2" w:rsidRDefault="00711D97" w:rsidP="00604252">
      <w:pPr>
        <w:pStyle w:val="PointManual1"/>
        <w:numPr>
          <w:ilvl w:val="1"/>
          <w:numId w:val="23"/>
        </w:numPr>
        <w:spacing w:before="0" w:after="0" w:line="276" w:lineRule="auto"/>
        <w:rPr>
          <w:rFonts w:ascii="Arial" w:hAnsi="Arial" w:cs="Arial"/>
          <w:i/>
          <w:sz w:val="22"/>
        </w:rPr>
      </w:pPr>
      <w:r w:rsidRPr="001C60E2">
        <w:rPr>
          <w:rFonts w:ascii="Arial" w:hAnsi="Arial" w:cs="Arial"/>
          <w:i/>
          <w:sz w:val="22"/>
        </w:rPr>
        <w:t xml:space="preserve">iznos uštede energije [u </w:t>
      </w:r>
      <w:proofErr w:type="spellStart"/>
      <w:r w:rsidRPr="001C60E2">
        <w:rPr>
          <w:rFonts w:ascii="Arial" w:hAnsi="Arial" w:cs="Arial"/>
          <w:i/>
          <w:sz w:val="22"/>
        </w:rPr>
        <w:t>ktoe</w:t>
      </w:r>
      <w:proofErr w:type="spellEnd"/>
      <w:r w:rsidRPr="001C60E2">
        <w:rPr>
          <w:rFonts w:ascii="Arial" w:hAnsi="Arial" w:cs="Arial"/>
          <w:i/>
          <w:sz w:val="22"/>
        </w:rPr>
        <w:t>] proizišle iz novih pojedinačnih mjera koje se provode od 31. prosinca 2008. i nastavljaju ostvarivati učinak 2020. i nakon toga</w:t>
      </w:r>
      <w:r w:rsidR="00604252" w:rsidRPr="001C60E2">
        <w:rPr>
          <w:rFonts w:ascii="Arial" w:hAnsi="Arial" w:cs="Arial"/>
          <w:i/>
          <w:sz w:val="22"/>
        </w:rPr>
        <w:t>, u skladu s člankom 7. stavkom 4. točkom (d) Direktive 2012/27/EU</w:t>
      </w:r>
    </w:p>
    <w:p w14:paraId="0156307E" w14:textId="77777777" w:rsidR="00711D97" w:rsidRPr="001C60E2" w:rsidRDefault="00711D97" w:rsidP="00711D97">
      <w:pPr>
        <w:pStyle w:val="PointManual1"/>
        <w:spacing w:before="0" w:after="0" w:line="276" w:lineRule="auto"/>
        <w:ind w:left="0" w:firstLine="0"/>
        <w:jc w:val="both"/>
        <w:rPr>
          <w:rFonts w:ascii="Arial" w:hAnsi="Arial" w:cs="Arial"/>
          <w:sz w:val="22"/>
        </w:rPr>
      </w:pPr>
      <w:r w:rsidRPr="001C60E2">
        <w:rPr>
          <w:rFonts w:ascii="Arial" w:hAnsi="Arial" w:cs="Arial"/>
          <w:sz w:val="22"/>
        </w:rPr>
        <w:t xml:space="preserve">Mjere koje su se u RH započele provoditi na temelju 3. Nacionalnog akcijskog plana za energetsku učinkovitost za razdoblje 2014. do 2016., a koje će s obzirom na svoj životni vijek nastaviti ostvarivati učinak i u razdoblju do 2030. godine su programi energetske obnove zgrada (višestambenih zgrada, obiteljskih kuća, zgrada javnog sektora i komercijalnih zgrada) i javne rasvjete. Životni vijek tih mjera je 20 godina za zgrade odnosno 15 godina za javnu rasvjetu u skladu s Pravilnikom o sustavu za praćenje, mjerenje i verifikaciju ušteda energije. </w:t>
      </w:r>
    </w:p>
    <w:p w14:paraId="628EF091" w14:textId="71320B67" w:rsidR="00711D97" w:rsidRPr="001C60E2" w:rsidRDefault="00711D97" w:rsidP="00711D97">
      <w:pPr>
        <w:pStyle w:val="PointManual1"/>
        <w:spacing w:before="0" w:after="0" w:line="276" w:lineRule="auto"/>
        <w:ind w:left="0" w:firstLine="0"/>
        <w:jc w:val="both"/>
        <w:rPr>
          <w:rFonts w:ascii="Arial" w:hAnsi="Arial" w:cs="Arial"/>
          <w:sz w:val="22"/>
        </w:rPr>
      </w:pPr>
      <w:r w:rsidRPr="001C60E2">
        <w:rPr>
          <w:rFonts w:ascii="Arial" w:hAnsi="Arial" w:cs="Arial"/>
          <w:sz w:val="22"/>
        </w:rPr>
        <w:t>Ostvarene uštede iz tih mjera u razdoblju od 2014. do 2016., prema podatcima iz 4.</w:t>
      </w:r>
      <w:r w:rsidR="00504AF2" w:rsidRPr="001C60E2">
        <w:rPr>
          <w:rFonts w:ascii="Arial" w:hAnsi="Arial" w:cs="Arial"/>
          <w:sz w:val="22"/>
        </w:rPr>
        <w:t xml:space="preserve"> </w:t>
      </w:r>
      <w:proofErr w:type="spellStart"/>
      <w:r w:rsidRPr="001C60E2">
        <w:rPr>
          <w:rFonts w:ascii="Arial" w:hAnsi="Arial" w:cs="Arial"/>
          <w:sz w:val="22"/>
        </w:rPr>
        <w:t>NAPEnU</w:t>
      </w:r>
      <w:proofErr w:type="spellEnd"/>
      <w:r w:rsidRPr="001C60E2">
        <w:rPr>
          <w:rFonts w:ascii="Arial" w:hAnsi="Arial" w:cs="Arial"/>
          <w:sz w:val="22"/>
        </w:rPr>
        <w:t xml:space="preserve">, kao i kumulativni učinak tih mjera u razdoblju 2021. do 2030. godine prikazuje sljedeća tablica. </w:t>
      </w:r>
    </w:p>
    <w:tbl>
      <w:tblPr>
        <w:tblStyle w:val="GridTable1Light"/>
        <w:tblW w:w="5000" w:type="pct"/>
        <w:tblLook w:val="04A0" w:firstRow="1" w:lastRow="0" w:firstColumn="1" w:lastColumn="0" w:noHBand="0" w:noVBand="1"/>
      </w:tblPr>
      <w:tblGrid>
        <w:gridCol w:w="5383"/>
        <w:gridCol w:w="1843"/>
        <w:gridCol w:w="1836"/>
      </w:tblGrid>
      <w:tr w:rsidR="001C60E2" w:rsidRPr="001C60E2" w14:paraId="2CE16F61" w14:textId="77777777" w:rsidTr="00E57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pct"/>
          </w:tcPr>
          <w:p w14:paraId="20AFDD9F" w14:textId="77777777" w:rsidR="00711D97" w:rsidRPr="001C60E2" w:rsidRDefault="00711D97" w:rsidP="00E5709B">
            <w:pPr>
              <w:spacing w:before="0" w:after="0" w:line="276" w:lineRule="auto"/>
              <w:rPr>
                <w:rFonts w:cs="Arial"/>
                <w:sz w:val="20"/>
                <w:szCs w:val="20"/>
              </w:rPr>
            </w:pPr>
            <w:r w:rsidRPr="001C60E2">
              <w:rPr>
                <w:rFonts w:cs="Arial"/>
                <w:sz w:val="20"/>
                <w:szCs w:val="20"/>
              </w:rPr>
              <w:t>Mjera</w:t>
            </w:r>
          </w:p>
        </w:tc>
        <w:tc>
          <w:tcPr>
            <w:tcW w:w="1017" w:type="pct"/>
          </w:tcPr>
          <w:p w14:paraId="15D5CDC5" w14:textId="77777777" w:rsidR="00711D97" w:rsidRPr="001C60E2" w:rsidRDefault="00711D97" w:rsidP="00E5709B">
            <w:pPr>
              <w:spacing w:before="0" w:after="0" w:line="276" w:lineRule="auto"/>
              <w:jc w:val="right"/>
              <w:cnfStyle w:val="100000000000" w:firstRow="1"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Uštede u razdoblju 2014.-2016. [PJ]</w:t>
            </w:r>
          </w:p>
        </w:tc>
        <w:tc>
          <w:tcPr>
            <w:tcW w:w="1014" w:type="pct"/>
          </w:tcPr>
          <w:p w14:paraId="4643AA1A" w14:textId="77777777" w:rsidR="00711D97" w:rsidRPr="001C60E2" w:rsidRDefault="00711D97" w:rsidP="00E5709B">
            <w:pPr>
              <w:spacing w:before="0" w:after="0" w:line="276" w:lineRule="auto"/>
              <w:jc w:val="right"/>
              <w:cnfStyle w:val="100000000000" w:firstRow="1"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Uštede u razdoblju 2014.-2016. [</w:t>
            </w:r>
            <w:proofErr w:type="spellStart"/>
            <w:r w:rsidRPr="001C60E2">
              <w:rPr>
                <w:rFonts w:cs="Arial"/>
                <w:sz w:val="20"/>
                <w:szCs w:val="20"/>
              </w:rPr>
              <w:t>ktoe</w:t>
            </w:r>
            <w:proofErr w:type="spellEnd"/>
            <w:r w:rsidRPr="001C60E2">
              <w:rPr>
                <w:rFonts w:cs="Arial"/>
                <w:sz w:val="20"/>
                <w:szCs w:val="20"/>
              </w:rPr>
              <w:t>]</w:t>
            </w:r>
          </w:p>
        </w:tc>
      </w:tr>
      <w:tr w:rsidR="001C60E2" w:rsidRPr="001C60E2" w14:paraId="74EA292D" w14:textId="77777777" w:rsidTr="00E5709B">
        <w:tc>
          <w:tcPr>
            <w:cnfStyle w:val="001000000000" w:firstRow="0" w:lastRow="0" w:firstColumn="1" w:lastColumn="0" w:oddVBand="0" w:evenVBand="0" w:oddHBand="0" w:evenHBand="0" w:firstRowFirstColumn="0" w:firstRowLastColumn="0" w:lastRowFirstColumn="0" w:lastRowLastColumn="0"/>
            <w:tcW w:w="2970" w:type="pct"/>
          </w:tcPr>
          <w:p w14:paraId="5F7A9E19" w14:textId="77777777" w:rsidR="00711D97" w:rsidRPr="001C60E2" w:rsidRDefault="00711D97" w:rsidP="00E5709B">
            <w:pPr>
              <w:spacing w:before="0" w:after="0" w:line="276" w:lineRule="auto"/>
              <w:jc w:val="left"/>
              <w:rPr>
                <w:rFonts w:cs="Arial"/>
                <w:b w:val="0"/>
                <w:sz w:val="20"/>
                <w:szCs w:val="20"/>
              </w:rPr>
            </w:pPr>
            <w:r w:rsidRPr="001C60E2">
              <w:rPr>
                <w:rFonts w:cs="Arial"/>
                <w:b w:val="0"/>
                <w:sz w:val="20"/>
                <w:szCs w:val="20"/>
              </w:rPr>
              <w:t>Program energetske obnove višestambenih zgrada 2014.-2016.</w:t>
            </w:r>
          </w:p>
        </w:tc>
        <w:tc>
          <w:tcPr>
            <w:tcW w:w="1017" w:type="pct"/>
          </w:tcPr>
          <w:p w14:paraId="7E101851" w14:textId="77777777" w:rsidR="00711D97" w:rsidRPr="001C60E2" w:rsidRDefault="00711D97" w:rsidP="00E5709B">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0,15</w:t>
            </w:r>
          </w:p>
        </w:tc>
        <w:tc>
          <w:tcPr>
            <w:tcW w:w="1014" w:type="pct"/>
          </w:tcPr>
          <w:p w14:paraId="4A81E990" w14:textId="77777777" w:rsidR="00711D97" w:rsidRPr="001C60E2" w:rsidRDefault="00711D97" w:rsidP="00E5709B">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3,57</w:t>
            </w:r>
          </w:p>
        </w:tc>
      </w:tr>
      <w:tr w:rsidR="001C60E2" w:rsidRPr="001C60E2" w14:paraId="7E39F905" w14:textId="77777777" w:rsidTr="00E5709B">
        <w:tc>
          <w:tcPr>
            <w:cnfStyle w:val="001000000000" w:firstRow="0" w:lastRow="0" w:firstColumn="1" w:lastColumn="0" w:oddVBand="0" w:evenVBand="0" w:oddHBand="0" w:evenHBand="0" w:firstRowFirstColumn="0" w:firstRowLastColumn="0" w:lastRowFirstColumn="0" w:lastRowLastColumn="0"/>
            <w:tcW w:w="2970" w:type="pct"/>
          </w:tcPr>
          <w:p w14:paraId="563AAAD1" w14:textId="77777777" w:rsidR="00711D97" w:rsidRPr="001C60E2" w:rsidRDefault="00711D97" w:rsidP="00E5709B">
            <w:pPr>
              <w:spacing w:before="0" w:after="0" w:line="276" w:lineRule="auto"/>
              <w:jc w:val="left"/>
              <w:rPr>
                <w:rFonts w:cs="Arial"/>
                <w:b w:val="0"/>
                <w:sz w:val="20"/>
                <w:szCs w:val="20"/>
              </w:rPr>
            </w:pPr>
            <w:r w:rsidRPr="001C60E2">
              <w:rPr>
                <w:rFonts w:cs="Arial"/>
                <w:b w:val="0"/>
                <w:sz w:val="20"/>
                <w:szCs w:val="20"/>
              </w:rPr>
              <w:t>Program energetske obnove obiteljskih kuća 2014.- 2016.</w:t>
            </w:r>
          </w:p>
        </w:tc>
        <w:tc>
          <w:tcPr>
            <w:tcW w:w="1017" w:type="pct"/>
          </w:tcPr>
          <w:p w14:paraId="23B7FD5A" w14:textId="77777777" w:rsidR="00711D97" w:rsidRPr="001C60E2" w:rsidRDefault="00711D97" w:rsidP="00E5709B">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0,70</w:t>
            </w:r>
          </w:p>
        </w:tc>
        <w:tc>
          <w:tcPr>
            <w:tcW w:w="1014" w:type="pct"/>
          </w:tcPr>
          <w:p w14:paraId="647F2EF9" w14:textId="77777777" w:rsidR="00711D97" w:rsidRPr="001C60E2" w:rsidRDefault="00711D97" w:rsidP="00E5709B">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16,72</w:t>
            </w:r>
          </w:p>
        </w:tc>
      </w:tr>
      <w:tr w:rsidR="001C60E2" w:rsidRPr="001C60E2" w14:paraId="51A8A083" w14:textId="77777777" w:rsidTr="00E5709B">
        <w:tc>
          <w:tcPr>
            <w:cnfStyle w:val="001000000000" w:firstRow="0" w:lastRow="0" w:firstColumn="1" w:lastColumn="0" w:oddVBand="0" w:evenVBand="0" w:oddHBand="0" w:evenHBand="0" w:firstRowFirstColumn="0" w:firstRowLastColumn="0" w:lastRowFirstColumn="0" w:lastRowLastColumn="0"/>
            <w:tcW w:w="2970" w:type="pct"/>
          </w:tcPr>
          <w:p w14:paraId="11132A9B" w14:textId="77777777" w:rsidR="00711D97" w:rsidRPr="001C60E2" w:rsidRDefault="00711D97" w:rsidP="00E5709B">
            <w:pPr>
              <w:spacing w:before="0" w:after="0" w:line="276" w:lineRule="auto"/>
              <w:jc w:val="left"/>
              <w:rPr>
                <w:rFonts w:cs="Arial"/>
                <w:b w:val="0"/>
                <w:sz w:val="20"/>
                <w:szCs w:val="20"/>
              </w:rPr>
            </w:pPr>
            <w:r w:rsidRPr="001C60E2">
              <w:rPr>
                <w:rFonts w:cs="Arial"/>
                <w:b w:val="0"/>
                <w:sz w:val="20"/>
                <w:szCs w:val="20"/>
              </w:rPr>
              <w:t>Program energetske obnove zgrada javnog sektora 2014.-2015.</w:t>
            </w:r>
          </w:p>
        </w:tc>
        <w:tc>
          <w:tcPr>
            <w:tcW w:w="1017" w:type="pct"/>
          </w:tcPr>
          <w:p w14:paraId="27564477" w14:textId="77777777" w:rsidR="00711D97" w:rsidRPr="001C60E2" w:rsidRDefault="00711D97" w:rsidP="00E5709B">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0,18</w:t>
            </w:r>
          </w:p>
        </w:tc>
        <w:tc>
          <w:tcPr>
            <w:tcW w:w="1014" w:type="pct"/>
          </w:tcPr>
          <w:p w14:paraId="338D6000" w14:textId="77777777" w:rsidR="00711D97" w:rsidRPr="001C60E2" w:rsidRDefault="00711D97" w:rsidP="00E5709B">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4,23</w:t>
            </w:r>
          </w:p>
        </w:tc>
      </w:tr>
      <w:tr w:rsidR="001C60E2" w:rsidRPr="001C60E2" w14:paraId="3BDD2D81" w14:textId="77777777" w:rsidTr="00E5709B">
        <w:tc>
          <w:tcPr>
            <w:cnfStyle w:val="001000000000" w:firstRow="0" w:lastRow="0" w:firstColumn="1" w:lastColumn="0" w:oddVBand="0" w:evenVBand="0" w:oddHBand="0" w:evenHBand="0" w:firstRowFirstColumn="0" w:firstRowLastColumn="0" w:lastRowFirstColumn="0" w:lastRowLastColumn="0"/>
            <w:tcW w:w="2970" w:type="pct"/>
          </w:tcPr>
          <w:p w14:paraId="4D22AA7D" w14:textId="77777777" w:rsidR="00711D97" w:rsidRPr="001C60E2" w:rsidRDefault="00711D97" w:rsidP="00E5709B">
            <w:pPr>
              <w:spacing w:before="0" w:after="0" w:line="276" w:lineRule="auto"/>
              <w:jc w:val="left"/>
              <w:rPr>
                <w:rFonts w:cs="Arial"/>
                <w:b w:val="0"/>
                <w:sz w:val="20"/>
                <w:szCs w:val="20"/>
              </w:rPr>
            </w:pPr>
            <w:r w:rsidRPr="001C60E2">
              <w:rPr>
                <w:rFonts w:cs="Arial"/>
                <w:b w:val="0"/>
                <w:sz w:val="20"/>
                <w:szCs w:val="20"/>
              </w:rPr>
              <w:t>Program energetske obnove komercijalnih nestambenih zgrada 2014.-2016.</w:t>
            </w:r>
          </w:p>
        </w:tc>
        <w:tc>
          <w:tcPr>
            <w:tcW w:w="1017" w:type="pct"/>
          </w:tcPr>
          <w:p w14:paraId="45F362A3" w14:textId="77777777" w:rsidR="00711D97" w:rsidRPr="001C60E2" w:rsidRDefault="00711D97" w:rsidP="00E5709B">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0,04</w:t>
            </w:r>
          </w:p>
        </w:tc>
        <w:tc>
          <w:tcPr>
            <w:tcW w:w="1014" w:type="pct"/>
          </w:tcPr>
          <w:p w14:paraId="251BF044" w14:textId="77777777" w:rsidR="00711D97" w:rsidRPr="001C60E2" w:rsidRDefault="00711D97" w:rsidP="00E5709B">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1,04</w:t>
            </w:r>
          </w:p>
        </w:tc>
      </w:tr>
      <w:tr w:rsidR="001C60E2" w:rsidRPr="001C60E2" w14:paraId="200CA4FA" w14:textId="77777777" w:rsidTr="00E5709B">
        <w:tc>
          <w:tcPr>
            <w:cnfStyle w:val="001000000000" w:firstRow="0" w:lastRow="0" w:firstColumn="1" w:lastColumn="0" w:oddVBand="0" w:evenVBand="0" w:oddHBand="0" w:evenHBand="0" w:firstRowFirstColumn="0" w:firstRowLastColumn="0" w:lastRowFirstColumn="0" w:lastRowLastColumn="0"/>
            <w:tcW w:w="2970" w:type="pct"/>
          </w:tcPr>
          <w:p w14:paraId="2F278EAC" w14:textId="77777777" w:rsidR="00711D97" w:rsidRPr="001C60E2" w:rsidRDefault="00711D97" w:rsidP="00E5709B">
            <w:pPr>
              <w:spacing w:before="0" w:after="0" w:line="276" w:lineRule="auto"/>
              <w:jc w:val="left"/>
              <w:rPr>
                <w:rFonts w:cs="Arial"/>
                <w:b w:val="0"/>
                <w:sz w:val="20"/>
                <w:szCs w:val="20"/>
              </w:rPr>
            </w:pPr>
            <w:r w:rsidRPr="001C60E2">
              <w:rPr>
                <w:rFonts w:cs="Arial"/>
                <w:b w:val="0"/>
                <w:sz w:val="20"/>
                <w:szCs w:val="20"/>
              </w:rPr>
              <w:t>Program „Energetski učinkovita javna rasvjeta“</w:t>
            </w:r>
          </w:p>
        </w:tc>
        <w:tc>
          <w:tcPr>
            <w:tcW w:w="1017" w:type="pct"/>
          </w:tcPr>
          <w:p w14:paraId="1B992A0A" w14:textId="77777777" w:rsidR="00711D97" w:rsidRPr="001C60E2" w:rsidRDefault="00711D97" w:rsidP="00E5709B">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0,08</w:t>
            </w:r>
          </w:p>
        </w:tc>
        <w:tc>
          <w:tcPr>
            <w:tcW w:w="1014" w:type="pct"/>
          </w:tcPr>
          <w:p w14:paraId="5DEE7508" w14:textId="77777777" w:rsidR="00711D97" w:rsidRPr="001C60E2" w:rsidRDefault="00711D97" w:rsidP="00E5709B">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1,95</w:t>
            </w:r>
          </w:p>
        </w:tc>
      </w:tr>
      <w:tr w:rsidR="001C60E2" w:rsidRPr="001C60E2" w14:paraId="5DC0AD05" w14:textId="77777777" w:rsidTr="00E5709B">
        <w:tc>
          <w:tcPr>
            <w:cnfStyle w:val="001000000000" w:firstRow="0" w:lastRow="0" w:firstColumn="1" w:lastColumn="0" w:oddVBand="0" w:evenVBand="0" w:oddHBand="0" w:evenHBand="0" w:firstRowFirstColumn="0" w:firstRowLastColumn="0" w:lastRowFirstColumn="0" w:lastRowLastColumn="0"/>
            <w:tcW w:w="2970" w:type="pct"/>
          </w:tcPr>
          <w:p w14:paraId="2021C1F8" w14:textId="77777777" w:rsidR="00711D97" w:rsidRPr="001C60E2" w:rsidRDefault="00711D97" w:rsidP="00E5709B">
            <w:pPr>
              <w:spacing w:before="0" w:after="0" w:line="276" w:lineRule="auto"/>
              <w:jc w:val="left"/>
              <w:rPr>
                <w:rFonts w:cs="Arial"/>
                <w:sz w:val="20"/>
                <w:szCs w:val="20"/>
              </w:rPr>
            </w:pPr>
            <w:r w:rsidRPr="001C60E2">
              <w:rPr>
                <w:rFonts w:cs="Arial"/>
                <w:sz w:val="20"/>
                <w:szCs w:val="20"/>
              </w:rPr>
              <w:t>UKUPNO</w:t>
            </w:r>
          </w:p>
        </w:tc>
        <w:tc>
          <w:tcPr>
            <w:tcW w:w="1017" w:type="pct"/>
            <w:vAlign w:val="center"/>
          </w:tcPr>
          <w:p w14:paraId="4A1B14F2" w14:textId="77777777" w:rsidR="00711D97" w:rsidRPr="001C60E2" w:rsidRDefault="00711D97" w:rsidP="00E5709B">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b/>
                <w:sz w:val="20"/>
                <w:szCs w:val="20"/>
              </w:rPr>
            </w:pPr>
            <w:r w:rsidRPr="001C60E2">
              <w:rPr>
                <w:rFonts w:cs="Arial"/>
                <w:b/>
                <w:sz w:val="20"/>
                <w:szCs w:val="20"/>
              </w:rPr>
              <w:t>1,15</w:t>
            </w:r>
          </w:p>
        </w:tc>
        <w:tc>
          <w:tcPr>
            <w:tcW w:w="1014" w:type="pct"/>
            <w:vAlign w:val="center"/>
          </w:tcPr>
          <w:p w14:paraId="0BFF5731" w14:textId="77777777" w:rsidR="00711D97" w:rsidRPr="001C60E2" w:rsidRDefault="00711D97" w:rsidP="00E5709B">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b/>
                <w:sz w:val="20"/>
                <w:szCs w:val="20"/>
              </w:rPr>
            </w:pPr>
            <w:r w:rsidRPr="001C60E2">
              <w:rPr>
                <w:rFonts w:cs="Arial"/>
                <w:b/>
                <w:sz w:val="20"/>
                <w:szCs w:val="20"/>
              </w:rPr>
              <w:t>27,52</w:t>
            </w:r>
          </w:p>
        </w:tc>
      </w:tr>
      <w:tr w:rsidR="001C60E2" w:rsidRPr="001C60E2" w14:paraId="166E56E0" w14:textId="77777777" w:rsidTr="00E5709B">
        <w:tc>
          <w:tcPr>
            <w:cnfStyle w:val="001000000000" w:firstRow="0" w:lastRow="0" w:firstColumn="1" w:lastColumn="0" w:oddVBand="0" w:evenVBand="0" w:oddHBand="0" w:evenHBand="0" w:firstRowFirstColumn="0" w:firstRowLastColumn="0" w:lastRowFirstColumn="0" w:lastRowLastColumn="0"/>
            <w:tcW w:w="2970" w:type="pct"/>
          </w:tcPr>
          <w:p w14:paraId="43BA77D3" w14:textId="77777777" w:rsidR="00711D97" w:rsidRPr="001C60E2" w:rsidRDefault="00711D97" w:rsidP="00E5709B">
            <w:pPr>
              <w:spacing w:before="0" w:after="0" w:line="276" w:lineRule="auto"/>
              <w:jc w:val="left"/>
              <w:rPr>
                <w:rFonts w:cs="Arial"/>
                <w:sz w:val="20"/>
                <w:szCs w:val="20"/>
              </w:rPr>
            </w:pPr>
            <w:r w:rsidRPr="001C60E2">
              <w:rPr>
                <w:rFonts w:cs="Arial"/>
                <w:sz w:val="20"/>
                <w:szCs w:val="20"/>
              </w:rPr>
              <w:t>KUMULATIVNE UŠTEDE U RAZDOBLJU 2021. – 2030.</w:t>
            </w:r>
          </w:p>
        </w:tc>
        <w:tc>
          <w:tcPr>
            <w:tcW w:w="1017" w:type="pct"/>
          </w:tcPr>
          <w:p w14:paraId="6393BFC7" w14:textId="77777777" w:rsidR="00711D97" w:rsidRPr="001C60E2" w:rsidRDefault="00711D97" w:rsidP="00E5709B">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b/>
                <w:sz w:val="20"/>
                <w:szCs w:val="20"/>
              </w:rPr>
            </w:pPr>
            <w:r w:rsidRPr="001C60E2">
              <w:rPr>
                <w:rFonts w:cs="Arial"/>
                <w:b/>
                <w:sz w:val="20"/>
                <w:szCs w:val="20"/>
              </w:rPr>
              <w:t>11,52</w:t>
            </w:r>
          </w:p>
        </w:tc>
        <w:tc>
          <w:tcPr>
            <w:tcW w:w="1014" w:type="pct"/>
          </w:tcPr>
          <w:p w14:paraId="3631253D" w14:textId="77777777" w:rsidR="00711D97" w:rsidRPr="001C60E2" w:rsidRDefault="00711D97" w:rsidP="00E5709B">
            <w:pPr>
              <w:spacing w:before="0" w:after="0" w:line="276" w:lineRule="auto"/>
              <w:ind w:left="306"/>
              <w:jc w:val="right"/>
              <w:cnfStyle w:val="000000000000" w:firstRow="0" w:lastRow="0" w:firstColumn="0" w:lastColumn="0" w:oddVBand="0" w:evenVBand="0" w:oddHBand="0" w:evenHBand="0" w:firstRowFirstColumn="0" w:firstRowLastColumn="0" w:lastRowFirstColumn="0" w:lastRowLastColumn="0"/>
              <w:rPr>
                <w:rFonts w:cs="Arial"/>
                <w:b/>
                <w:sz w:val="20"/>
                <w:szCs w:val="20"/>
              </w:rPr>
            </w:pPr>
            <w:r w:rsidRPr="001C60E2">
              <w:rPr>
                <w:rFonts w:cs="Arial"/>
                <w:b/>
                <w:sz w:val="20"/>
                <w:szCs w:val="20"/>
              </w:rPr>
              <w:t>275,16</w:t>
            </w:r>
          </w:p>
        </w:tc>
      </w:tr>
    </w:tbl>
    <w:p w14:paraId="22078E51" w14:textId="77777777" w:rsidR="00711D97" w:rsidRPr="001C60E2" w:rsidRDefault="00711D97" w:rsidP="00711D97">
      <w:pPr>
        <w:pStyle w:val="PointManual1"/>
        <w:spacing w:before="0" w:after="0" w:line="276" w:lineRule="auto"/>
        <w:ind w:left="0" w:firstLine="0"/>
        <w:rPr>
          <w:rFonts w:ascii="Arial" w:hAnsi="Arial" w:cs="Arial"/>
          <w:sz w:val="22"/>
        </w:rPr>
      </w:pPr>
    </w:p>
    <w:p w14:paraId="16EB8315" w14:textId="492C8A65" w:rsidR="00711D97" w:rsidRPr="001C60E2" w:rsidRDefault="00711D97" w:rsidP="00203B9C">
      <w:pPr>
        <w:pStyle w:val="PointManual1"/>
        <w:numPr>
          <w:ilvl w:val="1"/>
          <w:numId w:val="23"/>
        </w:numPr>
        <w:spacing w:before="0" w:after="0" w:line="276" w:lineRule="auto"/>
        <w:rPr>
          <w:rFonts w:ascii="Arial" w:hAnsi="Arial" w:cs="Arial"/>
          <w:i/>
          <w:sz w:val="22"/>
        </w:rPr>
      </w:pPr>
      <w:r w:rsidRPr="001C60E2">
        <w:rPr>
          <w:rFonts w:ascii="Arial" w:hAnsi="Arial" w:cs="Arial"/>
          <w:i/>
          <w:sz w:val="22"/>
        </w:rPr>
        <w:t xml:space="preserve">iznos uštede energije [u </w:t>
      </w:r>
      <w:proofErr w:type="spellStart"/>
      <w:r w:rsidRPr="001C60E2">
        <w:rPr>
          <w:rFonts w:ascii="Arial" w:hAnsi="Arial" w:cs="Arial"/>
          <w:i/>
          <w:sz w:val="22"/>
        </w:rPr>
        <w:t>ktoe</w:t>
      </w:r>
      <w:proofErr w:type="spellEnd"/>
      <w:r w:rsidRPr="001C60E2">
        <w:rPr>
          <w:rFonts w:ascii="Arial" w:hAnsi="Arial" w:cs="Arial"/>
          <w:i/>
          <w:sz w:val="22"/>
        </w:rPr>
        <w:t xml:space="preserve">] </w:t>
      </w:r>
      <w:r w:rsidR="00203B9C" w:rsidRPr="001C60E2">
        <w:rPr>
          <w:rFonts w:ascii="Arial" w:hAnsi="Arial" w:cs="Arial"/>
          <w:i/>
          <w:sz w:val="22"/>
        </w:rPr>
        <w:t xml:space="preserve">proizašle </w:t>
      </w:r>
      <w:r w:rsidRPr="001C60E2">
        <w:rPr>
          <w:rFonts w:ascii="Arial" w:hAnsi="Arial" w:cs="Arial"/>
          <w:i/>
          <w:sz w:val="22"/>
        </w:rPr>
        <w:t xml:space="preserve">iz mjera </w:t>
      </w:r>
      <w:r w:rsidR="00203B9C" w:rsidRPr="001C60E2">
        <w:rPr>
          <w:rFonts w:ascii="Arial" w:hAnsi="Arial" w:cs="Arial"/>
          <w:i/>
          <w:sz w:val="22"/>
        </w:rPr>
        <w:t xml:space="preserve">politike, pod uvjetom da se može dokazati da te mjere rezultiraju pojedinačnim mjerama provedenim </w:t>
      </w:r>
      <w:r w:rsidRPr="001C60E2">
        <w:rPr>
          <w:rFonts w:ascii="Arial" w:hAnsi="Arial" w:cs="Arial"/>
          <w:i/>
          <w:sz w:val="22"/>
        </w:rPr>
        <w:t xml:space="preserve">nakon 1. siječnja 2018. i prije 31. prosinca 2020. kojima se ostvaruju uštede </w:t>
      </w:r>
      <w:r w:rsidRPr="001C60E2">
        <w:rPr>
          <w:rFonts w:ascii="Arial" w:hAnsi="Arial" w:cs="Arial"/>
          <w:i/>
          <w:sz w:val="22"/>
        </w:rPr>
        <w:lastRenderedPageBreak/>
        <w:t xml:space="preserve">nakon 31. prosinca 2020., </w:t>
      </w:r>
      <w:r w:rsidR="009444DF" w:rsidRPr="001C60E2">
        <w:rPr>
          <w:rFonts w:ascii="Arial" w:hAnsi="Arial" w:cs="Arial"/>
          <w:i/>
          <w:sz w:val="22"/>
        </w:rPr>
        <w:t>u skladu s člankom 7. stavkom 4. točkom (e) Direktive 2012/27/EU</w:t>
      </w:r>
    </w:p>
    <w:p w14:paraId="6410854F" w14:textId="77777777" w:rsidR="00711D97" w:rsidRPr="001C60E2" w:rsidRDefault="00711D97" w:rsidP="00711D97">
      <w:pPr>
        <w:pStyle w:val="PointManual1"/>
        <w:spacing w:before="0" w:after="0" w:line="276" w:lineRule="auto"/>
        <w:ind w:left="0" w:firstLine="0"/>
        <w:jc w:val="both"/>
        <w:rPr>
          <w:rFonts w:ascii="Arial" w:hAnsi="Arial" w:cs="Arial"/>
          <w:sz w:val="22"/>
        </w:rPr>
      </w:pPr>
      <w:r w:rsidRPr="001C60E2">
        <w:rPr>
          <w:rFonts w:ascii="Arial" w:hAnsi="Arial" w:cs="Arial"/>
          <w:sz w:val="22"/>
        </w:rPr>
        <w:t>U RH se nakon siječnja 2018. godine primjenjuje niz mjera energetske učinkovitosti. Najintenzivnije se provode programi energetske obnove stambenih i javnih zgrada, uz sufinanciranje iz ESI fondova. Učinci ovih projekata ostvaruju se od 2018. godine te vrijede u cijelom razdoblju do 2030. godine, s obzirom da je životni vijek mjera integralne obnove zgrada 20 godina, sukladno Pravilniku o sustavu za praćenje, mjerenje i verifikaciju ušteda energije. Ocjena kumulativnih ušteda ovih mjera dana je donjoj tablici, a podatci o uštedama su preuzeti iz sljedećih analiza: „</w:t>
      </w:r>
      <w:r w:rsidRPr="001C60E2">
        <w:rPr>
          <w:rFonts w:ascii="Arial" w:hAnsi="Arial" w:cs="Arial"/>
          <w:i/>
          <w:sz w:val="22"/>
        </w:rPr>
        <w:t>Revizija izračuna pokazatelja rezultata za Specifični cilj 4c2: Smanjenje potrošnje energije u stambenim zgradama (u višestambenim zgradama i obiteljskim kućama) Operativnog programa Konkurentnost i kohezija 2014.-2020.</w:t>
      </w:r>
      <w:r w:rsidRPr="001C60E2">
        <w:rPr>
          <w:rFonts w:ascii="Arial" w:hAnsi="Arial" w:cs="Arial"/>
          <w:sz w:val="22"/>
        </w:rPr>
        <w:t>“ (MGIPU, srpanj 2017.) i „</w:t>
      </w:r>
      <w:r w:rsidRPr="001C60E2">
        <w:rPr>
          <w:rFonts w:ascii="Arial" w:hAnsi="Arial" w:cs="Arial"/>
          <w:i/>
          <w:sz w:val="22"/>
        </w:rPr>
        <w:t>Revizija izračuna pokazatelja rezultata za Specifični cilj 4c1: Smanjenje potrošnje energije u zgradama javnog sektora Operativnog programa Konkurentnost i kohezija 2014.-2020.</w:t>
      </w:r>
      <w:r w:rsidRPr="001C60E2">
        <w:rPr>
          <w:rFonts w:ascii="Arial" w:hAnsi="Arial" w:cs="Arial"/>
          <w:sz w:val="22"/>
        </w:rPr>
        <w:t xml:space="preserve">“(MGIPU, srpanj 2017.), s tim da su uštede iskazane u neposrednoj potrošnji. </w:t>
      </w:r>
    </w:p>
    <w:p w14:paraId="68D708E1" w14:textId="77777777" w:rsidR="00711D97" w:rsidRPr="001C60E2" w:rsidRDefault="00711D97" w:rsidP="00711D97">
      <w:pPr>
        <w:pStyle w:val="PointManual1"/>
        <w:spacing w:before="0" w:after="0" w:line="276" w:lineRule="auto"/>
        <w:ind w:left="0" w:firstLine="0"/>
        <w:jc w:val="both"/>
        <w:rPr>
          <w:rFonts w:ascii="Arial" w:hAnsi="Arial" w:cs="Arial"/>
          <w:sz w:val="22"/>
        </w:rPr>
      </w:pPr>
    </w:p>
    <w:tbl>
      <w:tblPr>
        <w:tblStyle w:val="TableGrid1"/>
        <w:tblW w:w="5000" w:type="pct"/>
        <w:tblLook w:val="04A0" w:firstRow="1" w:lastRow="0" w:firstColumn="1" w:lastColumn="0" w:noHBand="0" w:noVBand="1"/>
      </w:tblPr>
      <w:tblGrid>
        <w:gridCol w:w="3024"/>
        <w:gridCol w:w="973"/>
        <w:gridCol w:w="973"/>
        <w:gridCol w:w="973"/>
        <w:gridCol w:w="973"/>
        <w:gridCol w:w="1073"/>
        <w:gridCol w:w="1073"/>
      </w:tblGrid>
      <w:tr w:rsidR="001C60E2" w:rsidRPr="001C60E2" w14:paraId="665AD323" w14:textId="77777777" w:rsidTr="00E5709B">
        <w:trPr>
          <w:trHeight w:val="300"/>
        </w:trPr>
        <w:tc>
          <w:tcPr>
            <w:tcW w:w="1669" w:type="pct"/>
            <w:shd w:val="clear" w:color="auto" w:fill="auto"/>
            <w:noWrap/>
            <w:hideMark/>
          </w:tcPr>
          <w:p w14:paraId="1C7C9022" w14:textId="77777777" w:rsidR="00711D97" w:rsidRPr="001C60E2" w:rsidRDefault="00711D97" w:rsidP="00E5709B">
            <w:pPr>
              <w:jc w:val="left"/>
              <w:rPr>
                <w:rFonts w:cs="Arial"/>
                <w:sz w:val="18"/>
                <w:szCs w:val="18"/>
              </w:rPr>
            </w:pPr>
            <w:r w:rsidRPr="001C60E2">
              <w:rPr>
                <w:rFonts w:cs="Arial"/>
                <w:sz w:val="18"/>
                <w:szCs w:val="18"/>
              </w:rPr>
              <w:t>Uštede [</w:t>
            </w:r>
            <w:proofErr w:type="spellStart"/>
            <w:r w:rsidRPr="001C60E2">
              <w:rPr>
                <w:rFonts w:cs="Arial"/>
                <w:sz w:val="18"/>
                <w:szCs w:val="18"/>
              </w:rPr>
              <w:t>ktoe</w:t>
            </w:r>
            <w:proofErr w:type="spellEnd"/>
            <w:r w:rsidRPr="001C60E2">
              <w:rPr>
                <w:rFonts w:cs="Arial"/>
                <w:sz w:val="18"/>
                <w:szCs w:val="18"/>
              </w:rPr>
              <w:t>/god] / Godina</w:t>
            </w:r>
          </w:p>
        </w:tc>
        <w:tc>
          <w:tcPr>
            <w:tcW w:w="537" w:type="pct"/>
            <w:shd w:val="clear" w:color="auto" w:fill="auto"/>
            <w:noWrap/>
            <w:hideMark/>
          </w:tcPr>
          <w:p w14:paraId="71B22D82" w14:textId="77777777" w:rsidR="00711D97" w:rsidRPr="001C60E2" w:rsidRDefault="00711D97" w:rsidP="00E5709B">
            <w:pPr>
              <w:jc w:val="left"/>
              <w:rPr>
                <w:rFonts w:cs="Arial"/>
                <w:sz w:val="18"/>
                <w:szCs w:val="18"/>
              </w:rPr>
            </w:pPr>
            <w:r w:rsidRPr="001C60E2">
              <w:rPr>
                <w:rFonts w:cs="Arial"/>
                <w:sz w:val="18"/>
                <w:szCs w:val="18"/>
              </w:rPr>
              <w:t>2018.</w:t>
            </w:r>
          </w:p>
        </w:tc>
        <w:tc>
          <w:tcPr>
            <w:tcW w:w="537" w:type="pct"/>
            <w:shd w:val="clear" w:color="auto" w:fill="auto"/>
            <w:noWrap/>
            <w:hideMark/>
          </w:tcPr>
          <w:p w14:paraId="5B88C72A" w14:textId="77777777" w:rsidR="00711D97" w:rsidRPr="001C60E2" w:rsidRDefault="00711D97" w:rsidP="00E5709B">
            <w:pPr>
              <w:jc w:val="left"/>
              <w:rPr>
                <w:rFonts w:cs="Arial"/>
                <w:sz w:val="18"/>
                <w:szCs w:val="18"/>
              </w:rPr>
            </w:pPr>
            <w:r w:rsidRPr="001C60E2">
              <w:rPr>
                <w:rFonts w:cs="Arial"/>
                <w:sz w:val="18"/>
                <w:szCs w:val="18"/>
              </w:rPr>
              <w:t>2019.</w:t>
            </w:r>
          </w:p>
        </w:tc>
        <w:tc>
          <w:tcPr>
            <w:tcW w:w="537" w:type="pct"/>
            <w:shd w:val="clear" w:color="auto" w:fill="auto"/>
            <w:noWrap/>
            <w:hideMark/>
          </w:tcPr>
          <w:p w14:paraId="294D88AD" w14:textId="77777777" w:rsidR="00711D97" w:rsidRPr="001C60E2" w:rsidRDefault="00711D97" w:rsidP="00E5709B">
            <w:pPr>
              <w:jc w:val="left"/>
              <w:rPr>
                <w:rFonts w:cs="Arial"/>
                <w:sz w:val="18"/>
                <w:szCs w:val="18"/>
              </w:rPr>
            </w:pPr>
            <w:r w:rsidRPr="001C60E2">
              <w:rPr>
                <w:rFonts w:cs="Arial"/>
                <w:sz w:val="18"/>
                <w:szCs w:val="18"/>
              </w:rPr>
              <w:t>2020.</w:t>
            </w:r>
          </w:p>
        </w:tc>
        <w:tc>
          <w:tcPr>
            <w:tcW w:w="537" w:type="pct"/>
            <w:shd w:val="clear" w:color="auto" w:fill="auto"/>
            <w:noWrap/>
            <w:hideMark/>
          </w:tcPr>
          <w:p w14:paraId="1E811656" w14:textId="77777777" w:rsidR="00711D97" w:rsidRPr="001C60E2" w:rsidRDefault="00711D97" w:rsidP="00E5709B">
            <w:pPr>
              <w:jc w:val="left"/>
              <w:rPr>
                <w:rFonts w:cs="Arial"/>
                <w:sz w:val="18"/>
                <w:szCs w:val="18"/>
              </w:rPr>
            </w:pPr>
            <w:r w:rsidRPr="001C60E2">
              <w:rPr>
                <w:rFonts w:cs="Arial"/>
                <w:sz w:val="18"/>
                <w:szCs w:val="18"/>
              </w:rPr>
              <w:t>2021.</w:t>
            </w:r>
          </w:p>
        </w:tc>
        <w:tc>
          <w:tcPr>
            <w:tcW w:w="592" w:type="pct"/>
            <w:shd w:val="clear" w:color="auto" w:fill="auto"/>
            <w:noWrap/>
            <w:hideMark/>
          </w:tcPr>
          <w:p w14:paraId="5942B1A4" w14:textId="77777777" w:rsidR="00711D97" w:rsidRPr="001C60E2" w:rsidRDefault="00711D97" w:rsidP="00E5709B">
            <w:pPr>
              <w:jc w:val="left"/>
              <w:rPr>
                <w:rFonts w:cs="Arial"/>
                <w:sz w:val="18"/>
                <w:szCs w:val="18"/>
              </w:rPr>
            </w:pPr>
            <w:r w:rsidRPr="001C60E2">
              <w:rPr>
                <w:rFonts w:cs="Arial"/>
                <w:sz w:val="18"/>
                <w:szCs w:val="18"/>
              </w:rPr>
              <w:t>2022.</w:t>
            </w:r>
          </w:p>
        </w:tc>
        <w:tc>
          <w:tcPr>
            <w:tcW w:w="592" w:type="pct"/>
            <w:shd w:val="clear" w:color="auto" w:fill="auto"/>
            <w:noWrap/>
            <w:hideMark/>
          </w:tcPr>
          <w:p w14:paraId="6EA5B698" w14:textId="77777777" w:rsidR="00711D97" w:rsidRPr="001C60E2" w:rsidRDefault="00711D97" w:rsidP="00E5709B">
            <w:pPr>
              <w:jc w:val="left"/>
              <w:rPr>
                <w:rFonts w:cs="Arial"/>
                <w:sz w:val="18"/>
                <w:szCs w:val="18"/>
              </w:rPr>
            </w:pPr>
            <w:r w:rsidRPr="001C60E2">
              <w:rPr>
                <w:rFonts w:cs="Arial"/>
                <w:sz w:val="18"/>
                <w:szCs w:val="18"/>
              </w:rPr>
              <w:t>2023.</w:t>
            </w:r>
          </w:p>
        </w:tc>
      </w:tr>
      <w:tr w:rsidR="001C60E2" w:rsidRPr="001C60E2" w14:paraId="6E79AAF7" w14:textId="77777777" w:rsidTr="00E5709B">
        <w:trPr>
          <w:trHeight w:val="300"/>
        </w:trPr>
        <w:tc>
          <w:tcPr>
            <w:tcW w:w="1669" w:type="pct"/>
            <w:shd w:val="clear" w:color="auto" w:fill="auto"/>
            <w:noWrap/>
            <w:hideMark/>
          </w:tcPr>
          <w:p w14:paraId="4562D189" w14:textId="77777777" w:rsidR="00711D97" w:rsidRPr="001C60E2" w:rsidRDefault="00711D97" w:rsidP="00E5709B">
            <w:pPr>
              <w:jc w:val="left"/>
              <w:rPr>
                <w:rFonts w:cs="Arial"/>
                <w:sz w:val="18"/>
                <w:szCs w:val="18"/>
              </w:rPr>
            </w:pPr>
            <w:r w:rsidRPr="001C60E2">
              <w:rPr>
                <w:rFonts w:cs="Arial"/>
                <w:sz w:val="18"/>
                <w:szCs w:val="18"/>
              </w:rPr>
              <w:t>Uštede u VSZ po prvom Pozivu</w:t>
            </w:r>
          </w:p>
        </w:tc>
        <w:tc>
          <w:tcPr>
            <w:tcW w:w="537" w:type="pct"/>
            <w:shd w:val="clear" w:color="auto" w:fill="auto"/>
            <w:noWrap/>
            <w:hideMark/>
          </w:tcPr>
          <w:p w14:paraId="7B0D5D37"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53,26</w:t>
            </w:r>
          </w:p>
        </w:tc>
        <w:tc>
          <w:tcPr>
            <w:tcW w:w="537" w:type="pct"/>
            <w:shd w:val="clear" w:color="auto" w:fill="auto"/>
            <w:noWrap/>
            <w:hideMark/>
          </w:tcPr>
          <w:p w14:paraId="4ABE0F20"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53,26</w:t>
            </w:r>
          </w:p>
        </w:tc>
        <w:tc>
          <w:tcPr>
            <w:tcW w:w="537" w:type="pct"/>
            <w:shd w:val="clear" w:color="auto" w:fill="auto"/>
            <w:noWrap/>
            <w:hideMark/>
          </w:tcPr>
          <w:p w14:paraId="78571A1C"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53,26</w:t>
            </w:r>
          </w:p>
        </w:tc>
        <w:tc>
          <w:tcPr>
            <w:tcW w:w="537" w:type="pct"/>
            <w:shd w:val="clear" w:color="auto" w:fill="auto"/>
            <w:noWrap/>
            <w:hideMark/>
          </w:tcPr>
          <w:p w14:paraId="40919C0F"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53,26</w:t>
            </w:r>
          </w:p>
        </w:tc>
        <w:tc>
          <w:tcPr>
            <w:tcW w:w="592" w:type="pct"/>
            <w:shd w:val="clear" w:color="auto" w:fill="auto"/>
            <w:noWrap/>
            <w:hideMark/>
          </w:tcPr>
          <w:p w14:paraId="2D1CB6E7"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53,26</w:t>
            </w:r>
          </w:p>
        </w:tc>
        <w:tc>
          <w:tcPr>
            <w:tcW w:w="592" w:type="pct"/>
            <w:shd w:val="clear" w:color="auto" w:fill="auto"/>
            <w:noWrap/>
            <w:hideMark/>
          </w:tcPr>
          <w:p w14:paraId="41A19263"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53,26</w:t>
            </w:r>
          </w:p>
        </w:tc>
      </w:tr>
      <w:tr w:rsidR="001C60E2" w:rsidRPr="001C60E2" w14:paraId="5022B302" w14:textId="77777777" w:rsidTr="00E5709B">
        <w:trPr>
          <w:trHeight w:val="300"/>
        </w:trPr>
        <w:tc>
          <w:tcPr>
            <w:tcW w:w="1669" w:type="pct"/>
            <w:shd w:val="clear" w:color="auto" w:fill="auto"/>
            <w:noWrap/>
            <w:hideMark/>
          </w:tcPr>
          <w:p w14:paraId="4CA0BF1D" w14:textId="77777777" w:rsidR="00711D97" w:rsidRPr="001C60E2" w:rsidRDefault="00711D97" w:rsidP="00E5709B">
            <w:pPr>
              <w:jc w:val="left"/>
              <w:rPr>
                <w:rFonts w:cs="Arial"/>
                <w:sz w:val="18"/>
                <w:szCs w:val="18"/>
              </w:rPr>
            </w:pPr>
            <w:r w:rsidRPr="001C60E2">
              <w:rPr>
                <w:rFonts w:cs="Arial"/>
                <w:sz w:val="18"/>
                <w:szCs w:val="18"/>
              </w:rPr>
              <w:t>Uštede u OK po prvom Pozivu</w:t>
            </w:r>
          </w:p>
        </w:tc>
        <w:tc>
          <w:tcPr>
            <w:tcW w:w="537" w:type="pct"/>
            <w:shd w:val="clear" w:color="auto" w:fill="auto"/>
            <w:noWrap/>
            <w:hideMark/>
          </w:tcPr>
          <w:p w14:paraId="4DD09F44" w14:textId="77777777" w:rsidR="00711D97" w:rsidRPr="001C60E2" w:rsidRDefault="00711D97" w:rsidP="00E5709B">
            <w:pPr>
              <w:spacing w:line="276" w:lineRule="auto"/>
              <w:ind w:left="306"/>
              <w:jc w:val="right"/>
              <w:rPr>
                <w:rFonts w:cs="Arial"/>
                <w:sz w:val="18"/>
                <w:szCs w:val="18"/>
              </w:rPr>
            </w:pPr>
          </w:p>
        </w:tc>
        <w:tc>
          <w:tcPr>
            <w:tcW w:w="537" w:type="pct"/>
            <w:shd w:val="clear" w:color="auto" w:fill="auto"/>
            <w:noWrap/>
            <w:hideMark/>
          </w:tcPr>
          <w:p w14:paraId="577AC47A" w14:textId="77777777" w:rsidR="00711D97" w:rsidRPr="001C60E2" w:rsidRDefault="00711D97" w:rsidP="00E5709B">
            <w:pPr>
              <w:spacing w:line="276" w:lineRule="auto"/>
              <w:ind w:left="306"/>
              <w:jc w:val="right"/>
              <w:rPr>
                <w:rFonts w:cs="Arial"/>
                <w:sz w:val="18"/>
                <w:szCs w:val="18"/>
              </w:rPr>
            </w:pPr>
          </w:p>
        </w:tc>
        <w:tc>
          <w:tcPr>
            <w:tcW w:w="537" w:type="pct"/>
            <w:shd w:val="clear" w:color="auto" w:fill="auto"/>
            <w:noWrap/>
            <w:hideMark/>
          </w:tcPr>
          <w:p w14:paraId="1BD04ED2" w14:textId="77777777" w:rsidR="00711D97" w:rsidRPr="001C60E2" w:rsidRDefault="00711D97" w:rsidP="00E5709B">
            <w:pPr>
              <w:spacing w:line="276" w:lineRule="auto"/>
              <w:ind w:left="306"/>
              <w:jc w:val="right"/>
              <w:rPr>
                <w:rFonts w:cs="Arial"/>
                <w:sz w:val="18"/>
                <w:szCs w:val="18"/>
              </w:rPr>
            </w:pPr>
          </w:p>
        </w:tc>
        <w:tc>
          <w:tcPr>
            <w:tcW w:w="537" w:type="pct"/>
            <w:shd w:val="clear" w:color="auto" w:fill="auto"/>
            <w:noWrap/>
            <w:hideMark/>
          </w:tcPr>
          <w:p w14:paraId="216C813E"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15,62</w:t>
            </w:r>
          </w:p>
        </w:tc>
        <w:tc>
          <w:tcPr>
            <w:tcW w:w="592" w:type="pct"/>
            <w:shd w:val="clear" w:color="auto" w:fill="auto"/>
            <w:noWrap/>
            <w:hideMark/>
          </w:tcPr>
          <w:p w14:paraId="5AA6EEC7"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31,24</w:t>
            </w:r>
          </w:p>
        </w:tc>
        <w:tc>
          <w:tcPr>
            <w:tcW w:w="592" w:type="pct"/>
            <w:shd w:val="clear" w:color="auto" w:fill="auto"/>
            <w:noWrap/>
            <w:hideMark/>
          </w:tcPr>
          <w:p w14:paraId="51233E87"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46,86</w:t>
            </w:r>
          </w:p>
        </w:tc>
      </w:tr>
      <w:tr w:rsidR="001C60E2" w:rsidRPr="001C60E2" w14:paraId="6F299632" w14:textId="77777777" w:rsidTr="00E5709B">
        <w:trPr>
          <w:trHeight w:val="300"/>
        </w:trPr>
        <w:tc>
          <w:tcPr>
            <w:tcW w:w="1669" w:type="pct"/>
            <w:shd w:val="clear" w:color="auto" w:fill="auto"/>
            <w:noWrap/>
            <w:hideMark/>
          </w:tcPr>
          <w:p w14:paraId="5E3A3821" w14:textId="77777777" w:rsidR="00711D97" w:rsidRPr="001C60E2" w:rsidRDefault="00711D97" w:rsidP="00E5709B">
            <w:pPr>
              <w:jc w:val="left"/>
              <w:rPr>
                <w:rFonts w:cs="Arial"/>
                <w:sz w:val="18"/>
                <w:szCs w:val="18"/>
              </w:rPr>
            </w:pPr>
            <w:r w:rsidRPr="001C60E2">
              <w:rPr>
                <w:rFonts w:cs="Arial"/>
                <w:sz w:val="18"/>
                <w:szCs w:val="18"/>
              </w:rPr>
              <w:t>Uštede u VSZ po drugom Pozivu</w:t>
            </w:r>
          </w:p>
        </w:tc>
        <w:tc>
          <w:tcPr>
            <w:tcW w:w="537" w:type="pct"/>
            <w:shd w:val="clear" w:color="auto" w:fill="auto"/>
            <w:noWrap/>
            <w:hideMark/>
          </w:tcPr>
          <w:p w14:paraId="7A88331C" w14:textId="77777777" w:rsidR="00711D97" w:rsidRPr="001C60E2" w:rsidRDefault="00711D97" w:rsidP="00E5709B">
            <w:pPr>
              <w:spacing w:line="276" w:lineRule="auto"/>
              <w:ind w:left="306"/>
              <w:jc w:val="right"/>
              <w:rPr>
                <w:rFonts w:cs="Arial"/>
                <w:sz w:val="18"/>
                <w:szCs w:val="18"/>
              </w:rPr>
            </w:pPr>
          </w:p>
        </w:tc>
        <w:tc>
          <w:tcPr>
            <w:tcW w:w="537" w:type="pct"/>
            <w:shd w:val="clear" w:color="auto" w:fill="auto"/>
            <w:noWrap/>
            <w:hideMark/>
          </w:tcPr>
          <w:p w14:paraId="561DB34E" w14:textId="77777777" w:rsidR="00711D97" w:rsidRPr="001C60E2" w:rsidRDefault="00711D97" w:rsidP="00E5709B">
            <w:pPr>
              <w:spacing w:line="276" w:lineRule="auto"/>
              <w:ind w:left="306"/>
              <w:jc w:val="right"/>
              <w:rPr>
                <w:rFonts w:cs="Arial"/>
                <w:sz w:val="18"/>
                <w:szCs w:val="18"/>
              </w:rPr>
            </w:pPr>
          </w:p>
        </w:tc>
        <w:tc>
          <w:tcPr>
            <w:tcW w:w="537" w:type="pct"/>
            <w:shd w:val="clear" w:color="auto" w:fill="auto"/>
            <w:noWrap/>
            <w:hideMark/>
          </w:tcPr>
          <w:p w14:paraId="4C74942C"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13,32</w:t>
            </w:r>
          </w:p>
        </w:tc>
        <w:tc>
          <w:tcPr>
            <w:tcW w:w="537" w:type="pct"/>
            <w:shd w:val="clear" w:color="auto" w:fill="auto"/>
            <w:noWrap/>
            <w:hideMark/>
          </w:tcPr>
          <w:p w14:paraId="2F6537D9"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13,32</w:t>
            </w:r>
          </w:p>
        </w:tc>
        <w:tc>
          <w:tcPr>
            <w:tcW w:w="592" w:type="pct"/>
            <w:shd w:val="clear" w:color="auto" w:fill="auto"/>
            <w:noWrap/>
            <w:hideMark/>
          </w:tcPr>
          <w:p w14:paraId="591C4DD5"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13,32</w:t>
            </w:r>
          </w:p>
        </w:tc>
        <w:tc>
          <w:tcPr>
            <w:tcW w:w="592" w:type="pct"/>
            <w:shd w:val="clear" w:color="auto" w:fill="auto"/>
            <w:noWrap/>
            <w:hideMark/>
          </w:tcPr>
          <w:p w14:paraId="2DE2C197"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13,32</w:t>
            </w:r>
          </w:p>
        </w:tc>
      </w:tr>
      <w:tr w:rsidR="001C60E2" w:rsidRPr="001C60E2" w14:paraId="48FDC798" w14:textId="77777777" w:rsidTr="00E5709B">
        <w:trPr>
          <w:trHeight w:val="300"/>
        </w:trPr>
        <w:tc>
          <w:tcPr>
            <w:tcW w:w="1669" w:type="pct"/>
            <w:shd w:val="clear" w:color="auto" w:fill="auto"/>
            <w:noWrap/>
            <w:hideMark/>
          </w:tcPr>
          <w:p w14:paraId="2973DBED" w14:textId="77777777" w:rsidR="00711D97" w:rsidRPr="001C60E2" w:rsidRDefault="00711D97" w:rsidP="00E5709B">
            <w:pPr>
              <w:jc w:val="left"/>
              <w:rPr>
                <w:rFonts w:cs="Arial"/>
                <w:sz w:val="18"/>
                <w:szCs w:val="18"/>
              </w:rPr>
            </w:pPr>
            <w:r w:rsidRPr="001C60E2">
              <w:rPr>
                <w:rFonts w:cs="Arial"/>
                <w:sz w:val="18"/>
                <w:szCs w:val="18"/>
              </w:rPr>
              <w:t>Uštede po Pilot projektu 4c1.2</w:t>
            </w:r>
          </w:p>
        </w:tc>
        <w:tc>
          <w:tcPr>
            <w:tcW w:w="537" w:type="pct"/>
            <w:shd w:val="clear" w:color="auto" w:fill="auto"/>
            <w:noWrap/>
            <w:hideMark/>
          </w:tcPr>
          <w:p w14:paraId="5CC8CBF8"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4,30</w:t>
            </w:r>
          </w:p>
        </w:tc>
        <w:tc>
          <w:tcPr>
            <w:tcW w:w="537" w:type="pct"/>
            <w:shd w:val="clear" w:color="auto" w:fill="auto"/>
            <w:noWrap/>
            <w:hideMark/>
          </w:tcPr>
          <w:p w14:paraId="1E45BDC4"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4,30</w:t>
            </w:r>
          </w:p>
        </w:tc>
        <w:tc>
          <w:tcPr>
            <w:tcW w:w="537" w:type="pct"/>
            <w:shd w:val="clear" w:color="auto" w:fill="auto"/>
            <w:noWrap/>
            <w:hideMark/>
          </w:tcPr>
          <w:p w14:paraId="748DC56B"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4,30</w:t>
            </w:r>
          </w:p>
        </w:tc>
        <w:tc>
          <w:tcPr>
            <w:tcW w:w="537" w:type="pct"/>
            <w:shd w:val="clear" w:color="auto" w:fill="auto"/>
            <w:noWrap/>
            <w:hideMark/>
          </w:tcPr>
          <w:p w14:paraId="7DDB8311"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4,30</w:t>
            </w:r>
          </w:p>
        </w:tc>
        <w:tc>
          <w:tcPr>
            <w:tcW w:w="592" w:type="pct"/>
            <w:shd w:val="clear" w:color="auto" w:fill="auto"/>
            <w:noWrap/>
            <w:hideMark/>
          </w:tcPr>
          <w:p w14:paraId="69402446"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4,30</w:t>
            </w:r>
          </w:p>
        </w:tc>
        <w:tc>
          <w:tcPr>
            <w:tcW w:w="592" w:type="pct"/>
            <w:shd w:val="clear" w:color="auto" w:fill="auto"/>
            <w:noWrap/>
            <w:hideMark/>
          </w:tcPr>
          <w:p w14:paraId="5CBC906F"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4,30</w:t>
            </w:r>
          </w:p>
        </w:tc>
      </w:tr>
      <w:tr w:rsidR="001C60E2" w:rsidRPr="001C60E2" w14:paraId="22722CBD" w14:textId="77777777" w:rsidTr="00E5709B">
        <w:trPr>
          <w:trHeight w:val="300"/>
        </w:trPr>
        <w:tc>
          <w:tcPr>
            <w:tcW w:w="1669" w:type="pct"/>
            <w:shd w:val="clear" w:color="auto" w:fill="auto"/>
            <w:noWrap/>
            <w:hideMark/>
          </w:tcPr>
          <w:p w14:paraId="4ADEE0D1" w14:textId="77777777" w:rsidR="00711D97" w:rsidRPr="001C60E2" w:rsidRDefault="00711D97" w:rsidP="00E5709B">
            <w:pPr>
              <w:jc w:val="left"/>
              <w:rPr>
                <w:rFonts w:cs="Arial"/>
                <w:sz w:val="18"/>
                <w:szCs w:val="18"/>
              </w:rPr>
            </w:pPr>
            <w:r w:rsidRPr="001C60E2">
              <w:rPr>
                <w:rFonts w:cs="Arial"/>
                <w:sz w:val="18"/>
                <w:szCs w:val="18"/>
              </w:rPr>
              <w:t>Uštede po Pozivu 4c1.3 – 2019.</w:t>
            </w:r>
          </w:p>
        </w:tc>
        <w:tc>
          <w:tcPr>
            <w:tcW w:w="537" w:type="pct"/>
            <w:shd w:val="clear" w:color="auto" w:fill="auto"/>
            <w:noWrap/>
            <w:hideMark/>
          </w:tcPr>
          <w:p w14:paraId="6363A085" w14:textId="77777777" w:rsidR="00711D97" w:rsidRPr="001C60E2" w:rsidRDefault="00711D97" w:rsidP="00E5709B">
            <w:pPr>
              <w:spacing w:line="276" w:lineRule="auto"/>
              <w:ind w:left="306"/>
              <w:jc w:val="right"/>
              <w:rPr>
                <w:rFonts w:cs="Arial"/>
                <w:sz w:val="18"/>
                <w:szCs w:val="18"/>
              </w:rPr>
            </w:pPr>
          </w:p>
        </w:tc>
        <w:tc>
          <w:tcPr>
            <w:tcW w:w="537" w:type="pct"/>
            <w:shd w:val="clear" w:color="auto" w:fill="auto"/>
            <w:noWrap/>
            <w:hideMark/>
          </w:tcPr>
          <w:p w14:paraId="0011EC0E"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29,26</w:t>
            </w:r>
          </w:p>
        </w:tc>
        <w:tc>
          <w:tcPr>
            <w:tcW w:w="537" w:type="pct"/>
            <w:shd w:val="clear" w:color="auto" w:fill="auto"/>
            <w:noWrap/>
            <w:hideMark/>
          </w:tcPr>
          <w:p w14:paraId="4A99917A"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29,26</w:t>
            </w:r>
          </w:p>
        </w:tc>
        <w:tc>
          <w:tcPr>
            <w:tcW w:w="537" w:type="pct"/>
            <w:shd w:val="clear" w:color="auto" w:fill="auto"/>
            <w:noWrap/>
            <w:hideMark/>
          </w:tcPr>
          <w:p w14:paraId="006EDE9A"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29,26</w:t>
            </w:r>
          </w:p>
        </w:tc>
        <w:tc>
          <w:tcPr>
            <w:tcW w:w="592" w:type="pct"/>
            <w:shd w:val="clear" w:color="auto" w:fill="auto"/>
            <w:noWrap/>
            <w:hideMark/>
          </w:tcPr>
          <w:p w14:paraId="385E5C90"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29,26</w:t>
            </w:r>
          </w:p>
        </w:tc>
        <w:tc>
          <w:tcPr>
            <w:tcW w:w="592" w:type="pct"/>
            <w:shd w:val="clear" w:color="auto" w:fill="auto"/>
            <w:noWrap/>
            <w:hideMark/>
          </w:tcPr>
          <w:p w14:paraId="1711D702"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29,26</w:t>
            </w:r>
          </w:p>
        </w:tc>
      </w:tr>
      <w:tr w:rsidR="001C60E2" w:rsidRPr="001C60E2" w14:paraId="64C2ACB0" w14:textId="77777777" w:rsidTr="00E5709B">
        <w:trPr>
          <w:trHeight w:val="300"/>
        </w:trPr>
        <w:tc>
          <w:tcPr>
            <w:tcW w:w="1669" w:type="pct"/>
            <w:shd w:val="clear" w:color="auto" w:fill="auto"/>
            <w:noWrap/>
            <w:hideMark/>
          </w:tcPr>
          <w:p w14:paraId="112B0D4E" w14:textId="77777777" w:rsidR="00711D97" w:rsidRPr="001C60E2" w:rsidRDefault="00711D97" w:rsidP="00E5709B">
            <w:pPr>
              <w:jc w:val="left"/>
              <w:rPr>
                <w:rFonts w:cs="Arial"/>
                <w:sz w:val="18"/>
                <w:szCs w:val="18"/>
              </w:rPr>
            </w:pPr>
            <w:r w:rsidRPr="001C60E2">
              <w:rPr>
                <w:rFonts w:cs="Arial"/>
                <w:sz w:val="18"/>
                <w:szCs w:val="18"/>
              </w:rPr>
              <w:t>Uštede po Pozivu 4c1.3 – 2020.</w:t>
            </w:r>
          </w:p>
        </w:tc>
        <w:tc>
          <w:tcPr>
            <w:tcW w:w="537" w:type="pct"/>
            <w:shd w:val="clear" w:color="auto" w:fill="auto"/>
            <w:noWrap/>
            <w:hideMark/>
          </w:tcPr>
          <w:p w14:paraId="3BAA171E" w14:textId="77777777" w:rsidR="00711D97" w:rsidRPr="001C60E2" w:rsidRDefault="00711D97" w:rsidP="00E5709B">
            <w:pPr>
              <w:spacing w:line="276" w:lineRule="auto"/>
              <w:ind w:left="306"/>
              <w:jc w:val="right"/>
              <w:rPr>
                <w:rFonts w:cs="Arial"/>
                <w:sz w:val="18"/>
                <w:szCs w:val="18"/>
              </w:rPr>
            </w:pPr>
          </w:p>
        </w:tc>
        <w:tc>
          <w:tcPr>
            <w:tcW w:w="537" w:type="pct"/>
            <w:shd w:val="clear" w:color="auto" w:fill="auto"/>
            <w:noWrap/>
            <w:hideMark/>
          </w:tcPr>
          <w:p w14:paraId="0745B311" w14:textId="77777777" w:rsidR="00711D97" w:rsidRPr="001C60E2" w:rsidRDefault="00711D97" w:rsidP="00E5709B">
            <w:pPr>
              <w:spacing w:line="276" w:lineRule="auto"/>
              <w:ind w:left="306"/>
              <w:jc w:val="right"/>
              <w:rPr>
                <w:rFonts w:cs="Arial"/>
                <w:sz w:val="18"/>
                <w:szCs w:val="18"/>
              </w:rPr>
            </w:pPr>
          </w:p>
        </w:tc>
        <w:tc>
          <w:tcPr>
            <w:tcW w:w="537" w:type="pct"/>
            <w:shd w:val="clear" w:color="auto" w:fill="auto"/>
            <w:noWrap/>
            <w:hideMark/>
          </w:tcPr>
          <w:p w14:paraId="17F34C80"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6,89</w:t>
            </w:r>
          </w:p>
        </w:tc>
        <w:tc>
          <w:tcPr>
            <w:tcW w:w="537" w:type="pct"/>
            <w:shd w:val="clear" w:color="auto" w:fill="auto"/>
            <w:noWrap/>
            <w:hideMark/>
          </w:tcPr>
          <w:p w14:paraId="6BCA7C40"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6,89</w:t>
            </w:r>
          </w:p>
        </w:tc>
        <w:tc>
          <w:tcPr>
            <w:tcW w:w="592" w:type="pct"/>
            <w:shd w:val="clear" w:color="auto" w:fill="auto"/>
            <w:noWrap/>
            <w:hideMark/>
          </w:tcPr>
          <w:p w14:paraId="520D9477"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6,89</w:t>
            </w:r>
          </w:p>
        </w:tc>
        <w:tc>
          <w:tcPr>
            <w:tcW w:w="592" w:type="pct"/>
            <w:shd w:val="clear" w:color="auto" w:fill="auto"/>
            <w:noWrap/>
            <w:hideMark/>
          </w:tcPr>
          <w:p w14:paraId="6E0584C0"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6,89</w:t>
            </w:r>
          </w:p>
        </w:tc>
      </w:tr>
      <w:tr w:rsidR="001C60E2" w:rsidRPr="001C60E2" w14:paraId="0FC3C5C0" w14:textId="77777777" w:rsidTr="00E5709B">
        <w:trPr>
          <w:trHeight w:val="300"/>
        </w:trPr>
        <w:tc>
          <w:tcPr>
            <w:tcW w:w="1669" w:type="pct"/>
            <w:shd w:val="clear" w:color="auto" w:fill="auto"/>
            <w:noWrap/>
            <w:hideMark/>
          </w:tcPr>
          <w:p w14:paraId="1B67CE5B" w14:textId="77777777" w:rsidR="00711D97" w:rsidRPr="001C60E2" w:rsidRDefault="00711D97" w:rsidP="00E5709B">
            <w:pPr>
              <w:jc w:val="left"/>
              <w:rPr>
                <w:rFonts w:cs="Arial"/>
                <w:sz w:val="18"/>
                <w:szCs w:val="18"/>
              </w:rPr>
            </w:pPr>
            <w:r w:rsidRPr="001C60E2">
              <w:rPr>
                <w:rFonts w:cs="Arial"/>
                <w:sz w:val="18"/>
                <w:szCs w:val="18"/>
              </w:rPr>
              <w:t>Uštede po novim pozivima – 2020.</w:t>
            </w:r>
          </w:p>
        </w:tc>
        <w:tc>
          <w:tcPr>
            <w:tcW w:w="537" w:type="pct"/>
            <w:shd w:val="clear" w:color="auto" w:fill="auto"/>
            <w:noWrap/>
            <w:hideMark/>
          </w:tcPr>
          <w:p w14:paraId="78643A8B" w14:textId="77777777" w:rsidR="00711D97" w:rsidRPr="001C60E2" w:rsidRDefault="00711D97" w:rsidP="00E5709B">
            <w:pPr>
              <w:spacing w:line="276" w:lineRule="auto"/>
              <w:ind w:left="306"/>
              <w:jc w:val="right"/>
              <w:rPr>
                <w:rFonts w:cs="Arial"/>
                <w:sz w:val="18"/>
                <w:szCs w:val="18"/>
              </w:rPr>
            </w:pPr>
          </w:p>
        </w:tc>
        <w:tc>
          <w:tcPr>
            <w:tcW w:w="537" w:type="pct"/>
            <w:shd w:val="clear" w:color="auto" w:fill="auto"/>
            <w:noWrap/>
            <w:hideMark/>
          </w:tcPr>
          <w:p w14:paraId="3826DD42" w14:textId="77777777" w:rsidR="00711D97" w:rsidRPr="001C60E2" w:rsidRDefault="00711D97" w:rsidP="00E5709B">
            <w:pPr>
              <w:spacing w:line="276" w:lineRule="auto"/>
              <w:ind w:left="306"/>
              <w:jc w:val="right"/>
              <w:rPr>
                <w:rFonts w:cs="Arial"/>
                <w:sz w:val="18"/>
                <w:szCs w:val="18"/>
              </w:rPr>
            </w:pPr>
          </w:p>
        </w:tc>
        <w:tc>
          <w:tcPr>
            <w:tcW w:w="537" w:type="pct"/>
            <w:shd w:val="clear" w:color="auto" w:fill="auto"/>
            <w:noWrap/>
            <w:hideMark/>
          </w:tcPr>
          <w:p w14:paraId="46030312"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9,47</w:t>
            </w:r>
          </w:p>
        </w:tc>
        <w:tc>
          <w:tcPr>
            <w:tcW w:w="537" w:type="pct"/>
            <w:shd w:val="clear" w:color="auto" w:fill="auto"/>
            <w:noWrap/>
            <w:hideMark/>
          </w:tcPr>
          <w:p w14:paraId="7C99980F"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9,47</w:t>
            </w:r>
          </w:p>
        </w:tc>
        <w:tc>
          <w:tcPr>
            <w:tcW w:w="592" w:type="pct"/>
            <w:shd w:val="clear" w:color="auto" w:fill="auto"/>
            <w:noWrap/>
            <w:hideMark/>
          </w:tcPr>
          <w:p w14:paraId="2B6B8571"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9,47</w:t>
            </w:r>
          </w:p>
        </w:tc>
        <w:tc>
          <w:tcPr>
            <w:tcW w:w="592" w:type="pct"/>
            <w:shd w:val="clear" w:color="auto" w:fill="auto"/>
            <w:noWrap/>
            <w:hideMark/>
          </w:tcPr>
          <w:p w14:paraId="56EAFB9E"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9,47</w:t>
            </w:r>
          </w:p>
        </w:tc>
      </w:tr>
      <w:tr w:rsidR="001C60E2" w:rsidRPr="001C60E2" w14:paraId="6B36A8F0" w14:textId="77777777" w:rsidTr="00E5709B">
        <w:trPr>
          <w:trHeight w:val="300"/>
        </w:trPr>
        <w:tc>
          <w:tcPr>
            <w:tcW w:w="1669" w:type="pct"/>
            <w:shd w:val="clear" w:color="auto" w:fill="auto"/>
            <w:noWrap/>
            <w:hideMark/>
          </w:tcPr>
          <w:p w14:paraId="6486190F" w14:textId="77777777" w:rsidR="00711D97" w:rsidRPr="001C60E2" w:rsidRDefault="00711D97" w:rsidP="00E5709B">
            <w:pPr>
              <w:jc w:val="left"/>
              <w:rPr>
                <w:rFonts w:cs="Arial"/>
                <w:sz w:val="18"/>
                <w:szCs w:val="18"/>
              </w:rPr>
            </w:pPr>
            <w:r w:rsidRPr="001C60E2">
              <w:rPr>
                <w:rFonts w:cs="Arial"/>
                <w:sz w:val="18"/>
                <w:szCs w:val="18"/>
              </w:rPr>
              <w:t>Uštede po novim pozivima – 2021.</w:t>
            </w:r>
          </w:p>
        </w:tc>
        <w:tc>
          <w:tcPr>
            <w:tcW w:w="537" w:type="pct"/>
            <w:shd w:val="clear" w:color="auto" w:fill="auto"/>
            <w:noWrap/>
            <w:hideMark/>
          </w:tcPr>
          <w:p w14:paraId="077C4B24" w14:textId="77777777" w:rsidR="00711D97" w:rsidRPr="001C60E2" w:rsidRDefault="00711D97" w:rsidP="00E5709B">
            <w:pPr>
              <w:spacing w:line="276" w:lineRule="auto"/>
              <w:ind w:left="306"/>
              <w:jc w:val="right"/>
              <w:rPr>
                <w:rFonts w:cs="Arial"/>
                <w:sz w:val="18"/>
                <w:szCs w:val="18"/>
              </w:rPr>
            </w:pPr>
          </w:p>
        </w:tc>
        <w:tc>
          <w:tcPr>
            <w:tcW w:w="537" w:type="pct"/>
            <w:shd w:val="clear" w:color="auto" w:fill="auto"/>
            <w:noWrap/>
            <w:hideMark/>
          </w:tcPr>
          <w:p w14:paraId="465B4CC4" w14:textId="77777777" w:rsidR="00711D97" w:rsidRPr="001C60E2" w:rsidRDefault="00711D97" w:rsidP="00E5709B">
            <w:pPr>
              <w:spacing w:line="276" w:lineRule="auto"/>
              <w:ind w:left="306"/>
              <w:jc w:val="right"/>
              <w:rPr>
                <w:rFonts w:cs="Arial"/>
                <w:sz w:val="18"/>
                <w:szCs w:val="18"/>
              </w:rPr>
            </w:pPr>
          </w:p>
        </w:tc>
        <w:tc>
          <w:tcPr>
            <w:tcW w:w="537" w:type="pct"/>
            <w:shd w:val="clear" w:color="auto" w:fill="auto"/>
            <w:noWrap/>
            <w:hideMark/>
          </w:tcPr>
          <w:p w14:paraId="379CC6E2" w14:textId="77777777" w:rsidR="00711D97" w:rsidRPr="001C60E2" w:rsidRDefault="00711D97" w:rsidP="00E5709B">
            <w:pPr>
              <w:spacing w:line="276" w:lineRule="auto"/>
              <w:ind w:left="306"/>
              <w:jc w:val="right"/>
              <w:rPr>
                <w:rFonts w:cs="Arial"/>
                <w:sz w:val="18"/>
                <w:szCs w:val="18"/>
              </w:rPr>
            </w:pPr>
          </w:p>
        </w:tc>
        <w:tc>
          <w:tcPr>
            <w:tcW w:w="537" w:type="pct"/>
            <w:shd w:val="clear" w:color="auto" w:fill="auto"/>
            <w:noWrap/>
            <w:hideMark/>
          </w:tcPr>
          <w:p w14:paraId="1486911D"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12,05</w:t>
            </w:r>
          </w:p>
        </w:tc>
        <w:tc>
          <w:tcPr>
            <w:tcW w:w="592" w:type="pct"/>
            <w:shd w:val="clear" w:color="auto" w:fill="auto"/>
            <w:noWrap/>
            <w:hideMark/>
          </w:tcPr>
          <w:p w14:paraId="0979C42E"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12,05</w:t>
            </w:r>
          </w:p>
        </w:tc>
        <w:tc>
          <w:tcPr>
            <w:tcW w:w="592" w:type="pct"/>
            <w:shd w:val="clear" w:color="auto" w:fill="auto"/>
            <w:noWrap/>
            <w:hideMark/>
          </w:tcPr>
          <w:p w14:paraId="1F67C67F"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12,05</w:t>
            </w:r>
          </w:p>
        </w:tc>
      </w:tr>
      <w:tr w:rsidR="001C60E2" w:rsidRPr="001C60E2" w14:paraId="14ED9424" w14:textId="77777777" w:rsidTr="00E5709B">
        <w:trPr>
          <w:trHeight w:val="300"/>
        </w:trPr>
        <w:tc>
          <w:tcPr>
            <w:tcW w:w="1669" w:type="pct"/>
            <w:shd w:val="clear" w:color="auto" w:fill="auto"/>
            <w:noWrap/>
            <w:hideMark/>
          </w:tcPr>
          <w:p w14:paraId="2AFBDEDF" w14:textId="77777777" w:rsidR="00711D97" w:rsidRPr="001C60E2" w:rsidRDefault="00711D97" w:rsidP="00E5709B">
            <w:pPr>
              <w:jc w:val="left"/>
              <w:rPr>
                <w:rFonts w:cs="Arial"/>
                <w:sz w:val="18"/>
                <w:szCs w:val="18"/>
              </w:rPr>
            </w:pPr>
            <w:r w:rsidRPr="001C60E2">
              <w:rPr>
                <w:rFonts w:cs="Arial"/>
                <w:sz w:val="18"/>
                <w:szCs w:val="18"/>
              </w:rPr>
              <w:t>Uštede po novim pozivima – 2022.</w:t>
            </w:r>
          </w:p>
        </w:tc>
        <w:tc>
          <w:tcPr>
            <w:tcW w:w="537" w:type="pct"/>
            <w:shd w:val="clear" w:color="auto" w:fill="auto"/>
            <w:noWrap/>
            <w:hideMark/>
          </w:tcPr>
          <w:p w14:paraId="1BA1E934" w14:textId="77777777" w:rsidR="00711D97" w:rsidRPr="001C60E2" w:rsidRDefault="00711D97" w:rsidP="00E5709B">
            <w:pPr>
              <w:spacing w:line="276" w:lineRule="auto"/>
              <w:ind w:left="306"/>
              <w:jc w:val="right"/>
              <w:rPr>
                <w:rFonts w:cs="Arial"/>
                <w:sz w:val="18"/>
                <w:szCs w:val="18"/>
              </w:rPr>
            </w:pPr>
          </w:p>
        </w:tc>
        <w:tc>
          <w:tcPr>
            <w:tcW w:w="537" w:type="pct"/>
            <w:shd w:val="clear" w:color="auto" w:fill="auto"/>
            <w:noWrap/>
            <w:hideMark/>
          </w:tcPr>
          <w:p w14:paraId="2D7C41B7" w14:textId="77777777" w:rsidR="00711D97" w:rsidRPr="001C60E2" w:rsidRDefault="00711D97" w:rsidP="00E5709B">
            <w:pPr>
              <w:spacing w:line="276" w:lineRule="auto"/>
              <w:ind w:left="306"/>
              <w:jc w:val="right"/>
              <w:rPr>
                <w:rFonts w:cs="Arial"/>
                <w:sz w:val="18"/>
                <w:szCs w:val="18"/>
              </w:rPr>
            </w:pPr>
          </w:p>
        </w:tc>
        <w:tc>
          <w:tcPr>
            <w:tcW w:w="537" w:type="pct"/>
            <w:shd w:val="clear" w:color="auto" w:fill="auto"/>
            <w:noWrap/>
            <w:hideMark/>
          </w:tcPr>
          <w:p w14:paraId="12F1CA72" w14:textId="77777777" w:rsidR="00711D97" w:rsidRPr="001C60E2" w:rsidRDefault="00711D97" w:rsidP="00E5709B">
            <w:pPr>
              <w:spacing w:line="276" w:lineRule="auto"/>
              <w:ind w:left="306"/>
              <w:jc w:val="right"/>
              <w:rPr>
                <w:rFonts w:cs="Arial"/>
                <w:sz w:val="18"/>
                <w:szCs w:val="18"/>
              </w:rPr>
            </w:pPr>
          </w:p>
        </w:tc>
        <w:tc>
          <w:tcPr>
            <w:tcW w:w="537" w:type="pct"/>
            <w:shd w:val="clear" w:color="auto" w:fill="auto"/>
            <w:noWrap/>
            <w:hideMark/>
          </w:tcPr>
          <w:p w14:paraId="60F03D65" w14:textId="77777777" w:rsidR="00711D97" w:rsidRPr="001C60E2" w:rsidRDefault="00711D97" w:rsidP="00E5709B">
            <w:pPr>
              <w:spacing w:line="276" w:lineRule="auto"/>
              <w:ind w:left="306"/>
              <w:jc w:val="right"/>
              <w:rPr>
                <w:rFonts w:cs="Arial"/>
                <w:sz w:val="18"/>
                <w:szCs w:val="18"/>
              </w:rPr>
            </w:pPr>
          </w:p>
        </w:tc>
        <w:tc>
          <w:tcPr>
            <w:tcW w:w="592" w:type="pct"/>
            <w:shd w:val="clear" w:color="auto" w:fill="auto"/>
            <w:noWrap/>
            <w:hideMark/>
          </w:tcPr>
          <w:p w14:paraId="7B703E8E"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14,63</w:t>
            </w:r>
          </w:p>
        </w:tc>
        <w:tc>
          <w:tcPr>
            <w:tcW w:w="592" w:type="pct"/>
            <w:shd w:val="clear" w:color="auto" w:fill="auto"/>
            <w:noWrap/>
            <w:hideMark/>
          </w:tcPr>
          <w:p w14:paraId="1C1CB8E3"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14,63</w:t>
            </w:r>
          </w:p>
        </w:tc>
      </w:tr>
      <w:tr w:rsidR="001C60E2" w:rsidRPr="001C60E2" w14:paraId="5F6CEA51" w14:textId="77777777" w:rsidTr="00E5709B">
        <w:trPr>
          <w:trHeight w:val="300"/>
        </w:trPr>
        <w:tc>
          <w:tcPr>
            <w:tcW w:w="1669" w:type="pct"/>
            <w:shd w:val="clear" w:color="auto" w:fill="auto"/>
            <w:hideMark/>
          </w:tcPr>
          <w:p w14:paraId="7958DAFA" w14:textId="77777777" w:rsidR="00711D97" w:rsidRPr="001C60E2" w:rsidRDefault="00711D97" w:rsidP="00E5709B">
            <w:pPr>
              <w:jc w:val="left"/>
              <w:rPr>
                <w:rFonts w:cs="Arial"/>
                <w:sz w:val="18"/>
                <w:szCs w:val="18"/>
              </w:rPr>
            </w:pPr>
            <w:r w:rsidRPr="001C60E2">
              <w:rPr>
                <w:rFonts w:cs="Arial"/>
                <w:sz w:val="18"/>
                <w:szCs w:val="18"/>
              </w:rPr>
              <w:t>Uštede po novim pozivima – 2023.</w:t>
            </w:r>
          </w:p>
        </w:tc>
        <w:tc>
          <w:tcPr>
            <w:tcW w:w="537" w:type="pct"/>
            <w:shd w:val="clear" w:color="auto" w:fill="auto"/>
            <w:noWrap/>
            <w:hideMark/>
          </w:tcPr>
          <w:p w14:paraId="60D5A7F9" w14:textId="77777777" w:rsidR="00711D97" w:rsidRPr="001C60E2" w:rsidRDefault="00711D97" w:rsidP="00E5709B">
            <w:pPr>
              <w:spacing w:line="276" w:lineRule="auto"/>
              <w:ind w:left="306"/>
              <w:jc w:val="right"/>
              <w:rPr>
                <w:rFonts w:cs="Arial"/>
                <w:sz w:val="18"/>
                <w:szCs w:val="18"/>
              </w:rPr>
            </w:pPr>
          </w:p>
        </w:tc>
        <w:tc>
          <w:tcPr>
            <w:tcW w:w="537" w:type="pct"/>
            <w:shd w:val="clear" w:color="auto" w:fill="auto"/>
            <w:noWrap/>
            <w:hideMark/>
          </w:tcPr>
          <w:p w14:paraId="7F99DEBC" w14:textId="77777777" w:rsidR="00711D97" w:rsidRPr="001C60E2" w:rsidRDefault="00711D97" w:rsidP="00E5709B">
            <w:pPr>
              <w:spacing w:line="276" w:lineRule="auto"/>
              <w:ind w:left="306"/>
              <w:jc w:val="right"/>
              <w:rPr>
                <w:rFonts w:cs="Arial"/>
                <w:sz w:val="18"/>
                <w:szCs w:val="18"/>
              </w:rPr>
            </w:pPr>
          </w:p>
        </w:tc>
        <w:tc>
          <w:tcPr>
            <w:tcW w:w="537" w:type="pct"/>
            <w:shd w:val="clear" w:color="auto" w:fill="auto"/>
            <w:noWrap/>
            <w:hideMark/>
          </w:tcPr>
          <w:p w14:paraId="4D02C5FC" w14:textId="77777777" w:rsidR="00711D97" w:rsidRPr="001C60E2" w:rsidRDefault="00711D97" w:rsidP="00E5709B">
            <w:pPr>
              <w:spacing w:line="276" w:lineRule="auto"/>
              <w:ind w:left="306"/>
              <w:jc w:val="right"/>
              <w:rPr>
                <w:rFonts w:cs="Arial"/>
                <w:sz w:val="18"/>
                <w:szCs w:val="18"/>
              </w:rPr>
            </w:pPr>
          </w:p>
        </w:tc>
        <w:tc>
          <w:tcPr>
            <w:tcW w:w="537" w:type="pct"/>
            <w:shd w:val="clear" w:color="auto" w:fill="auto"/>
            <w:noWrap/>
            <w:hideMark/>
          </w:tcPr>
          <w:p w14:paraId="7E723FC4" w14:textId="77777777" w:rsidR="00711D97" w:rsidRPr="001C60E2" w:rsidRDefault="00711D97" w:rsidP="00E5709B">
            <w:pPr>
              <w:spacing w:line="276" w:lineRule="auto"/>
              <w:ind w:left="306"/>
              <w:jc w:val="right"/>
              <w:rPr>
                <w:rFonts w:cs="Arial"/>
                <w:sz w:val="18"/>
                <w:szCs w:val="18"/>
              </w:rPr>
            </w:pPr>
          </w:p>
        </w:tc>
        <w:tc>
          <w:tcPr>
            <w:tcW w:w="592" w:type="pct"/>
            <w:shd w:val="clear" w:color="auto" w:fill="auto"/>
            <w:noWrap/>
            <w:hideMark/>
          </w:tcPr>
          <w:p w14:paraId="00053FA3" w14:textId="77777777" w:rsidR="00711D97" w:rsidRPr="001C60E2" w:rsidRDefault="00711D97" w:rsidP="00E5709B">
            <w:pPr>
              <w:spacing w:line="276" w:lineRule="auto"/>
              <w:ind w:left="306"/>
              <w:jc w:val="right"/>
              <w:rPr>
                <w:rFonts w:cs="Arial"/>
                <w:sz w:val="18"/>
                <w:szCs w:val="18"/>
              </w:rPr>
            </w:pPr>
          </w:p>
        </w:tc>
        <w:tc>
          <w:tcPr>
            <w:tcW w:w="592" w:type="pct"/>
            <w:shd w:val="clear" w:color="auto" w:fill="auto"/>
            <w:noWrap/>
            <w:hideMark/>
          </w:tcPr>
          <w:p w14:paraId="64670663"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18,07</w:t>
            </w:r>
          </w:p>
        </w:tc>
      </w:tr>
      <w:tr w:rsidR="001C60E2" w:rsidRPr="001C60E2" w14:paraId="34E09EF0" w14:textId="77777777" w:rsidTr="00E5709B">
        <w:trPr>
          <w:trHeight w:val="300"/>
        </w:trPr>
        <w:tc>
          <w:tcPr>
            <w:tcW w:w="1669" w:type="pct"/>
            <w:shd w:val="clear" w:color="auto" w:fill="auto"/>
          </w:tcPr>
          <w:p w14:paraId="706611C5" w14:textId="77777777" w:rsidR="00711D97" w:rsidRPr="001C60E2" w:rsidRDefault="00711D97" w:rsidP="00E5709B">
            <w:pPr>
              <w:jc w:val="left"/>
              <w:rPr>
                <w:rFonts w:cs="Arial"/>
                <w:sz w:val="18"/>
                <w:szCs w:val="18"/>
              </w:rPr>
            </w:pPr>
            <w:r w:rsidRPr="001C60E2">
              <w:rPr>
                <w:rFonts w:cs="Arial"/>
                <w:sz w:val="18"/>
                <w:szCs w:val="18"/>
              </w:rPr>
              <w:t xml:space="preserve">UKUPNE GODIŠNJE UŠTEDE </w:t>
            </w:r>
          </w:p>
        </w:tc>
        <w:tc>
          <w:tcPr>
            <w:tcW w:w="537" w:type="pct"/>
            <w:shd w:val="clear" w:color="auto" w:fill="auto"/>
            <w:noWrap/>
          </w:tcPr>
          <w:p w14:paraId="16C4A56F" w14:textId="77777777" w:rsidR="00711D97" w:rsidRPr="001C60E2" w:rsidRDefault="00711D97" w:rsidP="00E5709B">
            <w:pPr>
              <w:spacing w:line="276" w:lineRule="auto"/>
              <w:jc w:val="right"/>
              <w:rPr>
                <w:rFonts w:cs="Arial"/>
                <w:sz w:val="18"/>
                <w:szCs w:val="18"/>
              </w:rPr>
            </w:pPr>
            <w:r w:rsidRPr="001C60E2">
              <w:rPr>
                <w:rFonts w:cs="Arial"/>
                <w:sz w:val="18"/>
                <w:szCs w:val="18"/>
              </w:rPr>
              <w:t>57,56</w:t>
            </w:r>
          </w:p>
        </w:tc>
        <w:tc>
          <w:tcPr>
            <w:tcW w:w="537" w:type="pct"/>
            <w:shd w:val="clear" w:color="auto" w:fill="auto"/>
            <w:noWrap/>
          </w:tcPr>
          <w:p w14:paraId="110B5856" w14:textId="77777777" w:rsidR="00711D97" w:rsidRPr="001C60E2" w:rsidRDefault="00711D97" w:rsidP="00E5709B">
            <w:pPr>
              <w:spacing w:line="276" w:lineRule="auto"/>
              <w:jc w:val="right"/>
              <w:rPr>
                <w:rFonts w:cs="Arial"/>
                <w:sz w:val="18"/>
                <w:szCs w:val="18"/>
              </w:rPr>
            </w:pPr>
            <w:r w:rsidRPr="001C60E2">
              <w:rPr>
                <w:rFonts w:cs="Arial"/>
                <w:sz w:val="18"/>
                <w:szCs w:val="18"/>
              </w:rPr>
              <w:t>86,82</w:t>
            </w:r>
          </w:p>
        </w:tc>
        <w:tc>
          <w:tcPr>
            <w:tcW w:w="537" w:type="pct"/>
            <w:shd w:val="clear" w:color="auto" w:fill="auto"/>
            <w:noWrap/>
          </w:tcPr>
          <w:p w14:paraId="7B4899E1" w14:textId="77777777" w:rsidR="00711D97" w:rsidRPr="001C60E2" w:rsidRDefault="00711D97" w:rsidP="00E5709B">
            <w:pPr>
              <w:spacing w:line="276" w:lineRule="auto"/>
              <w:jc w:val="right"/>
              <w:rPr>
                <w:rFonts w:cs="Arial"/>
                <w:sz w:val="18"/>
                <w:szCs w:val="18"/>
              </w:rPr>
            </w:pPr>
            <w:r w:rsidRPr="001C60E2">
              <w:rPr>
                <w:rFonts w:cs="Arial"/>
                <w:sz w:val="18"/>
                <w:szCs w:val="18"/>
              </w:rPr>
              <w:t>116,5</w:t>
            </w:r>
          </w:p>
        </w:tc>
        <w:tc>
          <w:tcPr>
            <w:tcW w:w="537" w:type="pct"/>
            <w:shd w:val="clear" w:color="auto" w:fill="auto"/>
            <w:noWrap/>
          </w:tcPr>
          <w:p w14:paraId="2B44473F" w14:textId="77777777" w:rsidR="00711D97" w:rsidRPr="001C60E2" w:rsidRDefault="00711D97" w:rsidP="00E5709B">
            <w:pPr>
              <w:spacing w:line="276" w:lineRule="auto"/>
              <w:jc w:val="right"/>
              <w:rPr>
                <w:rFonts w:cs="Arial"/>
                <w:sz w:val="18"/>
                <w:szCs w:val="18"/>
              </w:rPr>
            </w:pPr>
            <w:r w:rsidRPr="001C60E2">
              <w:rPr>
                <w:rFonts w:cs="Arial"/>
                <w:sz w:val="18"/>
                <w:szCs w:val="18"/>
              </w:rPr>
              <w:t>144,17</w:t>
            </w:r>
          </w:p>
        </w:tc>
        <w:tc>
          <w:tcPr>
            <w:tcW w:w="592" w:type="pct"/>
            <w:shd w:val="clear" w:color="auto" w:fill="auto"/>
            <w:noWrap/>
          </w:tcPr>
          <w:p w14:paraId="756E1520"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174,42</w:t>
            </w:r>
          </w:p>
        </w:tc>
        <w:tc>
          <w:tcPr>
            <w:tcW w:w="592" w:type="pct"/>
            <w:shd w:val="clear" w:color="auto" w:fill="auto"/>
            <w:noWrap/>
          </w:tcPr>
          <w:p w14:paraId="1B2D5348"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208,11</w:t>
            </w:r>
          </w:p>
        </w:tc>
      </w:tr>
      <w:tr w:rsidR="001C60E2" w:rsidRPr="001C60E2" w14:paraId="2E0D335B" w14:textId="77777777" w:rsidTr="00E5709B">
        <w:trPr>
          <w:trHeight w:val="300"/>
        </w:trPr>
        <w:tc>
          <w:tcPr>
            <w:tcW w:w="4408" w:type="pct"/>
            <w:gridSpan w:val="6"/>
            <w:shd w:val="clear" w:color="auto" w:fill="auto"/>
          </w:tcPr>
          <w:p w14:paraId="283E365B" w14:textId="77777777" w:rsidR="00711D97" w:rsidRPr="001C60E2" w:rsidRDefault="00711D97" w:rsidP="00E5709B">
            <w:pPr>
              <w:spacing w:line="276" w:lineRule="auto"/>
              <w:ind w:left="22"/>
              <w:jc w:val="left"/>
              <w:rPr>
                <w:rFonts w:cs="Arial"/>
                <w:sz w:val="18"/>
                <w:szCs w:val="18"/>
              </w:rPr>
            </w:pPr>
            <w:r w:rsidRPr="001C60E2">
              <w:rPr>
                <w:rFonts w:cs="Arial"/>
                <w:sz w:val="18"/>
                <w:szCs w:val="18"/>
              </w:rPr>
              <w:t>UKUPNE KUMULATIVNE UŠTEDE U RAZDOBLJU 2018.-2023.</w:t>
            </w:r>
          </w:p>
        </w:tc>
        <w:tc>
          <w:tcPr>
            <w:tcW w:w="592" w:type="pct"/>
            <w:shd w:val="clear" w:color="auto" w:fill="auto"/>
            <w:noWrap/>
          </w:tcPr>
          <w:p w14:paraId="75B7FA60" w14:textId="77777777" w:rsidR="00711D97" w:rsidRPr="001C60E2" w:rsidRDefault="00711D97" w:rsidP="00E5709B">
            <w:pPr>
              <w:spacing w:line="276" w:lineRule="auto"/>
              <w:ind w:left="306"/>
              <w:jc w:val="right"/>
              <w:rPr>
                <w:rFonts w:cs="Arial"/>
                <w:sz w:val="18"/>
                <w:szCs w:val="18"/>
              </w:rPr>
            </w:pPr>
            <w:r w:rsidRPr="001C60E2">
              <w:rPr>
                <w:rFonts w:cs="Arial"/>
                <w:sz w:val="18"/>
                <w:szCs w:val="18"/>
              </w:rPr>
              <w:t>787,58</w:t>
            </w:r>
          </w:p>
        </w:tc>
      </w:tr>
      <w:tr w:rsidR="00711D97" w:rsidRPr="001C60E2" w14:paraId="7187B053" w14:textId="77777777" w:rsidTr="00E5709B">
        <w:trPr>
          <w:trHeight w:val="300"/>
        </w:trPr>
        <w:tc>
          <w:tcPr>
            <w:tcW w:w="4408" w:type="pct"/>
            <w:gridSpan w:val="6"/>
            <w:shd w:val="clear" w:color="auto" w:fill="auto"/>
          </w:tcPr>
          <w:p w14:paraId="4B77F4E9" w14:textId="77777777" w:rsidR="00711D97" w:rsidRPr="001C60E2" w:rsidRDefault="00711D97" w:rsidP="00E5709B">
            <w:pPr>
              <w:spacing w:line="276" w:lineRule="auto"/>
              <w:ind w:left="22"/>
              <w:jc w:val="left"/>
              <w:rPr>
                <w:rFonts w:cs="Arial"/>
                <w:b/>
                <w:sz w:val="18"/>
                <w:szCs w:val="18"/>
              </w:rPr>
            </w:pPr>
            <w:r w:rsidRPr="001C60E2">
              <w:rPr>
                <w:rFonts w:cs="Arial"/>
                <w:b/>
                <w:sz w:val="18"/>
                <w:szCs w:val="18"/>
              </w:rPr>
              <w:t>UKUPNE KUMULATIVNE UŠTEDE U RAZDOBLJU 2021.-2030.</w:t>
            </w:r>
          </w:p>
        </w:tc>
        <w:tc>
          <w:tcPr>
            <w:tcW w:w="592" w:type="pct"/>
            <w:shd w:val="clear" w:color="auto" w:fill="auto"/>
            <w:noWrap/>
          </w:tcPr>
          <w:p w14:paraId="53FB7A17" w14:textId="77777777" w:rsidR="00711D97" w:rsidRPr="001C60E2" w:rsidRDefault="00711D97" w:rsidP="00E5709B">
            <w:pPr>
              <w:spacing w:line="276" w:lineRule="auto"/>
              <w:jc w:val="right"/>
              <w:rPr>
                <w:rFonts w:cs="Arial"/>
                <w:b/>
                <w:sz w:val="18"/>
                <w:szCs w:val="18"/>
              </w:rPr>
            </w:pPr>
            <w:r w:rsidRPr="001C60E2">
              <w:rPr>
                <w:rFonts w:cs="Arial"/>
                <w:b/>
                <w:sz w:val="18"/>
                <w:szCs w:val="18"/>
              </w:rPr>
              <w:t>1.983,47</w:t>
            </w:r>
          </w:p>
        </w:tc>
      </w:tr>
    </w:tbl>
    <w:p w14:paraId="7D845689" w14:textId="77777777" w:rsidR="00711D97" w:rsidRPr="001C60E2" w:rsidRDefault="00711D97" w:rsidP="00711D97">
      <w:pPr>
        <w:pStyle w:val="PointManual1"/>
        <w:spacing w:before="0" w:after="0" w:line="276" w:lineRule="auto"/>
        <w:ind w:left="0" w:firstLine="0"/>
        <w:jc w:val="both"/>
        <w:rPr>
          <w:rFonts w:ascii="Arial" w:hAnsi="Arial" w:cs="Arial"/>
          <w:sz w:val="22"/>
        </w:rPr>
      </w:pPr>
    </w:p>
    <w:p w14:paraId="58F8C5AC" w14:textId="77777777" w:rsidR="00711D97" w:rsidRPr="001C60E2" w:rsidRDefault="00711D97" w:rsidP="00711D97">
      <w:pPr>
        <w:pStyle w:val="PointManual1"/>
        <w:spacing w:before="0" w:after="0" w:line="276" w:lineRule="auto"/>
        <w:ind w:left="0" w:firstLine="0"/>
        <w:jc w:val="both"/>
        <w:rPr>
          <w:rFonts w:ascii="Arial" w:hAnsi="Arial" w:cs="Arial"/>
          <w:sz w:val="22"/>
        </w:rPr>
      </w:pPr>
      <w:r w:rsidRPr="001C60E2">
        <w:rPr>
          <w:rFonts w:ascii="Arial" w:hAnsi="Arial" w:cs="Arial"/>
          <w:sz w:val="22"/>
        </w:rPr>
        <w:t xml:space="preserve">Tablica prikazuje samo procjene, a podatci o stvarno ostvarenim uštedama energije u 2018. godini u trenutku izrade ovog dokumenta nisu dostupni. Ipak, ove se procjene navode s ciljem dokazivanja provedbe mjera, koje mogu značajno utjecati na smanjenje cilja za razdoblje od 2021. do 2030. godine. </w:t>
      </w:r>
    </w:p>
    <w:p w14:paraId="5AC433B8" w14:textId="77777777" w:rsidR="00711D97" w:rsidRPr="001C60E2" w:rsidRDefault="00711D97" w:rsidP="00711D97">
      <w:pPr>
        <w:pStyle w:val="PointManual1"/>
        <w:spacing w:before="0" w:after="0" w:line="276" w:lineRule="auto"/>
        <w:ind w:left="0" w:firstLine="0"/>
        <w:jc w:val="both"/>
        <w:rPr>
          <w:rFonts w:ascii="Arial" w:hAnsi="Arial" w:cs="Arial"/>
          <w:sz w:val="22"/>
        </w:rPr>
      </w:pPr>
    </w:p>
    <w:p w14:paraId="34010AB0" w14:textId="56E787DA" w:rsidR="00711D97" w:rsidRPr="001C60E2" w:rsidRDefault="00711D97" w:rsidP="00F23009">
      <w:pPr>
        <w:pStyle w:val="PointManual1"/>
        <w:numPr>
          <w:ilvl w:val="1"/>
          <w:numId w:val="23"/>
        </w:numPr>
        <w:spacing w:before="0" w:after="0" w:line="276" w:lineRule="auto"/>
        <w:rPr>
          <w:rFonts w:ascii="Arial" w:hAnsi="Arial" w:cs="Arial"/>
          <w:i/>
          <w:sz w:val="22"/>
        </w:rPr>
      </w:pPr>
      <w:r w:rsidRPr="001C60E2">
        <w:rPr>
          <w:rFonts w:ascii="Arial" w:hAnsi="Arial" w:cs="Arial"/>
          <w:i/>
          <w:sz w:val="22"/>
        </w:rPr>
        <w:t xml:space="preserve">iznos energije </w:t>
      </w:r>
      <w:r w:rsidR="00640192" w:rsidRPr="001C60E2">
        <w:rPr>
          <w:rFonts w:ascii="Arial" w:hAnsi="Arial" w:cs="Arial"/>
          <w:i/>
          <w:sz w:val="22"/>
        </w:rPr>
        <w:t xml:space="preserve">[u </w:t>
      </w:r>
      <w:proofErr w:type="spellStart"/>
      <w:r w:rsidR="00640192" w:rsidRPr="001C60E2">
        <w:rPr>
          <w:rFonts w:ascii="Arial" w:hAnsi="Arial" w:cs="Arial"/>
          <w:i/>
          <w:sz w:val="22"/>
        </w:rPr>
        <w:t>ktoe</w:t>
      </w:r>
      <w:proofErr w:type="spellEnd"/>
      <w:r w:rsidR="00640192" w:rsidRPr="001C60E2">
        <w:rPr>
          <w:rFonts w:ascii="Arial" w:hAnsi="Arial" w:cs="Arial"/>
          <w:i/>
          <w:sz w:val="22"/>
        </w:rPr>
        <w:t xml:space="preserve">] proizvedene </w:t>
      </w:r>
      <w:r w:rsidRPr="001C60E2">
        <w:rPr>
          <w:rFonts w:ascii="Arial" w:hAnsi="Arial" w:cs="Arial"/>
          <w:i/>
          <w:sz w:val="22"/>
        </w:rPr>
        <w:t xml:space="preserve">na ili u zgradama za vlastite potrebe </w:t>
      </w:r>
      <w:r w:rsidR="00640192" w:rsidRPr="001C60E2">
        <w:rPr>
          <w:rFonts w:ascii="Arial" w:hAnsi="Arial" w:cs="Arial"/>
          <w:i/>
          <w:sz w:val="22"/>
        </w:rPr>
        <w:t xml:space="preserve">kao rezultat </w:t>
      </w:r>
      <w:r w:rsidRPr="001C60E2">
        <w:rPr>
          <w:rFonts w:ascii="Arial" w:hAnsi="Arial" w:cs="Arial"/>
          <w:i/>
          <w:sz w:val="22"/>
        </w:rPr>
        <w:t xml:space="preserve">mjera politika kojima se promiče </w:t>
      </w:r>
      <w:r w:rsidR="00640192" w:rsidRPr="001C60E2">
        <w:rPr>
          <w:rFonts w:ascii="Arial" w:hAnsi="Arial" w:cs="Arial"/>
          <w:i/>
          <w:sz w:val="22"/>
        </w:rPr>
        <w:t xml:space="preserve">nova ugradnja </w:t>
      </w:r>
      <w:r w:rsidRPr="001C60E2">
        <w:rPr>
          <w:rFonts w:ascii="Arial" w:hAnsi="Arial" w:cs="Arial"/>
          <w:i/>
          <w:sz w:val="22"/>
        </w:rPr>
        <w:t xml:space="preserve">tehnologija </w:t>
      </w:r>
      <w:r w:rsidR="00640192" w:rsidRPr="001C60E2">
        <w:rPr>
          <w:rFonts w:ascii="Arial" w:hAnsi="Arial" w:cs="Arial"/>
          <w:i/>
          <w:sz w:val="22"/>
        </w:rPr>
        <w:t xml:space="preserve">za proizvodnju energije iz </w:t>
      </w:r>
      <w:r w:rsidRPr="001C60E2">
        <w:rPr>
          <w:rFonts w:ascii="Arial" w:hAnsi="Arial" w:cs="Arial"/>
          <w:i/>
          <w:sz w:val="22"/>
        </w:rPr>
        <w:t>obnovljivih izvora</w:t>
      </w:r>
      <w:r w:rsidR="00640192" w:rsidRPr="001C60E2">
        <w:rPr>
          <w:rFonts w:ascii="Arial" w:hAnsi="Arial" w:cs="Arial"/>
          <w:i/>
          <w:sz w:val="22"/>
        </w:rPr>
        <w:t>,</w:t>
      </w:r>
      <w:r w:rsidRPr="001C60E2">
        <w:rPr>
          <w:rFonts w:ascii="Arial" w:hAnsi="Arial" w:cs="Arial"/>
          <w:i/>
          <w:sz w:val="22"/>
        </w:rPr>
        <w:t xml:space="preserve"> u skladu </w:t>
      </w:r>
      <w:r w:rsidR="00640192" w:rsidRPr="001C60E2">
        <w:rPr>
          <w:rFonts w:ascii="Arial" w:hAnsi="Arial" w:cs="Arial"/>
          <w:i/>
          <w:sz w:val="22"/>
        </w:rPr>
        <w:t>člankom 7. stavkom 4. točkom (f) Direktive 2012/27/EU</w:t>
      </w:r>
    </w:p>
    <w:p w14:paraId="2703CA8B" w14:textId="41293CB9" w:rsidR="00711D97" w:rsidRPr="001C60E2" w:rsidRDefault="00711D97" w:rsidP="00711D97">
      <w:pPr>
        <w:pStyle w:val="PointManual1"/>
        <w:spacing w:before="0" w:after="0" w:line="276" w:lineRule="auto"/>
        <w:ind w:left="0" w:firstLine="0"/>
        <w:rPr>
          <w:rFonts w:ascii="Arial" w:hAnsi="Arial" w:cs="Arial"/>
          <w:sz w:val="22"/>
        </w:rPr>
      </w:pPr>
      <w:r w:rsidRPr="001C60E2">
        <w:rPr>
          <w:rFonts w:ascii="Arial" w:hAnsi="Arial" w:cs="Arial"/>
          <w:sz w:val="22"/>
        </w:rPr>
        <w:t xml:space="preserve">Nije moguće utvrditi. </w:t>
      </w:r>
    </w:p>
    <w:p w14:paraId="660B63B1" w14:textId="77777777" w:rsidR="00036ADF" w:rsidRPr="001C60E2" w:rsidRDefault="00036ADF" w:rsidP="00711D97">
      <w:pPr>
        <w:pStyle w:val="PointManual1"/>
        <w:spacing w:before="0" w:after="0" w:line="276" w:lineRule="auto"/>
        <w:ind w:left="0" w:firstLine="0"/>
        <w:rPr>
          <w:rFonts w:ascii="Arial" w:hAnsi="Arial" w:cs="Arial"/>
          <w:sz w:val="22"/>
        </w:rPr>
      </w:pPr>
    </w:p>
    <w:p w14:paraId="2AA40506" w14:textId="4949C4D0" w:rsidR="001E3458" w:rsidRPr="001C60E2" w:rsidRDefault="001E3458" w:rsidP="003B5788">
      <w:pPr>
        <w:pStyle w:val="PointManual1"/>
        <w:numPr>
          <w:ilvl w:val="1"/>
          <w:numId w:val="23"/>
        </w:numPr>
        <w:spacing w:before="0" w:after="0" w:line="276" w:lineRule="auto"/>
        <w:rPr>
          <w:rFonts w:ascii="Arial" w:hAnsi="Arial" w:cs="Arial"/>
          <w:i/>
          <w:sz w:val="22"/>
        </w:rPr>
      </w:pPr>
      <w:r w:rsidRPr="001C60E2">
        <w:rPr>
          <w:rFonts w:ascii="Arial" w:hAnsi="Arial" w:cs="Arial"/>
          <w:i/>
          <w:sz w:val="22"/>
        </w:rPr>
        <w:t xml:space="preserve">iznos uštede energije [u </w:t>
      </w:r>
      <w:proofErr w:type="spellStart"/>
      <w:r w:rsidRPr="001C60E2">
        <w:rPr>
          <w:rFonts w:ascii="Arial" w:hAnsi="Arial" w:cs="Arial"/>
          <w:i/>
          <w:sz w:val="22"/>
        </w:rPr>
        <w:t>ktoe</w:t>
      </w:r>
      <w:proofErr w:type="spellEnd"/>
      <w:r w:rsidRPr="001C60E2">
        <w:rPr>
          <w:rFonts w:ascii="Arial" w:hAnsi="Arial" w:cs="Arial"/>
          <w:i/>
          <w:sz w:val="22"/>
        </w:rPr>
        <w:t>] koji prelazi zahtijevanu kumulativnu uštedu energije u razdoblju od 1. siječnja 2014. do 31. prosinca 2020., koji države članice uzimaju u obzir u razdoblju od 1. siječnja 2021. do 31. prosinca 2030. u skladu s člankom 7. stavkom 4. točkom (g) Direktive 2012/27/EU</w:t>
      </w:r>
    </w:p>
    <w:p w14:paraId="45F1D9BD" w14:textId="262DABEC" w:rsidR="00036ADF" w:rsidRPr="001C60E2" w:rsidRDefault="00036ADF" w:rsidP="0024143D">
      <w:pPr>
        <w:pStyle w:val="PointManual1"/>
        <w:spacing w:before="0" w:after="0" w:line="276" w:lineRule="auto"/>
        <w:ind w:left="0" w:firstLine="0"/>
        <w:rPr>
          <w:rFonts w:ascii="Arial" w:hAnsi="Arial" w:cs="Arial"/>
          <w:sz w:val="22"/>
        </w:rPr>
      </w:pPr>
      <w:r w:rsidRPr="001C60E2">
        <w:rPr>
          <w:rFonts w:ascii="Arial" w:hAnsi="Arial" w:cs="Arial"/>
          <w:sz w:val="22"/>
        </w:rPr>
        <w:lastRenderedPageBreak/>
        <w:t xml:space="preserve">Ne postoji, tj. nema prekoračenja zahtijevane kumulativne uštede u razdoblju od </w:t>
      </w:r>
      <w:r w:rsidRPr="001C60E2">
        <w:rPr>
          <w:rFonts w:ascii="Arial" w:hAnsi="Arial" w:cs="Arial"/>
          <w:i/>
          <w:sz w:val="22"/>
        </w:rPr>
        <w:t>1. siječnja 2014. do 31. prosinca 2020.</w:t>
      </w:r>
      <w:r w:rsidRPr="001C60E2">
        <w:rPr>
          <w:rFonts w:ascii="Arial" w:hAnsi="Arial" w:cs="Arial"/>
          <w:sz w:val="22"/>
        </w:rPr>
        <w:t xml:space="preserve">. </w:t>
      </w:r>
    </w:p>
    <w:p w14:paraId="577E10B5" w14:textId="77777777" w:rsidR="00711D97" w:rsidRPr="001C60E2" w:rsidRDefault="00711D97" w:rsidP="00711D97">
      <w:pPr>
        <w:pStyle w:val="PointManual1"/>
        <w:spacing w:before="0" w:after="0" w:line="276" w:lineRule="auto"/>
        <w:ind w:left="0" w:firstLine="0"/>
        <w:rPr>
          <w:rFonts w:ascii="Arial" w:hAnsi="Arial" w:cs="Arial"/>
          <w:sz w:val="22"/>
        </w:rPr>
      </w:pPr>
    </w:p>
    <w:p w14:paraId="1A53E445" w14:textId="1FD7DA4C" w:rsidR="00711D97" w:rsidRPr="001C60E2" w:rsidRDefault="00711D97" w:rsidP="00F23009">
      <w:pPr>
        <w:pStyle w:val="PointManual1"/>
        <w:numPr>
          <w:ilvl w:val="0"/>
          <w:numId w:val="22"/>
        </w:numPr>
        <w:spacing w:before="0" w:after="0" w:line="276" w:lineRule="auto"/>
        <w:rPr>
          <w:rFonts w:ascii="Arial" w:hAnsi="Arial" w:cs="Arial"/>
          <w:i/>
          <w:sz w:val="22"/>
        </w:rPr>
      </w:pPr>
      <w:r w:rsidRPr="001C60E2">
        <w:rPr>
          <w:rFonts w:ascii="Arial" w:hAnsi="Arial" w:cs="Arial"/>
          <w:i/>
          <w:sz w:val="22"/>
        </w:rPr>
        <w:t xml:space="preserve">ukupni kumulativni iznos uštede energije (nakon primjene </w:t>
      </w:r>
      <w:r w:rsidR="003B5788" w:rsidRPr="001C60E2">
        <w:rPr>
          <w:rFonts w:ascii="Arial" w:hAnsi="Arial" w:cs="Arial"/>
          <w:i/>
          <w:sz w:val="22"/>
        </w:rPr>
        <w:t>mogućnosti iz članka 7. stavka 4. točaka od (b) do (g) Direktive 2012/27/EU</w:t>
      </w:r>
      <w:r w:rsidRPr="001C60E2">
        <w:rPr>
          <w:rFonts w:ascii="Arial" w:hAnsi="Arial" w:cs="Arial"/>
          <w:i/>
          <w:sz w:val="22"/>
        </w:rPr>
        <w:t>)</w:t>
      </w:r>
    </w:p>
    <w:p w14:paraId="1F68EFDA" w14:textId="12A01269" w:rsidR="00711D97" w:rsidRPr="001C60E2" w:rsidRDefault="00711D97" w:rsidP="00711D97">
      <w:pPr>
        <w:pStyle w:val="PointManual1"/>
        <w:spacing w:before="0" w:after="0" w:line="276" w:lineRule="auto"/>
        <w:ind w:left="0" w:firstLine="0"/>
        <w:jc w:val="both"/>
        <w:rPr>
          <w:rFonts w:ascii="Arial" w:hAnsi="Arial" w:cs="Arial"/>
          <w:sz w:val="22"/>
        </w:rPr>
      </w:pPr>
      <w:r w:rsidRPr="001C60E2">
        <w:rPr>
          <w:rFonts w:ascii="Arial" w:hAnsi="Arial" w:cs="Arial"/>
          <w:sz w:val="22"/>
        </w:rPr>
        <w:t>Ukoliko se samo iskoriste izuzeća (ii)</w:t>
      </w:r>
      <w:r w:rsidR="00D54632" w:rsidRPr="001C60E2">
        <w:rPr>
          <w:rFonts w:ascii="Arial" w:hAnsi="Arial" w:cs="Arial"/>
          <w:sz w:val="22"/>
        </w:rPr>
        <w:t xml:space="preserve">, </w:t>
      </w:r>
      <w:r w:rsidRPr="001C60E2">
        <w:rPr>
          <w:rFonts w:ascii="Arial" w:hAnsi="Arial" w:cs="Arial"/>
          <w:sz w:val="22"/>
        </w:rPr>
        <w:t xml:space="preserve">(iii) </w:t>
      </w:r>
      <w:r w:rsidR="00D54632" w:rsidRPr="001C60E2">
        <w:rPr>
          <w:rFonts w:ascii="Arial" w:hAnsi="Arial" w:cs="Arial"/>
          <w:sz w:val="22"/>
        </w:rPr>
        <w:t xml:space="preserve">i (iv) </w:t>
      </w:r>
      <w:r w:rsidRPr="001C60E2">
        <w:rPr>
          <w:rFonts w:ascii="Arial" w:hAnsi="Arial" w:cs="Arial"/>
          <w:sz w:val="22"/>
        </w:rPr>
        <w:t xml:space="preserve">prikazana pod točkom (f), došlo bi do značajnog smanjenja kumulativnog cilja, kako prikazuje donja tablica. </w:t>
      </w:r>
      <w:r w:rsidR="00774070" w:rsidRPr="001C60E2">
        <w:rPr>
          <w:rFonts w:ascii="Arial" w:hAnsi="Arial" w:cs="Arial"/>
          <w:sz w:val="22"/>
        </w:rPr>
        <w:t xml:space="preserve">No, </w:t>
      </w:r>
      <w:r w:rsidRPr="001C60E2">
        <w:rPr>
          <w:rFonts w:ascii="Arial" w:hAnsi="Arial" w:cs="Arial"/>
          <w:sz w:val="22"/>
        </w:rPr>
        <w:t>odredbe članka 3(a) paragrafa (b) Direktive</w:t>
      </w:r>
      <w:r w:rsidR="00B5628D" w:rsidRPr="001C60E2">
        <w:rPr>
          <w:rFonts w:ascii="Arial" w:hAnsi="Arial" w:cs="Arial"/>
          <w:sz w:val="22"/>
        </w:rPr>
        <w:t xml:space="preserve"> jasno utvrđuju da</w:t>
      </w:r>
      <w:r w:rsidRPr="001C60E2">
        <w:rPr>
          <w:rFonts w:ascii="Arial" w:hAnsi="Arial" w:cs="Arial"/>
          <w:sz w:val="22"/>
        </w:rPr>
        <w:t xml:space="preserve"> </w:t>
      </w:r>
      <w:r w:rsidR="00B5628D" w:rsidRPr="001C60E2">
        <w:rPr>
          <w:rFonts w:ascii="Arial" w:hAnsi="Arial" w:cs="Arial"/>
          <w:sz w:val="22"/>
        </w:rPr>
        <w:t xml:space="preserve">utjecaj </w:t>
      </w:r>
      <w:r w:rsidR="00051A21" w:rsidRPr="001C60E2">
        <w:rPr>
          <w:rFonts w:ascii="Arial" w:hAnsi="Arial" w:cs="Arial"/>
          <w:sz w:val="22"/>
        </w:rPr>
        <w:t xml:space="preserve">gore navedenih mogućnosti </w:t>
      </w:r>
      <w:r w:rsidRPr="001C60E2">
        <w:rPr>
          <w:rFonts w:ascii="Arial" w:hAnsi="Arial" w:cs="Arial"/>
          <w:sz w:val="22"/>
        </w:rPr>
        <w:t xml:space="preserve"> ne smije biti </w:t>
      </w:r>
      <w:r w:rsidR="00051A21" w:rsidRPr="001C60E2">
        <w:rPr>
          <w:rFonts w:ascii="Arial" w:hAnsi="Arial" w:cs="Arial"/>
          <w:sz w:val="22"/>
        </w:rPr>
        <w:t xml:space="preserve">veći </w:t>
      </w:r>
      <w:r w:rsidRPr="001C60E2">
        <w:rPr>
          <w:rFonts w:ascii="Arial" w:hAnsi="Arial" w:cs="Arial"/>
          <w:sz w:val="22"/>
        </w:rPr>
        <w:t>od 35% u odnosu na cilj izračunat prema točki (</w:t>
      </w:r>
      <w:r w:rsidR="00774070" w:rsidRPr="001C60E2">
        <w:rPr>
          <w:rFonts w:ascii="Arial" w:hAnsi="Arial" w:cs="Arial"/>
          <w:sz w:val="22"/>
        </w:rPr>
        <w:t>c</w:t>
      </w:r>
      <w:r w:rsidRPr="001C60E2">
        <w:rPr>
          <w:rFonts w:ascii="Arial" w:hAnsi="Arial" w:cs="Arial"/>
          <w:sz w:val="22"/>
        </w:rPr>
        <w:t>) ovog dokumenta</w:t>
      </w:r>
      <w:r w:rsidR="00051A21" w:rsidRPr="001C60E2">
        <w:rPr>
          <w:rFonts w:ascii="Arial" w:hAnsi="Arial" w:cs="Arial"/>
          <w:sz w:val="22"/>
        </w:rPr>
        <w:t xml:space="preserve"> pa donja tablica pokazuje </w:t>
      </w:r>
      <w:r w:rsidR="00FA60B4" w:rsidRPr="001C60E2">
        <w:rPr>
          <w:rFonts w:ascii="Arial" w:hAnsi="Arial" w:cs="Arial"/>
          <w:sz w:val="22"/>
        </w:rPr>
        <w:t>te učinke</w:t>
      </w:r>
      <w:r w:rsidRPr="001C60E2">
        <w:rPr>
          <w:rFonts w:ascii="Arial" w:hAnsi="Arial" w:cs="Arial"/>
          <w:sz w:val="22"/>
        </w:rPr>
        <w:t xml:space="preserve">. </w:t>
      </w:r>
    </w:p>
    <w:p w14:paraId="17C64E4C" w14:textId="77777777" w:rsidR="00711D97" w:rsidRPr="001C60E2" w:rsidRDefault="00711D97" w:rsidP="00711D97">
      <w:pPr>
        <w:pStyle w:val="PointManual1"/>
        <w:spacing w:before="0" w:after="0" w:line="276" w:lineRule="auto"/>
        <w:ind w:left="0" w:firstLine="0"/>
        <w:jc w:val="both"/>
        <w:rPr>
          <w:rFonts w:ascii="Arial" w:hAnsi="Arial" w:cs="Arial"/>
          <w:sz w:val="22"/>
        </w:rPr>
      </w:pPr>
    </w:p>
    <w:tbl>
      <w:tblPr>
        <w:tblStyle w:val="GridTable1Light"/>
        <w:tblW w:w="5000" w:type="pct"/>
        <w:tblLook w:val="04A0" w:firstRow="1" w:lastRow="0" w:firstColumn="1" w:lastColumn="0" w:noHBand="0" w:noVBand="1"/>
      </w:tblPr>
      <w:tblGrid>
        <w:gridCol w:w="6006"/>
        <w:gridCol w:w="1662"/>
        <w:gridCol w:w="1394"/>
      </w:tblGrid>
      <w:tr w:rsidR="001C60E2" w:rsidRPr="001C60E2" w14:paraId="107E416B" w14:textId="0C24E91D" w:rsidTr="00D342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4" w:type="pct"/>
          </w:tcPr>
          <w:p w14:paraId="2DB673C1" w14:textId="77777777" w:rsidR="003B34BF" w:rsidRPr="001C60E2" w:rsidRDefault="003B34BF" w:rsidP="00F451C0">
            <w:pPr>
              <w:pStyle w:val="PointManual1"/>
              <w:spacing w:before="0" w:after="0" w:line="276" w:lineRule="auto"/>
              <w:ind w:left="0" w:firstLine="0"/>
              <w:rPr>
                <w:rFonts w:ascii="Arial" w:hAnsi="Arial" w:cs="Arial"/>
                <w:noProof/>
                <w:sz w:val="20"/>
                <w:szCs w:val="20"/>
              </w:rPr>
            </w:pPr>
            <w:r w:rsidRPr="001C60E2">
              <w:rPr>
                <w:rFonts w:ascii="Arial" w:hAnsi="Arial" w:cs="Arial"/>
                <w:noProof/>
                <w:sz w:val="20"/>
                <w:szCs w:val="20"/>
              </w:rPr>
              <w:t>UKUPNI KUMULATIVNI CILJ ZA RAZDOBLJE 2021. – 2030. [ktoe]</w:t>
            </w:r>
          </w:p>
        </w:tc>
        <w:tc>
          <w:tcPr>
            <w:tcW w:w="917" w:type="pct"/>
            <w:vAlign w:val="center"/>
          </w:tcPr>
          <w:p w14:paraId="4B838B27" w14:textId="72255660" w:rsidR="003B34BF" w:rsidRPr="001C60E2" w:rsidRDefault="006F44C4" w:rsidP="00F451C0">
            <w:pPr>
              <w:spacing w:before="0" w:after="0" w:line="276" w:lineRule="auto"/>
              <w:jc w:val="right"/>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1C60E2">
              <w:rPr>
                <w:rFonts w:cs="Arial"/>
                <w:b w:val="0"/>
                <w:bCs w:val="0"/>
                <w:sz w:val="20"/>
                <w:szCs w:val="20"/>
              </w:rPr>
              <w:t>2</w:t>
            </w:r>
            <w:r w:rsidR="003B34BF" w:rsidRPr="001C60E2">
              <w:rPr>
                <w:rFonts w:cs="Arial"/>
                <w:b w:val="0"/>
                <w:bCs w:val="0"/>
                <w:sz w:val="20"/>
                <w:szCs w:val="20"/>
              </w:rPr>
              <w:t>.</w:t>
            </w:r>
            <w:r w:rsidRPr="001C60E2">
              <w:rPr>
                <w:rFonts w:cs="Arial"/>
                <w:b w:val="0"/>
                <w:bCs w:val="0"/>
                <w:sz w:val="20"/>
                <w:szCs w:val="20"/>
              </w:rPr>
              <w:t>993</w:t>
            </w:r>
            <w:r w:rsidR="003B34BF" w:rsidRPr="001C60E2">
              <w:rPr>
                <w:rFonts w:cs="Arial"/>
                <w:b w:val="0"/>
                <w:bCs w:val="0"/>
                <w:sz w:val="20"/>
                <w:szCs w:val="20"/>
              </w:rPr>
              <w:t>,</w:t>
            </w:r>
            <w:r w:rsidRPr="001C60E2">
              <w:rPr>
                <w:rFonts w:cs="Arial"/>
                <w:b w:val="0"/>
                <w:bCs w:val="0"/>
                <w:sz w:val="20"/>
                <w:szCs w:val="20"/>
              </w:rPr>
              <w:t>7</w:t>
            </w:r>
          </w:p>
        </w:tc>
        <w:tc>
          <w:tcPr>
            <w:tcW w:w="769" w:type="pct"/>
          </w:tcPr>
          <w:p w14:paraId="7F0FC2FD" w14:textId="238A00AB" w:rsidR="003B34BF" w:rsidRPr="001C60E2" w:rsidRDefault="00856C37" w:rsidP="00F451C0">
            <w:pPr>
              <w:spacing w:before="0" w:after="0" w:line="276" w:lineRule="auto"/>
              <w:jc w:val="right"/>
              <w:cnfStyle w:val="100000000000" w:firstRow="1"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Smanjenje osnovnog cilja [%]</w:t>
            </w:r>
          </w:p>
        </w:tc>
      </w:tr>
      <w:tr w:rsidR="001C60E2" w:rsidRPr="001C60E2" w14:paraId="0DDC5D0C" w14:textId="1AB872BA" w:rsidTr="00D3425F">
        <w:tc>
          <w:tcPr>
            <w:cnfStyle w:val="001000000000" w:firstRow="0" w:lastRow="0" w:firstColumn="1" w:lastColumn="0" w:oddVBand="0" w:evenVBand="0" w:oddHBand="0" w:evenHBand="0" w:firstRowFirstColumn="0" w:firstRowLastColumn="0" w:lastRowFirstColumn="0" w:lastRowLastColumn="0"/>
            <w:tcW w:w="3314" w:type="pct"/>
          </w:tcPr>
          <w:p w14:paraId="56A06F13" w14:textId="5A4F2E4B" w:rsidR="00FA60B4" w:rsidRPr="001C60E2" w:rsidRDefault="00FA60B4" w:rsidP="00FA60B4">
            <w:pPr>
              <w:pStyle w:val="PointManual1"/>
              <w:spacing w:before="0" w:after="0" w:line="276" w:lineRule="auto"/>
              <w:ind w:left="0" w:firstLine="0"/>
              <w:rPr>
                <w:rFonts w:ascii="Arial" w:hAnsi="Arial" w:cs="Arial"/>
                <w:b w:val="0"/>
                <w:noProof/>
                <w:sz w:val="20"/>
                <w:szCs w:val="20"/>
              </w:rPr>
            </w:pPr>
            <w:r w:rsidRPr="001C60E2">
              <w:rPr>
                <w:rFonts w:ascii="Arial" w:hAnsi="Arial" w:cs="Arial"/>
                <w:b w:val="0"/>
                <w:noProof/>
                <w:sz w:val="20"/>
                <w:szCs w:val="20"/>
              </w:rPr>
              <w:t>UKUPNI KUMULATIVNI CILJ ZA RAZDOBLJE 2021. – 2030. nakon izuzeća (ii) [ktoe]</w:t>
            </w:r>
          </w:p>
        </w:tc>
        <w:tc>
          <w:tcPr>
            <w:tcW w:w="917" w:type="pct"/>
          </w:tcPr>
          <w:p w14:paraId="63D2177F" w14:textId="1D6FA666" w:rsidR="00FA60B4" w:rsidRPr="001C60E2" w:rsidRDefault="00FA60B4" w:rsidP="00FA60B4">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1C60E2">
              <w:rPr>
                <w:rFonts w:cs="Arial"/>
                <w:b/>
                <w:bCs/>
                <w:sz w:val="20"/>
                <w:szCs w:val="20"/>
              </w:rPr>
              <w:t>2.</w:t>
            </w:r>
            <w:r w:rsidRPr="001C60E2">
              <w:rPr>
                <w:rFonts w:cs="Arial"/>
                <w:sz w:val="20"/>
                <w:szCs w:val="20"/>
              </w:rPr>
              <w:t>845</w:t>
            </w:r>
            <w:r w:rsidRPr="001C60E2">
              <w:rPr>
                <w:rFonts w:cs="Arial"/>
                <w:b/>
                <w:bCs/>
                <w:sz w:val="20"/>
                <w:szCs w:val="20"/>
              </w:rPr>
              <w:t>,17</w:t>
            </w:r>
          </w:p>
        </w:tc>
        <w:tc>
          <w:tcPr>
            <w:tcW w:w="769" w:type="pct"/>
          </w:tcPr>
          <w:p w14:paraId="31160524" w14:textId="5F4F64E7" w:rsidR="00FA60B4" w:rsidRPr="001C60E2" w:rsidRDefault="00FA60B4" w:rsidP="00FA60B4">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1C60E2">
              <w:rPr>
                <w:rFonts w:cs="Arial"/>
                <w:b/>
                <w:bCs/>
                <w:sz w:val="20"/>
                <w:szCs w:val="20"/>
              </w:rPr>
              <w:t>4,96</w:t>
            </w:r>
          </w:p>
        </w:tc>
      </w:tr>
      <w:tr w:rsidR="001C60E2" w:rsidRPr="001C60E2" w14:paraId="28C1D345" w14:textId="34CFF911" w:rsidTr="00D3425F">
        <w:tc>
          <w:tcPr>
            <w:cnfStyle w:val="001000000000" w:firstRow="0" w:lastRow="0" w:firstColumn="1" w:lastColumn="0" w:oddVBand="0" w:evenVBand="0" w:oddHBand="0" w:evenHBand="0" w:firstRowFirstColumn="0" w:firstRowLastColumn="0" w:lastRowFirstColumn="0" w:lastRowLastColumn="0"/>
            <w:tcW w:w="3314" w:type="pct"/>
          </w:tcPr>
          <w:p w14:paraId="59EA5D24" w14:textId="72076BC5" w:rsidR="00FA60B4" w:rsidRPr="001C60E2" w:rsidRDefault="00FA60B4" w:rsidP="00FA60B4">
            <w:pPr>
              <w:pStyle w:val="PointManual1"/>
              <w:spacing w:before="0" w:after="0" w:line="276" w:lineRule="auto"/>
              <w:ind w:left="0" w:firstLine="0"/>
              <w:rPr>
                <w:rFonts w:ascii="Arial" w:hAnsi="Arial" w:cs="Arial"/>
                <w:b w:val="0"/>
                <w:noProof/>
                <w:sz w:val="20"/>
                <w:szCs w:val="20"/>
              </w:rPr>
            </w:pPr>
            <w:r w:rsidRPr="001C60E2">
              <w:rPr>
                <w:rFonts w:ascii="Arial" w:hAnsi="Arial" w:cs="Arial"/>
                <w:b w:val="0"/>
                <w:noProof/>
                <w:sz w:val="20"/>
                <w:szCs w:val="20"/>
              </w:rPr>
              <w:t>UKUPNI KUMULATIVNI CILJ ZA RAZDOBLJE 2021. – 2030. nakon izuzeća (ii) + (iii) [ktoe]</w:t>
            </w:r>
          </w:p>
        </w:tc>
        <w:tc>
          <w:tcPr>
            <w:tcW w:w="917" w:type="pct"/>
          </w:tcPr>
          <w:p w14:paraId="0F04085F" w14:textId="03DEE78F" w:rsidR="00FA60B4" w:rsidRPr="001C60E2" w:rsidRDefault="00FA60B4" w:rsidP="00FA60B4">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2.570,01</w:t>
            </w:r>
          </w:p>
        </w:tc>
        <w:tc>
          <w:tcPr>
            <w:tcW w:w="769" w:type="pct"/>
          </w:tcPr>
          <w:p w14:paraId="2992C37D" w14:textId="1966132C" w:rsidR="00FA60B4" w:rsidRPr="001C60E2" w:rsidRDefault="00FA60B4" w:rsidP="00FA60B4">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1C60E2">
              <w:rPr>
                <w:rFonts w:cs="Arial"/>
                <w:b/>
                <w:bCs/>
                <w:sz w:val="20"/>
                <w:szCs w:val="20"/>
              </w:rPr>
              <w:t>14,15</w:t>
            </w:r>
          </w:p>
        </w:tc>
      </w:tr>
      <w:tr w:rsidR="001C60E2" w:rsidRPr="001C60E2" w14:paraId="24735EC5" w14:textId="7E6262BB" w:rsidTr="00D3425F">
        <w:tc>
          <w:tcPr>
            <w:cnfStyle w:val="001000000000" w:firstRow="0" w:lastRow="0" w:firstColumn="1" w:lastColumn="0" w:oddVBand="0" w:evenVBand="0" w:oddHBand="0" w:evenHBand="0" w:firstRowFirstColumn="0" w:firstRowLastColumn="0" w:lastRowFirstColumn="0" w:lastRowLastColumn="0"/>
            <w:tcW w:w="3314" w:type="pct"/>
          </w:tcPr>
          <w:p w14:paraId="2ED2BEBB" w14:textId="7BFA37A0" w:rsidR="00FA60B4" w:rsidRPr="001C60E2" w:rsidRDefault="00FA60B4" w:rsidP="00FA60B4">
            <w:pPr>
              <w:pStyle w:val="PointManual1"/>
              <w:spacing w:before="0" w:after="0" w:line="276" w:lineRule="auto"/>
              <w:ind w:left="0" w:firstLine="0"/>
              <w:rPr>
                <w:rFonts w:ascii="Arial" w:hAnsi="Arial" w:cs="Arial"/>
                <w:b w:val="0"/>
                <w:noProof/>
                <w:sz w:val="20"/>
                <w:szCs w:val="20"/>
              </w:rPr>
            </w:pPr>
            <w:r w:rsidRPr="001C60E2">
              <w:rPr>
                <w:rFonts w:ascii="Arial" w:hAnsi="Arial" w:cs="Arial"/>
                <w:b w:val="0"/>
                <w:noProof/>
                <w:sz w:val="20"/>
                <w:szCs w:val="20"/>
              </w:rPr>
              <w:t>UKUPNI KUMULATIVNI CILJ ZA RAZDOBLJE 2021. – 2030. nakon izuzeća (ii) +(iii) + (iv) [ktoe]</w:t>
            </w:r>
          </w:p>
        </w:tc>
        <w:tc>
          <w:tcPr>
            <w:tcW w:w="917" w:type="pct"/>
          </w:tcPr>
          <w:p w14:paraId="65EBDC68" w14:textId="4935019E" w:rsidR="00FA60B4" w:rsidRPr="001C60E2" w:rsidRDefault="00FA60B4" w:rsidP="00FA60B4">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586,54</w:t>
            </w:r>
          </w:p>
        </w:tc>
        <w:tc>
          <w:tcPr>
            <w:tcW w:w="769" w:type="pct"/>
          </w:tcPr>
          <w:p w14:paraId="1F729559" w14:textId="118BD40E" w:rsidR="00FA60B4" w:rsidRPr="001C60E2" w:rsidRDefault="00FA60B4" w:rsidP="00FA60B4">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1C60E2">
              <w:rPr>
                <w:rFonts w:cs="Arial"/>
                <w:b/>
                <w:bCs/>
                <w:sz w:val="20"/>
                <w:szCs w:val="20"/>
              </w:rPr>
              <w:t>80,41</w:t>
            </w:r>
          </w:p>
        </w:tc>
      </w:tr>
      <w:tr w:rsidR="001C60E2" w:rsidRPr="001C60E2" w14:paraId="30EB585C" w14:textId="77777777" w:rsidTr="00D3425F">
        <w:trPr>
          <w:trHeight w:val="525"/>
        </w:trPr>
        <w:tc>
          <w:tcPr>
            <w:cnfStyle w:val="001000000000" w:firstRow="0" w:lastRow="0" w:firstColumn="1" w:lastColumn="0" w:oddVBand="0" w:evenVBand="0" w:oddHBand="0" w:evenHBand="0" w:firstRowFirstColumn="0" w:firstRowLastColumn="0" w:lastRowFirstColumn="0" w:lastRowLastColumn="0"/>
            <w:tcW w:w="3314" w:type="pct"/>
            <w:hideMark/>
          </w:tcPr>
          <w:p w14:paraId="14C63361" w14:textId="77777777" w:rsidR="00D3425F" w:rsidRPr="001C60E2" w:rsidRDefault="00D3425F" w:rsidP="00D3425F">
            <w:pPr>
              <w:suppressAutoHyphens w:val="0"/>
              <w:spacing w:before="0" w:after="0" w:line="240" w:lineRule="auto"/>
              <w:jc w:val="left"/>
              <w:rPr>
                <w:rFonts w:cs="Arial"/>
                <w:sz w:val="20"/>
                <w:szCs w:val="20"/>
              </w:rPr>
            </w:pPr>
            <w:r w:rsidRPr="001C60E2">
              <w:rPr>
                <w:rFonts w:cs="Arial"/>
                <w:sz w:val="20"/>
                <w:szCs w:val="20"/>
              </w:rPr>
              <w:t>UKUPNI KUMULATIVNI CILJ ZA RAZDOBLJE 2021. – 2030. uz dozvoljeno 35% smanjenje [</w:t>
            </w:r>
            <w:proofErr w:type="spellStart"/>
            <w:r w:rsidRPr="001C60E2">
              <w:rPr>
                <w:rFonts w:cs="Arial"/>
                <w:sz w:val="20"/>
                <w:szCs w:val="20"/>
              </w:rPr>
              <w:t>ktoe</w:t>
            </w:r>
            <w:proofErr w:type="spellEnd"/>
            <w:r w:rsidRPr="001C60E2">
              <w:rPr>
                <w:rFonts w:cs="Arial"/>
                <w:sz w:val="20"/>
                <w:szCs w:val="20"/>
              </w:rPr>
              <w:t>]</w:t>
            </w:r>
          </w:p>
        </w:tc>
        <w:tc>
          <w:tcPr>
            <w:tcW w:w="917" w:type="pct"/>
            <w:hideMark/>
          </w:tcPr>
          <w:p w14:paraId="12ADC956" w14:textId="77777777" w:rsidR="00D3425F" w:rsidRPr="001C60E2" w:rsidRDefault="00D3425F" w:rsidP="00D3425F">
            <w:pPr>
              <w:suppressAutoHyphens w:val="0"/>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1.945,89</w:t>
            </w:r>
          </w:p>
        </w:tc>
        <w:tc>
          <w:tcPr>
            <w:tcW w:w="769" w:type="pct"/>
            <w:hideMark/>
          </w:tcPr>
          <w:p w14:paraId="3011AB74" w14:textId="77777777" w:rsidR="00D3425F" w:rsidRPr="001C60E2" w:rsidRDefault="00D3425F" w:rsidP="00D3425F">
            <w:pPr>
              <w:suppressAutoHyphens w:val="0"/>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1C60E2">
              <w:rPr>
                <w:rFonts w:cs="Arial"/>
                <w:sz w:val="20"/>
                <w:szCs w:val="20"/>
              </w:rPr>
              <w:t>35,00</w:t>
            </w:r>
          </w:p>
        </w:tc>
      </w:tr>
    </w:tbl>
    <w:p w14:paraId="0E2549E1" w14:textId="77777777" w:rsidR="00711D97" w:rsidRPr="001C60E2" w:rsidRDefault="00711D97" w:rsidP="00711D97">
      <w:pPr>
        <w:pStyle w:val="PointManual1"/>
        <w:spacing w:before="0" w:after="0" w:line="276" w:lineRule="auto"/>
        <w:ind w:left="0" w:firstLine="0"/>
        <w:jc w:val="both"/>
        <w:rPr>
          <w:rFonts w:ascii="Arial" w:hAnsi="Arial" w:cs="Arial"/>
          <w:sz w:val="22"/>
        </w:rPr>
      </w:pPr>
    </w:p>
    <w:p w14:paraId="1FC45AA7" w14:textId="6AE9B4B4" w:rsidR="00711D97" w:rsidRPr="001C60E2" w:rsidRDefault="00427B11" w:rsidP="0024143D">
      <w:pPr>
        <w:pStyle w:val="PointManual1"/>
        <w:spacing w:before="0" w:after="0" w:line="276" w:lineRule="auto"/>
        <w:ind w:left="0" w:firstLine="0"/>
        <w:jc w:val="both"/>
        <w:rPr>
          <w:rFonts w:ascii="Arial" w:hAnsi="Arial" w:cs="Arial"/>
          <w:sz w:val="22"/>
        </w:rPr>
      </w:pPr>
      <w:r w:rsidRPr="001C60E2">
        <w:rPr>
          <w:rFonts w:ascii="Arial" w:hAnsi="Arial" w:cs="Arial"/>
          <w:sz w:val="22"/>
        </w:rPr>
        <w:t xml:space="preserve">Uzimajući u obzir odredbe </w:t>
      </w:r>
      <w:r w:rsidR="001D061B" w:rsidRPr="001C60E2">
        <w:rPr>
          <w:rFonts w:ascii="Arial" w:hAnsi="Arial" w:cs="Arial"/>
          <w:sz w:val="22"/>
        </w:rPr>
        <w:t xml:space="preserve">zadnjeg paragrafa stavka 5. članka 7. Direktive, </w:t>
      </w:r>
      <w:r w:rsidR="00295560" w:rsidRPr="001C60E2">
        <w:rPr>
          <w:rFonts w:ascii="Arial" w:hAnsi="Arial" w:cs="Arial"/>
          <w:sz w:val="22"/>
        </w:rPr>
        <w:t xml:space="preserve">RH kao kumulativni cilj ušteda energije utvrđuje </w:t>
      </w:r>
      <w:r w:rsidR="00C357F0" w:rsidRPr="001C60E2">
        <w:rPr>
          <w:rFonts w:ascii="Arial" w:hAnsi="Arial" w:cs="Arial"/>
          <w:sz w:val="22"/>
        </w:rPr>
        <w:t xml:space="preserve">iznos izračunat u skladu s </w:t>
      </w:r>
      <w:r w:rsidR="008008D3" w:rsidRPr="001C60E2">
        <w:rPr>
          <w:rFonts w:ascii="Arial" w:hAnsi="Arial" w:cs="Arial"/>
          <w:sz w:val="22"/>
        </w:rPr>
        <w:t xml:space="preserve">točkom b. </w:t>
      </w:r>
      <w:r w:rsidR="004309F2" w:rsidRPr="001C60E2">
        <w:rPr>
          <w:rFonts w:ascii="Arial" w:hAnsi="Arial" w:cs="Arial"/>
          <w:sz w:val="22"/>
        </w:rPr>
        <w:t>stavka</w:t>
      </w:r>
      <w:r w:rsidR="008008D3" w:rsidRPr="001C60E2">
        <w:rPr>
          <w:rFonts w:ascii="Arial" w:hAnsi="Arial" w:cs="Arial"/>
          <w:sz w:val="22"/>
        </w:rPr>
        <w:t xml:space="preserve"> 1. </w:t>
      </w:r>
      <w:r w:rsidR="004309F2" w:rsidRPr="001C60E2">
        <w:rPr>
          <w:rFonts w:ascii="Arial" w:hAnsi="Arial" w:cs="Arial"/>
          <w:sz w:val="22"/>
        </w:rPr>
        <w:t>članka</w:t>
      </w:r>
      <w:r w:rsidR="008008D3" w:rsidRPr="001C60E2">
        <w:rPr>
          <w:rFonts w:ascii="Arial" w:hAnsi="Arial" w:cs="Arial"/>
          <w:sz w:val="22"/>
        </w:rPr>
        <w:t xml:space="preserve"> 7. Direktive, a koji je prikazan u točki 1.b) ovog dokumenta. </w:t>
      </w:r>
      <w:r w:rsidR="00C357F0" w:rsidRPr="001C60E2">
        <w:rPr>
          <w:rFonts w:ascii="Arial" w:hAnsi="Arial" w:cs="Arial"/>
          <w:sz w:val="22"/>
        </w:rPr>
        <w:t xml:space="preserve"> </w:t>
      </w:r>
      <w:r w:rsidR="00295560" w:rsidRPr="001C60E2">
        <w:rPr>
          <w:rFonts w:ascii="Arial" w:hAnsi="Arial" w:cs="Arial"/>
          <w:sz w:val="22"/>
        </w:rPr>
        <w:t xml:space="preserve"> </w:t>
      </w:r>
    </w:p>
    <w:p w14:paraId="5ED75F5E" w14:textId="077280DA" w:rsidR="00427B11" w:rsidRPr="001C60E2" w:rsidRDefault="00427B11" w:rsidP="0024143D">
      <w:pPr>
        <w:pStyle w:val="PointManual1"/>
        <w:spacing w:before="0" w:after="0" w:line="276" w:lineRule="auto"/>
        <w:ind w:left="0" w:firstLine="0"/>
        <w:jc w:val="both"/>
        <w:rPr>
          <w:rFonts w:ascii="Arial" w:hAnsi="Arial" w:cs="Arial"/>
          <w:sz w:val="22"/>
          <w:highlight w:val="yellow"/>
        </w:rPr>
      </w:pPr>
    </w:p>
    <w:p w14:paraId="4EC5EDA8" w14:textId="77777777" w:rsidR="00427B11" w:rsidRPr="001C60E2" w:rsidRDefault="00427B11" w:rsidP="0024143D">
      <w:pPr>
        <w:pStyle w:val="PointManual1"/>
        <w:spacing w:before="0" w:after="0" w:line="276" w:lineRule="auto"/>
        <w:ind w:left="0" w:firstLine="0"/>
        <w:jc w:val="both"/>
        <w:rPr>
          <w:rFonts w:ascii="Arial" w:hAnsi="Arial" w:cs="Arial"/>
          <w:sz w:val="22"/>
          <w:highlight w:val="yellow"/>
        </w:rPr>
      </w:pPr>
    </w:p>
    <w:p w14:paraId="4AD6792E" w14:textId="77777777" w:rsidR="00711D97" w:rsidRPr="001C60E2" w:rsidRDefault="00711D97" w:rsidP="00711D97">
      <w:pPr>
        <w:pStyle w:val="ManualNumPar1"/>
        <w:numPr>
          <w:ilvl w:val="0"/>
          <w:numId w:val="12"/>
        </w:numPr>
        <w:spacing w:before="0" w:after="0" w:line="276" w:lineRule="auto"/>
        <w:jc w:val="both"/>
        <w:rPr>
          <w:rFonts w:ascii="Arial" w:hAnsi="Arial" w:cs="Arial"/>
          <w:b/>
          <w:i/>
          <w:sz w:val="22"/>
        </w:rPr>
      </w:pPr>
      <w:r w:rsidRPr="001C60E2">
        <w:rPr>
          <w:rFonts w:ascii="Arial" w:hAnsi="Arial" w:cs="Arial"/>
          <w:b/>
          <w:i/>
          <w:sz w:val="22"/>
        </w:rPr>
        <w:t>Mjere politike u pogledu ostvarivanja propisane uštede iz članka 7. stavka 1. Direktive 2012/27/EU:</w:t>
      </w:r>
    </w:p>
    <w:p w14:paraId="20F3C29D" w14:textId="77777777" w:rsidR="00711D97" w:rsidRPr="001C60E2" w:rsidRDefault="00711D97" w:rsidP="00711D97">
      <w:pPr>
        <w:spacing w:before="0" w:after="0" w:line="276" w:lineRule="auto"/>
        <w:ind w:left="357"/>
        <w:rPr>
          <w:rFonts w:cs="Arial"/>
          <w:lang w:eastAsia="en-US"/>
        </w:rPr>
      </w:pPr>
    </w:p>
    <w:p w14:paraId="427DBFE6" w14:textId="179565AF" w:rsidR="00711D97" w:rsidRPr="001C60E2" w:rsidRDefault="00711D97" w:rsidP="006D67EE">
      <w:pPr>
        <w:pStyle w:val="ManualNumPar1"/>
        <w:numPr>
          <w:ilvl w:val="1"/>
          <w:numId w:val="12"/>
        </w:numPr>
        <w:spacing w:before="0" w:after="0" w:line="276" w:lineRule="auto"/>
        <w:jc w:val="both"/>
        <w:rPr>
          <w:rFonts w:ascii="Arial" w:hAnsi="Arial" w:cs="Arial"/>
          <w:i/>
          <w:sz w:val="22"/>
        </w:rPr>
      </w:pPr>
      <w:r w:rsidRPr="001C60E2">
        <w:rPr>
          <w:rFonts w:ascii="Arial" w:hAnsi="Arial" w:cs="Arial"/>
          <w:i/>
          <w:sz w:val="22"/>
        </w:rPr>
        <w:t>Sustavi obveze energetske učinkovitosti iz članka 7.a Direktive 2012/27/EU:</w:t>
      </w:r>
    </w:p>
    <w:p w14:paraId="6D37C39A" w14:textId="77777777" w:rsidR="00711D97" w:rsidRPr="001C60E2" w:rsidRDefault="00711D97" w:rsidP="00711D97">
      <w:pPr>
        <w:spacing w:before="0" w:after="0" w:line="276" w:lineRule="auto"/>
        <w:rPr>
          <w:rFonts w:cs="Arial"/>
          <w:lang w:eastAsia="en-US"/>
        </w:rPr>
      </w:pPr>
    </w:p>
    <w:p w14:paraId="0F57DE1D" w14:textId="77777777" w:rsidR="00711D97" w:rsidRPr="001C60E2" w:rsidRDefault="00711D97" w:rsidP="00711D97">
      <w:pPr>
        <w:pStyle w:val="PointManual1"/>
        <w:numPr>
          <w:ilvl w:val="0"/>
          <w:numId w:val="13"/>
        </w:numPr>
        <w:spacing w:before="0" w:after="0" w:line="276" w:lineRule="auto"/>
        <w:rPr>
          <w:rFonts w:ascii="Arial" w:hAnsi="Arial" w:cs="Arial"/>
          <w:i/>
          <w:sz w:val="22"/>
        </w:rPr>
      </w:pPr>
      <w:r w:rsidRPr="001C60E2">
        <w:rPr>
          <w:rFonts w:ascii="Arial" w:hAnsi="Arial" w:cs="Arial"/>
          <w:i/>
          <w:sz w:val="22"/>
        </w:rPr>
        <w:t>opis sustava obveze energetske učinkovitosti</w:t>
      </w:r>
    </w:p>
    <w:p w14:paraId="0BFA955F" w14:textId="77777777" w:rsidR="0029520B" w:rsidRPr="001C60E2" w:rsidRDefault="00711D97" w:rsidP="0029520B">
      <w:pPr>
        <w:pStyle w:val="PointManual1"/>
        <w:spacing w:before="0" w:line="276" w:lineRule="auto"/>
        <w:ind w:left="0" w:firstLine="0"/>
        <w:jc w:val="both"/>
        <w:rPr>
          <w:rFonts w:ascii="Arial" w:hAnsi="Arial" w:cs="Arial"/>
          <w:sz w:val="22"/>
          <w:highlight w:val="yellow"/>
        </w:rPr>
      </w:pPr>
      <w:r w:rsidRPr="001C60E2">
        <w:rPr>
          <w:rFonts w:ascii="Arial" w:hAnsi="Arial" w:cs="Arial"/>
          <w:sz w:val="22"/>
        </w:rPr>
        <w:t>Sustav obveze energetske učinkovitosti propisuje se Zakonom o energetskoj učinkovitosti</w:t>
      </w:r>
      <w:r w:rsidR="00B81D0D" w:rsidRPr="001C60E2">
        <w:rPr>
          <w:rFonts w:ascii="Arial" w:hAnsi="Arial" w:cs="Arial"/>
          <w:sz w:val="22"/>
        </w:rPr>
        <w:t xml:space="preserve"> (NN br. 127/14, 116/18</w:t>
      </w:r>
      <w:r w:rsidR="00B077BF" w:rsidRPr="001C60E2">
        <w:rPr>
          <w:rFonts w:ascii="Arial" w:hAnsi="Arial" w:cs="Arial"/>
          <w:sz w:val="22"/>
        </w:rPr>
        <w:t>, 25/20</w:t>
      </w:r>
      <w:r w:rsidR="00B81D0D" w:rsidRPr="001C60E2">
        <w:rPr>
          <w:rFonts w:ascii="Arial" w:hAnsi="Arial" w:cs="Arial"/>
          <w:sz w:val="22"/>
        </w:rPr>
        <w:t>)</w:t>
      </w:r>
      <w:r w:rsidRPr="001C60E2">
        <w:rPr>
          <w:rFonts w:ascii="Arial" w:hAnsi="Arial" w:cs="Arial"/>
          <w:sz w:val="22"/>
        </w:rPr>
        <w:t>, a njegovo funkcioniranje se dodatno objašnjava posebnim propisom koji slijedi iz Zakona</w:t>
      </w:r>
      <w:r w:rsidR="002D56AA" w:rsidRPr="001C60E2">
        <w:rPr>
          <w:rFonts w:ascii="Arial" w:hAnsi="Arial" w:cs="Arial"/>
          <w:sz w:val="22"/>
        </w:rPr>
        <w:t xml:space="preserve"> – Pravilnikom o sustavu obveze </w:t>
      </w:r>
      <w:r w:rsidR="00B81D0D" w:rsidRPr="001C60E2">
        <w:rPr>
          <w:rFonts w:ascii="Arial" w:hAnsi="Arial" w:cs="Arial"/>
          <w:sz w:val="22"/>
        </w:rPr>
        <w:t>energetske učinkovitosti (NN br. 41/19)</w:t>
      </w:r>
      <w:r w:rsidRPr="001C60E2">
        <w:rPr>
          <w:rFonts w:ascii="Arial" w:hAnsi="Arial" w:cs="Arial"/>
          <w:sz w:val="22"/>
        </w:rPr>
        <w:t xml:space="preserve">. </w:t>
      </w:r>
      <w:r w:rsidR="00074AFB" w:rsidRPr="001C60E2">
        <w:rPr>
          <w:rFonts w:ascii="Arial" w:hAnsi="Arial" w:cs="Arial"/>
          <w:sz w:val="22"/>
        </w:rPr>
        <w:t xml:space="preserve">Stupanjem na snagu izmjena i dopuna Zakona o energetskoj učinkovitosti (NN 41/21), Pravilnik o sustavu obveza energetske učinkovitosti (NN 41/19) prestaje važiti te se elementi sustava obveza energetskih ušteda i način njegova provođenja prenose u Pravilnik o sustavu za praćenje, mjerenje i verifikaciju ušteda energijom (NN 98/21, 30/22). </w:t>
      </w:r>
      <w:r w:rsidR="0029520B" w:rsidRPr="001C60E2">
        <w:rPr>
          <w:rFonts w:ascii="Arial" w:hAnsi="Arial" w:cs="Arial"/>
          <w:sz w:val="22"/>
        </w:rPr>
        <w:t xml:space="preserve">U nastavku se daju osnovne odredbe sustava propisane ovim dokumentima. </w:t>
      </w:r>
    </w:p>
    <w:p w14:paraId="2D5C6246" w14:textId="6FF71394" w:rsidR="00074AFB" w:rsidRPr="001C60E2" w:rsidRDefault="00074AFB" w:rsidP="00711D97">
      <w:pPr>
        <w:pStyle w:val="PointManual1"/>
        <w:spacing w:before="0" w:line="276" w:lineRule="auto"/>
        <w:ind w:left="0" w:firstLine="0"/>
        <w:jc w:val="both"/>
        <w:rPr>
          <w:rFonts w:ascii="Arial" w:hAnsi="Arial" w:cs="Arial"/>
          <w:sz w:val="22"/>
          <w:highlight w:val="yellow"/>
        </w:rPr>
      </w:pPr>
      <w:r w:rsidRPr="001C60E2">
        <w:rPr>
          <w:rFonts w:ascii="Arial" w:hAnsi="Arial" w:cs="Arial"/>
          <w:sz w:val="22"/>
        </w:rPr>
        <w:t>Obveznici sustava obveze energetske učinkovitosti su opskrbljivači energijom</w:t>
      </w:r>
      <w:r w:rsidR="0029520B" w:rsidRPr="001C60E2">
        <w:rPr>
          <w:rFonts w:ascii="Arial" w:hAnsi="Arial" w:cs="Arial"/>
          <w:sz w:val="22"/>
        </w:rPr>
        <w:t xml:space="preserve"> (električnom, toplinskom,</w:t>
      </w:r>
      <w:r w:rsidR="00833DE7" w:rsidRPr="001C60E2">
        <w:rPr>
          <w:rFonts w:ascii="Arial" w:hAnsi="Arial" w:cs="Arial"/>
          <w:sz w:val="22"/>
        </w:rPr>
        <w:t xml:space="preserve"> prirodnim plinom i naftnim derivatima)</w:t>
      </w:r>
      <w:r w:rsidRPr="001C60E2">
        <w:rPr>
          <w:rFonts w:ascii="Arial" w:hAnsi="Arial" w:cs="Arial"/>
          <w:sz w:val="22"/>
        </w:rPr>
        <w:t xml:space="preserve">. Sustav je funkcionalan od 2019. godine, kada u njega ulaze opskrbljivači koji su na tržište isporučili više od 300 GWh energije tijekom 2017. godine. U 2020. godini u sustav obveze ulaze opskrbljivači koji su na tržište isporučili više od 100 GWh energije tijekom 2018. godine, a od 2021. godine pa nadalje obveznici su svi oni opskrbljivači koji su na tržište isporučili više od 50 GWh energije tijekom pretprošle godine u odnosu na relevantnu godinu. Od 2021. do 2030. godine cilj je ostvariti kumulativnu uštedu </w:t>
      </w:r>
      <w:r w:rsidRPr="001C60E2">
        <w:rPr>
          <w:rFonts w:ascii="Arial" w:hAnsi="Arial" w:cs="Arial"/>
          <w:sz w:val="22"/>
        </w:rPr>
        <w:lastRenderedPageBreak/>
        <w:t xml:space="preserve">energije u krajnjoj potrošnji na način da se svake godine ostvaruju nove godišnje uštede. Prema Direktivi 2018/2002 kojom se izmjenjuje Direktiva 2012/27/EU o energetskoj učinkovitosti, sustav je postavljen tako da je svake godine potrebno ostvariti uštede od 0,8% godišnje krajnje potrošnje. </w:t>
      </w:r>
      <w:r w:rsidR="00BE06AF" w:rsidRPr="001C60E2">
        <w:rPr>
          <w:rFonts w:ascii="Arial" w:hAnsi="Arial" w:cs="Arial"/>
          <w:sz w:val="22"/>
        </w:rPr>
        <w:t xml:space="preserve">Ovaj će se cilj revidirati prema </w:t>
      </w:r>
      <w:r w:rsidRPr="001C60E2">
        <w:rPr>
          <w:rFonts w:ascii="Arial" w:hAnsi="Arial" w:cs="Arial"/>
          <w:sz w:val="22"/>
        </w:rPr>
        <w:t>usuglašenim izmjenama i dopunama Direktive o energetskoj učinkovitosti iz 2023</w:t>
      </w:r>
      <w:r w:rsidR="00BE06AF" w:rsidRPr="001C60E2">
        <w:rPr>
          <w:rFonts w:ascii="Arial" w:hAnsi="Arial" w:cs="Arial"/>
          <w:sz w:val="22"/>
        </w:rPr>
        <w:t>.</w:t>
      </w:r>
      <w:r w:rsidRPr="001C60E2">
        <w:rPr>
          <w:rFonts w:ascii="Arial" w:hAnsi="Arial" w:cs="Arial"/>
          <w:sz w:val="22"/>
        </w:rPr>
        <w:t xml:space="preserve"> godine</w:t>
      </w:r>
      <w:r w:rsidR="00BE06AF" w:rsidRPr="001C60E2">
        <w:rPr>
          <w:rFonts w:ascii="Arial" w:hAnsi="Arial" w:cs="Arial"/>
          <w:sz w:val="22"/>
        </w:rPr>
        <w:t xml:space="preserve"> te će </w:t>
      </w:r>
      <w:r w:rsidR="00D33433" w:rsidRPr="001C60E2">
        <w:rPr>
          <w:rFonts w:ascii="Arial" w:hAnsi="Arial" w:cs="Arial"/>
          <w:sz w:val="22"/>
        </w:rPr>
        <w:t xml:space="preserve">prema tome </w:t>
      </w:r>
      <w:r w:rsidR="00BE06AF" w:rsidRPr="001C60E2">
        <w:rPr>
          <w:rFonts w:ascii="Arial" w:hAnsi="Arial" w:cs="Arial"/>
          <w:sz w:val="22"/>
        </w:rPr>
        <w:t>biti potrebno</w:t>
      </w:r>
      <w:r w:rsidR="00D33433" w:rsidRPr="001C60E2">
        <w:rPr>
          <w:rFonts w:ascii="Arial" w:hAnsi="Arial" w:cs="Arial"/>
          <w:sz w:val="22"/>
        </w:rPr>
        <w:t xml:space="preserve"> izmijeniti i dopuniti Zakon o energetskoj učinkovitosti</w:t>
      </w:r>
      <w:r w:rsidRPr="001C60E2">
        <w:rPr>
          <w:rFonts w:ascii="Arial" w:hAnsi="Arial" w:cs="Arial"/>
          <w:sz w:val="22"/>
        </w:rPr>
        <w:t>.</w:t>
      </w:r>
    </w:p>
    <w:p w14:paraId="05F8229C" w14:textId="1D965DDA" w:rsidR="00711D97" w:rsidRPr="001C60E2" w:rsidRDefault="00711D97" w:rsidP="00711D97">
      <w:pPr>
        <w:pStyle w:val="PointManual1"/>
        <w:spacing w:before="0" w:after="0" w:line="276" w:lineRule="auto"/>
        <w:ind w:left="0" w:firstLine="0"/>
        <w:jc w:val="both"/>
        <w:rPr>
          <w:rFonts w:ascii="Arial" w:hAnsi="Arial" w:cs="Arial"/>
          <w:sz w:val="22"/>
        </w:rPr>
      </w:pPr>
      <w:r w:rsidRPr="001C60E2">
        <w:rPr>
          <w:rFonts w:ascii="Arial" w:hAnsi="Arial" w:cs="Arial"/>
          <w:sz w:val="22"/>
        </w:rPr>
        <w:t xml:space="preserve">Ministarstvo nadležno za energetiku posebnim rješenjem svakoj stranci obveznici </w:t>
      </w:r>
      <w:r w:rsidR="0078129F" w:rsidRPr="001C60E2">
        <w:rPr>
          <w:rFonts w:ascii="Arial" w:hAnsi="Arial" w:cs="Arial"/>
          <w:sz w:val="22"/>
        </w:rPr>
        <w:t>u tekućoj</w:t>
      </w:r>
      <w:r w:rsidR="00391CD6" w:rsidRPr="001C60E2">
        <w:rPr>
          <w:rFonts w:ascii="Arial" w:hAnsi="Arial" w:cs="Arial"/>
          <w:sz w:val="22"/>
        </w:rPr>
        <w:t xml:space="preserve"> </w:t>
      </w:r>
      <w:r w:rsidRPr="001C60E2">
        <w:rPr>
          <w:rFonts w:ascii="Arial" w:hAnsi="Arial" w:cs="Arial"/>
          <w:sz w:val="22"/>
        </w:rPr>
        <w:t xml:space="preserve"> godin</w:t>
      </w:r>
      <w:r w:rsidR="00391CD6" w:rsidRPr="001C60E2">
        <w:rPr>
          <w:rFonts w:ascii="Arial" w:hAnsi="Arial" w:cs="Arial"/>
          <w:sz w:val="22"/>
        </w:rPr>
        <w:t>i</w:t>
      </w:r>
      <w:r w:rsidRPr="001C60E2">
        <w:rPr>
          <w:rFonts w:ascii="Arial" w:hAnsi="Arial" w:cs="Arial"/>
          <w:sz w:val="22"/>
        </w:rPr>
        <w:t xml:space="preserve"> određuje točan godišnji iznos obveze uštede energije u kWh za narednu godinu,</w:t>
      </w:r>
      <w:r w:rsidR="00B81D0D" w:rsidRPr="001C60E2">
        <w:rPr>
          <w:rFonts w:ascii="Arial" w:hAnsi="Arial" w:cs="Arial"/>
          <w:sz w:val="22"/>
        </w:rPr>
        <w:t xml:space="preserve"> temeljem podatka o energiji koju je stranka obveznica isporučila krajnjim kupcima ili do distribucijskih stanica koje prodaju energiju krajnjim kupcima u pretprošloj godini</w:t>
      </w:r>
      <w:r w:rsidRPr="001C60E2">
        <w:rPr>
          <w:rFonts w:ascii="Arial" w:hAnsi="Arial" w:cs="Arial"/>
          <w:sz w:val="22"/>
        </w:rPr>
        <w:t xml:space="preserve">. Godišnja obveza se </w:t>
      </w:r>
      <w:r w:rsidR="00B81D0D" w:rsidRPr="001C60E2">
        <w:rPr>
          <w:rFonts w:ascii="Arial" w:hAnsi="Arial" w:cs="Arial"/>
          <w:sz w:val="22"/>
        </w:rPr>
        <w:t>umanjuje za</w:t>
      </w:r>
      <w:r w:rsidRPr="001C60E2">
        <w:rPr>
          <w:rFonts w:ascii="Arial" w:hAnsi="Arial" w:cs="Arial"/>
          <w:sz w:val="22"/>
        </w:rPr>
        <w:t>:</w:t>
      </w:r>
    </w:p>
    <w:p w14:paraId="4B8660B7" w14:textId="2FC4B99E" w:rsidR="00B81D0D" w:rsidRPr="001C60E2" w:rsidRDefault="00177804" w:rsidP="0024143D">
      <w:pPr>
        <w:pStyle w:val="box459189"/>
        <w:numPr>
          <w:ilvl w:val="0"/>
          <w:numId w:val="24"/>
        </w:numPr>
        <w:rPr>
          <w:rFonts w:ascii="Arial" w:eastAsia="Calibri" w:hAnsi="Arial" w:cs="Arial"/>
          <w:sz w:val="22"/>
          <w:szCs w:val="22"/>
          <w:lang w:eastAsia="en-US"/>
        </w:rPr>
      </w:pPr>
      <w:r w:rsidRPr="001C60E2">
        <w:rPr>
          <w:rFonts w:ascii="Arial" w:eastAsia="Calibri" w:hAnsi="Arial" w:cs="Arial"/>
          <w:sz w:val="22"/>
          <w:szCs w:val="22"/>
          <w:lang w:eastAsia="en-US"/>
        </w:rPr>
        <w:t>energiju iz</w:t>
      </w:r>
      <w:r w:rsidR="00B81D0D" w:rsidRPr="001C60E2">
        <w:rPr>
          <w:rFonts w:ascii="Arial" w:eastAsia="Calibri" w:hAnsi="Arial" w:cs="Arial"/>
          <w:sz w:val="22"/>
          <w:szCs w:val="22"/>
          <w:lang w:eastAsia="en-US"/>
        </w:rPr>
        <w:t xml:space="preserve"> biogoriva koji su subjekti (koji su i stranke obveznice) koji stavljaju na tržište dizelsko gorivo ili motorni benzin za pogon motornih vozila u određenom postotku imali obvezu staviti sukladno posebnom propisu kojim se uređuje korištenje biogoriva za prijevoz</w:t>
      </w:r>
    </w:p>
    <w:p w14:paraId="4EA29D2F" w14:textId="6B14FDBB" w:rsidR="00B81D0D" w:rsidRPr="001C60E2" w:rsidRDefault="00B81D0D" w:rsidP="0024143D">
      <w:pPr>
        <w:pStyle w:val="box459189"/>
        <w:numPr>
          <w:ilvl w:val="0"/>
          <w:numId w:val="24"/>
        </w:numPr>
        <w:rPr>
          <w:rFonts w:ascii="Arial" w:eastAsia="Calibri" w:hAnsi="Arial" w:cs="Arial"/>
          <w:sz w:val="22"/>
          <w:szCs w:val="22"/>
          <w:lang w:eastAsia="en-US"/>
        </w:rPr>
      </w:pPr>
      <w:r w:rsidRPr="001C60E2">
        <w:rPr>
          <w:rFonts w:ascii="Arial" w:eastAsia="Calibri" w:hAnsi="Arial" w:cs="Arial"/>
          <w:sz w:val="22"/>
          <w:szCs w:val="22"/>
          <w:lang w:eastAsia="en-US"/>
        </w:rPr>
        <w:t>energij</w:t>
      </w:r>
      <w:r w:rsidR="00177804" w:rsidRPr="001C60E2">
        <w:rPr>
          <w:rFonts w:ascii="Arial" w:eastAsia="Calibri" w:hAnsi="Arial" w:cs="Arial"/>
          <w:sz w:val="22"/>
          <w:szCs w:val="22"/>
          <w:lang w:eastAsia="en-US"/>
        </w:rPr>
        <w:t>u</w:t>
      </w:r>
      <w:r w:rsidRPr="001C60E2">
        <w:rPr>
          <w:rFonts w:ascii="Arial" w:eastAsia="Calibri" w:hAnsi="Arial" w:cs="Arial"/>
          <w:sz w:val="22"/>
          <w:szCs w:val="22"/>
          <w:lang w:eastAsia="en-US"/>
        </w:rPr>
        <w:t xml:space="preserve"> koju je opskrbljivač energije isporučio kupcu koji je proizvođač, distributer ili opskrbljivač toplinske energije</w:t>
      </w:r>
    </w:p>
    <w:p w14:paraId="55422B62" w14:textId="60F0B3C6" w:rsidR="00B81D0D" w:rsidRPr="001C60E2" w:rsidRDefault="00B81D0D" w:rsidP="0024143D">
      <w:pPr>
        <w:pStyle w:val="box459189"/>
        <w:numPr>
          <w:ilvl w:val="0"/>
          <w:numId w:val="24"/>
        </w:numPr>
        <w:rPr>
          <w:rFonts w:ascii="Arial" w:hAnsi="Arial" w:cs="Arial"/>
          <w:sz w:val="22"/>
        </w:rPr>
      </w:pPr>
      <w:r w:rsidRPr="001C60E2">
        <w:rPr>
          <w:rFonts w:ascii="Arial" w:eastAsia="Calibri" w:hAnsi="Arial" w:cs="Arial"/>
          <w:sz w:val="22"/>
          <w:szCs w:val="22"/>
          <w:lang w:eastAsia="en-US"/>
        </w:rPr>
        <w:t>energij</w:t>
      </w:r>
      <w:r w:rsidR="00177804" w:rsidRPr="001C60E2">
        <w:rPr>
          <w:rFonts w:ascii="Arial" w:eastAsia="Calibri" w:hAnsi="Arial" w:cs="Arial"/>
          <w:sz w:val="22"/>
          <w:szCs w:val="22"/>
          <w:lang w:eastAsia="en-US"/>
        </w:rPr>
        <w:t>u</w:t>
      </w:r>
      <w:r w:rsidRPr="001C60E2">
        <w:rPr>
          <w:rFonts w:ascii="Arial" w:eastAsia="Calibri" w:hAnsi="Arial" w:cs="Arial"/>
          <w:sz w:val="22"/>
          <w:szCs w:val="22"/>
          <w:lang w:eastAsia="en-US"/>
        </w:rPr>
        <w:t xml:space="preserve"> koju je opskrbljivač energije isporučio industriji koja je obveznik temeljem uredbe kojom se propisuje način trgovanja emisijskim jedinicama stakleničkih plinova</w:t>
      </w:r>
    </w:p>
    <w:p w14:paraId="1A42E73D" w14:textId="61D14793" w:rsidR="00B244DB" w:rsidRPr="001C60E2" w:rsidRDefault="00B81D0D" w:rsidP="00560291">
      <w:pPr>
        <w:pStyle w:val="box459189"/>
        <w:numPr>
          <w:ilvl w:val="0"/>
          <w:numId w:val="24"/>
        </w:numPr>
        <w:rPr>
          <w:rFonts w:ascii="Arial" w:eastAsia="Calibri" w:hAnsi="Arial" w:cs="Arial"/>
          <w:sz w:val="22"/>
          <w:szCs w:val="22"/>
          <w:lang w:eastAsia="en-US"/>
        </w:rPr>
      </w:pPr>
      <w:r w:rsidRPr="001C60E2">
        <w:rPr>
          <w:rFonts w:ascii="Arial" w:eastAsia="Calibri" w:hAnsi="Arial" w:cs="Arial"/>
          <w:sz w:val="22"/>
          <w:szCs w:val="22"/>
          <w:lang w:eastAsia="en-US"/>
        </w:rPr>
        <w:t>energij</w:t>
      </w:r>
      <w:r w:rsidR="002A5079" w:rsidRPr="001C60E2">
        <w:rPr>
          <w:rFonts w:ascii="Arial" w:eastAsia="Calibri" w:hAnsi="Arial" w:cs="Arial"/>
          <w:sz w:val="22"/>
          <w:szCs w:val="22"/>
          <w:lang w:eastAsia="en-US"/>
        </w:rPr>
        <w:t>u</w:t>
      </w:r>
      <w:r w:rsidRPr="001C60E2">
        <w:rPr>
          <w:rFonts w:ascii="Arial" w:eastAsia="Calibri" w:hAnsi="Arial" w:cs="Arial"/>
          <w:sz w:val="22"/>
          <w:szCs w:val="22"/>
          <w:lang w:eastAsia="en-US"/>
        </w:rPr>
        <w:t xml:space="preserve"> </w:t>
      </w:r>
      <w:r w:rsidR="002A5079" w:rsidRPr="001C60E2">
        <w:rPr>
          <w:rFonts w:ascii="Arial" w:eastAsia="Calibri" w:hAnsi="Arial" w:cs="Arial"/>
          <w:sz w:val="22"/>
          <w:szCs w:val="22"/>
          <w:lang w:eastAsia="en-US"/>
        </w:rPr>
        <w:t xml:space="preserve">koja </w:t>
      </w:r>
      <w:r w:rsidRPr="001C60E2">
        <w:rPr>
          <w:rFonts w:ascii="Arial" w:eastAsia="Calibri" w:hAnsi="Arial" w:cs="Arial"/>
          <w:sz w:val="22"/>
          <w:szCs w:val="22"/>
          <w:lang w:eastAsia="en-US"/>
        </w:rPr>
        <w:t xml:space="preserve">je </w:t>
      </w:r>
      <w:r w:rsidR="002A5079" w:rsidRPr="001C60E2">
        <w:rPr>
          <w:rFonts w:ascii="Arial" w:eastAsia="Calibri" w:hAnsi="Arial" w:cs="Arial"/>
          <w:sz w:val="22"/>
          <w:szCs w:val="22"/>
          <w:lang w:eastAsia="en-US"/>
        </w:rPr>
        <w:t xml:space="preserve">preuzeta iz mreže za punjenje tehnološki različitih </w:t>
      </w:r>
      <w:r w:rsidR="00D974B2" w:rsidRPr="001C60E2">
        <w:rPr>
          <w:rFonts w:ascii="Arial" w:eastAsia="Calibri" w:hAnsi="Arial" w:cs="Arial"/>
          <w:sz w:val="22"/>
          <w:szCs w:val="22"/>
          <w:lang w:eastAsia="en-US"/>
        </w:rPr>
        <w:t>spremnika</w:t>
      </w:r>
      <w:r w:rsidR="002A5079" w:rsidRPr="001C60E2">
        <w:rPr>
          <w:rFonts w:ascii="Arial" w:eastAsia="Calibri" w:hAnsi="Arial" w:cs="Arial"/>
          <w:sz w:val="22"/>
          <w:szCs w:val="22"/>
          <w:lang w:eastAsia="en-US"/>
        </w:rPr>
        <w:t xml:space="preserve"> energije (energija za crpni rad</w:t>
      </w:r>
      <w:r w:rsidR="00B244DB" w:rsidRPr="001C60E2">
        <w:rPr>
          <w:rFonts w:ascii="Arial" w:eastAsia="Calibri" w:hAnsi="Arial" w:cs="Arial"/>
          <w:sz w:val="22"/>
          <w:szCs w:val="22"/>
          <w:lang w:eastAsia="en-US"/>
        </w:rPr>
        <w:t>, punjenje baterijskih spremnika električnom energijom, punjenje akumulatora topline, električna energija za rad visok</w:t>
      </w:r>
      <w:r w:rsidR="006D5004" w:rsidRPr="001C60E2">
        <w:rPr>
          <w:rFonts w:ascii="Arial" w:eastAsia="Calibri" w:hAnsi="Arial" w:cs="Arial"/>
          <w:sz w:val="22"/>
          <w:szCs w:val="22"/>
          <w:lang w:eastAsia="en-US"/>
        </w:rPr>
        <w:t>o</w:t>
      </w:r>
      <w:r w:rsidR="00B244DB" w:rsidRPr="001C60E2">
        <w:rPr>
          <w:rFonts w:ascii="Arial" w:eastAsia="Calibri" w:hAnsi="Arial" w:cs="Arial"/>
          <w:sz w:val="22"/>
          <w:szCs w:val="22"/>
          <w:lang w:eastAsia="en-US"/>
        </w:rPr>
        <w:t>naponskih elektro-bojlera)</w:t>
      </w:r>
    </w:p>
    <w:p w14:paraId="08B7115B" w14:textId="242D1436" w:rsidR="00B81D0D" w:rsidRPr="001C60E2" w:rsidRDefault="00B244DB" w:rsidP="00560291">
      <w:pPr>
        <w:pStyle w:val="box459189"/>
        <w:numPr>
          <w:ilvl w:val="0"/>
          <w:numId w:val="24"/>
        </w:numPr>
        <w:rPr>
          <w:rFonts w:ascii="Arial" w:eastAsia="Calibri" w:hAnsi="Arial" w:cs="Arial"/>
          <w:sz w:val="22"/>
          <w:szCs w:val="22"/>
          <w:lang w:eastAsia="en-US"/>
        </w:rPr>
      </w:pPr>
      <w:r w:rsidRPr="001C60E2">
        <w:rPr>
          <w:rFonts w:ascii="Arial" w:eastAsia="Calibri" w:hAnsi="Arial" w:cs="Arial"/>
          <w:sz w:val="22"/>
          <w:szCs w:val="22"/>
          <w:lang w:eastAsia="en-US"/>
        </w:rPr>
        <w:t>potrošenu električnu energiju kod pružatelja pomoćne usluge koja je aktivirana na zahtjev operatora</w:t>
      </w:r>
      <w:r w:rsidR="006D5004" w:rsidRPr="001C60E2">
        <w:rPr>
          <w:rFonts w:ascii="Arial" w:eastAsia="Calibri" w:hAnsi="Arial" w:cs="Arial"/>
          <w:sz w:val="22"/>
          <w:szCs w:val="22"/>
          <w:lang w:eastAsia="en-US"/>
        </w:rPr>
        <w:t xml:space="preserve"> mreže te omogućava pružanje regulacijskih usluga</w:t>
      </w:r>
    </w:p>
    <w:p w14:paraId="739A17A7" w14:textId="2DCFA86A" w:rsidR="006D5004" w:rsidRPr="001C60E2" w:rsidRDefault="006D5004" w:rsidP="00560291">
      <w:pPr>
        <w:pStyle w:val="box459189"/>
        <w:numPr>
          <w:ilvl w:val="0"/>
          <w:numId w:val="24"/>
        </w:numPr>
        <w:rPr>
          <w:rFonts w:ascii="Arial" w:eastAsia="Calibri" w:hAnsi="Arial" w:cs="Arial"/>
          <w:sz w:val="22"/>
          <w:szCs w:val="22"/>
          <w:lang w:eastAsia="en-US"/>
        </w:rPr>
      </w:pPr>
      <w:r w:rsidRPr="001C60E2">
        <w:rPr>
          <w:rFonts w:ascii="Arial" w:eastAsia="Calibri" w:hAnsi="Arial" w:cs="Arial"/>
          <w:sz w:val="22"/>
          <w:szCs w:val="22"/>
          <w:lang w:eastAsia="en-US"/>
        </w:rPr>
        <w:t xml:space="preserve">dio energije koju je opskrbljivač isporučio za punjenje električnih vozila. </w:t>
      </w:r>
    </w:p>
    <w:p w14:paraId="349146B2" w14:textId="4CD3ED08" w:rsidR="00C43B54" w:rsidRPr="001C60E2" w:rsidRDefault="00E43D14" w:rsidP="00DE36FA">
      <w:pPr>
        <w:pStyle w:val="box459189"/>
        <w:jc w:val="both"/>
        <w:rPr>
          <w:rFonts w:ascii="Arial" w:eastAsia="Calibri" w:hAnsi="Arial" w:cs="Arial"/>
          <w:sz w:val="22"/>
          <w:szCs w:val="22"/>
          <w:lang w:eastAsia="en-US"/>
        </w:rPr>
      </w:pPr>
      <w:r w:rsidRPr="001C60E2">
        <w:rPr>
          <w:rFonts w:ascii="Arial" w:eastAsia="Calibri" w:hAnsi="Arial" w:cs="Arial"/>
          <w:sz w:val="22"/>
          <w:szCs w:val="22"/>
          <w:lang w:eastAsia="en-US"/>
        </w:rPr>
        <w:t>Stranka obveznica</w:t>
      </w:r>
      <w:r w:rsidR="00C43B54" w:rsidRPr="001C60E2">
        <w:rPr>
          <w:rFonts w:ascii="Arial" w:eastAsia="Calibri" w:hAnsi="Arial" w:cs="Arial"/>
          <w:sz w:val="22"/>
          <w:szCs w:val="22"/>
          <w:lang w:eastAsia="en-US"/>
        </w:rPr>
        <w:t xml:space="preserve"> u izvješću o ostvarenim uštedama energije</w:t>
      </w:r>
      <w:r w:rsidRPr="001C60E2">
        <w:rPr>
          <w:rFonts w:ascii="Arial" w:eastAsia="Calibri" w:hAnsi="Arial" w:cs="Arial"/>
          <w:sz w:val="22"/>
          <w:szCs w:val="22"/>
          <w:lang w:eastAsia="en-US"/>
        </w:rPr>
        <w:t xml:space="preserve"> može zatražiti drukčiju vremensku raspodjelu </w:t>
      </w:r>
      <w:r w:rsidR="00C43B54" w:rsidRPr="001C60E2">
        <w:rPr>
          <w:rFonts w:ascii="Arial" w:eastAsia="Calibri" w:hAnsi="Arial" w:cs="Arial"/>
          <w:sz w:val="22"/>
          <w:szCs w:val="22"/>
          <w:lang w:eastAsia="en-US"/>
        </w:rPr>
        <w:t xml:space="preserve">ostvarenja kumulativnog cilja, uz uvjet da na godišnjoj razini </w:t>
      </w:r>
      <w:r w:rsidR="003078F7" w:rsidRPr="001C60E2">
        <w:rPr>
          <w:rFonts w:ascii="Arial" w:eastAsia="Calibri" w:hAnsi="Arial" w:cs="Arial"/>
          <w:sz w:val="22"/>
          <w:szCs w:val="22"/>
          <w:lang w:eastAsia="en-US"/>
        </w:rPr>
        <w:t>ostvaruje barem 30% godišnjeg cilja utvrđenog na način propisan Zakonom (</w:t>
      </w:r>
      <w:r w:rsidR="00B15A00" w:rsidRPr="001C60E2">
        <w:rPr>
          <w:rFonts w:ascii="Arial" w:eastAsia="Calibri" w:hAnsi="Arial" w:cs="Arial"/>
          <w:sz w:val="22"/>
          <w:szCs w:val="22"/>
          <w:lang w:eastAsia="en-US"/>
        </w:rPr>
        <w:t xml:space="preserve">0,8% godišnje </w:t>
      </w:r>
      <w:r w:rsidR="003078F7" w:rsidRPr="001C60E2">
        <w:rPr>
          <w:rFonts w:ascii="Arial" w:eastAsia="Calibri" w:hAnsi="Arial" w:cs="Arial"/>
          <w:sz w:val="22"/>
          <w:szCs w:val="22"/>
          <w:lang w:eastAsia="en-US"/>
        </w:rPr>
        <w:t>u skladu s čl.7 Direktive)</w:t>
      </w:r>
      <w:r w:rsidR="00B15A00" w:rsidRPr="001C60E2">
        <w:rPr>
          <w:rFonts w:ascii="Arial" w:eastAsia="Calibri" w:hAnsi="Arial" w:cs="Arial"/>
          <w:sz w:val="22"/>
          <w:szCs w:val="22"/>
          <w:lang w:eastAsia="en-US"/>
        </w:rPr>
        <w:t xml:space="preserve"> i da ostvaruje utvrđene kumulativne uštede </w:t>
      </w:r>
      <w:r w:rsidR="00DC1935" w:rsidRPr="001C60E2">
        <w:rPr>
          <w:rFonts w:ascii="Arial" w:eastAsia="Calibri" w:hAnsi="Arial" w:cs="Arial"/>
          <w:sz w:val="22"/>
          <w:szCs w:val="22"/>
          <w:lang w:eastAsia="en-US"/>
        </w:rPr>
        <w:t xml:space="preserve">na trogodišnjoj razini. </w:t>
      </w:r>
    </w:p>
    <w:p w14:paraId="2140FF3F" w14:textId="4DC280D0" w:rsidR="00E84493" w:rsidRPr="001C60E2" w:rsidRDefault="00E84493" w:rsidP="00560291">
      <w:pPr>
        <w:pStyle w:val="box459189"/>
        <w:jc w:val="both"/>
        <w:rPr>
          <w:rFonts w:ascii="Arial" w:eastAsia="Calibri" w:hAnsi="Arial" w:cs="Arial"/>
          <w:sz w:val="22"/>
          <w:szCs w:val="22"/>
          <w:lang w:eastAsia="en-US"/>
        </w:rPr>
      </w:pPr>
      <w:r w:rsidRPr="001C60E2">
        <w:rPr>
          <w:rFonts w:ascii="Arial" w:eastAsia="Calibri" w:hAnsi="Arial" w:cs="Arial"/>
          <w:sz w:val="22"/>
          <w:szCs w:val="22"/>
          <w:lang w:eastAsia="en-US"/>
        </w:rPr>
        <w:t>Za neostvareni dio obveze iz prethodne godine koji prelazi 10 % obveze Ministarstvo će po službenoj dužnosti</w:t>
      </w:r>
      <w:r w:rsidR="00DD4F9C" w:rsidRPr="001C60E2">
        <w:rPr>
          <w:rFonts w:ascii="Arial" w:eastAsia="Calibri" w:hAnsi="Arial" w:cs="Arial"/>
          <w:sz w:val="22"/>
          <w:szCs w:val="22"/>
          <w:lang w:eastAsia="en-US"/>
        </w:rPr>
        <w:t xml:space="preserve"> </w:t>
      </w:r>
      <w:r w:rsidRPr="001C60E2">
        <w:rPr>
          <w:rFonts w:ascii="Arial" w:eastAsia="Calibri" w:hAnsi="Arial" w:cs="Arial"/>
          <w:sz w:val="22"/>
          <w:szCs w:val="22"/>
          <w:lang w:eastAsia="en-US"/>
        </w:rPr>
        <w:t>odrediti iznos koji je stranka obveznica na ime neostvarene uštede dužna jednokratno uplatiti Fondu za zaštitu okoliša i energetsku učinkovitost.</w:t>
      </w:r>
    </w:p>
    <w:p w14:paraId="1CB0881E" w14:textId="57C3A6F6" w:rsidR="00560291" w:rsidRPr="001C60E2" w:rsidRDefault="00560291" w:rsidP="00560291">
      <w:pPr>
        <w:pStyle w:val="box459189"/>
        <w:jc w:val="both"/>
        <w:rPr>
          <w:rFonts w:ascii="Arial" w:eastAsia="Calibri" w:hAnsi="Arial" w:cs="Arial"/>
          <w:sz w:val="22"/>
          <w:szCs w:val="22"/>
          <w:lang w:eastAsia="en-US"/>
        </w:rPr>
      </w:pPr>
      <w:r w:rsidRPr="001C60E2">
        <w:rPr>
          <w:rFonts w:ascii="Arial" w:eastAsia="Calibri" w:hAnsi="Arial" w:cs="Arial"/>
          <w:sz w:val="22"/>
          <w:szCs w:val="22"/>
          <w:lang w:eastAsia="en-US"/>
        </w:rPr>
        <w:t>Stranke obveznice dužne su Ministarstvu jednom godišnje do 1</w:t>
      </w:r>
      <w:r w:rsidR="007A189F" w:rsidRPr="001C60E2">
        <w:rPr>
          <w:rFonts w:ascii="Arial" w:eastAsia="Calibri" w:hAnsi="Arial" w:cs="Arial"/>
          <w:sz w:val="22"/>
          <w:szCs w:val="22"/>
          <w:lang w:eastAsia="en-US"/>
        </w:rPr>
        <w:t>5</w:t>
      </w:r>
      <w:r w:rsidRPr="001C60E2">
        <w:rPr>
          <w:rFonts w:ascii="Arial" w:eastAsia="Calibri" w:hAnsi="Arial" w:cs="Arial"/>
          <w:sz w:val="22"/>
          <w:szCs w:val="22"/>
          <w:lang w:eastAsia="en-US"/>
        </w:rPr>
        <w:t xml:space="preserve">. </w:t>
      </w:r>
      <w:r w:rsidR="007A189F" w:rsidRPr="001C60E2">
        <w:rPr>
          <w:rFonts w:ascii="Arial" w:eastAsia="Calibri" w:hAnsi="Arial" w:cs="Arial"/>
          <w:sz w:val="22"/>
          <w:szCs w:val="22"/>
          <w:lang w:eastAsia="en-US"/>
        </w:rPr>
        <w:t xml:space="preserve">veljače </w:t>
      </w:r>
      <w:r w:rsidRPr="001C60E2">
        <w:rPr>
          <w:rFonts w:ascii="Arial" w:eastAsia="Calibri" w:hAnsi="Arial" w:cs="Arial"/>
          <w:sz w:val="22"/>
          <w:szCs w:val="22"/>
          <w:lang w:eastAsia="en-US"/>
        </w:rPr>
        <w:t>tekuće godine za prošlu godinu dostaviti izvješće o ostvarenim uštedama</w:t>
      </w:r>
      <w:r w:rsidR="00DE36FA" w:rsidRPr="001C60E2">
        <w:rPr>
          <w:rFonts w:ascii="Arial" w:eastAsia="Calibri" w:hAnsi="Arial" w:cs="Arial"/>
          <w:sz w:val="22"/>
          <w:szCs w:val="22"/>
          <w:lang w:eastAsia="en-US"/>
        </w:rPr>
        <w:t xml:space="preserve"> prema propisanom obrascu</w:t>
      </w:r>
      <w:r w:rsidRPr="001C60E2">
        <w:rPr>
          <w:rFonts w:ascii="Arial" w:eastAsia="Calibri" w:hAnsi="Arial" w:cs="Arial"/>
          <w:sz w:val="22"/>
          <w:szCs w:val="22"/>
          <w:lang w:eastAsia="en-US"/>
        </w:rPr>
        <w:t>.</w:t>
      </w:r>
    </w:p>
    <w:p w14:paraId="58DF336C" w14:textId="77777777" w:rsidR="00711D97" w:rsidRPr="001C60E2" w:rsidRDefault="00711D97" w:rsidP="00711D97">
      <w:pPr>
        <w:pStyle w:val="PointManual1"/>
        <w:numPr>
          <w:ilvl w:val="0"/>
          <w:numId w:val="13"/>
        </w:numPr>
        <w:spacing w:before="0" w:after="0" w:line="276" w:lineRule="auto"/>
        <w:rPr>
          <w:rFonts w:ascii="Arial" w:hAnsi="Arial" w:cs="Arial"/>
          <w:i/>
          <w:sz w:val="22"/>
        </w:rPr>
      </w:pPr>
      <w:r w:rsidRPr="001C60E2">
        <w:rPr>
          <w:rFonts w:ascii="Arial" w:hAnsi="Arial" w:cs="Arial"/>
          <w:i/>
          <w:sz w:val="22"/>
        </w:rPr>
        <w:t>očekivane kumulativne i godišnje količine uštede i trajanje razdoblja obveze</w:t>
      </w:r>
    </w:p>
    <w:p w14:paraId="05C4A150" w14:textId="5DDC4612" w:rsidR="00711D97" w:rsidRPr="001C60E2" w:rsidRDefault="00386746" w:rsidP="00711D97">
      <w:pPr>
        <w:spacing w:before="0" w:after="0"/>
        <w:rPr>
          <w:rFonts w:cs="Arial"/>
        </w:rPr>
      </w:pPr>
      <w:r w:rsidRPr="001C60E2">
        <w:rPr>
          <w:rFonts w:cs="Arial"/>
        </w:rPr>
        <w:t xml:space="preserve">Zakon o energetskoj učinkovitosti u članku </w:t>
      </w:r>
      <w:r w:rsidR="0035343D" w:rsidRPr="001C60E2">
        <w:rPr>
          <w:rFonts w:cs="Arial"/>
        </w:rPr>
        <w:t xml:space="preserve">12.a stavku </w:t>
      </w:r>
      <w:r w:rsidR="00091B9E" w:rsidRPr="001C60E2">
        <w:rPr>
          <w:rFonts w:cs="Arial"/>
        </w:rPr>
        <w:t xml:space="preserve">1. </w:t>
      </w:r>
      <w:r w:rsidR="00E62E38" w:rsidRPr="001C60E2">
        <w:rPr>
          <w:rFonts w:cs="Arial"/>
        </w:rPr>
        <w:t xml:space="preserve">utvrđuje </w:t>
      </w:r>
      <w:r w:rsidR="00DA17E3" w:rsidRPr="001C60E2">
        <w:rPr>
          <w:rFonts w:cs="Arial"/>
        </w:rPr>
        <w:t xml:space="preserve">da kumulativni cilj ušteda energije za razdoblje </w:t>
      </w:r>
      <w:r w:rsidR="00E463BB" w:rsidRPr="001C60E2">
        <w:rPr>
          <w:rFonts w:cs="Arial"/>
        </w:rPr>
        <w:t xml:space="preserve">od početka 2021. do kraja 2030. godine iznosi 2.993,7 </w:t>
      </w:r>
      <w:proofErr w:type="spellStart"/>
      <w:r w:rsidR="00E463BB" w:rsidRPr="001C60E2">
        <w:rPr>
          <w:rFonts w:cs="Arial"/>
        </w:rPr>
        <w:t>kten</w:t>
      </w:r>
      <w:proofErr w:type="spellEnd"/>
      <w:r w:rsidR="00E463BB" w:rsidRPr="001C60E2">
        <w:rPr>
          <w:rFonts w:cs="Arial"/>
        </w:rPr>
        <w:t>, a u stavku 3</w:t>
      </w:r>
      <w:r w:rsidR="00E62E38" w:rsidRPr="001C60E2">
        <w:rPr>
          <w:rFonts w:cs="Arial"/>
        </w:rPr>
        <w:t>.</w:t>
      </w:r>
      <w:r w:rsidR="00E463BB" w:rsidRPr="001C60E2">
        <w:rPr>
          <w:rFonts w:cs="Arial"/>
        </w:rPr>
        <w:t xml:space="preserve"> istoga članka </w:t>
      </w:r>
      <w:r w:rsidR="00091B9E" w:rsidRPr="001C60E2">
        <w:rPr>
          <w:rFonts w:cs="Arial"/>
        </w:rPr>
        <w:t xml:space="preserve">se utvrđuje da će se </w:t>
      </w:r>
      <w:r w:rsidR="00E62E38" w:rsidRPr="001C60E2">
        <w:rPr>
          <w:rFonts w:cs="Arial"/>
        </w:rPr>
        <w:t>najmanje</w:t>
      </w:r>
      <w:r w:rsidR="00711D97" w:rsidRPr="001C60E2">
        <w:rPr>
          <w:rFonts w:cs="Arial"/>
          <w:b/>
        </w:rPr>
        <w:t xml:space="preserve"> </w:t>
      </w:r>
      <w:r w:rsidR="0082784D" w:rsidRPr="001C60E2">
        <w:rPr>
          <w:rFonts w:cs="Arial"/>
          <w:b/>
        </w:rPr>
        <w:t>70</w:t>
      </w:r>
      <w:r w:rsidR="00711D97" w:rsidRPr="001C60E2">
        <w:rPr>
          <w:rFonts w:cs="Arial"/>
          <w:b/>
        </w:rPr>
        <w:t>% cilja</w:t>
      </w:r>
      <w:r w:rsidR="00711D97" w:rsidRPr="001C60E2">
        <w:rPr>
          <w:rFonts w:cs="Arial"/>
        </w:rPr>
        <w:t xml:space="preserve">, što iznosi kumulativno u cijelom razdoblju </w:t>
      </w:r>
      <w:r w:rsidR="0082784D" w:rsidRPr="001C60E2">
        <w:rPr>
          <w:rFonts w:cs="Arial"/>
        </w:rPr>
        <w:t>2.095</w:t>
      </w:r>
      <w:r w:rsidR="0020246B" w:rsidRPr="001C60E2">
        <w:rPr>
          <w:rFonts w:cs="Arial"/>
        </w:rPr>
        <w:t>,</w:t>
      </w:r>
      <w:r w:rsidR="0082784D" w:rsidRPr="001C60E2">
        <w:rPr>
          <w:rFonts w:cs="Arial"/>
        </w:rPr>
        <w:t xml:space="preserve">6 </w:t>
      </w:r>
      <w:proofErr w:type="spellStart"/>
      <w:r w:rsidR="00711D97" w:rsidRPr="001C60E2">
        <w:rPr>
          <w:rFonts w:cs="Arial"/>
        </w:rPr>
        <w:t>ktoe</w:t>
      </w:r>
      <w:proofErr w:type="spellEnd"/>
      <w:r w:rsidR="00711D97" w:rsidRPr="001C60E2">
        <w:rPr>
          <w:rFonts w:cs="Arial"/>
        </w:rPr>
        <w:t xml:space="preserve"> (</w:t>
      </w:r>
      <w:r w:rsidR="0082784D" w:rsidRPr="001C60E2">
        <w:rPr>
          <w:rFonts w:cs="Arial"/>
        </w:rPr>
        <w:t>87</w:t>
      </w:r>
      <w:r w:rsidR="0020246B" w:rsidRPr="001C60E2">
        <w:rPr>
          <w:rFonts w:cs="Arial"/>
        </w:rPr>
        <w:t>,</w:t>
      </w:r>
      <w:r w:rsidR="0082784D" w:rsidRPr="001C60E2">
        <w:rPr>
          <w:rFonts w:cs="Arial"/>
        </w:rPr>
        <w:t xml:space="preserve">7 </w:t>
      </w:r>
      <w:r w:rsidR="00711D97" w:rsidRPr="001C60E2">
        <w:rPr>
          <w:rFonts w:cs="Arial"/>
        </w:rPr>
        <w:t xml:space="preserve">PJ) odnosno na godišnjoj razini </w:t>
      </w:r>
      <w:r w:rsidR="00410C9D" w:rsidRPr="001C60E2">
        <w:rPr>
          <w:rFonts w:cs="Arial"/>
        </w:rPr>
        <w:t>38</w:t>
      </w:r>
      <w:r w:rsidR="00711D97" w:rsidRPr="001C60E2">
        <w:rPr>
          <w:rFonts w:cs="Arial"/>
        </w:rPr>
        <w:t>,</w:t>
      </w:r>
      <w:r w:rsidR="00410C9D" w:rsidRPr="001C60E2">
        <w:rPr>
          <w:rFonts w:cs="Arial"/>
        </w:rPr>
        <w:t xml:space="preserve">1 </w:t>
      </w:r>
      <w:proofErr w:type="spellStart"/>
      <w:r w:rsidR="00711D97" w:rsidRPr="001C60E2">
        <w:rPr>
          <w:rFonts w:cs="Arial"/>
        </w:rPr>
        <w:t>ktoe</w:t>
      </w:r>
      <w:proofErr w:type="spellEnd"/>
      <w:r w:rsidR="00711D97" w:rsidRPr="001C60E2">
        <w:rPr>
          <w:rFonts w:cs="Arial"/>
        </w:rPr>
        <w:t xml:space="preserve"> (</w:t>
      </w:r>
      <w:r w:rsidR="00410C9D" w:rsidRPr="001C60E2">
        <w:rPr>
          <w:rFonts w:cs="Arial"/>
        </w:rPr>
        <w:t>1</w:t>
      </w:r>
      <w:r w:rsidR="00711D97" w:rsidRPr="001C60E2">
        <w:rPr>
          <w:rFonts w:cs="Arial"/>
        </w:rPr>
        <w:t>,</w:t>
      </w:r>
      <w:r w:rsidR="00410C9D" w:rsidRPr="001C60E2">
        <w:rPr>
          <w:rFonts w:cs="Arial"/>
        </w:rPr>
        <w:t xml:space="preserve">6 </w:t>
      </w:r>
      <w:r w:rsidR="00711D97" w:rsidRPr="001C60E2">
        <w:rPr>
          <w:rFonts w:cs="Arial"/>
        </w:rPr>
        <w:t>PJ)</w:t>
      </w:r>
      <w:r w:rsidR="00E62E38" w:rsidRPr="001C60E2">
        <w:rPr>
          <w:rFonts w:cs="Arial"/>
        </w:rPr>
        <w:t xml:space="preserve">, ostvariti </w:t>
      </w:r>
      <w:r w:rsidR="0054162E" w:rsidRPr="001C60E2">
        <w:rPr>
          <w:rFonts w:cs="Arial"/>
        </w:rPr>
        <w:t>sustavom obveze energetske učinkovitosti</w:t>
      </w:r>
      <w:r w:rsidR="00711D97" w:rsidRPr="001C60E2">
        <w:rPr>
          <w:rFonts w:cs="Arial"/>
        </w:rPr>
        <w:t>.</w:t>
      </w:r>
      <w:r w:rsidR="00473314" w:rsidRPr="001C60E2">
        <w:rPr>
          <w:rFonts w:cs="Arial"/>
        </w:rPr>
        <w:t xml:space="preserve"> Ciljevi za svako sljedeće razdoblje kumuliranja utvrđuju se u Integriranom nacionalnom energetskom i klimatskom planu. </w:t>
      </w:r>
    </w:p>
    <w:p w14:paraId="476C0D2B" w14:textId="77777777" w:rsidR="00847691" w:rsidRPr="001C60E2" w:rsidRDefault="00847691" w:rsidP="00711D97">
      <w:pPr>
        <w:spacing w:before="0" w:after="0"/>
        <w:rPr>
          <w:rFonts w:cs="Arial"/>
        </w:rPr>
      </w:pPr>
    </w:p>
    <w:p w14:paraId="40ADECA2" w14:textId="77777777" w:rsidR="00BA55FE" w:rsidRPr="001C60E2" w:rsidRDefault="00BA55FE" w:rsidP="00711D97">
      <w:pPr>
        <w:spacing w:before="0" w:after="0"/>
        <w:rPr>
          <w:rFonts w:cs="Arial"/>
          <w:b/>
          <w:bCs/>
          <w:u w:val="single"/>
        </w:rPr>
      </w:pPr>
    </w:p>
    <w:p w14:paraId="7570EDDE" w14:textId="77777777" w:rsidR="00BA55FE" w:rsidRPr="001C60E2" w:rsidRDefault="00BA55FE" w:rsidP="00711D97">
      <w:pPr>
        <w:spacing w:before="0" w:after="0"/>
        <w:rPr>
          <w:rFonts w:cs="Arial"/>
          <w:b/>
          <w:bCs/>
          <w:u w:val="single"/>
        </w:rPr>
      </w:pPr>
    </w:p>
    <w:p w14:paraId="23C581FE" w14:textId="6E595DD0" w:rsidR="00847691" w:rsidRPr="001C60E2" w:rsidRDefault="008D5255" w:rsidP="00BA55FE">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rPr>
          <w:rFonts w:cs="Arial"/>
          <w:b/>
          <w:bCs/>
        </w:rPr>
      </w:pPr>
      <w:r w:rsidRPr="001C60E2">
        <w:rPr>
          <w:rFonts w:cs="Arial"/>
          <w:b/>
          <w:bCs/>
          <w:u w:val="single"/>
        </w:rPr>
        <w:lastRenderedPageBreak/>
        <w:t>Važna n</w:t>
      </w:r>
      <w:r w:rsidR="00847691" w:rsidRPr="001C60E2">
        <w:rPr>
          <w:rFonts w:cs="Arial"/>
          <w:b/>
          <w:bCs/>
          <w:u w:val="single"/>
        </w:rPr>
        <w:t>apomena</w:t>
      </w:r>
      <w:r w:rsidR="00847691" w:rsidRPr="001C60E2">
        <w:rPr>
          <w:rFonts w:cs="Arial"/>
          <w:b/>
          <w:bCs/>
        </w:rPr>
        <w:t xml:space="preserve">: </w:t>
      </w:r>
      <w:r w:rsidR="00847691" w:rsidRPr="001C60E2">
        <w:rPr>
          <w:rFonts w:cs="Arial"/>
        </w:rPr>
        <w:t>Raspodjela cilja između sustava obveza energetske učinkovitosti</w:t>
      </w:r>
      <w:r w:rsidR="006827EB" w:rsidRPr="001C60E2">
        <w:rPr>
          <w:rFonts w:cs="Arial"/>
        </w:rPr>
        <w:t xml:space="preserve"> i alternativnih mjera za novi cilj prema reviziji Direktive iz 2023. godine </w:t>
      </w:r>
      <w:r w:rsidR="00B50950" w:rsidRPr="001C60E2">
        <w:rPr>
          <w:rFonts w:cs="Arial"/>
        </w:rPr>
        <w:t>nije još utvrđen te će se utvrditi u procesu dovršetka revizije NECP-a do kraja lipnja 2024. godine t</w:t>
      </w:r>
      <w:r w:rsidRPr="001C60E2">
        <w:rPr>
          <w:rFonts w:cs="Arial"/>
        </w:rPr>
        <w:t>e, ukoliko ej potrebno, kroz izmjene zakonskog okvira.</w:t>
      </w:r>
      <w:r w:rsidRPr="001C60E2">
        <w:rPr>
          <w:rFonts w:cs="Arial"/>
          <w:b/>
          <w:bCs/>
        </w:rPr>
        <w:t xml:space="preserve"> </w:t>
      </w:r>
      <w:r w:rsidR="006827EB" w:rsidRPr="001C60E2">
        <w:rPr>
          <w:rFonts w:cs="Arial"/>
          <w:b/>
          <w:bCs/>
        </w:rPr>
        <w:t xml:space="preserve"> </w:t>
      </w:r>
      <w:r w:rsidR="00847691" w:rsidRPr="001C60E2">
        <w:rPr>
          <w:rFonts w:cs="Arial"/>
          <w:b/>
          <w:bCs/>
        </w:rPr>
        <w:t xml:space="preserve"> </w:t>
      </w:r>
    </w:p>
    <w:p w14:paraId="5D21AB04" w14:textId="77777777" w:rsidR="00DA17E3" w:rsidRPr="001C60E2" w:rsidRDefault="00DA17E3" w:rsidP="00711D97">
      <w:pPr>
        <w:spacing w:before="0" w:after="0"/>
        <w:rPr>
          <w:rFonts w:cs="Arial"/>
        </w:rPr>
      </w:pPr>
    </w:p>
    <w:p w14:paraId="1DCBF29C" w14:textId="77777777" w:rsidR="00711D97" w:rsidRPr="001C60E2" w:rsidRDefault="00711D97" w:rsidP="00711D97">
      <w:pPr>
        <w:pStyle w:val="PointManual1"/>
        <w:numPr>
          <w:ilvl w:val="0"/>
          <w:numId w:val="13"/>
        </w:numPr>
        <w:spacing w:before="0" w:after="0" w:line="276" w:lineRule="auto"/>
        <w:rPr>
          <w:rFonts w:ascii="Arial" w:hAnsi="Arial" w:cs="Arial"/>
          <w:i/>
          <w:sz w:val="22"/>
        </w:rPr>
      </w:pPr>
      <w:r w:rsidRPr="001C60E2">
        <w:rPr>
          <w:rFonts w:ascii="Arial" w:hAnsi="Arial" w:cs="Arial"/>
          <w:i/>
          <w:sz w:val="22"/>
        </w:rPr>
        <w:t>stranke obveznice i njihove odgovornosti</w:t>
      </w:r>
    </w:p>
    <w:p w14:paraId="60250168" w14:textId="2A78230E" w:rsidR="00711D97" w:rsidRPr="001C60E2" w:rsidRDefault="00711D97" w:rsidP="0024143D">
      <w:pPr>
        <w:pStyle w:val="PointManual1"/>
        <w:spacing w:before="0" w:after="0" w:line="276" w:lineRule="auto"/>
        <w:ind w:left="0" w:firstLine="0"/>
        <w:jc w:val="both"/>
        <w:rPr>
          <w:rFonts w:ascii="Arial" w:hAnsi="Arial" w:cs="Arial"/>
          <w:sz w:val="22"/>
        </w:rPr>
      </w:pPr>
      <w:r w:rsidRPr="001C60E2">
        <w:rPr>
          <w:rFonts w:ascii="Arial" w:hAnsi="Arial" w:cs="Arial"/>
          <w:sz w:val="22"/>
        </w:rPr>
        <w:t>Stranke obveznice su opskrbljivači energije i to od 2021.godine i za sve godine nakon nje</w:t>
      </w:r>
      <w:r w:rsidR="00560291" w:rsidRPr="001C60E2">
        <w:rPr>
          <w:rFonts w:ascii="Arial" w:hAnsi="Arial" w:cs="Arial"/>
          <w:sz w:val="22"/>
        </w:rPr>
        <w:t xml:space="preserve"> </w:t>
      </w:r>
      <w:r w:rsidRPr="001C60E2">
        <w:rPr>
          <w:rFonts w:ascii="Arial" w:hAnsi="Arial" w:cs="Arial"/>
          <w:sz w:val="22"/>
        </w:rPr>
        <w:t xml:space="preserve">svi oni opskrbljivači koji su na tržište isporučili više od 50 GWh energije tijekom pretprošle godine. </w:t>
      </w:r>
    </w:p>
    <w:p w14:paraId="06B3D8B0" w14:textId="77777777" w:rsidR="00711D97" w:rsidRPr="001C60E2" w:rsidRDefault="00711D97" w:rsidP="00711D97">
      <w:pPr>
        <w:pStyle w:val="PointManual1"/>
        <w:spacing w:before="0" w:after="0" w:line="276" w:lineRule="auto"/>
        <w:ind w:left="0" w:firstLine="0"/>
        <w:rPr>
          <w:rFonts w:ascii="Arial" w:hAnsi="Arial" w:cs="Arial"/>
          <w:i/>
          <w:sz w:val="22"/>
          <w:highlight w:val="yellow"/>
        </w:rPr>
      </w:pPr>
    </w:p>
    <w:p w14:paraId="3C8C8C9D" w14:textId="77777777" w:rsidR="00711D97" w:rsidRPr="001C60E2" w:rsidRDefault="00711D97" w:rsidP="00711D97">
      <w:pPr>
        <w:pStyle w:val="PointManual1"/>
        <w:numPr>
          <w:ilvl w:val="0"/>
          <w:numId w:val="13"/>
        </w:numPr>
        <w:spacing w:before="0" w:after="0" w:line="276" w:lineRule="auto"/>
        <w:rPr>
          <w:rFonts w:ascii="Arial" w:hAnsi="Arial" w:cs="Arial"/>
          <w:i/>
          <w:sz w:val="22"/>
        </w:rPr>
      </w:pPr>
      <w:r w:rsidRPr="001C60E2">
        <w:rPr>
          <w:rFonts w:ascii="Arial" w:hAnsi="Arial" w:cs="Arial"/>
          <w:i/>
          <w:sz w:val="22"/>
        </w:rPr>
        <w:t>ciljani sektori</w:t>
      </w:r>
    </w:p>
    <w:p w14:paraId="76FB311B" w14:textId="4DE829C6" w:rsidR="00711D97" w:rsidRPr="001C60E2" w:rsidRDefault="00711D97" w:rsidP="00711D97">
      <w:pPr>
        <w:spacing w:before="0" w:after="0"/>
        <w:rPr>
          <w:rFonts w:cs="Arial"/>
        </w:rPr>
      </w:pPr>
      <w:r w:rsidRPr="001C60E2">
        <w:rPr>
          <w:rFonts w:cs="Arial"/>
        </w:rPr>
        <w:t>Ciljani sektori za ostvarenje ušteda energije nisu propisani</w:t>
      </w:r>
      <w:r w:rsidR="004C2550" w:rsidRPr="001C60E2">
        <w:rPr>
          <w:rFonts w:cs="Arial"/>
        </w:rPr>
        <w:t>, tj. ušteda se može ostvariti u bilo kojem sektoru neposredne potrošnje</w:t>
      </w:r>
      <w:r w:rsidR="00222F5E" w:rsidRPr="001C60E2">
        <w:rPr>
          <w:rFonts w:cs="Arial"/>
        </w:rPr>
        <w:t xml:space="preserve">, ne isključujući pri tome ulaganja u opremu za proizvodnju električne energije i samoopskrbu energijom, male i </w:t>
      </w:r>
      <w:proofErr w:type="spellStart"/>
      <w:r w:rsidR="00222F5E" w:rsidRPr="001C60E2">
        <w:rPr>
          <w:rFonts w:cs="Arial"/>
        </w:rPr>
        <w:t>mikrokogenracije</w:t>
      </w:r>
      <w:proofErr w:type="spellEnd"/>
      <w:r w:rsidR="00E76873" w:rsidRPr="001C60E2">
        <w:rPr>
          <w:rFonts w:cs="Arial"/>
        </w:rPr>
        <w:t xml:space="preserve">, napredna brojila za očitanje potrošnje energije kod krajnjih kupaca i sva druga ulaganja u mjere za poboljšanja </w:t>
      </w:r>
      <w:r w:rsidR="000A626B" w:rsidRPr="001C60E2">
        <w:rPr>
          <w:rFonts w:cs="Arial"/>
        </w:rPr>
        <w:t xml:space="preserve">energetske učinkovitosti za koje stranka </w:t>
      </w:r>
      <w:r w:rsidR="00BC45EC" w:rsidRPr="001C60E2">
        <w:rPr>
          <w:rFonts w:cs="Arial"/>
        </w:rPr>
        <w:t>obveznica</w:t>
      </w:r>
      <w:r w:rsidR="000A626B" w:rsidRPr="001C60E2">
        <w:rPr>
          <w:rFonts w:cs="Arial"/>
        </w:rPr>
        <w:t xml:space="preserve"> dokaže ostvarenje nove uštede. Prihvatljive su i uštede</w:t>
      </w:r>
      <w:r w:rsidR="00BC45EC" w:rsidRPr="001C60E2">
        <w:rPr>
          <w:rFonts w:cs="Arial"/>
        </w:rPr>
        <w:t xml:space="preserve"> iz ulaganja u mjere za poboljšanje </w:t>
      </w:r>
      <w:r w:rsidR="00B24FC5" w:rsidRPr="001C60E2">
        <w:rPr>
          <w:rFonts w:cs="Arial"/>
        </w:rPr>
        <w:t>energetske</w:t>
      </w:r>
      <w:r w:rsidR="00BC45EC" w:rsidRPr="001C60E2">
        <w:rPr>
          <w:rFonts w:cs="Arial"/>
        </w:rPr>
        <w:t xml:space="preserve"> </w:t>
      </w:r>
      <w:r w:rsidR="00B24FC5" w:rsidRPr="001C60E2">
        <w:rPr>
          <w:rFonts w:cs="Arial"/>
        </w:rPr>
        <w:t>učinkovitosti</w:t>
      </w:r>
      <w:r w:rsidR="00BC45EC" w:rsidRPr="001C60E2">
        <w:rPr>
          <w:rFonts w:cs="Arial"/>
        </w:rPr>
        <w:t xml:space="preserve"> u sektorima pretvorbe i distribucije energije, uključujući i infrastrukturu za daljinsko grijanje i hlađenje. </w:t>
      </w:r>
    </w:p>
    <w:p w14:paraId="5111FCDD" w14:textId="77777777" w:rsidR="00B16FCE" w:rsidRPr="001C60E2" w:rsidRDefault="00B16FCE" w:rsidP="00711D97">
      <w:pPr>
        <w:spacing w:before="0" w:after="0"/>
        <w:rPr>
          <w:rFonts w:cs="Arial"/>
          <w:highlight w:val="yellow"/>
        </w:rPr>
      </w:pPr>
    </w:p>
    <w:p w14:paraId="66F9C7FD" w14:textId="77777777" w:rsidR="00711D97" w:rsidRPr="001C60E2" w:rsidRDefault="00711D97" w:rsidP="00711D97">
      <w:pPr>
        <w:pStyle w:val="PointManual1"/>
        <w:numPr>
          <w:ilvl w:val="0"/>
          <w:numId w:val="13"/>
        </w:numPr>
        <w:spacing w:before="0" w:after="0" w:line="276" w:lineRule="auto"/>
        <w:rPr>
          <w:rFonts w:ascii="Arial" w:hAnsi="Arial" w:cs="Arial"/>
          <w:i/>
          <w:sz w:val="22"/>
        </w:rPr>
      </w:pPr>
      <w:r w:rsidRPr="001C60E2">
        <w:rPr>
          <w:rFonts w:ascii="Arial" w:hAnsi="Arial" w:cs="Arial"/>
          <w:i/>
          <w:sz w:val="22"/>
        </w:rPr>
        <w:t>prihvatljive aktivnosti predviđene u okviru mjere</w:t>
      </w:r>
    </w:p>
    <w:p w14:paraId="177A1C04" w14:textId="77777777" w:rsidR="00711D97" w:rsidRPr="001C60E2" w:rsidRDefault="00711D97" w:rsidP="00711D97">
      <w:pPr>
        <w:spacing w:before="0" w:after="0"/>
      </w:pPr>
      <w:r w:rsidRPr="001C60E2">
        <w:rPr>
          <w:rFonts w:cs="Arial"/>
        </w:rPr>
        <w:t xml:space="preserve">Stranke obveznice obvezu ostvaruju: </w:t>
      </w:r>
    </w:p>
    <w:p w14:paraId="42917688" w14:textId="2CA12B6A" w:rsidR="00711D97" w:rsidRPr="001C60E2" w:rsidRDefault="00560291" w:rsidP="00711D97">
      <w:pPr>
        <w:pStyle w:val="t-9-8"/>
        <w:numPr>
          <w:ilvl w:val="0"/>
          <w:numId w:val="15"/>
        </w:numPr>
        <w:spacing w:before="0" w:beforeAutospacing="0" w:after="0" w:afterAutospacing="0"/>
        <w:ind w:left="714" w:hanging="357"/>
        <w:jc w:val="both"/>
        <w:textAlignment w:val="baseline"/>
        <w:rPr>
          <w:rFonts w:ascii="Arial" w:eastAsia="Calibri" w:hAnsi="Arial" w:cs="Arial"/>
          <w:sz w:val="22"/>
          <w:szCs w:val="22"/>
          <w:lang w:eastAsia="en-US"/>
        </w:rPr>
      </w:pPr>
      <w:r w:rsidRPr="001C60E2">
        <w:rPr>
          <w:rFonts w:ascii="Arial" w:eastAsia="Calibri" w:hAnsi="Arial" w:cs="Arial"/>
          <w:sz w:val="22"/>
          <w:szCs w:val="22"/>
          <w:lang w:eastAsia="en-US"/>
        </w:rPr>
        <w:t xml:space="preserve">ulaganjem u poboljšanje energetske učinkovitosti i poticanjem energetske učinkovitosti u krajnjoj potrošnji, i to na način da se ta ulaganja ostvare kao nove uštede energije, ne isključujući ulaganja u opremu za proizvodnju električne energije i samoopskrbu energijom, male i </w:t>
      </w:r>
      <w:proofErr w:type="spellStart"/>
      <w:r w:rsidRPr="001C60E2">
        <w:rPr>
          <w:rFonts w:ascii="Arial" w:eastAsia="Calibri" w:hAnsi="Arial" w:cs="Arial"/>
          <w:sz w:val="22"/>
          <w:szCs w:val="22"/>
          <w:lang w:eastAsia="en-US"/>
        </w:rPr>
        <w:t>mikrokogeneracije</w:t>
      </w:r>
      <w:proofErr w:type="spellEnd"/>
      <w:r w:rsidRPr="001C60E2">
        <w:rPr>
          <w:rFonts w:ascii="Arial" w:eastAsia="Calibri" w:hAnsi="Arial" w:cs="Arial"/>
          <w:sz w:val="22"/>
          <w:szCs w:val="22"/>
          <w:lang w:eastAsia="en-US"/>
        </w:rPr>
        <w:t>, napredna brojila za očitanje potrošnje energije kod krajnjih kupaca, odnosno kupaca energije i sva druga ulaganja i poticanja za koje stranka obveznica dokaže novu uštedu</w:t>
      </w:r>
      <w:r w:rsidR="00711D97" w:rsidRPr="001C60E2">
        <w:rPr>
          <w:rFonts w:ascii="Arial" w:eastAsia="Calibri" w:hAnsi="Arial" w:cs="Arial"/>
          <w:sz w:val="22"/>
          <w:szCs w:val="22"/>
          <w:lang w:eastAsia="en-US"/>
        </w:rPr>
        <w:t>;</w:t>
      </w:r>
    </w:p>
    <w:p w14:paraId="55A3AE85" w14:textId="1AA37AB9" w:rsidR="00B24FC5" w:rsidRPr="001C60E2" w:rsidRDefault="00B24FC5" w:rsidP="00711D97">
      <w:pPr>
        <w:pStyle w:val="t-9-8"/>
        <w:numPr>
          <w:ilvl w:val="0"/>
          <w:numId w:val="15"/>
        </w:numPr>
        <w:spacing w:before="0" w:beforeAutospacing="0" w:after="0" w:afterAutospacing="0"/>
        <w:ind w:left="714" w:hanging="357"/>
        <w:jc w:val="both"/>
        <w:textAlignment w:val="baseline"/>
        <w:rPr>
          <w:rFonts w:ascii="Arial" w:eastAsia="Calibri" w:hAnsi="Arial" w:cs="Arial"/>
          <w:sz w:val="22"/>
          <w:szCs w:val="22"/>
          <w:lang w:eastAsia="en-US"/>
        </w:rPr>
      </w:pPr>
      <w:r w:rsidRPr="001C60E2">
        <w:rPr>
          <w:rFonts w:ascii="Arial" w:eastAsia="Calibri" w:hAnsi="Arial" w:cs="Arial"/>
          <w:sz w:val="22"/>
          <w:szCs w:val="22"/>
          <w:lang w:eastAsia="en-US"/>
        </w:rPr>
        <w:t>ulaganja u mjere za poboljšanje energetske učinkovitosti u sektorima pretvorbe i distribucije energije, uključujući i infrastrukturu za daljinsko grijanje i hlađenje</w:t>
      </w:r>
    </w:p>
    <w:p w14:paraId="617D1845" w14:textId="4AE9267B" w:rsidR="00711D97" w:rsidRPr="001C60E2" w:rsidRDefault="00711D97" w:rsidP="00711D97">
      <w:pPr>
        <w:pStyle w:val="t-9-8"/>
        <w:numPr>
          <w:ilvl w:val="0"/>
          <w:numId w:val="15"/>
        </w:numPr>
        <w:spacing w:before="0" w:beforeAutospacing="0" w:after="0" w:afterAutospacing="0"/>
        <w:ind w:left="714" w:hanging="357"/>
        <w:jc w:val="both"/>
        <w:textAlignment w:val="baseline"/>
        <w:rPr>
          <w:rFonts w:ascii="Arial" w:eastAsia="Calibri" w:hAnsi="Arial" w:cs="Arial"/>
          <w:sz w:val="22"/>
          <w:szCs w:val="22"/>
          <w:lang w:eastAsia="en-US"/>
        </w:rPr>
      </w:pPr>
      <w:r w:rsidRPr="001C60E2">
        <w:rPr>
          <w:rFonts w:ascii="Arial" w:eastAsia="Calibri" w:hAnsi="Arial" w:cs="Arial"/>
          <w:sz w:val="22"/>
          <w:szCs w:val="22"/>
          <w:lang w:eastAsia="en-US"/>
        </w:rPr>
        <w:t xml:space="preserve">kupnjom </w:t>
      </w:r>
      <w:r w:rsidR="00560291" w:rsidRPr="001C60E2">
        <w:rPr>
          <w:rFonts w:ascii="Arial" w:eastAsia="Calibri" w:hAnsi="Arial" w:cs="Arial"/>
          <w:sz w:val="22"/>
          <w:szCs w:val="22"/>
          <w:lang w:eastAsia="en-US"/>
        </w:rPr>
        <w:t>utvrđenih ušteda energije</w:t>
      </w:r>
      <w:r w:rsidRPr="001C60E2">
        <w:rPr>
          <w:rFonts w:ascii="Arial" w:eastAsia="Calibri" w:hAnsi="Arial" w:cs="Arial"/>
          <w:sz w:val="22"/>
          <w:szCs w:val="22"/>
          <w:lang w:eastAsia="en-US"/>
        </w:rPr>
        <w:t>;</w:t>
      </w:r>
    </w:p>
    <w:p w14:paraId="1718F93E" w14:textId="77777777" w:rsidR="00711D97" w:rsidRPr="001C60E2" w:rsidRDefault="00711D97" w:rsidP="00711D97">
      <w:pPr>
        <w:pStyle w:val="t-9-8"/>
        <w:numPr>
          <w:ilvl w:val="0"/>
          <w:numId w:val="15"/>
        </w:numPr>
        <w:spacing w:before="0" w:beforeAutospacing="0" w:after="0" w:afterAutospacing="0"/>
        <w:ind w:left="714" w:hanging="357"/>
        <w:jc w:val="both"/>
        <w:textAlignment w:val="baseline"/>
        <w:rPr>
          <w:rFonts w:ascii="Arial" w:eastAsia="Calibri" w:hAnsi="Arial" w:cs="Arial"/>
          <w:sz w:val="22"/>
          <w:szCs w:val="22"/>
          <w:lang w:eastAsia="en-US"/>
        </w:rPr>
      </w:pPr>
      <w:r w:rsidRPr="001C60E2">
        <w:rPr>
          <w:rFonts w:ascii="Arial" w:eastAsia="Calibri" w:hAnsi="Arial" w:cs="Arial"/>
          <w:sz w:val="22"/>
          <w:szCs w:val="22"/>
          <w:lang w:eastAsia="en-US"/>
        </w:rPr>
        <w:t xml:space="preserve">uplatom odgovarajuće naknade u Fond za zaštitu okoliša i energetsku učinkovitost; </w:t>
      </w:r>
    </w:p>
    <w:p w14:paraId="341E81C3" w14:textId="6D7621E9" w:rsidR="00711D97" w:rsidRPr="001C60E2" w:rsidRDefault="00711D97" w:rsidP="00711D97">
      <w:pPr>
        <w:pStyle w:val="t-9-8"/>
        <w:numPr>
          <w:ilvl w:val="0"/>
          <w:numId w:val="15"/>
        </w:numPr>
        <w:spacing w:before="0" w:beforeAutospacing="0" w:after="0" w:afterAutospacing="0"/>
        <w:ind w:left="714" w:hanging="357"/>
        <w:jc w:val="both"/>
        <w:textAlignment w:val="baseline"/>
        <w:rPr>
          <w:rFonts w:ascii="Arial" w:eastAsia="Calibri" w:hAnsi="Arial" w:cs="Arial"/>
          <w:sz w:val="22"/>
          <w:szCs w:val="22"/>
          <w:lang w:eastAsia="en-US"/>
        </w:rPr>
      </w:pPr>
      <w:r w:rsidRPr="001C60E2">
        <w:rPr>
          <w:rFonts w:ascii="Arial" w:eastAsia="Calibri" w:hAnsi="Arial" w:cs="Arial"/>
          <w:sz w:val="22"/>
          <w:szCs w:val="22"/>
          <w:lang w:eastAsia="en-US"/>
        </w:rPr>
        <w:t xml:space="preserve">ulaganjem i poticanjem koje dovodi do većeg učinka nego što bi to imala mjera učinjena </w:t>
      </w:r>
      <w:r w:rsidR="004C2550" w:rsidRPr="001C60E2">
        <w:rPr>
          <w:rFonts w:ascii="Arial" w:eastAsia="Calibri" w:hAnsi="Arial" w:cs="Arial"/>
          <w:sz w:val="22"/>
          <w:szCs w:val="22"/>
          <w:lang w:eastAsia="en-US"/>
        </w:rPr>
        <w:t>na razini koju nalažu propisi i tehnički standardi;</w:t>
      </w:r>
    </w:p>
    <w:p w14:paraId="1164DF33" w14:textId="6BD9E18B" w:rsidR="00711D97" w:rsidRPr="001C60E2" w:rsidRDefault="00711D97" w:rsidP="00711D97">
      <w:pPr>
        <w:pStyle w:val="t-9-8"/>
        <w:numPr>
          <w:ilvl w:val="0"/>
          <w:numId w:val="15"/>
        </w:numPr>
        <w:spacing w:before="0" w:beforeAutospacing="0" w:after="0" w:afterAutospacing="0"/>
        <w:ind w:left="714" w:hanging="357"/>
        <w:jc w:val="both"/>
        <w:textAlignment w:val="baseline"/>
        <w:rPr>
          <w:rFonts w:ascii="Arial" w:eastAsia="Calibri" w:hAnsi="Arial" w:cs="Arial"/>
          <w:sz w:val="22"/>
          <w:szCs w:val="22"/>
          <w:lang w:eastAsia="en-US"/>
        </w:rPr>
      </w:pPr>
      <w:r w:rsidRPr="001C60E2">
        <w:rPr>
          <w:rFonts w:ascii="Arial" w:eastAsia="Calibri" w:hAnsi="Arial" w:cs="Arial"/>
          <w:sz w:val="22"/>
          <w:szCs w:val="22"/>
          <w:lang w:eastAsia="en-US"/>
        </w:rPr>
        <w:t>ulaganjem i poticanjem mjer</w:t>
      </w:r>
      <w:r w:rsidR="004C2550" w:rsidRPr="001C60E2">
        <w:rPr>
          <w:rFonts w:ascii="Arial" w:eastAsia="Calibri" w:hAnsi="Arial" w:cs="Arial"/>
          <w:sz w:val="22"/>
          <w:szCs w:val="22"/>
          <w:lang w:eastAsia="en-US"/>
        </w:rPr>
        <w:t>a</w:t>
      </w:r>
      <w:r w:rsidRPr="001C60E2">
        <w:rPr>
          <w:rFonts w:ascii="Arial" w:eastAsia="Calibri" w:hAnsi="Arial" w:cs="Arial"/>
          <w:sz w:val="22"/>
          <w:szCs w:val="22"/>
          <w:lang w:eastAsia="en-US"/>
        </w:rPr>
        <w:t xml:space="preserve"> ili aktivnosti </w:t>
      </w:r>
      <w:r w:rsidR="004C2550" w:rsidRPr="001C60E2">
        <w:rPr>
          <w:rFonts w:ascii="Arial" w:eastAsia="Calibri" w:hAnsi="Arial" w:cs="Arial"/>
          <w:sz w:val="22"/>
          <w:szCs w:val="22"/>
          <w:lang w:eastAsia="en-US"/>
        </w:rPr>
        <w:t xml:space="preserve">u dijelu u kojem, </w:t>
      </w:r>
      <w:r w:rsidRPr="001C60E2">
        <w:rPr>
          <w:rFonts w:ascii="Arial" w:eastAsia="Calibri" w:hAnsi="Arial" w:cs="Arial"/>
          <w:sz w:val="22"/>
          <w:szCs w:val="22"/>
          <w:lang w:eastAsia="en-US"/>
        </w:rPr>
        <w:t>u trenutku kada se ulaganje ugovara ili započinje izvoditi</w:t>
      </w:r>
      <w:r w:rsidR="004C2550" w:rsidRPr="001C60E2">
        <w:rPr>
          <w:rFonts w:ascii="Arial" w:eastAsia="Calibri" w:hAnsi="Arial" w:cs="Arial"/>
          <w:sz w:val="22"/>
          <w:szCs w:val="22"/>
          <w:lang w:eastAsia="en-US"/>
        </w:rPr>
        <w:t xml:space="preserve">, </w:t>
      </w:r>
      <w:r w:rsidRPr="001C60E2">
        <w:rPr>
          <w:rFonts w:ascii="Arial" w:eastAsia="Calibri" w:hAnsi="Arial" w:cs="Arial"/>
          <w:sz w:val="22"/>
          <w:szCs w:val="22"/>
          <w:lang w:eastAsia="en-US"/>
        </w:rPr>
        <w:t xml:space="preserve">nisu već obuhvaćene </w:t>
      </w:r>
      <w:r w:rsidR="004C2550" w:rsidRPr="001C60E2">
        <w:rPr>
          <w:rFonts w:ascii="Arial" w:eastAsia="Calibri" w:hAnsi="Arial" w:cs="Arial"/>
          <w:sz w:val="22"/>
          <w:szCs w:val="22"/>
          <w:lang w:eastAsia="en-US"/>
        </w:rPr>
        <w:t xml:space="preserve">alternativnim </w:t>
      </w:r>
      <w:r w:rsidRPr="001C60E2">
        <w:rPr>
          <w:rFonts w:ascii="Arial" w:eastAsia="Calibri" w:hAnsi="Arial" w:cs="Arial"/>
          <w:sz w:val="22"/>
          <w:szCs w:val="22"/>
          <w:lang w:eastAsia="en-US"/>
        </w:rPr>
        <w:t>mjerama</w:t>
      </w:r>
      <w:r w:rsidR="004C2550" w:rsidRPr="001C60E2">
        <w:rPr>
          <w:rFonts w:ascii="Arial" w:eastAsia="Calibri" w:hAnsi="Arial" w:cs="Arial"/>
          <w:sz w:val="22"/>
          <w:szCs w:val="22"/>
          <w:lang w:eastAsia="en-US"/>
        </w:rPr>
        <w:t>, a radi izbjegavanja dvostrukog obračuna ušteda</w:t>
      </w:r>
      <w:r w:rsidRPr="001C60E2">
        <w:rPr>
          <w:rFonts w:ascii="Arial" w:eastAsia="Calibri" w:hAnsi="Arial" w:cs="Arial"/>
          <w:sz w:val="22"/>
          <w:szCs w:val="22"/>
          <w:lang w:eastAsia="en-US"/>
        </w:rPr>
        <w:t>.</w:t>
      </w:r>
    </w:p>
    <w:p w14:paraId="65D35455" w14:textId="77777777" w:rsidR="00711D97" w:rsidRPr="001C60E2" w:rsidRDefault="00711D97" w:rsidP="00711D97">
      <w:pPr>
        <w:pStyle w:val="PointManual1"/>
        <w:spacing w:before="0" w:after="0" w:line="276" w:lineRule="auto"/>
        <w:ind w:left="0" w:firstLine="0"/>
        <w:rPr>
          <w:rFonts w:ascii="Arial" w:hAnsi="Arial" w:cs="Arial"/>
          <w:i/>
          <w:sz w:val="22"/>
          <w:highlight w:val="yellow"/>
        </w:rPr>
      </w:pPr>
    </w:p>
    <w:p w14:paraId="7757328B" w14:textId="77777777" w:rsidR="00711D97" w:rsidRPr="001C60E2" w:rsidRDefault="00711D97" w:rsidP="00711D97">
      <w:pPr>
        <w:pStyle w:val="PointManual1"/>
        <w:numPr>
          <w:ilvl w:val="0"/>
          <w:numId w:val="13"/>
        </w:numPr>
        <w:spacing w:before="0" w:after="0" w:line="276" w:lineRule="auto"/>
        <w:rPr>
          <w:rFonts w:ascii="Arial" w:hAnsi="Arial" w:cs="Arial"/>
          <w:i/>
          <w:sz w:val="22"/>
        </w:rPr>
      </w:pPr>
      <w:r w:rsidRPr="001C60E2">
        <w:rPr>
          <w:rFonts w:ascii="Arial" w:hAnsi="Arial" w:cs="Arial"/>
          <w:i/>
          <w:sz w:val="22"/>
        </w:rPr>
        <w:t>informacije o primjeni sljedećih odredbi Direktive 2012/27/EU:</w:t>
      </w:r>
    </w:p>
    <w:p w14:paraId="673AED63" w14:textId="0AA5FC27" w:rsidR="00711D97" w:rsidRPr="001C60E2" w:rsidRDefault="0084645B" w:rsidP="0084645B">
      <w:pPr>
        <w:pStyle w:val="PointManual1"/>
        <w:numPr>
          <w:ilvl w:val="1"/>
          <w:numId w:val="14"/>
        </w:numPr>
        <w:spacing w:before="0" w:after="0" w:line="276" w:lineRule="auto"/>
        <w:rPr>
          <w:rFonts w:ascii="Arial" w:hAnsi="Arial" w:cs="Arial"/>
          <w:i/>
          <w:sz w:val="22"/>
        </w:rPr>
      </w:pPr>
      <w:r w:rsidRPr="001C60E2">
        <w:rPr>
          <w:rFonts w:ascii="Arial" w:hAnsi="Arial" w:cs="Arial"/>
          <w:i/>
          <w:sz w:val="22"/>
        </w:rPr>
        <w:t>ako je primjenjivo, posebn</w:t>
      </w:r>
      <w:r w:rsidR="00374DAE" w:rsidRPr="001C60E2">
        <w:rPr>
          <w:rFonts w:ascii="Arial" w:hAnsi="Arial" w:cs="Arial"/>
          <w:i/>
          <w:sz w:val="22"/>
        </w:rPr>
        <w:t>e</w:t>
      </w:r>
      <w:r w:rsidRPr="001C60E2">
        <w:rPr>
          <w:rFonts w:ascii="Arial" w:hAnsi="Arial" w:cs="Arial"/>
          <w:i/>
          <w:sz w:val="22"/>
        </w:rPr>
        <w:t xml:space="preserve"> </w:t>
      </w:r>
      <w:r w:rsidR="00374DAE" w:rsidRPr="001C60E2">
        <w:rPr>
          <w:rFonts w:ascii="Arial" w:hAnsi="Arial" w:cs="Arial"/>
          <w:i/>
          <w:sz w:val="22"/>
        </w:rPr>
        <w:t>aktivnosti</w:t>
      </w:r>
      <w:r w:rsidRPr="001C60E2">
        <w:rPr>
          <w:rFonts w:ascii="Arial" w:hAnsi="Arial" w:cs="Arial"/>
          <w:i/>
          <w:sz w:val="22"/>
        </w:rPr>
        <w:t xml:space="preserve"> da se dio uštede ostvari u kućanstvima koja su pogođena energetskim siromaštvom u skladu s člankom 7. stavkom 11.</w:t>
      </w:r>
    </w:p>
    <w:p w14:paraId="7F3BB702" w14:textId="77777777" w:rsidR="004C2550" w:rsidRPr="001C60E2" w:rsidRDefault="004C2550" w:rsidP="0024143D">
      <w:pPr>
        <w:pStyle w:val="PointManual1"/>
        <w:spacing w:before="0" w:after="0" w:line="276" w:lineRule="auto"/>
        <w:ind w:left="0" w:firstLine="0"/>
        <w:jc w:val="both"/>
        <w:rPr>
          <w:rFonts w:ascii="Arial" w:hAnsi="Arial" w:cs="Arial"/>
          <w:sz w:val="22"/>
        </w:rPr>
      </w:pPr>
      <w:r w:rsidRPr="001C60E2">
        <w:rPr>
          <w:rFonts w:ascii="Arial" w:hAnsi="Arial" w:cs="Arial"/>
          <w:sz w:val="22"/>
        </w:rPr>
        <w:t>S ciljem smanjenja energetskog siromaštva potiče se povećanje energetske učinkovitosti u prostorima za stanovanje korisnika naknade za ugroženog kupca energenata sukladno propisu o socijalnoj skrbi i u kućanstvima na područjima s razvojnim posebnostima prema odredbama zakona kojim se uređuje regionalni razvoj i to na sljedeće načine:</w:t>
      </w:r>
    </w:p>
    <w:p w14:paraId="29F6894C" w14:textId="00489400" w:rsidR="004C2550" w:rsidRPr="001C60E2" w:rsidRDefault="004C2550" w:rsidP="00E53277">
      <w:pPr>
        <w:pStyle w:val="PointManual1"/>
        <w:numPr>
          <w:ilvl w:val="0"/>
          <w:numId w:val="25"/>
        </w:numPr>
        <w:spacing w:before="0" w:after="0" w:line="276" w:lineRule="auto"/>
        <w:rPr>
          <w:rFonts w:ascii="Arial" w:hAnsi="Arial" w:cs="Arial"/>
          <w:sz w:val="22"/>
        </w:rPr>
      </w:pPr>
      <w:r w:rsidRPr="001C60E2">
        <w:rPr>
          <w:rFonts w:ascii="Arial" w:hAnsi="Arial" w:cs="Arial"/>
          <w:sz w:val="22"/>
        </w:rPr>
        <w:t>Izračun</w:t>
      </w:r>
      <w:r w:rsidR="0005465E" w:rsidRPr="001C60E2">
        <w:rPr>
          <w:rFonts w:ascii="Arial" w:hAnsi="Arial" w:cs="Arial"/>
          <w:sz w:val="22"/>
        </w:rPr>
        <w:t>ate</w:t>
      </w:r>
      <w:r w:rsidRPr="001C60E2">
        <w:rPr>
          <w:rFonts w:ascii="Arial" w:hAnsi="Arial" w:cs="Arial"/>
          <w:sz w:val="22"/>
        </w:rPr>
        <w:t xml:space="preserve"> uštede koje su rezultat mjera poduzetih u </w:t>
      </w:r>
      <w:r w:rsidR="00247354" w:rsidRPr="001C60E2">
        <w:rPr>
          <w:rFonts w:ascii="Arial" w:hAnsi="Arial" w:cs="Arial"/>
          <w:sz w:val="22"/>
        </w:rPr>
        <w:t>kućanstvima</w:t>
      </w:r>
      <w:r w:rsidRPr="001C60E2">
        <w:rPr>
          <w:rFonts w:ascii="Arial" w:hAnsi="Arial" w:cs="Arial"/>
          <w:sz w:val="22"/>
        </w:rPr>
        <w:t xml:space="preserve"> na područjima s razvojnim posebnostima nositelju uštede uvećava</w:t>
      </w:r>
      <w:r w:rsidR="00D41BB9" w:rsidRPr="001C60E2">
        <w:rPr>
          <w:rFonts w:ascii="Arial" w:hAnsi="Arial" w:cs="Arial"/>
          <w:sz w:val="22"/>
        </w:rPr>
        <w:t>ju</w:t>
      </w:r>
      <w:r w:rsidRPr="001C60E2">
        <w:rPr>
          <w:rFonts w:ascii="Arial" w:hAnsi="Arial" w:cs="Arial"/>
          <w:sz w:val="22"/>
        </w:rPr>
        <w:t xml:space="preserve"> se za 10 %.</w:t>
      </w:r>
    </w:p>
    <w:p w14:paraId="71FE02F8" w14:textId="7B626A36" w:rsidR="004C2550" w:rsidRPr="001C60E2" w:rsidRDefault="004C2550" w:rsidP="00E53277">
      <w:pPr>
        <w:pStyle w:val="PointManual1"/>
        <w:numPr>
          <w:ilvl w:val="0"/>
          <w:numId w:val="25"/>
        </w:numPr>
        <w:spacing w:before="0" w:after="0" w:line="276" w:lineRule="auto"/>
        <w:rPr>
          <w:rFonts w:ascii="Arial" w:hAnsi="Arial" w:cs="Arial"/>
          <w:sz w:val="22"/>
        </w:rPr>
      </w:pPr>
      <w:r w:rsidRPr="001C60E2">
        <w:rPr>
          <w:rFonts w:ascii="Arial" w:hAnsi="Arial" w:cs="Arial"/>
          <w:sz w:val="22"/>
        </w:rPr>
        <w:t>Izračun</w:t>
      </w:r>
      <w:r w:rsidR="00247354" w:rsidRPr="001C60E2">
        <w:rPr>
          <w:rFonts w:ascii="Arial" w:hAnsi="Arial" w:cs="Arial"/>
          <w:sz w:val="22"/>
        </w:rPr>
        <w:t>ate</w:t>
      </w:r>
      <w:r w:rsidRPr="001C60E2">
        <w:rPr>
          <w:rFonts w:ascii="Arial" w:hAnsi="Arial" w:cs="Arial"/>
          <w:sz w:val="22"/>
        </w:rPr>
        <w:t xml:space="preserve"> uštede koje su rezultat mjera poduzetih u </w:t>
      </w:r>
      <w:r w:rsidR="00247354" w:rsidRPr="001C60E2">
        <w:rPr>
          <w:rFonts w:ascii="Arial" w:hAnsi="Arial" w:cs="Arial"/>
          <w:sz w:val="22"/>
        </w:rPr>
        <w:t>kućanstvima</w:t>
      </w:r>
      <w:r w:rsidRPr="001C60E2">
        <w:rPr>
          <w:rFonts w:ascii="Arial" w:hAnsi="Arial" w:cs="Arial"/>
          <w:sz w:val="22"/>
        </w:rPr>
        <w:t xml:space="preserve"> korisnika naknade za ugroženog kupca energenata nositelju uštede uvećava</w:t>
      </w:r>
      <w:r w:rsidR="00D41BB9" w:rsidRPr="001C60E2">
        <w:rPr>
          <w:rFonts w:ascii="Arial" w:hAnsi="Arial" w:cs="Arial"/>
          <w:sz w:val="22"/>
        </w:rPr>
        <w:t>ju</w:t>
      </w:r>
      <w:r w:rsidRPr="001C60E2">
        <w:rPr>
          <w:rFonts w:ascii="Arial" w:hAnsi="Arial" w:cs="Arial"/>
          <w:sz w:val="22"/>
        </w:rPr>
        <w:t xml:space="preserve"> se za 20 %.</w:t>
      </w:r>
    </w:p>
    <w:p w14:paraId="27455F97" w14:textId="18663423" w:rsidR="00D41BB9" w:rsidRPr="001C60E2" w:rsidRDefault="00D41BB9" w:rsidP="00D41BB9">
      <w:pPr>
        <w:pStyle w:val="PointManual1"/>
        <w:numPr>
          <w:ilvl w:val="0"/>
          <w:numId w:val="25"/>
        </w:numPr>
        <w:spacing w:before="0" w:after="0" w:line="276" w:lineRule="auto"/>
        <w:rPr>
          <w:rFonts w:cs="Arial"/>
        </w:rPr>
      </w:pPr>
      <w:r w:rsidRPr="001C60E2">
        <w:rPr>
          <w:rFonts w:ascii="Arial" w:hAnsi="Arial" w:cs="Arial"/>
          <w:sz w:val="22"/>
        </w:rPr>
        <w:lastRenderedPageBreak/>
        <w:t xml:space="preserve">Izračunate uštede koje su rezultat mjera poduzetih </w:t>
      </w:r>
      <w:r w:rsidR="004C2550" w:rsidRPr="001C60E2">
        <w:rPr>
          <w:rFonts w:ascii="Arial" w:hAnsi="Arial" w:cs="Arial"/>
          <w:sz w:val="22"/>
        </w:rPr>
        <w:t xml:space="preserve">u </w:t>
      </w:r>
      <w:r w:rsidRPr="001C60E2">
        <w:rPr>
          <w:rFonts w:ascii="Arial" w:hAnsi="Arial" w:cs="Arial"/>
          <w:sz w:val="22"/>
        </w:rPr>
        <w:t>kućanstvima</w:t>
      </w:r>
      <w:r w:rsidR="004C2550" w:rsidRPr="001C60E2">
        <w:rPr>
          <w:rFonts w:ascii="Arial" w:hAnsi="Arial" w:cs="Arial"/>
          <w:sz w:val="22"/>
        </w:rPr>
        <w:t xml:space="preserve"> korisnika naknade za ugroženog kupca energenata na područjima s razvojnim posebnostima </w:t>
      </w:r>
      <w:r w:rsidRPr="001C60E2">
        <w:rPr>
          <w:rFonts w:ascii="Arial" w:hAnsi="Arial" w:cs="Arial"/>
          <w:sz w:val="22"/>
        </w:rPr>
        <w:t>nositelju uštede uvećavaju se za 30 %.</w:t>
      </w:r>
    </w:p>
    <w:p w14:paraId="75FDD708" w14:textId="21166E3D" w:rsidR="006E289D" w:rsidRPr="001C60E2" w:rsidRDefault="006E289D" w:rsidP="00D41BB9">
      <w:pPr>
        <w:pStyle w:val="PointManual1"/>
        <w:spacing w:before="0" w:after="0" w:line="276" w:lineRule="auto"/>
        <w:ind w:left="0" w:firstLine="0"/>
        <w:jc w:val="both"/>
        <w:rPr>
          <w:rFonts w:ascii="Arial" w:hAnsi="Arial" w:cs="Arial"/>
          <w:sz w:val="22"/>
          <w:highlight w:val="yellow"/>
        </w:rPr>
      </w:pPr>
    </w:p>
    <w:p w14:paraId="48FCAE42" w14:textId="51488532" w:rsidR="00711D97" w:rsidRPr="001C60E2" w:rsidRDefault="00711D97" w:rsidP="00711D97">
      <w:pPr>
        <w:pStyle w:val="PointManual1"/>
        <w:numPr>
          <w:ilvl w:val="1"/>
          <w:numId w:val="14"/>
        </w:numPr>
        <w:spacing w:before="0" w:after="0" w:line="276" w:lineRule="auto"/>
        <w:rPr>
          <w:rFonts w:ascii="Arial" w:hAnsi="Arial" w:cs="Arial"/>
          <w:i/>
          <w:sz w:val="22"/>
        </w:rPr>
      </w:pPr>
      <w:r w:rsidRPr="001C60E2">
        <w:rPr>
          <w:rFonts w:ascii="Arial" w:hAnsi="Arial" w:cs="Arial"/>
          <w:i/>
          <w:sz w:val="22"/>
        </w:rPr>
        <w:t xml:space="preserve">uštede koje su ostvarili pružatelji energetskih usluga ili druge treće strane u skladu s člankom 7.a stavkom </w:t>
      </w:r>
      <w:r w:rsidR="00374DAE" w:rsidRPr="001C60E2">
        <w:rPr>
          <w:rFonts w:ascii="Arial" w:hAnsi="Arial" w:cs="Arial"/>
          <w:i/>
          <w:sz w:val="22"/>
        </w:rPr>
        <w:t>6</w:t>
      </w:r>
      <w:r w:rsidRPr="001C60E2">
        <w:rPr>
          <w:rFonts w:ascii="Arial" w:hAnsi="Arial" w:cs="Arial"/>
          <w:i/>
          <w:sz w:val="22"/>
        </w:rPr>
        <w:t>. točkom (</w:t>
      </w:r>
      <w:r w:rsidR="00374DAE" w:rsidRPr="001C60E2">
        <w:rPr>
          <w:rFonts w:ascii="Arial" w:hAnsi="Arial" w:cs="Arial"/>
          <w:i/>
          <w:sz w:val="22"/>
        </w:rPr>
        <w:t>a</w:t>
      </w:r>
      <w:r w:rsidRPr="001C60E2">
        <w:rPr>
          <w:rFonts w:ascii="Arial" w:hAnsi="Arial" w:cs="Arial"/>
          <w:i/>
          <w:sz w:val="22"/>
        </w:rPr>
        <w:t>);</w:t>
      </w:r>
    </w:p>
    <w:p w14:paraId="20B5EDAC" w14:textId="5E4963DD" w:rsidR="00711D97" w:rsidRPr="001C60E2" w:rsidRDefault="00E53277" w:rsidP="00711D97">
      <w:pPr>
        <w:pStyle w:val="PointManual1"/>
        <w:spacing w:before="0" w:after="0" w:line="276" w:lineRule="auto"/>
        <w:ind w:left="0" w:firstLine="0"/>
        <w:jc w:val="both"/>
        <w:rPr>
          <w:rFonts w:ascii="Arial" w:hAnsi="Arial" w:cs="Arial"/>
          <w:sz w:val="22"/>
          <w:highlight w:val="yellow"/>
        </w:rPr>
      </w:pPr>
      <w:r w:rsidRPr="001C60E2">
        <w:rPr>
          <w:rFonts w:ascii="Arial" w:hAnsi="Arial" w:cs="Arial"/>
          <w:sz w:val="22"/>
        </w:rPr>
        <w:t>S</w:t>
      </w:r>
      <w:r w:rsidR="00711D97" w:rsidRPr="001C60E2">
        <w:rPr>
          <w:rFonts w:ascii="Arial" w:hAnsi="Arial" w:cs="Arial"/>
          <w:sz w:val="22"/>
        </w:rPr>
        <w:t xml:space="preserve">tranke obveznice </w:t>
      </w:r>
      <w:r w:rsidRPr="001C60E2">
        <w:rPr>
          <w:rFonts w:ascii="Arial" w:hAnsi="Arial" w:cs="Arial"/>
          <w:sz w:val="22"/>
        </w:rPr>
        <w:t xml:space="preserve">mogu zadovoljiti </w:t>
      </w:r>
      <w:r w:rsidR="00711D97" w:rsidRPr="001C60E2">
        <w:rPr>
          <w:rFonts w:ascii="Arial" w:hAnsi="Arial" w:cs="Arial"/>
          <w:sz w:val="22"/>
        </w:rPr>
        <w:t xml:space="preserve">svoju obvezu </w:t>
      </w:r>
      <w:r w:rsidRPr="001C60E2">
        <w:rPr>
          <w:rFonts w:ascii="Arial" w:hAnsi="Arial" w:cs="Arial"/>
          <w:sz w:val="22"/>
        </w:rPr>
        <w:t xml:space="preserve">na tržištu energetskih ušteda, no propisi ne ograničavaju tržite samo na stranke obveznice i pružatelje energetskih ušteda. Pravilnik </w:t>
      </w:r>
      <w:r w:rsidR="00B346B2" w:rsidRPr="001C60E2">
        <w:rPr>
          <w:rFonts w:ascii="Arial" w:hAnsi="Arial" w:cs="Arial"/>
          <w:sz w:val="22"/>
        </w:rPr>
        <w:t xml:space="preserve">o sustavu za praćenje, mjerenje i verifikaciju ušteda energije </w:t>
      </w:r>
      <w:r w:rsidR="00854315" w:rsidRPr="001C60E2">
        <w:rPr>
          <w:rFonts w:ascii="Arial" w:hAnsi="Arial" w:cs="Arial"/>
          <w:sz w:val="22"/>
        </w:rPr>
        <w:t>utvrđuje da je dokaz o ostvarenim uštedama energije elaborat o uštedama energije. Elaborat</w:t>
      </w:r>
      <w:r w:rsidR="00D6174C" w:rsidRPr="001C60E2">
        <w:rPr>
          <w:rFonts w:ascii="Arial" w:hAnsi="Arial" w:cs="Arial"/>
          <w:sz w:val="22"/>
        </w:rPr>
        <w:t xml:space="preserve"> je sažeti dokument koji sistematizira informacije i dokaze o provedenoj mjeri za poboljšanje energetske učinkovitosti, a sadrži sljedeće elemente: podatke o nositelju ušteda, vrsti provedene mjere, lokaciji provedbe mjere, iznosu novih godišnjih i kumulativnih ušteda uz izračun tih ušteda te dokaze da je mjera provedena i dokaze o ulaznim podacima korištenim za izračun novih godišnjih ušteda energije.</w:t>
      </w:r>
      <w:r w:rsidR="00854315" w:rsidRPr="001C60E2">
        <w:rPr>
          <w:rFonts w:ascii="Arial" w:hAnsi="Arial" w:cs="Arial"/>
          <w:sz w:val="22"/>
          <w:highlight w:val="yellow"/>
        </w:rPr>
        <w:t xml:space="preserve"> </w:t>
      </w:r>
      <w:r w:rsidR="00E62684" w:rsidRPr="001C60E2">
        <w:rPr>
          <w:rFonts w:ascii="Arial" w:hAnsi="Arial" w:cs="Arial"/>
          <w:sz w:val="22"/>
        </w:rPr>
        <w:t>Elaborat izrađuje i potpisuje ovlaštena osoba za projektiranje u području arhitekture, građevine, strojarstva i elektrotehnike ili za provođenje energetskog pregleda i energetskog certificiranja zgrada ili velikog poduzeća.</w:t>
      </w:r>
      <w:r w:rsidR="0062028F" w:rsidRPr="001C60E2">
        <w:rPr>
          <w:rFonts w:ascii="Arial" w:hAnsi="Arial" w:cs="Arial"/>
          <w:sz w:val="22"/>
        </w:rPr>
        <w:t xml:space="preserve"> Ovlaštene osobe moraju biti one struke na koju se odnosi mjera za poboljšanje energetske učinkovitosti za koju se izrađuje elaborat, a ukoliko se radi o složenoj mjeri u izradi Elaborata sudjeluju sve relevantne struke.</w:t>
      </w:r>
    </w:p>
    <w:p w14:paraId="7E6BB533" w14:textId="77777777" w:rsidR="00711D97" w:rsidRPr="001C60E2" w:rsidRDefault="00711D97" w:rsidP="00711D97">
      <w:pPr>
        <w:pStyle w:val="PointManual1"/>
        <w:spacing w:before="0" w:after="0" w:line="276" w:lineRule="auto"/>
        <w:ind w:left="0" w:firstLine="0"/>
        <w:rPr>
          <w:rFonts w:ascii="Arial" w:hAnsi="Arial" w:cs="Arial"/>
          <w:sz w:val="22"/>
        </w:rPr>
      </w:pPr>
    </w:p>
    <w:p w14:paraId="05135DF1" w14:textId="0C760E0D" w:rsidR="00711D97" w:rsidRPr="001C60E2" w:rsidRDefault="00711D97" w:rsidP="00711D97">
      <w:pPr>
        <w:pStyle w:val="PointManual1"/>
        <w:numPr>
          <w:ilvl w:val="1"/>
          <w:numId w:val="14"/>
        </w:numPr>
        <w:spacing w:before="0" w:after="0" w:line="276" w:lineRule="auto"/>
        <w:rPr>
          <w:rFonts w:ascii="Arial" w:hAnsi="Arial" w:cs="Arial"/>
          <w:i/>
          <w:sz w:val="22"/>
        </w:rPr>
      </w:pPr>
      <w:r w:rsidRPr="001C60E2">
        <w:rPr>
          <w:rFonts w:ascii="Arial" w:hAnsi="Arial" w:cs="Arial"/>
          <w:i/>
          <w:sz w:val="22"/>
        </w:rPr>
        <w:t xml:space="preserve"> „akumuliranje i posuđivanje” u skladu s člankom 7. stavkom </w:t>
      </w:r>
      <w:r w:rsidR="00374DAE" w:rsidRPr="001C60E2">
        <w:rPr>
          <w:rFonts w:ascii="Arial" w:hAnsi="Arial" w:cs="Arial"/>
          <w:i/>
          <w:sz w:val="22"/>
        </w:rPr>
        <w:t>6</w:t>
      </w:r>
      <w:r w:rsidRPr="001C60E2">
        <w:rPr>
          <w:rFonts w:ascii="Arial" w:hAnsi="Arial" w:cs="Arial"/>
          <w:i/>
          <w:sz w:val="22"/>
        </w:rPr>
        <w:t>.</w:t>
      </w:r>
      <w:r w:rsidR="00374DAE" w:rsidRPr="001C60E2">
        <w:rPr>
          <w:rFonts w:ascii="Arial" w:hAnsi="Arial" w:cs="Arial"/>
          <w:i/>
          <w:sz w:val="22"/>
        </w:rPr>
        <w:t>točkom (</w:t>
      </w:r>
      <w:r w:rsidRPr="001C60E2">
        <w:rPr>
          <w:rFonts w:ascii="Arial" w:hAnsi="Arial" w:cs="Arial"/>
          <w:i/>
          <w:sz w:val="22"/>
        </w:rPr>
        <w:t>b</w:t>
      </w:r>
      <w:r w:rsidR="00374DAE" w:rsidRPr="001C60E2">
        <w:rPr>
          <w:rFonts w:ascii="Arial" w:hAnsi="Arial" w:cs="Arial"/>
          <w:i/>
          <w:sz w:val="22"/>
        </w:rPr>
        <w:t>)</w:t>
      </w:r>
    </w:p>
    <w:p w14:paraId="37C92030" w14:textId="2747F989" w:rsidR="00E84493" w:rsidRPr="001C60E2" w:rsidRDefault="00E84493" w:rsidP="0024143D">
      <w:pPr>
        <w:pStyle w:val="PointManual1"/>
        <w:spacing w:before="0" w:after="0" w:line="276" w:lineRule="auto"/>
        <w:ind w:left="0" w:firstLine="0"/>
        <w:jc w:val="both"/>
        <w:rPr>
          <w:rFonts w:ascii="Arial" w:hAnsi="Arial" w:cs="Arial"/>
          <w:sz w:val="22"/>
        </w:rPr>
      </w:pPr>
      <w:r w:rsidRPr="001C60E2">
        <w:rPr>
          <w:rFonts w:ascii="Arial" w:hAnsi="Arial" w:cs="Arial"/>
          <w:sz w:val="22"/>
        </w:rPr>
        <w:t xml:space="preserve">Stranka obveznica može u svome izvješću o ostvarenim uštedama postaviti zahtjev da se ušteda ili njen dio koju je stranka obveznica ostvarila preko visine obveze ostvarene u prošlim godinama, obračuna u neku od idućih godina </w:t>
      </w:r>
      <w:r w:rsidR="00CA05C0" w:rsidRPr="001C60E2">
        <w:rPr>
          <w:rFonts w:ascii="Arial" w:hAnsi="Arial" w:cs="Arial"/>
          <w:sz w:val="22"/>
        </w:rPr>
        <w:t>unutar</w:t>
      </w:r>
      <w:r w:rsidRPr="001C60E2">
        <w:rPr>
          <w:rFonts w:ascii="Arial" w:hAnsi="Arial" w:cs="Arial"/>
          <w:sz w:val="22"/>
        </w:rPr>
        <w:t xml:space="preserve"> razdoblja kumuliranja.</w:t>
      </w:r>
      <w:r w:rsidRPr="001C60E2" w:rsidDel="00E84493">
        <w:rPr>
          <w:rFonts w:ascii="Arial" w:hAnsi="Arial" w:cs="Arial"/>
          <w:sz w:val="22"/>
        </w:rPr>
        <w:t xml:space="preserve"> </w:t>
      </w:r>
      <w:r w:rsidR="00A34D6C" w:rsidRPr="001C60E2">
        <w:rPr>
          <w:rFonts w:ascii="Arial" w:hAnsi="Arial" w:cs="Arial"/>
          <w:sz w:val="22"/>
        </w:rPr>
        <w:t>Novu godišnju uštedu energije ostvarenu u određenoj godini stranke obveznice mogu prikazati kao da je ostvarena u bilo kojoj od četiri prethodne ili tri sljedeće godine unutar istog razdoblja kumuliranja uzimajući u obzir životni vijek mjere</w:t>
      </w:r>
    </w:p>
    <w:p w14:paraId="651756F0" w14:textId="77777777" w:rsidR="00711D97" w:rsidRPr="001C60E2" w:rsidRDefault="00711D97" w:rsidP="00711D97">
      <w:pPr>
        <w:pStyle w:val="PointManual1"/>
        <w:spacing w:before="0" w:after="0" w:line="276" w:lineRule="auto"/>
        <w:ind w:left="0" w:firstLine="0"/>
        <w:rPr>
          <w:rFonts w:ascii="Arial" w:hAnsi="Arial" w:cs="Arial"/>
          <w:sz w:val="22"/>
          <w:highlight w:val="yellow"/>
        </w:rPr>
      </w:pPr>
    </w:p>
    <w:p w14:paraId="4B6F250E" w14:textId="1EA0BA09" w:rsidR="00711D97" w:rsidRPr="001C60E2" w:rsidRDefault="00374DAE" w:rsidP="00711D97">
      <w:pPr>
        <w:pStyle w:val="PointManual1"/>
        <w:numPr>
          <w:ilvl w:val="0"/>
          <w:numId w:val="13"/>
        </w:numPr>
        <w:spacing w:before="0" w:after="0" w:line="276" w:lineRule="auto"/>
        <w:rPr>
          <w:rFonts w:ascii="Arial" w:hAnsi="Arial" w:cs="Arial"/>
          <w:i/>
          <w:sz w:val="22"/>
        </w:rPr>
      </w:pPr>
      <w:r w:rsidRPr="001C60E2">
        <w:rPr>
          <w:rFonts w:ascii="Arial" w:hAnsi="Arial" w:cs="Arial"/>
          <w:i/>
          <w:sz w:val="22"/>
        </w:rPr>
        <w:t>Prema potrebi, p</w:t>
      </w:r>
      <w:r w:rsidR="00711D97" w:rsidRPr="001C60E2">
        <w:rPr>
          <w:rFonts w:ascii="Arial" w:hAnsi="Arial" w:cs="Arial"/>
          <w:i/>
          <w:sz w:val="22"/>
        </w:rPr>
        <w:t>odaci o trgovanju uštedama energije</w:t>
      </w:r>
    </w:p>
    <w:p w14:paraId="01ED6B32" w14:textId="3F611351" w:rsidR="00711D97" w:rsidRPr="001C60E2" w:rsidRDefault="00711D97" w:rsidP="00711D97">
      <w:pPr>
        <w:pStyle w:val="PointManual1"/>
        <w:spacing w:before="0" w:after="0" w:line="276" w:lineRule="auto"/>
        <w:ind w:left="0" w:firstLine="0"/>
        <w:jc w:val="both"/>
        <w:rPr>
          <w:rFonts w:ascii="Arial" w:hAnsi="Arial" w:cs="Arial"/>
          <w:sz w:val="22"/>
        </w:rPr>
      </w:pPr>
      <w:r w:rsidRPr="001C60E2">
        <w:rPr>
          <w:rFonts w:ascii="Arial" w:hAnsi="Arial" w:cs="Arial"/>
          <w:sz w:val="22"/>
        </w:rPr>
        <w:t>Stranke obveznice mogu trgovati uštedama, tj. stranka obveznica može svoju obvezu ostvariti i kupnjom uštede od druge stranke obveznice</w:t>
      </w:r>
      <w:r w:rsidR="00762040" w:rsidRPr="001C60E2">
        <w:rPr>
          <w:rFonts w:ascii="Arial" w:hAnsi="Arial" w:cs="Arial"/>
          <w:sz w:val="22"/>
        </w:rPr>
        <w:t xml:space="preserve"> ili treće strane</w:t>
      </w:r>
      <w:r w:rsidRPr="001C60E2">
        <w:rPr>
          <w:rFonts w:ascii="Arial" w:hAnsi="Arial" w:cs="Arial"/>
          <w:sz w:val="22"/>
        </w:rPr>
        <w:t>.</w:t>
      </w:r>
    </w:p>
    <w:p w14:paraId="24B8A502" w14:textId="77777777" w:rsidR="001E2728" w:rsidRPr="001C60E2" w:rsidRDefault="001E2728" w:rsidP="00711D97">
      <w:pPr>
        <w:pStyle w:val="PointManual1"/>
        <w:spacing w:before="0" w:after="0" w:line="276" w:lineRule="auto"/>
        <w:ind w:left="0" w:firstLine="0"/>
        <w:jc w:val="both"/>
        <w:rPr>
          <w:rFonts w:ascii="Arial" w:hAnsi="Arial" w:cs="Arial"/>
          <w:sz w:val="22"/>
        </w:rPr>
      </w:pPr>
    </w:p>
    <w:p w14:paraId="0C36203A" w14:textId="77777777" w:rsidR="00711D97" w:rsidRPr="001C60E2" w:rsidRDefault="00711D97" w:rsidP="00711D97">
      <w:pPr>
        <w:pStyle w:val="PointManual1"/>
        <w:spacing w:before="0" w:after="0" w:line="276" w:lineRule="auto"/>
        <w:ind w:left="0" w:firstLine="0"/>
        <w:jc w:val="both"/>
        <w:rPr>
          <w:rFonts w:ascii="Arial" w:hAnsi="Arial" w:cs="Arial"/>
          <w:sz w:val="22"/>
          <w:highlight w:val="yellow"/>
        </w:rPr>
      </w:pPr>
    </w:p>
    <w:p w14:paraId="0E22D1E5" w14:textId="77777777" w:rsidR="00711D97" w:rsidRPr="001C60E2" w:rsidRDefault="00711D97" w:rsidP="00711D97">
      <w:pPr>
        <w:pStyle w:val="ManualNumPar1"/>
        <w:numPr>
          <w:ilvl w:val="1"/>
          <w:numId w:val="12"/>
        </w:numPr>
        <w:spacing w:before="0" w:after="0" w:line="276" w:lineRule="auto"/>
        <w:jc w:val="both"/>
        <w:rPr>
          <w:rFonts w:ascii="Arial" w:hAnsi="Arial" w:cs="Arial"/>
          <w:i/>
          <w:sz w:val="22"/>
        </w:rPr>
      </w:pPr>
      <w:r w:rsidRPr="001C60E2">
        <w:rPr>
          <w:rFonts w:ascii="Arial" w:hAnsi="Arial" w:cs="Arial"/>
          <w:i/>
          <w:sz w:val="22"/>
        </w:rPr>
        <w:t>Alternativne mjere iz članka 7.b i članka 20. stavka 6. Direktive 2012/27/EU (osim oporezivanja):</w:t>
      </w:r>
    </w:p>
    <w:p w14:paraId="553D2BF7" w14:textId="77777777" w:rsidR="009945C3" w:rsidRPr="001C60E2" w:rsidRDefault="009945C3" w:rsidP="009945C3">
      <w:pPr>
        <w:spacing w:before="0" w:after="0" w:line="240" w:lineRule="auto"/>
        <w:rPr>
          <w:lang w:eastAsia="en-US"/>
        </w:rPr>
      </w:pPr>
    </w:p>
    <w:p w14:paraId="33016886" w14:textId="488E430E" w:rsidR="00711D97" w:rsidRPr="001C60E2" w:rsidRDefault="00711D97" w:rsidP="00711D97">
      <w:pPr>
        <w:pStyle w:val="PointManual1"/>
        <w:numPr>
          <w:ilvl w:val="0"/>
          <w:numId w:val="16"/>
        </w:numPr>
        <w:spacing w:before="0" w:after="0" w:line="276" w:lineRule="auto"/>
        <w:rPr>
          <w:rFonts w:ascii="Arial" w:hAnsi="Arial" w:cs="Arial"/>
          <w:i/>
          <w:sz w:val="22"/>
        </w:rPr>
      </w:pPr>
      <w:r w:rsidRPr="001C60E2">
        <w:rPr>
          <w:rFonts w:ascii="Arial" w:hAnsi="Arial" w:cs="Arial"/>
          <w:i/>
          <w:sz w:val="22"/>
        </w:rPr>
        <w:t>vrsta mjere</w:t>
      </w:r>
      <w:r w:rsidR="00374DAE" w:rsidRPr="001C60E2">
        <w:rPr>
          <w:rFonts w:ascii="Arial" w:hAnsi="Arial" w:cs="Arial"/>
          <w:i/>
          <w:sz w:val="22"/>
        </w:rPr>
        <w:t xml:space="preserve"> politike</w:t>
      </w:r>
    </w:p>
    <w:p w14:paraId="58139ADE" w14:textId="01465EDA" w:rsidR="00711D97" w:rsidRPr="001C60E2" w:rsidRDefault="00711D97" w:rsidP="00711D97">
      <w:pPr>
        <w:pStyle w:val="PointManual1"/>
        <w:numPr>
          <w:ilvl w:val="0"/>
          <w:numId w:val="16"/>
        </w:numPr>
        <w:spacing w:before="0" w:after="0" w:line="276" w:lineRule="auto"/>
        <w:rPr>
          <w:rFonts w:ascii="Arial" w:hAnsi="Arial" w:cs="Arial"/>
          <w:i/>
          <w:sz w:val="22"/>
        </w:rPr>
      </w:pPr>
      <w:r w:rsidRPr="001C60E2">
        <w:rPr>
          <w:rFonts w:ascii="Arial" w:hAnsi="Arial" w:cs="Arial"/>
          <w:i/>
          <w:sz w:val="22"/>
        </w:rPr>
        <w:t xml:space="preserve">kratki opis mjere politike, uključujući osobine svake mjere </w:t>
      </w:r>
      <w:r w:rsidR="00374DAE" w:rsidRPr="001C60E2">
        <w:rPr>
          <w:rFonts w:ascii="Arial" w:hAnsi="Arial" w:cs="Arial"/>
          <w:i/>
          <w:sz w:val="22"/>
        </w:rPr>
        <w:t xml:space="preserve">politike </w:t>
      </w:r>
      <w:r w:rsidRPr="001C60E2">
        <w:rPr>
          <w:rFonts w:ascii="Arial" w:hAnsi="Arial" w:cs="Arial"/>
          <w:i/>
          <w:sz w:val="22"/>
        </w:rPr>
        <w:t>o kojoj se dostavlja obavijest</w:t>
      </w:r>
    </w:p>
    <w:p w14:paraId="03292DB7" w14:textId="77777777" w:rsidR="00711D97" w:rsidRPr="001C60E2" w:rsidRDefault="00711D97" w:rsidP="00711D97">
      <w:pPr>
        <w:pStyle w:val="PointManual1"/>
        <w:numPr>
          <w:ilvl w:val="0"/>
          <w:numId w:val="16"/>
        </w:numPr>
        <w:spacing w:before="0" w:after="0" w:line="276" w:lineRule="auto"/>
        <w:rPr>
          <w:rFonts w:ascii="Arial" w:hAnsi="Arial" w:cs="Arial"/>
          <w:i/>
          <w:sz w:val="22"/>
        </w:rPr>
      </w:pPr>
      <w:r w:rsidRPr="001C60E2">
        <w:rPr>
          <w:rFonts w:ascii="Arial" w:hAnsi="Arial" w:cs="Arial"/>
          <w:i/>
          <w:sz w:val="22"/>
        </w:rPr>
        <w:t>očekivani ukupni kumulativni i godišnji iznos uštede po svakoj mjeri i/ili iznos uštede energije za bilo koje prijelazno razdoblje</w:t>
      </w:r>
    </w:p>
    <w:p w14:paraId="5DCB6AA5" w14:textId="77777777" w:rsidR="00711D97" w:rsidRPr="001C60E2" w:rsidRDefault="00711D97" w:rsidP="00711D97">
      <w:pPr>
        <w:pStyle w:val="PointManual1"/>
        <w:numPr>
          <w:ilvl w:val="0"/>
          <w:numId w:val="16"/>
        </w:numPr>
        <w:spacing w:before="0" w:after="0" w:line="276" w:lineRule="auto"/>
        <w:rPr>
          <w:rFonts w:ascii="Arial" w:hAnsi="Arial" w:cs="Arial"/>
          <w:i/>
          <w:sz w:val="22"/>
        </w:rPr>
      </w:pPr>
      <w:r w:rsidRPr="001C60E2">
        <w:rPr>
          <w:rFonts w:ascii="Arial" w:hAnsi="Arial" w:cs="Arial"/>
          <w:i/>
          <w:sz w:val="22"/>
        </w:rPr>
        <w:t>provedbena tijela javne vlasti, stranke sudionice ili ovlaštene stranke i njihove odgovornosti za provedbu mjere ili mjera politike</w:t>
      </w:r>
    </w:p>
    <w:p w14:paraId="5FC71961" w14:textId="77777777" w:rsidR="00711D97" w:rsidRPr="001C60E2" w:rsidRDefault="00711D97" w:rsidP="00711D97">
      <w:pPr>
        <w:pStyle w:val="PointManual1"/>
        <w:numPr>
          <w:ilvl w:val="0"/>
          <w:numId w:val="16"/>
        </w:numPr>
        <w:spacing w:before="0" w:after="0" w:line="276" w:lineRule="auto"/>
        <w:rPr>
          <w:rFonts w:ascii="Arial" w:hAnsi="Arial" w:cs="Arial"/>
          <w:i/>
          <w:sz w:val="22"/>
        </w:rPr>
      </w:pPr>
      <w:r w:rsidRPr="001C60E2">
        <w:rPr>
          <w:rFonts w:ascii="Arial" w:hAnsi="Arial" w:cs="Arial"/>
          <w:i/>
          <w:sz w:val="22"/>
        </w:rPr>
        <w:t>ciljani sektori</w:t>
      </w:r>
    </w:p>
    <w:p w14:paraId="74257C1F" w14:textId="77777777" w:rsidR="00711D97" w:rsidRPr="001C60E2" w:rsidRDefault="00711D97" w:rsidP="00711D97">
      <w:pPr>
        <w:pStyle w:val="PointManual1"/>
        <w:numPr>
          <w:ilvl w:val="0"/>
          <w:numId w:val="16"/>
        </w:numPr>
        <w:spacing w:before="0" w:after="0" w:line="276" w:lineRule="auto"/>
        <w:rPr>
          <w:rFonts w:ascii="Arial" w:hAnsi="Arial" w:cs="Arial"/>
          <w:i/>
          <w:sz w:val="22"/>
        </w:rPr>
      </w:pPr>
      <w:r w:rsidRPr="001C60E2">
        <w:rPr>
          <w:rFonts w:ascii="Arial" w:hAnsi="Arial" w:cs="Arial"/>
          <w:i/>
          <w:sz w:val="22"/>
        </w:rPr>
        <w:t>prihvatljive aktivnosti predviđene u okviru mjere</w:t>
      </w:r>
    </w:p>
    <w:p w14:paraId="5D17A1F4" w14:textId="7C5214D3" w:rsidR="00711D97" w:rsidRPr="001C60E2" w:rsidRDefault="00374DAE" w:rsidP="00711D97">
      <w:pPr>
        <w:pStyle w:val="PointManual1"/>
        <w:numPr>
          <w:ilvl w:val="0"/>
          <w:numId w:val="16"/>
        </w:numPr>
        <w:spacing w:before="0" w:after="0" w:line="276" w:lineRule="auto"/>
        <w:rPr>
          <w:rFonts w:ascii="Arial" w:hAnsi="Arial" w:cs="Arial"/>
          <w:i/>
          <w:sz w:val="22"/>
        </w:rPr>
      </w:pPr>
      <w:r w:rsidRPr="001C60E2">
        <w:rPr>
          <w:rFonts w:ascii="Arial" w:hAnsi="Arial" w:cs="Arial"/>
          <w:i/>
          <w:sz w:val="22"/>
        </w:rPr>
        <w:t xml:space="preserve">ako je primjenjivo, </w:t>
      </w:r>
      <w:r w:rsidR="00711D97" w:rsidRPr="001C60E2">
        <w:rPr>
          <w:rFonts w:ascii="Arial" w:hAnsi="Arial" w:cs="Arial"/>
          <w:i/>
          <w:sz w:val="22"/>
        </w:rPr>
        <w:t>posebne mjere politike ili pojedinačne mjere usmjerene na energetsko siromaštvo</w:t>
      </w:r>
    </w:p>
    <w:p w14:paraId="7B4D1EF0" w14:textId="77777777" w:rsidR="00711D97" w:rsidRPr="001C60E2" w:rsidRDefault="00711D97" w:rsidP="00711D97">
      <w:pPr>
        <w:pStyle w:val="PointManual1"/>
        <w:spacing w:before="0" w:after="0" w:line="276" w:lineRule="auto"/>
        <w:ind w:left="0" w:firstLine="0"/>
        <w:rPr>
          <w:rFonts w:ascii="Arial" w:hAnsi="Arial" w:cs="Arial"/>
          <w:sz w:val="22"/>
        </w:rPr>
      </w:pPr>
      <w:r w:rsidRPr="001C60E2">
        <w:rPr>
          <w:rFonts w:ascii="Arial" w:hAnsi="Arial" w:cs="Arial"/>
          <w:sz w:val="22"/>
        </w:rPr>
        <w:t xml:space="preserve">Gore traženi podatci za sve predviđene alternativne mjere prikazane su u sljedećoj tablici. </w:t>
      </w:r>
    </w:p>
    <w:p w14:paraId="5F6AAC48" w14:textId="4D112163" w:rsidR="00711D97" w:rsidRPr="001C60E2" w:rsidRDefault="00711D97" w:rsidP="00711D97">
      <w:pPr>
        <w:pStyle w:val="ManualNumPar1"/>
        <w:numPr>
          <w:ilvl w:val="1"/>
          <w:numId w:val="12"/>
        </w:numPr>
        <w:spacing w:before="0" w:after="0" w:line="276" w:lineRule="auto"/>
        <w:jc w:val="both"/>
        <w:rPr>
          <w:rFonts w:ascii="Arial" w:hAnsi="Arial" w:cs="Arial"/>
          <w:i/>
          <w:sz w:val="22"/>
          <w:highlight w:val="yellow"/>
        </w:rPr>
        <w:sectPr w:rsidR="00711D97" w:rsidRPr="001C60E2" w:rsidSect="00E5709B">
          <w:headerReference w:type="even" r:id="rId12"/>
          <w:headerReference w:type="default" r:id="rId13"/>
          <w:footerReference w:type="even" r:id="rId14"/>
          <w:headerReference w:type="first" r:id="rId15"/>
          <w:footerReference w:type="first" r:id="rId16"/>
          <w:pgSz w:w="11906" w:h="16838"/>
          <w:pgMar w:top="1417" w:right="1417" w:bottom="1417" w:left="1417" w:header="708" w:footer="708" w:gutter="0"/>
          <w:cols w:space="708"/>
          <w:docGrid w:linePitch="360"/>
        </w:sectPr>
      </w:pPr>
    </w:p>
    <w:tbl>
      <w:tblPr>
        <w:tblStyle w:val="GridTable1Light"/>
        <w:tblW w:w="4891" w:type="pct"/>
        <w:tblLook w:val="04A0" w:firstRow="1" w:lastRow="0" w:firstColumn="1" w:lastColumn="0" w:noHBand="0" w:noVBand="1"/>
      </w:tblPr>
      <w:tblGrid>
        <w:gridCol w:w="859"/>
        <w:gridCol w:w="2108"/>
        <w:gridCol w:w="1567"/>
        <w:gridCol w:w="1982"/>
        <w:gridCol w:w="2126"/>
        <w:gridCol w:w="1985"/>
        <w:gridCol w:w="1701"/>
        <w:gridCol w:w="2725"/>
      </w:tblGrid>
      <w:tr w:rsidR="001C60E2" w:rsidRPr="001C60E2" w14:paraId="044FF3E5" w14:textId="77777777" w:rsidTr="00E57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 w:type="pct"/>
          </w:tcPr>
          <w:p w14:paraId="1A603E32" w14:textId="77777777" w:rsidR="00711D97" w:rsidRPr="001C60E2" w:rsidRDefault="00711D97" w:rsidP="00E5709B">
            <w:pPr>
              <w:pStyle w:val="ManualNumPar1"/>
              <w:spacing w:before="0" w:after="0" w:line="240" w:lineRule="auto"/>
              <w:ind w:left="0" w:firstLine="0"/>
              <w:jc w:val="both"/>
              <w:rPr>
                <w:rFonts w:ascii="Arial" w:hAnsi="Arial" w:cs="Arial"/>
                <w:i/>
                <w:sz w:val="18"/>
                <w:szCs w:val="18"/>
              </w:rPr>
            </w:pPr>
            <w:proofErr w:type="spellStart"/>
            <w:r w:rsidRPr="001C60E2">
              <w:rPr>
                <w:rFonts w:ascii="Arial" w:hAnsi="Arial" w:cs="Arial"/>
                <w:i/>
                <w:sz w:val="18"/>
                <w:szCs w:val="18"/>
              </w:rPr>
              <w:lastRenderedPageBreak/>
              <w:t>Id</w:t>
            </w:r>
            <w:proofErr w:type="spellEnd"/>
            <w:r w:rsidRPr="001C60E2">
              <w:rPr>
                <w:rFonts w:ascii="Arial" w:hAnsi="Arial" w:cs="Arial"/>
                <w:i/>
                <w:sz w:val="18"/>
                <w:szCs w:val="18"/>
              </w:rPr>
              <w:t>.</w:t>
            </w:r>
          </w:p>
        </w:tc>
        <w:tc>
          <w:tcPr>
            <w:tcW w:w="700" w:type="pct"/>
          </w:tcPr>
          <w:p w14:paraId="793EB730" w14:textId="77777777" w:rsidR="00711D97" w:rsidRPr="001C60E2" w:rsidRDefault="00711D97" w:rsidP="00E5709B">
            <w:pPr>
              <w:pStyle w:val="ManualNumPar1"/>
              <w:spacing w:before="0" w:after="0" w:line="240" w:lineRule="auto"/>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Naziv mjere</w:t>
            </w:r>
          </w:p>
        </w:tc>
        <w:tc>
          <w:tcPr>
            <w:tcW w:w="520" w:type="pct"/>
          </w:tcPr>
          <w:p w14:paraId="7606A106" w14:textId="77777777" w:rsidR="00711D97" w:rsidRPr="001C60E2" w:rsidRDefault="00711D97" w:rsidP="00E5709B">
            <w:pPr>
              <w:pStyle w:val="ManualNumPar1"/>
              <w:spacing w:before="0" w:after="0" w:line="240" w:lineRule="auto"/>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Vrsta mjere (a)</w:t>
            </w:r>
          </w:p>
        </w:tc>
        <w:tc>
          <w:tcPr>
            <w:tcW w:w="658" w:type="pct"/>
          </w:tcPr>
          <w:p w14:paraId="775C554B" w14:textId="77777777" w:rsidR="00711D97" w:rsidRPr="001C60E2" w:rsidRDefault="00711D97" w:rsidP="00E5709B">
            <w:pPr>
              <w:pStyle w:val="ManualNumPar1"/>
              <w:spacing w:before="0" w:after="0" w:line="240" w:lineRule="auto"/>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Kratki opis mjere (b)</w:t>
            </w:r>
          </w:p>
        </w:tc>
        <w:tc>
          <w:tcPr>
            <w:tcW w:w="706" w:type="pct"/>
          </w:tcPr>
          <w:p w14:paraId="2C4110AA" w14:textId="77777777" w:rsidR="00711D97" w:rsidRPr="001C60E2" w:rsidRDefault="00711D97" w:rsidP="00E5709B">
            <w:pPr>
              <w:pStyle w:val="ManualNumPar1"/>
              <w:spacing w:before="0" w:after="0" w:line="240" w:lineRule="auto"/>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Godišnja ušteda (c)</w:t>
            </w:r>
          </w:p>
        </w:tc>
        <w:tc>
          <w:tcPr>
            <w:tcW w:w="659" w:type="pct"/>
          </w:tcPr>
          <w:p w14:paraId="57290B52" w14:textId="77777777" w:rsidR="00711D97" w:rsidRPr="001C60E2" w:rsidRDefault="00711D97" w:rsidP="00E5709B">
            <w:pPr>
              <w:pStyle w:val="ManualNumPar1"/>
              <w:spacing w:before="0" w:after="0" w:line="240" w:lineRule="auto"/>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Provedbeno tijelo (d)</w:t>
            </w:r>
          </w:p>
        </w:tc>
        <w:tc>
          <w:tcPr>
            <w:tcW w:w="565" w:type="pct"/>
          </w:tcPr>
          <w:p w14:paraId="5CA42027" w14:textId="77777777" w:rsidR="00711D97" w:rsidRPr="001C60E2" w:rsidRDefault="00711D97" w:rsidP="00E5709B">
            <w:pPr>
              <w:pStyle w:val="ManualNumPar1"/>
              <w:spacing w:before="0" w:after="0" w:line="240" w:lineRule="auto"/>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Ciljani sektor (e)</w:t>
            </w:r>
          </w:p>
        </w:tc>
        <w:tc>
          <w:tcPr>
            <w:tcW w:w="905" w:type="pct"/>
          </w:tcPr>
          <w:p w14:paraId="1F72706E" w14:textId="77777777" w:rsidR="00711D97" w:rsidRPr="001C60E2" w:rsidRDefault="00711D97" w:rsidP="00E5709B">
            <w:pPr>
              <w:pStyle w:val="ManualNumPar1"/>
              <w:spacing w:before="0" w:after="0" w:line="240" w:lineRule="auto"/>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Prihvatljive aktivnosti (f)</w:t>
            </w:r>
          </w:p>
        </w:tc>
      </w:tr>
      <w:tr w:rsidR="001C60E2" w:rsidRPr="001C60E2" w14:paraId="0EC5DD6B" w14:textId="77777777" w:rsidTr="00E5709B">
        <w:tc>
          <w:tcPr>
            <w:cnfStyle w:val="001000000000" w:firstRow="0" w:lastRow="0" w:firstColumn="1" w:lastColumn="0" w:oddVBand="0" w:evenVBand="0" w:oddHBand="0" w:evenHBand="0" w:firstRowFirstColumn="0" w:firstRowLastColumn="0" w:lastRowFirstColumn="0" w:lastRowLastColumn="0"/>
            <w:tcW w:w="285" w:type="pct"/>
          </w:tcPr>
          <w:p w14:paraId="0A4C5A0F" w14:textId="77777777" w:rsidR="00711D97" w:rsidRPr="001C60E2" w:rsidRDefault="00711D97" w:rsidP="00E5709B">
            <w:pPr>
              <w:pStyle w:val="ManualNumPar1"/>
              <w:spacing w:before="0" w:after="0" w:line="240" w:lineRule="auto"/>
              <w:ind w:left="0" w:firstLine="0"/>
              <w:jc w:val="both"/>
              <w:rPr>
                <w:rFonts w:ascii="Arial" w:hAnsi="Arial" w:cs="Arial"/>
                <w:i/>
                <w:sz w:val="18"/>
                <w:szCs w:val="18"/>
              </w:rPr>
            </w:pPr>
            <w:r w:rsidRPr="001C60E2">
              <w:rPr>
                <w:rFonts w:ascii="Arial" w:hAnsi="Arial" w:cs="Arial"/>
                <w:i/>
                <w:sz w:val="18"/>
                <w:szCs w:val="18"/>
              </w:rPr>
              <w:t>ENU-3</w:t>
            </w:r>
          </w:p>
        </w:tc>
        <w:tc>
          <w:tcPr>
            <w:tcW w:w="700" w:type="pct"/>
          </w:tcPr>
          <w:p w14:paraId="2E2797F7" w14:textId="77777777" w:rsidR="00711D97" w:rsidRPr="001C60E2" w:rsidRDefault="00711D97"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Program energetske obnove višestambenih (VSZ) zgrada</w:t>
            </w:r>
          </w:p>
        </w:tc>
        <w:tc>
          <w:tcPr>
            <w:tcW w:w="520" w:type="pct"/>
          </w:tcPr>
          <w:p w14:paraId="3FFDA025" w14:textId="77777777"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Financijska</w:t>
            </w:r>
          </w:p>
        </w:tc>
        <w:tc>
          <w:tcPr>
            <w:tcW w:w="658" w:type="pct"/>
            <w:vMerge w:val="restart"/>
          </w:tcPr>
          <w:p w14:paraId="7FF574DE" w14:textId="4A517235" w:rsidR="00711D97" w:rsidRPr="001C60E2" w:rsidRDefault="00711D97"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 xml:space="preserve">Bespovratna sredstva za energetsku obnovu VSZ/OK kojima se postiže smanjenje toplinskih potreba zgrade od najmanje 50%; za OK </w:t>
            </w:r>
            <w:r w:rsidR="001612C2" w:rsidRPr="001C60E2">
              <w:rPr>
                <w:rFonts w:ascii="Arial" w:hAnsi="Arial" w:cs="Arial"/>
                <w:i/>
                <w:sz w:val="18"/>
                <w:szCs w:val="18"/>
              </w:rPr>
              <w:t>s</w:t>
            </w:r>
            <w:r w:rsidRPr="001C60E2">
              <w:rPr>
                <w:rFonts w:ascii="Arial" w:hAnsi="Arial" w:cs="Arial"/>
                <w:i/>
                <w:sz w:val="18"/>
                <w:szCs w:val="18"/>
              </w:rPr>
              <w:t>a zadovoljavajućim stanje</w:t>
            </w:r>
            <w:r w:rsidR="001612C2" w:rsidRPr="001C60E2">
              <w:rPr>
                <w:rFonts w:ascii="Arial" w:hAnsi="Arial" w:cs="Arial"/>
                <w:i/>
                <w:sz w:val="18"/>
                <w:szCs w:val="18"/>
              </w:rPr>
              <w:t>m</w:t>
            </w:r>
            <w:r w:rsidRPr="001C60E2">
              <w:rPr>
                <w:rFonts w:ascii="Arial" w:hAnsi="Arial" w:cs="Arial"/>
                <w:i/>
                <w:sz w:val="18"/>
                <w:szCs w:val="18"/>
              </w:rPr>
              <w:t xml:space="preserve"> vanjske ovojnice sufinanciranje pojedinačnih mjera </w:t>
            </w:r>
            <w:proofErr w:type="spellStart"/>
            <w:r w:rsidRPr="001C60E2">
              <w:rPr>
                <w:rFonts w:ascii="Arial" w:hAnsi="Arial" w:cs="Arial"/>
                <w:i/>
                <w:sz w:val="18"/>
                <w:szCs w:val="18"/>
              </w:rPr>
              <w:t>EnU</w:t>
            </w:r>
            <w:proofErr w:type="spellEnd"/>
            <w:r w:rsidRPr="001C60E2">
              <w:rPr>
                <w:rFonts w:ascii="Arial" w:hAnsi="Arial" w:cs="Arial"/>
                <w:i/>
                <w:sz w:val="18"/>
                <w:szCs w:val="18"/>
              </w:rPr>
              <w:t xml:space="preserve"> i OIE; snažnije poticanje do </w:t>
            </w:r>
            <w:proofErr w:type="spellStart"/>
            <w:r w:rsidRPr="001C60E2">
              <w:rPr>
                <w:rFonts w:ascii="Arial" w:hAnsi="Arial" w:cs="Arial"/>
                <w:i/>
                <w:sz w:val="18"/>
                <w:szCs w:val="18"/>
              </w:rPr>
              <w:t>nZEB</w:t>
            </w:r>
            <w:proofErr w:type="spellEnd"/>
            <w:r w:rsidRPr="001C60E2">
              <w:rPr>
                <w:rFonts w:ascii="Arial" w:hAnsi="Arial" w:cs="Arial"/>
                <w:i/>
                <w:sz w:val="18"/>
                <w:szCs w:val="18"/>
              </w:rPr>
              <w:t xml:space="preserve"> standarda</w:t>
            </w:r>
          </w:p>
        </w:tc>
        <w:tc>
          <w:tcPr>
            <w:tcW w:w="706" w:type="pct"/>
          </w:tcPr>
          <w:p w14:paraId="06916927" w14:textId="2D9799C6" w:rsidR="00711D97" w:rsidRPr="001C60E2" w:rsidRDefault="00247B32"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2</w:t>
            </w:r>
            <w:r w:rsidR="00711D97" w:rsidRPr="001C60E2">
              <w:rPr>
                <w:rFonts w:ascii="Arial" w:hAnsi="Arial" w:cs="Arial"/>
                <w:i/>
                <w:sz w:val="18"/>
                <w:szCs w:val="18"/>
              </w:rPr>
              <w:t>,</w:t>
            </w:r>
            <w:r w:rsidRPr="001C60E2">
              <w:rPr>
                <w:rFonts w:ascii="Arial" w:hAnsi="Arial" w:cs="Arial"/>
                <w:i/>
                <w:sz w:val="18"/>
                <w:szCs w:val="18"/>
              </w:rPr>
              <w:t xml:space="preserve">16 </w:t>
            </w:r>
            <w:proofErr w:type="spellStart"/>
            <w:r w:rsidR="00711D97" w:rsidRPr="001C60E2">
              <w:rPr>
                <w:rFonts w:ascii="Arial" w:hAnsi="Arial" w:cs="Arial"/>
                <w:i/>
                <w:sz w:val="18"/>
                <w:szCs w:val="18"/>
              </w:rPr>
              <w:t>ktoe</w:t>
            </w:r>
            <w:proofErr w:type="spellEnd"/>
          </w:p>
          <w:p w14:paraId="137BC46E" w14:textId="2BF307F7"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0,</w:t>
            </w:r>
            <w:r w:rsidR="00247B32" w:rsidRPr="001C60E2">
              <w:rPr>
                <w:rFonts w:ascii="Arial" w:hAnsi="Arial" w:cs="Arial"/>
                <w:i/>
                <w:sz w:val="18"/>
                <w:szCs w:val="18"/>
              </w:rPr>
              <w:t xml:space="preserve">09 </w:t>
            </w:r>
            <w:r w:rsidRPr="001C60E2">
              <w:rPr>
                <w:rFonts w:ascii="Arial" w:hAnsi="Arial" w:cs="Arial"/>
                <w:i/>
                <w:sz w:val="18"/>
                <w:szCs w:val="18"/>
              </w:rPr>
              <w:t>PJ</w:t>
            </w:r>
          </w:p>
        </w:tc>
        <w:tc>
          <w:tcPr>
            <w:tcW w:w="659" w:type="pct"/>
          </w:tcPr>
          <w:p w14:paraId="0E2B5979" w14:textId="258549B3" w:rsidR="00711D97" w:rsidRPr="001C60E2" w:rsidRDefault="00247B32"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 xml:space="preserve">MPGI </w:t>
            </w:r>
            <w:r w:rsidR="00711D97" w:rsidRPr="001C60E2">
              <w:rPr>
                <w:rFonts w:ascii="Arial" w:hAnsi="Arial" w:cs="Arial"/>
                <w:i/>
                <w:sz w:val="18"/>
                <w:szCs w:val="18"/>
              </w:rPr>
              <w:t>– donošenje Programa</w:t>
            </w:r>
          </w:p>
          <w:p w14:paraId="016001D3" w14:textId="745484A3" w:rsidR="00711D97" w:rsidRPr="001C60E2" w:rsidRDefault="00711D97" w:rsidP="00E5709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eastAsia="Calibri" w:cs="Arial"/>
                <w:i/>
                <w:sz w:val="18"/>
                <w:szCs w:val="18"/>
                <w:lang w:eastAsia="en-US"/>
              </w:rPr>
              <w:t xml:space="preserve">FZOEU – </w:t>
            </w:r>
            <w:r w:rsidR="00247B32" w:rsidRPr="001C60E2">
              <w:rPr>
                <w:rFonts w:eastAsia="Calibri" w:cs="Arial"/>
                <w:i/>
                <w:sz w:val="18"/>
                <w:szCs w:val="18"/>
                <w:lang w:eastAsia="en-US"/>
              </w:rPr>
              <w:t xml:space="preserve">provedba poziva; </w:t>
            </w:r>
            <w:r w:rsidRPr="001C60E2">
              <w:rPr>
                <w:rFonts w:eastAsia="Calibri" w:cs="Arial"/>
                <w:i/>
                <w:sz w:val="18"/>
                <w:szCs w:val="18"/>
                <w:lang w:eastAsia="en-US"/>
              </w:rPr>
              <w:t>tehnička pomoć</w:t>
            </w:r>
          </w:p>
        </w:tc>
        <w:tc>
          <w:tcPr>
            <w:tcW w:w="565" w:type="pct"/>
            <w:vMerge w:val="restart"/>
            <w:vAlign w:val="center"/>
          </w:tcPr>
          <w:p w14:paraId="5B32A90F" w14:textId="77777777"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Kućanstva</w:t>
            </w:r>
          </w:p>
        </w:tc>
        <w:tc>
          <w:tcPr>
            <w:tcW w:w="905" w:type="pct"/>
            <w:vMerge w:val="restart"/>
          </w:tcPr>
          <w:p w14:paraId="418C8123" w14:textId="77777777" w:rsidR="00711D97" w:rsidRPr="001C60E2" w:rsidRDefault="00711D97" w:rsidP="00711D97">
            <w:pPr>
              <w:pStyle w:val="ManualNumPar1"/>
              <w:numPr>
                <w:ilvl w:val="0"/>
                <w:numId w:val="21"/>
              </w:numPr>
              <w:spacing w:before="0" w:after="0" w:line="240" w:lineRule="auto"/>
              <w:ind w:left="261" w:hanging="261"/>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Energetski pregled i energetsko certificiranje prije i poslije obnove</w:t>
            </w:r>
          </w:p>
          <w:p w14:paraId="4642F51B" w14:textId="77777777" w:rsidR="00711D97" w:rsidRPr="001C60E2" w:rsidRDefault="00711D97" w:rsidP="00711D97">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eastAsia="Calibri" w:cs="Arial"/>
                <w:i/>
                <w:sz w:val="18"/>
                <w:szCs w:val="18"/>
                <w:lang w:eastAsia="en-US"/>
              </w:rPr>
              <w:t>Izrada projektne dokumentacije (ako je potrebno)</w:t>
            </w:r>
          </w:p>
          <w:p w14:paraId="11C1DB09" w14:textId="77777777" w:rsidR="00711D97" w:rsidRPr="001C60E2" w:rsidRDefault="00711D97" w:rsidP="00711D97">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eastAsia="Calibri" w:cs="Arial"/>
                <w:i/>
                <w:sz w:val="18"/>
                <w:szCs w:val="18"/>
                <w:lang w:eastAsia="en-US"/>
              </w:rPr>
              <w:t>Oprema i radovi energetske obnove (ovojnica, stolarija, sustavi GVK, OIE, unutarnja rasvjeta i dr.)</w:t>
            </w:r>
          </w:p>
          <w:p w14:paraId="54FCB405" w14:textId="77777777" w:rsidR="00711D97" w:rsidRPr="001C60E2" w:rsidRDefault="00711D97" w:rsidP="00711D97">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eastAsia="Calibri" w:cs="Arial"/>
                <w:i/>
                <w:sz w:val="18"/>
                <w:szCs w:val="18"/>
                <w:lang w:eastAsia="en-US"/>
              </w:rPr>
              <w:t>Stručni i projektantski nadzor (ako je potrebno)</w:t>
            </w:r>
          </w:p>
          <w:p w14:paraId="7D931627" w14:textId="77777777" w:rsidR="00711D97" w:rsidRPr="001C60E2" w:rsidRDefault="00711D97" w:rsidP="00711D97">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eastAsia="Calibri" w:cs="Arial"/>
                <w:i/>
                <w:sz w:val="18"/>
                <w:szCs w:val="18"/>
                <w:lang w:eastAsia="en-US"/>
              </w:rPr>
              <w:t>Tehnička pomoć</w:t>
            </w:r>
          </w:p>
        </w:tc>
      </w:tr>
      <w:tr w:rsidR="001C60E2" w:rsidRPr="001C60E2" w14:paraId="125F0118" w14:textId="77777777" w:rsidTr="00E5709B">
        <w:tc>
          <w:tcPr>
            <w:cnfStyle w:val="001000000000" w:firstRow="0" w:lastRow="0" w:firstColumn="1" w:lastColumn="0" w:oddVBand="0" w:evenVBand="0" w:oddHBand="0" w:evenHBand="0" w:firstRowFirstColumn="0" w:firstRowLastColumn="0" w:lastRowFirstColumn="0" w:lastRowLastColumn="0"/>
            <w:tcW w:w="285" w:type="pct"/>
          </w:tcPr>
          <w:p w14:paraId="57CC001A" w14:textId="77777777" w:rsidR="00711D97" w:rsidRPr="001C60E2" w:rsidRDefault="00711D97" w:rsidP="00E5709B">
            <w:pPr>
              <w:pStyle w:val="ManualNumPar1"/>
              <w:spacing w:before="0" w:after="0" w:line="240" w:lineRule="auto"/>
              <w:ind w:left="0" w:firstLine="0"/>
              <w:jc w:val="both"/>
              <w:rPr>
                <w:rFonts w:ascii="Arial" w:hAnsi="Arial" w:cs="Arial"/>
                <w:i/>
                <w:sz w:val="18"/>
                <w:szCs w:val="18"/>
              </w:rPr>
            </w:pPr>
            <w:r w:rsidRPr="001C60E2">
              <w:rPr>
                <w:rFonts w:ascii="Arial" w:hAnsi="Arial" w:cs="Arial"/>
                <w:i/>
                <w:sz w:val="18"/>
                <w:szCs w:val="18"/>
              </w:rPr>
              <w:t>ENU-4</w:t>
            </w:r>
          </w:p>
        </w:tc>
        <w:tc>
          <w:tcPr>
            <w:tcW w:w="700" w:type="pct"/>
          </w:tcPr>
          <w:p w14:paraId="482CC20E" w14:textId="77777777" w:rsidR="00711D97" w:rsidRPr="001C60E2" w:rsidRDefault="00711D97"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Program energetske obnove obiteljskih (OK) kuća</w:t>
            </w:r>
          </w:p>
        </w:tc>
        <w:tc>
          <w:tcPr>
            <w:tcW w:w="520" w:type="pct"/>
          </w:tcPr>
          <w:p w14:paraId="781D8067" w14:textId="77777777"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Financijska</w:t>
            </w:r>
          </w:p>
        </w:tc>
        <w:tc>
          <w:tcPr>
            <w:tcW w:w="658" w:type="pct"/>
            <w:vMerge/>
          </w:tcPr>
          <w:p w14:paraId="1ED3F026" w14:textId="77777777"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p>
        </w:tc>
        <w:tc>
          <w:tcPr>
            <w:tcW w:w="706" w:type="pct"/>
          </w:tcPr>
          <w:p w14:paraId="43B097AE" w14:textId="6A6CE389" w:rsidR="00711D97" w:rsidRPr="001C60E2" w:rsidRDefault="00571B52"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5</w:t>
            </w:r>
            <w:r w:rsidR="00711D97" w:rsidRPr="001C60E2">
              <w:rPr>
                <w:rFonts w:ascii="Arial" w:hAnsi="Arial" w:cs="Arial"/>
                <w:i/>
                <w:sz w:val="18"/>
                <w:szCs w:val="18"/>
              </w:rPr>
              <w:t>,</w:t>
            </w:r>
            <w:r w:rsidRPr="001C60E2">
              <w:rPr>
                <w:rFonts w:ascii="Arial" w:hAnsi="Arial" w:cs="Arial"/>
                <w:i/>
                <w:sz w:val="18"/>
                <w:szCs w:val="18"/>
              </w:rPr>
              <w:t xml:space="preserve">16 </w:t>
            </w:r>
            <w:proofErr w:type="spellStart"/>
            <w:r w:rsidR="00711D97" w:rsidRPr="001C60E2">
              <w:rPr>
                <w:rFonts w:ascii="Arial" w:hAnsi="Arial" w:cs="Arial"/>
                <w:i/>
                <w:sz w:val="18"/>
                <w:szCs w:val="18"/>
              </w:rPr>
              <w:t>ktoe</w:t>
            </w:r>
            <w:proofErr w:type="spellEnd"/>
          </w:p>
          <w:p w14:paraId="68B7B8B0" w14:textId="6E62002B"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0,</w:t>
            </w:r>
            <w:r w:rsidR="00571B52" w:rsidRPr="001C60E2">
              <w:rPr>
                <w:rFonts w:ascii="Arial" w:hAnsi="Arial" w:cs="Arial"/>
                <w:i/>
                <w:sz w:val="18"/>
                <w:szCs w:val="18"/>
              </w:rPr>
              <w:t xml:space="preserve">22 </w:t>
            </w:r>
            <w:r w:rsidRPr="001C60E2">
              <w:rPr>
                <w:rFonts w:ascii="Arial" w:hAnsi="Arial" w:cs="Arial"/>
                <w:i/>
                <w:sz w:val="18"/>
                <w:szCs w:val="18"/>
              </w:rPr>
              <w:t>PJ</w:t>
            </w:r>
          </w:p>
        </w:tc>
        <w:tc>
          <w:tcPr>
            <w:tcW w:w="659" w:type="pct"/>
          </w:tcPr>
          <w:p w14:paraId="6B3526E7" w14:textId="40AD660F" w:rsidR="00711D97" w:rsidRPr="001C60E2" w:rsidRDefault="00571B52"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 xml:space="preserve">MPGI </w:t>
            </w:r>
            <w:r w:rsidR="00711D97" w:rsidRPr="001C60E2">
              <w:rPr>
                <w:rFonts w:ascii="Arial" w:hAnsi="Arial" w:cs="Arial"/>
                <w:i/>
                <w:sz w:val="18"/>
                <w:szCs w:val="18"/>
              </w:rPr>
              <w:t>– donošenje Programa</w:t>
            </w:r>
          </w:p>
          <w:p w14:paraId="71226C7E" w14:textId="31C0CF6B" w:rsidR="00711D97" w:rsidRPr="001C60E2" w:rsidRDefault="00711D97" w:rsidP="00E5709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lang w:eastAsia="en-US"/>
              </w:rPr>
            </w:pPr>
            <w:r w:rsidRPr="001C60E2">
              <w:rPr>
                <w:rFonts w:eastAsia="Calibri" w:cs="Arial"/>
                <w:i/>
                <w:sz w:val="18"/>
                <w:szCs w:val="18"/>
                <w:lang w:eastAsia="en-US"/>
              </w:rPr>
              <w:t>FZOEU – provedba</w:t>
            </w:r>
            <w:r w:rsidR="00571B52" w:rsidRPr="001C60E2">
              <w:rPr>
                <w:rFonts w:eastAsia="Calibri" w:cs="Arial"/>
                <w:i/>
                <w:sz w:val="18"/>
                <w:szCs w:val="18"/>
                <w:lang w:eastAsia="en-US"/>
              </w:rPr>
              <w:t xml:space="preserve"> poziva</w:t>
            </w:r>
            <w:r w:rsidR="00D91D96" w:rsidRPr="001C60E2">
              <w:rPr>
                <w:rFonts w:eastAsia="Calibri" w:cs="Arial"/>
                <w:i/>
                <w:sz w:val="18"/>
                <w:szCs w:val="18"/>
                <w:lang w:eastAsia="en-US"/>
              </w:rPr>
              <w:t>; tehnička pomoć</w:t>
            </w:r>
          </w:p>
        </w:tc>
        <w:tc>
          <w:tcPr>
            <w:tcW w:w="565" w:type="pct"/>
            <w:vMerge/>
          </w:tcPr>
          <w:p w14:paraId="50A91249" w14:textId="77777777"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p>
        </w:tc>
        <w:tc>
          <w:tcPr>
            <w:tcW w:w="905" w:type="pct"/>
            <w:vMerge/>
          </w:tcPr>
          <w:p w14:paraId="012F65BF" w14:textId="77777777" w:rsidR="00711D97" w:rsidRPr="001C60E2" w:rsidRDefault="00711D97" w:rsidP="00711D97">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cs="Arial"/>
                <w:i/>
                <w:sz w:val="18"/>
                <w:szCs w:val="18"/>
              </w:rPr>
            </w:pPr>
          </w:p>
        </w:tc>
      </w:tr>
      <w:tr w:rsidR="001C60E2" w:rsidRPr="001C60E2" w14:paraId="67A4BB72" w14:textId="77777777" w:rsidTr="00E5709B">
        <w:tc>
          <w:tcPr>
            <w:cnfStyle w:val="001000000000" w:firstRow="0" w:lastRow="0" w:firstColumn="1" w:lastColumn="0" w:oddVBand="0" w:evenVBand="0" w:oddHBand="0" w:evenHBand="0" w:firstRowFirstColumn="0" w:firstRowLastColumn="0" w:lastRowFirstColumn="0" w:lastRowLastColumn="0"/>
            <w:tcW w:w="285" w:type="pct"/>
          </w:tcPr>
          <w:p w14:paraId="61B9ABBE" w14:textId="77777777" w:rsidR="00711D97" w:rsidRPr="001C60E2" w:rsidRDefault="00711D97" w:rsidP="00E5709B">
            <w:pPr>
              <w:pStyle w:val="ManualNumPar1"/>
              <w:spacing w:before="0" w:after="0" w:line="240" w:lineRule="auto"/>
              <w:ind w:left="0" w:firstLine="0"/>
              <w:jc w:val="both"/>
              <w:rPr>
                <w:rFonts w:ascii="Arial" w:hAnsi="Arial" w:cs="Arial"/>
                <w:i/>
                <w:sz w:val="18"/>
                <w:szCs w:val="18"/>
              </w:rPr>
            </w:pPr>
            <w:r w:rsidRPr="001C60E2">
              <w:rPr>
                <w:rFonts w:ascii="Arial" w:hAnsi="Arial" w:cs="Arial"/>
                <w:i/>
                <w:sz w:val="18"/>
                <w:szCs w:val="18"/>
              </w:rPr>
              <w:t>ENU-5</w:t>
            </w:r>
          </w:p>
        </w:tc>
        <w:tc>
          <w:tcPr>
            <w:tcW w:w="700" w:type="pct"/>
          </w:tcPr>
          <w:p w14:paraId="2AFE7BF1" w14:textId="77777777" w:rsidR="00711D97" w:rsidRPr="001C60E2" w:rsidRDefault="00711D97"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Program energetske obnove zgrada javnog sektora</w:t>
            </w:r>
          </w:p>
        </w:tc>
        <w:tc>
          <w:tcPr>
            <w:tcW w:w="520" w:type="pct"/>
          </w:tcPr>
          <w:p w14:paraId="7FE59B86" w14:textId="77777777"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Financijska</w:t>
            </w:r>
          </w:p>
        </w:tc>
        <w:tc>
          <w:tcPr>
            <w:tcW w:w="658" w:type="pct"/>
          </w:tcPr>
          <w:p w14:paraId="268C4EC1" w14:textId="77777777" w:rsidR="00711D97" w:rsidRPr="001C60E2" w:rsidRDefault="00711D97"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 xml:space="preserve">Bespovratna sredstva za energetsku obnovu javnih zgrada ili ESCO model za zgrade za koje se pokazuje dobra isplativost mjera </w:t>
            </w:r>
            <w:proofErr w:type="spellStart"/>
            <w:r w:rsidRPr="001C60E2">
              <w:rPr>
                <w:rFonts w:ascii="Arial" w:hAnsi="Arial" w:cs="Arial"/>
                <w:i/>
                <w:sz w:val="18"/>
                <w:szCs w:val="18"/>
              </w:rPr>
              <w:t>EnU</w:t>
            </w:r>
            <w:proofErr w:type="spellEnd"/>
            <w:r w:rsidRPr="001C60E2">
              <w:rPr>
                <w:rFonts w:ascii="Arial" w:hAnsi="Arial" w:cs="Arial"/>
                <w:i/>
                <w:sz w:val="18"/>
                <w:szCs w:val="18"/>
              </w:rPr>
              <w:t xml:space="preserve">; snažnije poticanje do </w:t>
            </w:r>
            <w:proofErr w:type="spellStart"/>
            <w:r w:rsidRPr="001C60E2">
              <w:rPr>
                <w:rFonts w:ascii="Arial" w:hAnsi="Arial" w:cs="Arial"/>
                <w:i/>
                <w:sz w:val="18"/>
                <w:szCs w:val="18"/>
              </w:rPr>
              <w:t>nZEB</w:t>
            </w:r>
            <w:proofErr w:type="spellEnd"/>
            <w:r w:rsidRPr="001C60E2">
              <w:rPr>
                <w:rFonts w:ascii="Arial" w:hAnsi="Arial" w:cs="Arial"/>
                <w:i/>
                <w:sz w:val="18"/>
                <w:szCs w:val="18"/>
              </w:rPr>
              <w:t xml:space="preserve"> standarda </w:t>
            </w:r>
          </w:p>
        </w:tc>
        <w:tc>
          <w:tcPr>
            <w:tcW w:w="706" w:type="pct"/>
          </w:tcPr>
          <w:p w14:paraId="6FB60B51" w14:textId="59DD5997" w:rsidR="00711D97" w:rsidRPr="001C60E2" w:rsidRDefault="001A7628"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1</w:t>
            </w:r>
            <w:r w:rsidR="00711D97" w:rsidRPr="001C60E2">
              <w:rPr>
                <w:rFonts w:ascii="Arial" w:hAnsi="Arial" w:cs="Arial"/>
                <w:i/>
                <w:sz w:val="18"/>
                <w:szCs w:val="18"/>
              </w:rPr>
              <w:t>,</w:t>
            </w:r>
            <w:r w:rsidRPr="001C60E2">
              <w:rPr>
                <w:rFonts w:ascii="Arial" w:hAnsi="Arial" w:cs="Arial"/>
                <w:i/>
                <w:sz w:val="18"/>
                <w:szCs w:val="18"/>
              </w:rPr>
              <w:t xml:space="preserve">70 </w:t>
            </w:r>
            <w:proofErr w:type="spellStart"/>
            <w:r w:rsidR="00711D97" w:rsidRPr="001C60E2">
              <w:rPr>
                <w:rFonts w:ascii="Arial" w:hAnsi="Arial" w:cs="Arial"/>
                <w:i/>
                <w:sz w:val="18"/>
                <w:szCs w:val="18"/>
              </w:rPr>
              <w:t>ktoe</w:t>
            </w:r>
            <w:proofErr w:type="spellEnd"/>
          </w:p>
          <w:p w14:paraId="35DD0E06" w14:textId="1B397641" w:rsidR="00711D97" w:rsidRPr="001C60E2" w:rsidRDefault="00FD77C4"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 xml:space="preserve">0,07 </w:t>
            </w:r>
            <w:r w:rsidR="00711D97" w:rsidRPr="001C60E2">
              <w:rPr>
                <w:rFonts w:ascii="Arial" w:hAnsi="Arial" w:cs="Arial"/>
                <w:i/>
                <w:sz w:val="18"/>
                <w:szCs w:val="18"/>
              </w:rPr>
              <w:t>PJ</w:t>
            </w:r>
          </w:p>
        </w:tc>
        <w:tc>
          <w:tcPr>
            <w:tcW w:w="659" w:type="pct"/>
          </w:tcPr>
          <w:p w14:paraId="7C6FCFB9" w14:textId="067A51CA" w:rsidR="00711D97" w:rsidRPr="001C60E2" w:rsidRDefault="001A7628"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 xml:space="preserve">MPGI </w:t>
            </w:r>
            <w:r w:rsidR="00711D97" w:rsidRPr="001C60E2">
              <w:rPr>
                <w:rFonts w:ascii="Arial" w:hAnsi="Arial" w:cs="Arial"/>
                <w:i/>
                <w:sz w:val="18"/>
                <w:szCs w:val="18"/>
              </w:rPr>
              <w:t xml:space="preserve">– donošenje </w:t>
            </w:r>
            <w:r w:rsidR="00E551C4" w:rsidRPr="001C60E2">
              <w:rPr>
                <w:rFonts w:ascii="Arial" w:hAnsi="Arial" w:cs="Arial"/>
                <w:i/>
                <w:sz w:val="18"/>
                <w:szCs w:val="18"/>
              </w:rPr>
              <w:t xml:space="preserve">i provedba </w:t>
            </w:r>
            <w:r w:rsidR="00711D97" w:rsidRPr="001C60E2">
              <w:rPr>
                <w:rFonts w:ascii="Arial" w:hAnsi="Arial" w:cs="Arial"/>
                <w:i/>
                <w:sz w:val="18"/>
                <w:szCs w:val="18"/>
              </w:rPr>
              <w:t>Programa</w:t>
            </w:r>
          </w:p>
          <w:p w14:paraId="30AAC068" w14:textId="69151499" w:rsidR="00711D97" w:rsidRPr="001C60E2" w:rsidRDefault="00711D97"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 xml:space="preserve">FZOEU – </w:t>
            </w:r>
            <w:r w:rsidR="00E551C4" w:rsidRPr="001C60E2">
              <w:rPr>
                <w:rFonts w:ascii="Arial" w:hAnsi="Arial" w:cs="Arial"/>
                <w:i/>
                <w:sz w:val="18"/>
                <w:szCs w:val="18"/>
              </w:rPr>
              <w:t>provedba poziva</w:t>
            </w:r>
          </w:p>
          <w:p w14:paraId="21A43491" w14:textId="77777777" w:rsidR="00711D97" w:rsidRPr="001C60E2" w:rsidRDefault="00711D97"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pPr>
            <w:r w:rsidRPr="001C60E2">
              <w:rPr>
                <w:rFonts w:ascii="Arial" w:hAnsi="Arial" w:cs="Arial"/>
                <w:i/>
                <w:sz w:val="18"/>
                <w:szCs w:val="18"/>
              </w:rPr>
              <w:t>APN – ESCO model</w:t>
            </w:r>
          </w:p>
        </w:tc>
        <w:tc>
          <w:tcPr>
            <w:tcW w:w="565" w:type="pct"/>
          </w:tcPr>
          <w:p w14:paraId="33816FE6" w14:textId="77777777"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Uslužni sektor (javne usluge)</w:t>
            </w:r>
          </w:p>
        </w:tc>
        <w:tc>
          <w:tcPr>
            <w:tcW w:w="905" w:type="pct"/>
          </w:tcPr>
          <w:p w14:paraId="07AEA080" w14:textId="77777777" w:rsidR="00711D97" w:rsidRPr="001C60E2" w:rsidRDefault="00711D97" w:rsidP="00711D97">
            <w:pPr>
              <w:pStyle w:val="ManualNumPar1"/>
              <w:numPr>
                <w:ilvl w:val="0"/>
                <w:numId w:val="21"/>
              </w:numPr>
              <w:spacing w:before="0" w:after="0" w:line="240" w:lineRule="auto"/>
              <w:ind w:left="261" w:hanging="261"/>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Energetski pregled i energetsko certificiranje prije i poslije obnove</w:t>
            </w:r>
          </w:p>
          <w:p w14:paraId="51500F16" w14:textId="77777777" w:rsidR="00711D97" w:rsidRPr="001C60E2" w:rsidRDefault="00711D97" w:rsidP="00711D97">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eastAsia="Calibri" w:cs="Arial"/>
                <w:i/>
                <w:sz w:val="18"/>
                <w:szCs w:val="18"/>
                <w:lang w:eastAsia="en-US"/>
              </w:rPr>
              <w:t>Izrada projektne dokumentacije</w:t>
            </w:r>
          </w:p>
          <w:p w14:paraId="075FAEDD" w14:textId="77777777" w:rsidR="00711D97" w:rsidRPr="001C60E2" w:rsidRDefault="00711D97" w:rsidP="00711D97">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eastAsia="Calibri" w:cs="Arial"/>
                <w:i/>
                <w:sz w:val="18"/>
                <w:szCs w:val="18"/>
                <w:lang w:eastAsia="en-US"/>
              </w:rPr>
              <w:t>Oprema i radovi energetske obnove (ovojnica, stolarija, sustavi GVK, OIE, unutarnja rasvjeta i dr.)</w:t>
            </w:r>
          </w:p>
          <w:p w14:paraId="7CC40F07" w14:textId="77777777" w:rsidR="00711D97" w:rsidRPr="001C60E2" w:rsidRDefault="00711D97" w:rsidP="00711D97">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eastAsia="Calibri" w:cs="Arial"/>
                <w:i/>
                <w:sz w:val="18"/>
                <w:szCs w:val="18"/>
                <w:lang w:eastAsia="en-US"/>
              </w:rPr>
              <w:t xml:space="preserve">Stručni i projektantski nadzor </w:t>
            </w:r>
          </w:p>
          <w:p w14:paraId="088168F9" w14:textId="77777777" w:rsidR="00711D97" w:rsidRPr="001C60E2" w:rsidRDefault="00711D97" w:rsidP="00711D97">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cs="Arial"/>
                <w:i/>
                <w:sz w:val="18"/>
                <w:szCs w:val="18"/>
              </w:rPr>
            </w:pPr>
            <w:r w:rsidRPr="001C60E2">
              <w:rPr>
                <w:rFonts w:eastAsia="Calibri" w:cs="Arial"/>
                <w:i/>
                <w:sz w:val="18"/>
                <w:szCs w:val="18"/>
                <w:lang w:eastAsia="en-US"/>
              </w:rPr>
              <w:t>Tehnička pomoć</w:t>
            </w:r>
          </w:p>
        </w:tc>
      </w:tr>
      <w:tr w:rsidR="001C60E2" w:rsidRPr="001C60E2" w14:paraId="1C487D9F" w14:textId="77777777" w:rsidTr="00E5709B">
        <w:tc>
          <w:tcPr>
            <w:cnfStyle w:val="001000000000" w:firstRow="0" w:lastRow="0" w:firstColumn="1" w:lastColumn="0" w:oddVBand="0" w:evenVBand="0" w:oddHBand="0" w:evenHBand="0" w:firstRowFirstColumn="0" w:firstRowLastColumn="0" w:lastRowFirstColumn="0" w:lastRowLastColumn="0"/>
            <w:tcW w:w="285" w:type="pct"/>
          </w:tcPr>
          <w:p w14:paraId="5A8ACF19" w14:textId="72154D93" w:rsidR="00B40E54" w:rsidRPr="001C60E2" w:rsidRDefault="00B40E54" w:rsidP="00E5709B">
            <w:pPr>
              <w:pStyle w:val="ManualNumPar1"/>
              <w:spacing w:before="0" w:after="0" w:line="240" w:lineRule="auto"/>
              <w:ind w:left="0" w:firstLine="0"/>
              <w:jc w:val="both"/>
              <w:rPr>
                <w:rFonts w:ascii="Arial" w:hAnsi="Arial" w:cs="Arial"/>
                <w:i/>
                <w:sz w:val="18"/>
                <w:szCs w:val="18"/>
              </w:rPr>
            </w:pPr>
            <w:r w:rsidRPr="001C60E2">
              <w:rPr>
                <w:rFonts w:ascii="Arial" w:hAnsi="Arial" w:cs="Arial"/>
                <w:i/>
                <w:sz w:val="18"/>
                <w:szCs w:val="18"/>
              </w:rPr>
              <w:t>ENU-6</w:t>
            </w:r>
          </w:p>
        </w:tc>
        <w:tc>
          <w:tcPr>
            <w:tcW w:w="700" w:type="pct"/>
          </w:tcPr>
          <w:p w14:paraId="1A37E087" w14:textId="3DD62FFF" w:rsidR="00B40E54" w:rsidRPr="001C60E2" w:rsidRDefault="002C1185"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Program energetske obnove zgrada koje imaju status kulturnog dobra</w:t>
            </w:r>
          </w:p>
        </w:tc>
        <w:tc>
          <w:tcPr>
            <w:tcW w:w="520" w:type="pct"/>
          </w:tcPr>
          <w:p w14:paraId="6CAD6AD7" w14:textId="72134EAB" w:rsidR="00B40E54" w:rsidRPr="001C60E2" w:rsidRDefault="002C1185"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Financijska</w:t>
            </w:r>
          </w:p>
        </w:tc>
        <w:tc>
          <w:tcPr>
            <w:tcW w:w="658" w:type="pct"/>
          </w:tcPr>
          <w:p w14:paraId="53E8A51A" w14:textId="4563D078" w:rsidR="00B40E54" w:rsidRPr="001C60E2" w:rsidRDefault="002C1185"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Bespovratna sredstva za energetsku obnovu zgrada koje imaju status kulturnog dobra</w:t>
            </w:r>
          </w:p>
        </w:tc>
        <w:tc>
          <w:tcPr>
            <w:tcW w:w="706" w:type="pct"/>
          </w:tcPr>
          <w:p w14:paraId="6AA47457" w14:textId="45E47A0A" w:rsidR="00161CA6" w:rsidRPr="001C60E2" w:rsidRDefault="00161CA6" w:rsidP="00161CA6">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 xml:space="preserve">2,75 </w:t>
            </w:r>
            <w:proofErr w:type="spellStart"/>
            <w:r w:rsidRPr="001C60E2">
              <w:rPr>
                <w:rFonts w:ascii="Arial" w:hAnsi="Arial" w:cs="Arial"/>
                <w:i/>
                <w:sz w:val="18"/>
                <w:szCs w:val="18"/>
              </w:rPr>
              <w:t>ktoe</w:t>
            </w:r>
            <w:proofErr w:type="spellEnd"/>
          </w:p>
          <w:p w14:paraId="1F12BEF9" w14:textId="7BBABBBD" w:rsidR="00B40E54" w:rsidRPr="001C60E2" w:rsidRDefault="00161CA6" w:rsidP="00161CA6">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highlight w:val="yellow"/>
              </w:rPr>
            </w:pPr>
            <w:r w:rsidRPr="001C60E2">
              <w:rPr>
                <w:rFonts w:ascii="Arial" w:hAnsi="Arial" w:cs="Arial"/>
                <w:i/>
                <w:sz w:val="18"/>
                <w:szCs w:val="18"/>
              </w:rPr>
              <w:t>0,11 PJ</w:t>
            </w:r>
          </w:p>
        </w:tc>
        <w:tc>
          <w:tcPr>
            <w:tcW w:w="659" w:type="pct"/>
          </w:tcPr>
          <w:p w14:paraId="53EC99A0" w14:textId="77777777" w:rsidR="00E70FD7" w:rsidRPr="001C60E2" w:rsidRDefault="00E70FD7" w:rsidP="00E70FD7">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MPGI – donošenje i provedba Programa</w:t>
            </w:r>
          </w:p>
          <w:p w14:paraId="36CE7C73" w14:textId="77777777" w:rsidR="00E70FD7" w:rsidRPr="001C60E2" w:rsidRDefault="00E70FD7" w:rsidP="00E70FD7">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FZOEU – provedba poziva</w:t>
            </w:r>
          </w:p>
          <w:p w14:paraId="2D3518D8" w14:textId="45C147DB" w:rsidR="00B40E54" w:rsidRPr="001C60E2" w:rsidRDefault="00B40E54"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highlight w:val="yellow"/>
              </w:rPr>
            </w:pPr>
          </w:p>
        </w:tc>
        <w:tc>
          <w:tcPr>
            <w:tcW w:w="565" w:type="pct"/>
          </w:tcPr>
          <w:p w14:paraId="159B1ABF" w14:textId="77777777" w:rsidR="00B40E54" w:rsidRPr="001C60E2" w:rsidRDefault="00D749AA" w:rsidP="00E5709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cs="Arial"/>
                <w:i/>
                <w:sz w:val="18"/>
                <w:szCs w:val="18"/>
              </w:rPr>
            </w:pPr>
            <w:r w:rsidRPr="001C60E2">
              <w:rPr>
                <w:rFonts w:cs="Arial"/>
                <w:i/>
                <w:sz w:val="18"/>
                <w:szCs w:val="18"/>
              </w:rPr>
              <w:t>Uslužni sektor</w:t>
            </w:r>
          </w:p>
          <w:p w14:paraId="6906EDC2" w14:textId="399A4049" w:rsidR="00D749AA" w:rsidRPr="001C60E2" w:rsidRDefault="00D749AA" w:rsidP="00E5709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cs="Arial"/>
                <w:i/>
                <w:sz w:val="18"/>
                <w:szCs w:val="18"/>
              </w:rPr>
              <w:t>Kućanstva</w:t>
            </w:r>
          </w:p>
        </w:tc>
        <w:tc>
          <w:tcPr>
            <w:tcW w:w="905" w:type="pct"/>
          </w:tcPr>
          <w:p w14:paraId="3F2456E2" w14:textId="77777777" w:rsidR="001E2716" w:rsidRPr="001C60E2" w:rsidRDefault="001E2716" w:rsidP="001E2716">
            <w:pPr>
              <w:pStyle w:val="ManualNumPar1"/>
              <w:numPr>
                <w:ilvl w:val="0"/>
                <w:numId w:val="21"/>
              </w:numPr>
              <w:spacing w:before="0" w:after="0" w:line="240" w:lineRule="auto"/>
              <w:ind w:left="261" w:hanging="261"/>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Energetski pregled i energetsko certificiranje prije i poslije obnove</w:t>
            </w:r>
          </w:p>
          <w:p w14:paraId="7025E920" w14:textId="77777777" w:rsidR="001E2716" w:rsidRPr="001C60E2" w:rsidRDefault="001E2716" w:rsidP="001E2716">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eastAsia="Calibri" w:cs="Arial"/>
                <w:i/>
                <w:sz w:val="18"/>
                <w:szCs w:val="18"/>
                <w:lang w:eastAsia="en-US"/>
              </w:rPr>
              <w:t>Izrada projektne dokumentacije (ako je potrebno)</w:t>
            </w:r>
          </w:p>
          <w:p w14:paraId="796D6656" w14:textId="77777777" w:rsidR="001E2716" w:rsidRPr="001C60E2" w:rsidRDefault="001E2716" w:rsidP="001E2716">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eastAsia="Calibri" w:cs="Arial"/>
                <w:i/>
                <w:sz w:val="18"/>
                <w:szCs w:val="18"/>
                <w:lang w:eastAsia="en-US"/>
              </w:rPr>
              <w:t>Oprema i radovi energetske obnove (ovojnica, stolarija, sustavi GVK, OIE, unutarnja rasvjeta i dr.)</w:t>
            </w:r>
          </w:p>
          <w:p w14:paraId="74FBD8DD" w14:textId="77777777" w:rsidR="001E2716" w:rsidRPr="001C60E2" w:rsidRDefault="001E2716" w:rsidP="001E2716">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eastAsia="Calibri" w:cs="Arial"/>
                <w:i/>
                <w:sz w:val="18"/>
                <w:szCs w:val="18"/>
                <w:lang w:eastAsia="en-US"/>
              </w:rPr>
              <w:t>Stručni i projektantski nadzor (ako je potrebno)</w:t>
            </w:r>
          </w:p>
          <w:p w14:paraId="49DC1CC5" w14:textId="7CBB9E94" w:rsidR="00B40E54" w:rsidRPr="001C60E2" w:rsidRDefault="001E2716" w:rsidP="001E2716">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eastAsia="Calibri" w:cs="Arial"/>
                <w:i/>
                <w:sz w:val="18"/>
                <w:szCs w:val="18"/>
                <w:lang w:eastAsia="en-US"/>
              </w:rPr>
              <w:t>Tehnička pomoć</w:t>
            </w:r>
          </w:p>
        </w:tc>
      </w:tr>
      <w:tr w:rsidR="001C60E2" w:rsidRPr="001C60E2" w14:paraId="374B6A82" w14:textId="77777777" w:rsidTr="00E5709B">
        <w:tc>
          <w:tcPr>
            <w:cnfStyle w:val="001000000000" w:firstRow="0" w:lastRow="0" w:firstColumn="1" w:lastColumn="0" w:oddVBand="0" w:evenVBand="0" w:oddHBand="0" w:evenHBand="0" w:firstRowFirstColumn="0" w:firstRowLastColumn="0" w:lastRowFirstColumn="0" w:lastRowLastColumn="0"/>
            <w:tcW w:w="285" w:type="pct"/>
          </w:tcPr>
          <w:p w14:paraId="35B7FDF3" w14:textId="0C4968B6" w:rsidR="00711D97" w:rsidRPr="001C60E2" w:rsidRDefault="00711D97" w:rsidP="00E5709B">
            <w:pPr>
              <w:pStyle w:val="ManualNumPar1"/>
              <w:spacing w:before="0" w:after="0" w:line="240" w:lineRule="auto"/>
              <w:ind w:left="0" w:firstLine="0"/>
              <w:jc w:val="both"/>
              <w:rPr>
                <w:rFonts w:ascii="Arial" w:hAnsi="Arial" w:cs="Arial"/>
                <w:i/>
                <w:sz w:val="18"/>
                <w:szCs w:val="18"/>
              </w:rPr>
            </w:pPr>
            <w:r w:rsidRPr="001C60E2">
              <w:rPr>
                <w:rFonts w:ascii="Arial" w:hAnsi="Arial" w:cs="Arial"/>
                <w:i/>
                <w:sz w:val="18"/>
                <w:szCs w:val="18"/>
              </w:rPr>
              <w:t>ENU-</w:t>
            </w:r>
            <w:r w:rsidR="00B40E54" w:rsidRPr="001C60E2">
              <w:rPr>
                <w:rFonts w:ascii="Arial" w:hAnsi="Arial" w:cs="Arial"/>
                <w:i/>
                <w:sz w:val="18"/>
                <w:szCs w:val="18"/>
              </w:rPr>
              <w:t>7</w:t>
            </w:r>
          </w:p>
        </w:tc>
        <w:tc>
          <w:tcPr>
            <w:tcW w:w="700" w:type="pct"/>
          </w:tcPr>
          <w:p w14:paraId="6E961E94" w14:textId="77777777" w:rsidR="00711D97" w:rsidRPr="001C60E2" w:rsidRDefault="00711D97"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Sustavno gospodarenje energijom u javnom sektoru</w:t>
            </w:r>
          </w:p>
        </w:tc>
        <w:tc>
          <w:tcPr>
            <w:tcW w:w="520" w:type="pct"/>
          </w:tcPr>
          <w:p w14:paraId="102002AA" w14:textId="77777777"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Obvezna informacijska</w:t>
            </w:r>
          </w:p>
        </w:tc>
        <w:tc>
          <w:tcPr>
            <w:tcW w:w="658" w:type="pct"/>
          </w:tcPr>
          <w:p w14:paraId="3712E0A4" w14:textId="77777777" w:rsidR="00711D97" w:rsidRPr="001C60E2" w:rsidRDefault="00711D97"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 xml:space="preserve">Unaprjeđenje ISGE sustava i njegova primjena u cijelom javnom sektoru te provedba organizacijsko-edukacijskih mjera za smanjenje potrošnje </w:t>
            </w:r>
            <w:r w:rsidRPr="001C60E2">
              <w:rPr>
                <w:rFonts w:ascii="Arial" w:hAnsi="Arial" w:cs="Arial"/>
                <w:i/>
                <w:sz w:val="18"/>
                <w:szCs w:val="18"/>
              </w:rPr>
              <w:lastRenderedPageBreak/>
              <w:t>energije u zgradama javnog sektora</w:t>
            </w:r>
          </w:p>
        </w:tc>
        <w:tc>
          <w:tcPr>
            <w:tcW w:w="706" w:type="pct"/>
          </w:tcPr>
          <w:p w14:paraId="6A40C5D9" w14:textId="77777777"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lastRenderedPageBreak/>
              <w:t xml:space="preserve">2,39 </w:t>
            </w:r>
            <w:proofErr w:type="spellStart"/>
            <w:r w:rsidRPr="001C60E2">
              <w:rPr>
                <w:rFonts w:ascii="Arial" w:hAnsi="Arial" w:cs="Arial"/>
                <w:i/>
                <w:sz w:val="18"/>
                <w:szCs w:val="18"/>
              </w:rPr>
              <w:t>ktoe</w:t>
            </w:r>
            <w:proofErr w:type="spellEnd"/>
          </w:p>
          <w:p w14:paraId="51F3009B" w14:textId="7125BB22"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0,10 PJ</w:t>
            </w:r>
          </w:p>
        </w:tc>
        <w:tc>
          <w:tcPr>
            <w:tcW w:w="659" w:type="pct"/>
          </w:tcPr>
          <w:p w14:paraId="726B0DED" w14:textId="77777777"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APN</w:t>
            </w:r>
          </w:p>
        </w:tc>
        <w:tc>
          <w:tcPr>
            <w:tcW w:w="565" w:type="pct"/>
          </w:tcPr>
          <w:p w14:paraId="10023237" w14:textId="77777777" w:rsidR="00711D97" w:rsidRPr="001C60E2" w:rsidRDefault="00711D97" w:rsidP="00E5709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eastAsia="Calibri" w:cs="Arial"/>
                <w:i/>
                <w:sz w:val="18"/>
                <w:szCs w:val="18"/>
                <w:lang w:eastAsia="en-US"/>
              </w:rPr>
              <w:t>Uslužni sektor (javne usluge)</w:t>
            </w:r>
          </w:p>
        </w:tc>
        <w:tc>
          <w:tcPr>
            <w:tcW w:w="905" w:type="pct"/>
          </w:tcPr>
          <w:p w14:paraId="3F4D17DC" w14:textId="77777777" w:rsidR="00711D97" w:rsidRPr="001C60E2" w:rsidRDefault="00711D97" w:rsidP="00711D97">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eastAsia="Calibri" w:cs="Arial"/>
                <w:i/>
                <w:sz w:val="18"/>
                <w:szCs w:val="18"/>
                <w:lang w:eastAsia="en-US"/>
              </w:rPr>
              <w:t>Unaprjeđenje funkcionalnosti ISGE</w:t>
            </w:r>
          </w:p>
          <w:p w14:paraId="0B992F63" w14:textId="77777777" w:rsidR="00711D97" w:rsidRPr="001C60E2" w:rsidRDefault="00711D97" w:rsidP="00711D97">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eastAsia="Calibri" w:cs="Arial"/>
                <w:i/>
                <w:sz w:val="18"/>
                <w:szCs w:val="18"/>
                <w:lang w:eastAsia="en-US"/>
              </w:rPr>
              <w:t>Uvođenje daljinskih mjerenja u sve zgrade javnog sektora</w:t>
            </w:r>
          </w:p>
          <w:p w14:paraId="0EBBA1FD" w14:textId="77777777" w:rsidR="00711D97" w:rsidRPr="001C60E2" w:rsidRDefault="00711D97" w:rsidP="00711D97">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eastAsia="Calibri" w:cs="Arial"/>
                <w:i/>
                <w:sz w:val="18"/>
                <w:szCs w:val="18"/>
                <w:lang w:eastAsia="en-US"/>
              </w:rPr>
              <w:t>Povezivanje ISGE-a s drugim sustavima</w:t>
            </w:r>
          </w:p>
          <w:p w14:paraId="4F422327" w14:textId="77777777" w:rsidR="00711D97" w:rsidRPr="001C60E2" w:rsidRDefault="00711D97" w:rsidP="00711D97">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eastAsia="Calibri" w:cs="Arial"/>
                <w:i/>
                <w:sz w:val="18"/>
                <w:szCs w:val="18"/>
                <w:lang w:eastAsia="en-US"/>
              </w:rPr>
              <w:lastRenderedPageBreak/>
              <w:t>Provedba organizacijsko-edukacijskih aktivnosti</w:t>
            </w:r>
          </w:p>
        </w:tc>
      </w:tr>
      <w:tr w:rsidR="001C60E2" w:rsidRPr="001C60E2" w14:paraId="21B10A6A" w14:textId="77777777" w:rsidTr="00E5709B">
        <w:tc>
          <w:tcPr>
            <w:cnfStyle w:val="001000000000" w:firstRow="0" w:lastRow="0" w:firstColumn="1" w:lastColumn="0" w:oddVBand="0" w:evenVBand="0" w:oddHBand="0" w:evenHBand="0" w:firstRowFirstColumn="0" w:firstRowLastColumn="0" w:lastRowFirstColumn="0" w:lastRowLastColumn="0"/>
            <w:tcW w:w="285" w:type="pct"/>
          </w:tcPr>
          <w:p w14:paraId="6341C0CF" w14:textId="7742CFAD" w:rsidR="00711D97" w:rsidRPr="001C60E2" w:rsidRDefault="00711D97" w:rsidP="00E5709B">
            <w:pPr>
              <w:pStyle w:val="ManualNumPar1"/>
              <w:spacing w:before="0" w:after="0" w:line="240" w:lineRule="auto"/>
              <w:ind w:left="0" w:firstLine="0"/>
              <w:jc w:val="both"/>
              <w:rPr>
                <w:rFonts w:ascii="Arial" w:hAnsi="Arial" w:cs="Arial"/>
                <w:i/>
                <w:sz w:val="18"/>
                <w:szCs w:val="18"/>
              </w:rPr>
            </w:pPr>
            <w:r w:rsidRPr="001C60E2">
              <w:rPr>
                <w:rFonts w:ascii="Arial" w:hAnsi="Arial" w:cs="Arial"/>
                <w:i/>
                <w:sz w:val="18"/>
                <w:szCs w:val="18"/>
              </w:rPr>
              <w:lastRenderedPageBreak/>
              <w:t>ENU-</w:t>
            </w:r>
            <w:r w:rsidR="00B40E54" w:rsidRPr="001C60E2">
              <w:rPr>
                <w:rFonts w:ascii="Arial" w:hAnsi="Arial" w:cs="Arial"/>
                <w:i/>
                <w:sz w:val="18"/>
                <w:szCs w:val="18"/>
              </w:rPr>
              <w:t>8</w:t>
            </w:r>
          </w:p>
        </w:tc>
        <w:tc>
          <w:tcPr>
            <w:tcW w:w="700" w:type="pct"/>
          </w:tcPr>
          <w:p w14:paraId="6C8EBF41" w14:textId="77777777" w:rsidR="00711D97" w:rsidRPr="001C60E2" w:rsidRDefault="00711D97"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Program energetske obnove javne rasvjete</w:t>
            </w:r>
          </w:p>
        </w:tc>
        <w:tc>
          <w:tcPr>
            <w:tcW w:w="520" w:type="pct"/>
          </w:tcPr>
          <w:p w14:paraId="3B4C1CB2" w14:textId="77777777"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Financijska</w:t>
            </w:r>
          </w:p>
        </w:tc>
        <w:tc>
          <w:tcPr>
            <w:tcW w:w="658" w:type="pct"/>
          </w:tcPr>
          <w:p w14:paraId="71F5AAB5" w14:textId="77777777" w:rsidR="00711D97" w:rsidRPr="001C60E2" w:rsidRDefault="00711D97"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Uspostava modela financiranja koji će omogućiti provedbu projekata prema ESCO i JPP modelu</w:t>
            </w:r>
          </w:p>
        </w:tc>
        <w:tc>
          <w:tcPr>
            <w:tcW w:w="706" w:type="pct"/>
          </w:tcPr>
          <w:p w14:paraId="78A2DDFB" w14:textId="77777777"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 xml:space="preserve">2,15 </w:t>
            </w:r>
            <w:proofErr w:type="spellStart"/>
            <w:r w:rsidRPr="001C60E2">
              <w:rPr>
                <w:rFonts w:ascii="Arial" w:hAnsi="Arial" w:cs="Arial"/>
                <w:i/>
                <w:sz w:val="18"/>
                <w:szCs w:val="18"/>
              </w:rPr>
              <w:t>ktoe</w:t>
            </w:r>
            <w:proofErr w:type="spellEnd"/>
          </w:p>
          <w:p w14:paraId="1B2AECAF" w14:textId="4F88F113"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highlight w:val="yellow"/>
              </w:rPr>
            </w:pPr>
            <w:r w:rsidRPr="001C60E2">
              <w:rPr>
                <w:rFonts w:ascii="Arial" w:hAnsi="Arial" w:cs="Arial"/>
                <w:i/>
                <w:sz w:val="18"/>
                <w:szCs w:val="18"/>
              </w:rPr>
              <w:t>0,09 PJ</w:t>
            </w:r>
          </w:p>
        </w:tc>
        <w:tc>
          <w:tcPr>
            <w:tcW w:w="659" w:type="pct"/>
          </w:tcPr>
          <w:p w14:paraId="58C6AAD9" w14:textId="65DDC978" w:rsidR="00711D97" w:rsidRPr="001C60E2" w:rsidRDefault="00F26875"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 xml:space="preserve">MINGOR  </w:t>
            </w:r>
            <w:r w:rsidR="00711D97" w:rsidRPr="001C60E2">
              <w:rPr>
                <w:rFonts w:ascii="Arial" w:hAnsi="Arial" w:cs="Arial"/>
                <w:i/>
                <w:sz w:val="18"/>
                <w:szCs w:val="18"/>
              </w:rPr>
              <w:t>– donošenje Programa</w:t>
            </w:r>
          </w:p>
          <w:p w14:paraId="7B51ED2D" w14:textId="2A3E27F6" w:rsidR="00D8437E" w:rsidRPr="001C60E2" w:rsidRDefault="00D8437E"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JLP(R)S</w:t>
            </w:r>
          </w:p>
          <w:p w14:paraId="06FF35B9" w14:textId="7C9DA73F" w:rsidR="00711D97" w:rsidRPr="001C60E2" w:rsidRDefault="00D8437E"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highlight w:val="yellow"/>
              </w:rPr>
            </w:pPr>
            <w:r w:rsidRPr="001C60E2">
              <w:rPr>
                <w:rFonts w:ascii="Arial" w:hAnsi="Arial" w:cs="Arial"/>
                <w:i/>
                <w:sz w:val="18"/>
                <w:szCs w:val="18"/>
              </w:rPr>
              <w:t>ESCO</w:t>
            </w:r>
            <w:r w:rsidR="00711D97" w:rsidRPr="001C60E2">
              <w:rPr>
                <w:rFonts w:ascii="Arial" w:hAnsi="Arial" w:cs="Arial"/>
                <w:i/>
                <w:sz w:val="18"/>
                <w:szCs w:val="18"/>
              </w:rPr>
              <w:t xml:space="preserve"> </w:t>
            </w:r>
          </w:p>
        </w:tc>
        <w:tc>
          <w:tcPr>
            <w:tcW w:w="565" w:type="pct"/>
          </w:tcPr>
          <w:p w14:paraId="07BCBE2C" w14:textId="77777777"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Uslužni sektor (javne usluge)</w:t>
            </w:r>
          </w:p>
        </w:tc>
        <w:tc>
          <w:tcPr>
            <w:tcW w:w="905" w:type="pct"/>
          </w:tcPr>
          <w:p w14:paraId="6ED847CB" w14:textId="77777777" w:rsidR="00711D97" w:rsidRPr="001C60E2" w:rsidRDefault="00711D97" w:rsidP="00711D97">
            <w:pPr>
              <w:pStyle w:val="ManualNumPar1"/>
              <w:numPr>
                <w:ilvl w:val="0"/>
                <w:numId w:val="21"/>
              </w:numPr>
              <w:spacing w:before="0" w:after="0" w:line="240" w:lineRule="auto"/>
              <w:ind w:left="261" w:hanging="261"/>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Energetski pregled i prije i poslije obnove</w:t>
            </w:r>
          </w:p>
          <w:p w14:paraId="7A471E38" w14:textId="77777777" w:rsidR="00711D97" w:rsidRPr="001C60E2" w:rsidRDefault="00711D97" w:rsidP="00711D97">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eastAsia="Calibri" w:cs="Arial"/>
                <w:i/>
                <w:sz w:val="18"/>
                <w:szCs w:val="18"/>
                <w:lang w:eastAsia="en-US"/>
              </w:rPr>
              <w:t>Izrada projektne dokumentacije</w:t>
            </w:r>
          </w:p>
          <w:p w14:paraId="155F44B4" w14:textId="77777777" w:rsidR="00711D97" w:rsidRPr="001C60E2" w:rsidRDefault="00711D97" w:rsidP="00711D97">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eastAsia="Calibri" w:cs="Arial"/>
                <w:i/>
                <w:sz w:val="18"/>
                <w:szCs w:val="18"/>
                <w:lang w:eastAsia="en-US"/>
              </w:rPr>
              <w:t>Oprema i radovi energetske obnove (žarulje, svjetiljke, zaštitno-kontrolna oprema, kabliranje, stupovi i dr.)</w:t>
            </w:r>
          </w:p>
          <w:p w14:paraId="02DB78B3" w14:textId="77777777" w:rsidR="00711D97" w:rsidRPr="001C60E2" w:rsidRDefault="00711D97" w:rsidP="00711D97">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eastAsia="Calibri" w:cs="Arial"/>
                <w:i/>
                <w:sz w:val="18"/>
                <w:szCs w:val="18"/>
                <w:lang w:eastAsia="en-US"/>
              </w:rPr>
              <w:t xml:space="preserve">Stručni i projektantski nadzor </w:t>
            </w:r>
          </w:p>
          <w:p w14:paraId="38B20D32" w14:textId="77777777" w:rsidR="00711D97" w:rsidRPr="001C60E2" w:rsidRDefault="00711D97" w:rsidP="00711D97">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cs="Arial"/>
                <w:i/>
                <w:sz w:val="18"/>
                <w:szCs w:val="18"/>
              </w:rPr>
            </w:pPr>
            <w:r w:rsidRPr="001C60E2">
              <w:rPr>
                <w:rFonts w:eastAsia="Calibri" w:cs="Arial"/>
                <w:i/>
                <w:sz w:val="18"/>
                <w:szCs w:val="18"/>
                <w:lang w:eastAsia="en-US"/>
              </w:rPr>
              <w:t>Tehnička pomoć</w:t>
            </w:r>
          </w:p>
        </w:tc>
      </w:tr>
      <w:tr w:rsidR="001C60E2" w:rsidRPr="001C60E2" w14:paraId="3A584C34" w14:textId="77777777" w:rsidTr="00E5709B">
        <w:tc>
          <w:tcPr>
            <w:cnfStyle w:val="001000000000" w:firstRow="0" w:lastRow="0" w:firstColumn="1" w:lastColumn="0" w:oddVBand="0" w:evenVBand="0" w:oddHBand="0" w:evenHBand="0" w:firstRowFirstColumn="0" w:firstRowLastColumn="0" w:lastRowFirstColumn="0" w:lastRowLastColumn="0"/>
            <w:tcW w:w="285" w:type="pct"/>
          </w:tcPr>
          <w:p w14:paraId="7AF5FB0B" w14:textId="53954B21" w:rsidR="00BE0418" w:rsidRPr="001C60E2" w:rsidRDefault="00BE0418" w:rsidP="00E5709B">
            <w:pPr>
              <w:pStyle w:val="ManualNumPar1"/>
              <w:spacing w:before="0" w:after="0" w:line="240" w:lineRule="auto"/>
              <w:ind w:left="0" w:firstLine="0"/>
              <w:jc w:val="both"/>
              <w:rPr>
                <w:rFonts w:ascii="Arial" w:hAnsi="Arial" w:cs="Arial"/>
                <w:i/>
                <w:sz w:val="18"/>
                <w:szCs w:val="18"/>
              </w:rPr>
            </w:pPr>
            <w:r w:rsidRPr="001C60E2">
              <w:rPr>
                <w:rFonts w:ascii="Arial" w:hAnsi="Arial" w:cs="Arial"/>
                <w:i/>
                <w:sz w:val="18"/>
                <w:szCs w:val="18"/>
              </w:rPr>
              <w:t>ENU-</w:t>
            </w:r>
            <w:r w:rsidR="00B377A2" w:rsidRPr="001C60E2">
              <w:rPr>
                <w:rFonts w:ascii="Arial" w:hAnsi="Arial" w:cs="Arial"/>
                <w:i/>
                <w:sz w:val="18"/>
                <w:szCs w:val="18"/>
              </w:rPr>
              <w:t>17</w:t>
            </w:r>
          </w:p>
        </w:tc>
        <w:tc>
          <w:tcPr>
            <w:tcW w:w="700" w:type="pct"/>
          </w:tcPr>
          <w:p w14:paraId="49ACD007" w14:textId="0D79DECB" w:rsidR="00BE0418" w:rsidRPr="001C60E2" w:rsidRDefault="005051E3"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 xml:space="preserve">Povećanje energetske učinkovitosti i korištenja OIE u proizvodnim industrijama  </w:t>
            </w:r>
          </w:p>
        </w:tc>
        <w:tc>
          <w:tcPr>
            <w:tcW w:w="520" w:type="pct"/>
          </w:tcPr>
          <w:p w14:paraId="05B58047" w14:textId="11DD5723" w:rsidR="00BE0418" w:rsidRPr="001C60E2" w:rsidRDefault="005051E3"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Financijska</w:t>
            </w:r>
          </w:p>
        </w:tc>
        <w:tc>
          <w:tcPr>
            <w:tcW w:w="658" w:type="pct"/>
          </w:tcPr>
          <w:p w14:paraId="1F06CE34" w14:textId="7DB0938F" w:rsidR="00BE0418" w:rsidRPr="001C60E2" w:rsidRDefault="005051E3"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Bespovratna sredstva i financijski instrumenti za</w:t>
            </w:r>
            <w:r w:rsidR="00E7493A" w:rsidRPr="001C60E2">
              <w:rPr>
                <w:rFonts w:ascii="Arial" w:hAnsi="Arial" w:cs="Arial"/>
                <w:i/>
                <w:sz w:val="18"/>
                <w:szCs w:val="18"/>
              </w:rPr>
              <w:t xml:space="preserve"> mjere </w:t>
            </w:r>
            <w:proofErr w:type="spellStart"/>
            <w:r w:rsidR="00E7493A" w:rsidRPr="001C60E2">
              <w:rPr>
                <w:rFonts w:ascii="Arial" w:hAnsi="Arial" w:cs="Arial"/>
                <w:i/>
                <w:sz w:val="18"/>
                <w:szCs w:val="18"/>
              </w:rPr>
              <w:t>EnU</w:t>
            </w:r>
            <w:proofErr w:type="spellEnd"/>
            <w:r w:rsidR="00E7493A" w:rsidRPr="001C60E2">
              <w:rPr>
                <w:rFonts w:ascii="Arial" w:hAnsi="Arial" w:cs="Arial"/>
                <w:i/>
                <w:sz w:val="18"/>
                <w:szCs w:val="18"/>
              </w:rPr>
              <w:t xml:space="preserve"> i OIE u proizvodnim industrijama</w:t>
            </w:r>
          </w:p>
        </w:tc>
        <w:tc>
          <w:tcPr>
            <w:tcW w:w="706" w:type="pct"/>
          </w:tcPr>
          <w:p w14:paraId="73F5C31A" w14:textId="5F10D1BD" w:rsidR="00D561AD" w:rsidRPr="001C60E2" w:rsidRDefault="006B3932" w:rsidP="00D561AD">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10</w:t>
            </w:r>
            <w:r w:rsidR="00D561AD" w:rsidRPr="001C60E2">
              <w:rPr>
                <w:rFonts w:ascii="Arial" w:hAnsi="Arial" w:cs="Arial"/>
                <w:i/>
                <w:sz w:val="18"/>
                <w:szCs w:val="18"/>
              </w:rPr>
              <w:t>,</w:t>
            </w:r>
            <w:r w:rsidRPr="001C60E2">
              <w:rPr>
                <w:rFonts w:ascii="Arial" w:hAnsi="Arial" w:cs="Arial"/>
                <w:i/>
                <w:sz w:val="18"/>
                <w:szCs w:val="18"/>
              </w:rPr>
              <w:t>32</w:t>
            </w:r>
            <w:r w:rsidR="00D561AD" w:rsidRPr="001C60E2">
              <w:rPr>
                <w:rFonts w:ascii="Arial" w:hAnsi="Arial" w:cs="Arial"/>
                <w:i/>
                <w:sz w:val="18"/>
                <w:szCs w:val="18"/>
              </w:rPr>
              <w:t xml:space="preserve"> </w:t>
            </w:r>
            <w:proofErr w:type="spellStart"/>
            <w:r w:rsidR="00D561AD" w:rsidRPr="001C60E2">
              <w:rPr>
                <w:rFonts w:ascii="Arial" w:hAnsi="Arial" w:cs="Arial"/>
                <w:i/>
                <w:sz w:val="18"/>
                <w:szCs w:val="18"/>
              </w:rPr>
              <w:t>ktoe</w:t>
            </w:r>
            <w:proofErr w:type="spellEnd"/>
          </w:p>
          <w:p w14:paraId="63217363" w14:textId="21701A0A" w:rsidR="00BE0418" w:rsidRPr="001C60E2" w:rsidRDefault="00D561AD" w:rsidP="00D561AD">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0,</w:t>
            </w:r>
            <w:r w:rsidR="006B3932" w:rsidRPr="001C60E2">
              <w:rPr>
                <w:rFonts w:ascii="Arial" w:hAnsi="Arial" w:cs="Arial"/>
                <w:i/>
                <w:sz w:val="18"/>
                <w:szCs w:val="18"/>
              </w:rPr>
              <w:t>43</w:t>
            </w:r>
            <w:r w:rsidRPr="001C60E2">
              <w:rPr>
                <w:rFonts w:ascii="Arial" w:hAnsi="Arial" w:cs="Arial"/>
                <w:i/>
                <w:sz w:val="18"/>
                <w:szCs w:val="18"/>
              </w:rPr>
              <w:t xml:space="preserve"> PJ</w:t>
            </w:r>
          </w:p>
        </w:tc>
        <w:tc>
          <w:tcPr>
            <w:tcW w:w="659" w:type="pct"/>
          </w:tcPr>
          <w:p w14:paraId="15547648" w14:textId="64A3BE6F" w:rsidR="00BE0418" w:rsidRPr="001C60E2" w:rsidRDefault="00B377A2"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MINGOR</w:t>
            </w:r>
          </w:p>
        </w:tc>
        <w:tc>
          <w:tcPr>
            <w:tcW w:w="565" w:type="pct"/>
          </w:tcPr>
          <w:p w14:paraId="644A6F69" w14:textId="55DB39C1" w:rsidR="00BE0418" w:rsidRPr="001C60E2" w:rsidRDefault="00E7493A"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Industrija</w:t>
            </w:r>
          </w:p>
        </w:tc>
        <w:tc>
          <w:tcPr>
            <w:tcW w:w="905" w:type="pct"/>
          </w:tcPr>
          <w:p w14:paraId="15C42430" w14:textId="173E6A2F" w:rsidR="00BE0418" w:rsidRPr="001C60E2" w:rsidRDefault="00E7493A" w:rsidP="00711D97">
            <w:pPr>
              <w:pStyle w:val="ManualNumPar1"/>
              <w:numPr>
                <w:ilvl w:val="0"/>
                <w:numId w:val="21"/>
              </w:numPr>
              <w:spacing w:before="0" w:after="0" w:line="240" w:lineRule="auto"/>
              <w:ind w:left="261" w:hanging="261"/>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Mjere poboljšanja energetske učinkovitosti</w:t>
            </w:r>
            <w:r w:rsidR="00302DE5" w:rsidRPr="001C60E2">
              <w:rPr>
                <w:rFonts w:ascii="Arial" w:hAnsi="Arial" w:cs="Arial"/>
                <w:i/>
                <w:sz w:val="18"/>
                <w:szCs w:val="18"/>
              </w:rPr>
              <w:t xml:space="preserve"> u proizvodnim postrojenjima i zgradama industrijskog sektora </w:t>
            </w:r>
          </w:p>
          <w:p w14:paraId="16A10562" w14:textId="3B17E7E4" w:rsidR="00E7493A" w:rsidRPr="001C60E2" w:rsidRDefault="00E7493A" w:rsidP="008260C3">
            <w:pPr>
              <w:pStyle w:val="ManualNumPar1"/>
              <w:numPr>
                <w:ilvl w:val="0"/>
                <w:numId w:val="21"/>
              </w:numPr>
              <w:spacing w:before="0" w:after="0" w:line="240" w:lineRule="auto"/>
              <w:ind w:left="261" w:hanging="261"/>
              <w:cnfStyle w:val="000000000000" w:firstRow="0" w:lastRow="0" w:firstColumn="0" w:lastColumn="0" w:oddVBand="0" w:evenVBand="0" w:oddHBand="0" w:evenHBand="0" w:firstRowFirstColumn="0" w:firstRowLastColumn="0" w:lastRowFirstColumn="0" w:lastRowLastColumn="0"/>
            </w:pPr>
            <w:r w:rsidRPr="001C60E2">
              <w:rPr>
                <w:rFonts w:ascii="Arial" w:hAnsi="Arial" w:cs="Arial"/>
                <w:i/>
                <w:sz w:val="18"/>
                <w:szCs w:val="18"/>
              </w:rPr>
              <w:t xml:space="preserve">Sustavi </w:t>
            </w:r>
            <w:r w:rsidR="008260C3" w:rsidRPr="001C60E2">
              <w:rPr>
                <w:rFonts w:ascii="Arial" w:hAnsi="Arial" w:cs="Arial"/>
                <w:i/>
                <w:sz w:val="18"/>
                <w:szCs w:val="18"/>
              </w:rPr>
              <w:t>za korištenje OIE</w:t>
            </w:r>
          </w:p>
        </w:tc>
      </w:tr>
      <w:tr w:rsidR="001C60E2" w:rsidRPr="001C60E2" w14:paraId="1777C16C" w14:textId="77777777" w:rsidTr="00E5709B">
        <w:tc>
          <w:tcPr>
            <w:cnfStyle w:val="001000000000" w:firstRow="0" w:lastRow="0" w:firstColumn="1" w:lastColumn="0" w:oddVBand="0" w:evenVBand="0" w:oddHBand="0" w:evenHBand="0" w:firstRowFirstColumn="0" w:firstRowLastColumn="0" w:lastRowFirstColumn="0" w:lastRowLastColumn="0"/>
            <w:tcW w:w="285" w:type="pct"/>
          </w:tcPr>
          <w:p w14:paraId="3027EBD4" w14:textId="1B30355F" w:rsidR="002F5489" w:rsidRPr="001C60E2" w:rsidRDefault="002F5489" w:rsidP="002F5489">
            <w:pPr>
              <w:pStyle w:val="ManualNumPar1"/>
              <w:spacing w:before="0" w:after="0" w:line="240" w:lineRule="auto"/>
              <w:ind w:left="0" w:firstLine="0"/>
              <w:jc w:val="both"/>
              <w:rPr>
                <w:rFonts w:ascii="Arial" w:hAnsi="Arial" w:cs="Arial"/>
                <w:i/>
                <w:sz w:val="18"/>
                <w:szCs w:val="18"/>
              </w:rPr>
            </w:pPr>
            <w:r w:rsidRPr="001C60E2">
              <w:rPr>
                <w:rFonts w:ascii="Arial" w:hAnsi="Arial" w:cs="Arial"/>
                <w:i/>
                <w:sz w:val="18"/>
                <w:szCs w:val="18"/>
              </w:rPr>
              <w:t>ENU-18</w:t>
            </w:r>
          </w:p>
        </w:tc>
        <w:tc>
          <w:tcPr>
            <w:tcW w:w="700" w:type="pct"/>
          </w:tcPr>
          <w:p w14:paraId="068F0174" w14:textId="7A178D59" w:rsidR="002F5489" w:rsidRPr="001C60E2" w:rsidRDefault="002F5489" w:rsidP="002F5489">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 xml:space="preserve">Povećanje energetske učinkovitosti sustava javne vodoopskrbe, odvodnje i pročišćavanja otpadnih voda  </w:t>
            </w:r>
          </w:p>
        </w:tc>
        <w:tc>
          <w:tcPr>
            <w:tcW w:w="520" w:type="pct"/>
          </w:tcPr>
          <w:p w14:paraId="37378606" w14:textId="4DDEEA0A" w:rsidR="002F5489" w:rsidRPr="001C60E2" w:rsidRDefault="002F5489" w:rsidP="002F5489">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Financijska</w:t>
            </w:r>
          </w:p>
        </w:tc>
        <w:tc>
          <w:tcPr>
            <w:tcW w:w="658" w:type="pct"/>
          </w:tcPr>
          <w:p w14:paraId="681D6793" w14:textId="02F1F197" w:rsidR="002F5489" w:rsidRPr="001C60E2" w:rsidRDefault="002F5489" w:rsidP="002F5489">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 xml:space="preserve">Bespovratna sredstva i financijski instrumenti za mjere </w:t>
            </w:r>
            <w:proofErr w:type="spellStart"/>
            <w:r w:rsidRPr="001C60E2">
              <w:rPr>
                <w:rFonts w:ascii="Arial" w:hAnsi="Arial" w:cs="Arial"/>
                <w:i/>
                <w:sz w:val="18"/>
                <w:szCs w:val="18"/>
              </w:rPr>
              <w:t>EnU</w:t>
            </w:r>
            <w:proofErr w:type="spellEnd"/>
            <w:r w:rsidRPr="001C60E2">
              <w:rPr>
                <w:rFonts w:ascii="Arial" w:hAnsi="Arial" w:cs="Arial"/>
                <w:i/>
                <w:sz w:val="18"/>
                <w:szCs w:val="18"/>
              </w:rPr>
              <w:t xml:space="preserve"> i OIE</w:t>
            </w:r>
          </w:p>
        </w:tc>
        <w:tc>
          <w:tcPr>
            <w:tcW w:w="706" w:type="pct"/>
          </w:tcPr>
          <w:p w14:paraId="7A99A368" w14:textId="77777777" w:rsidR="00447FC4" w:rsidRPr="001C60E2" w:rsidRDefault="00447FC4" w:rsidP="00447FC4">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 xml:space="preserve">0,63 </w:t>
            </w:r>
            <w:proofErr w:type="spellStart"/>
            <w:r w:rsidRPr="001C60E2">
              <w:rPr>
                <w:rFonts w:ascii="Arial" w:hAnsi="Arial" w:cs="Arial"/>
                <w:i/>
                <w:sz w:val="18"/>
                <w:szCs w:val="18"/>
              </w:rPr>
              <w:t>ktoe</w:t>
            </w:r>
            <w:proofErr w:type="spellEnd"/>
          </w:p>
          <w:p w14:paraId="4B1B529C" w14:textId="731ECE41" w:rsidR="002F5489" w:rsidRPr="001C60E2" w:rsidRDefault="00447FC4" w:rsidP="00447FC4">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0,03 PJ</w:t>
            </w:r>
          </w:p>
        </w:tc>
        <w:tc>
          <w:tcPr>
            <w:tcW w:w="659" w:type="pct"/>
          </w:tcPr>
          <w:p w14:paraId="723D0D33" w14:textId="46F08033" w:rsidR="002F5489" w:rsidRPr="001C60E2" w:rsidRDefault="002F5489" w:rsidP="002F5489">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MINGOR</w:t>
            </w:r>
          </w:p>
        </w:tc>
        <w:tc>
          <w:tcPr>
            <w:tcW w:w="565" w:type="pct"/>
          </w:tcPr>
          <w:p w14:paraId="2B305843" w14:textId="4ADF4B4F" w:rsidR="002F5489" w:rsidRPr="001C60E2" w:rsidRDefault="002F5489" w:rsidP="002F5489">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Vodoopskrba</w:t>
            </w:r>
          </w:p>
        </w:tc>
        <w:tc>
          <w:tcPr>
            <w:tcW w:w="905" w:type="pct"/>
          </w:tcPr>
          <w:p w14:paraId="3B8CE53B" w14:textId="792AD77B" w:rsidR="002F5489" w:rsidRPr="001C60E2" w:rsidRDefault="002F5489" w:rsidP="002F5489">
            <w:pPr>
              <w:pStyle w:val="ManualNumPar1"/>
              <w:numPr>
                <w:ilvl w:val="0"/>
                <w:numId w:val="21"/>
              </w:numPr>
              <w:spacing w:before="0" w:after="0" w:line="240" w:lineRule="auto"/>
              <w:ind w:left="261" w:hanging="261"/>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 xml:space="preserve">Mjere poboljšanja energetske učinkovitosti u sustavima vodoopskrbe </w:t>
            </w:r>
          </w:p>
          <w:p w14:paraId="78B6CA31" w14:textId="2742CC78" w:rsidR="002F5489" w:rsidRPr="001C60E2" w:rsidRDefault="002F5489" w:rsidP="002F5489">
            <w:pPr>
              <w:pStyle w:val="ManualNumPar1"/>
              <w:numPr>
                <w:ilvl w:val="0"/>
                <w:numId w:val="21"/>
              </w:numPr>
              <w:spacing w:before="0" w:after="0" w:line="240" w:lineRule="auto"/>
              <w:ind w:left="261" w:hanging="261"/>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Sustavi za korištenje OIE</w:t>
            </w:r>
          </w:p>
        </w:tc>
      </w:tr>
      <w:tr w:rsidR="001C60E2" w:rsidRPr="001C60E2" w14:paraId="1D9A64C5" w14:textId="77777777" w:rsidTr="00E5709B">
        <w:tc>
          <w:tcPr>
            <w:cnfStyle w:val="001000000000" w:firstRow="0" w:lastRow="0" w:firstColumn="1" w:lastColumn="0" w:oddVBand="0" w:evenVBand="0" w:oddHBand="0" w:evenHBand="0" w:firstRowFirstColumn="0" w:firstRowLastColumn="0" w:lastRowFirstColumn="0" w:lastRowLastColumn="0"/>
            <w:tcW w:w="285" w:type="pct"/>
          </w:tcPr>
          <w:p w14:paraId="1FE9476C" w14:textId="4C5CE91B" w:rsidR="00711D97" w:rsidRPr="001C60E2" w:rsidRDefault="00711D97" w:rsidP="00E5709B">
            <w:pPr>
              <w:pStyle w:val="ManualNumPar1"/>
              <w:spacing w:before="0" w:after="0" w:line="240" w:lineRule="auto"/>
              <w:ind w:left="0" w:firstLine="0"/>
              <w:jc w:val="both"/>
              <w:rPr>
                <w:rFonts w:ascii="Arial" w:hAnsi="Arial" w:cs="Arial"/>
                <w:i/>
                <w:sz w:val="18"/>
                <w:szCs w:val="18"/>
              </w:rPr>
            </w:pPr>
            <w:r w:rsidRPr="001C60E2">
              <w:rPr>
                <w:rFonts w:ascii="Arial" w:hAnsi="Arial" w:cs="Arial"/>
                <w:i/>
                <w:sz w:val="18"/>
                <w:szCs w:val="18"/>
              </w:rPr>
              <w:t>TR</w:t>
            </w:r>
            <w:r w:rsidR="00072768" w:rsidRPr="001C60E2">
              <w:rPr>
                <w:rFonts w:ascii="Arial" w:hAnsi="Arial" w:cs="Arial"/>
                <w:i/>
                <w:sz w:val="18"/>
                <w:szCs w:val="18"/>
              </w:rPr>
              <w:t>-2</w:t>
            </w:r>
          </w:p>
        </w:tc>
        <w:tc>
          <w:tcPr>
            <w:tcW w:w="700" w:type="pct"/>
          </w:tcPr>
          <w:p w14:paraId="5365B594" w14:textId="236795BD" w:rsidR="00711D97" w:rsidRPr="001C60E2" w:rsidRDefault="00510D3F"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Program sufinanciranja kupnje novih vozila na alternativna goriva i razvoja infrastrukture za alternativna goriva u cestovnom prometu</w:t>
            </w:r>
          </w:p>
        </w:tc>
        <w:tc>
          <w:tcPr>
            <w:tcW w:w="520" w:type="pct"/>
          </w:tcPr>
          <w:p w14:paraId="7FF3C335" w14:textId="77777777"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Financijska</w:t>
            </w:r>
          </w:p>
        </w:tc>
        <w:tc>
          <w:tcPr>
            <w:tcW w:w="658" w:type="pct"/>
          </w:tcPr>
          <w:p w14:paraId="4594BD4B" w14:textId="77777777" w:rsidR="00711D97" w:rsidRPr="001C60E2" w:rsidRDefault="00711D97"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Sufinanciranje kupovine vozila s pogonom na električnu energiju, stlačeni i ukapljeni prirodni plin i vodik</w:t>
            </w:r>
          </w:p>
        </w:tc>
        <w:tc>
          <w:tcPr>
            <w:tcW w:w="706" w:type="pct"/>
          </w:tcPr>
          <w:p w14:paraId="762EB598" w14:textId="7CBA4F33" w:rsidR="00711D97" w:rsidRPr="001C60E2" w:rsidRDefault="0036374B"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1,20</w:t>
            </w:r>
            <w:r w:rsidR="00711D97" w:rsidRPr="001C60E2">
              <w:rPr>
                <w:rFonts w:ascii="Arial" w:hAnsi="Arial" w:cs="Arial"/>
                <w:i/>
                <w:sz w:val="18"/>
                <w:szCs w:val="18"/>
              </w:rPr>
              <w:t xml:space="preserve"> </w:t>
            </w:r>
            <w:proofErr w:type="spellStart"/>
            <w:r w:rsidR="00711D97" w:rsidRPr="001C60E2">
              <w:rPr>
                <w:rFonts w:ascii="Arial" w:hAnsi="Arial" w:cs="Arial"/>
                <w:i/>
                <w:sz w:val="18"/>
                <w:szCs w:val="18"/>
              </w:rPr>
              <w:t>ktoe</w:t>
            </w:r>
            <w:proofErr w:type="spellEnd"/>
          </w:p>
          <w:p w14:paraId="78F96FC4" w14:textId="127D5CFA"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0,</w:t>
            </w:r>
            <w:r w:rsidR="0036374B" w:rsidRPr="001C60E2">
              <w:rPr>
                <w:rFonts w:ascii="Arial" w:hAnsi="Arial" w:cs="Arial"/>
                <w:i/>
                <w:sz w:val="18"/>
                <w:szCs w:val="18"/>
              </w:rPr>
              <w:t xml:space="preserve">05 </w:t>
            </w:r>
            <w:r w:rsidRPr="001C60E2">
              <w:rPr>
                <w:rFonts w:ascii="Arial" w:hAnsi="Arial" w:cs="Arial"/>
                <w:i/>
                <w:sz w:val="18"/>
                <w:szCs w:val="18"/>
              </w:rPr>
              <w:t>PJ</w:t>
            </w:r>
          </w:p>
        </w:tc>
        <w:tc>
          <w:tcPr>
            <w:tcW w:w="659" w:type="pct"/>
          </w:tcPr>
          <w:p w14:paraId="1441B39B" w14:textId="77777777"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FZOEU</w:t>
            </w:r>
          </w:p>
        </w:tc>
        <w:tc>
          <w:tcPr>
            <w:tcW w:w="565" w:type="pct"/>
          </w:tcPr>
          <w:p w14:paraId="37940F76" w14:textId="77777777"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Promet</w:t>
            </w:r>
          </w:p>
        </w:tc>
        <w:tc>
          <w:tcPr>
            <w:tcW w:w="905" w:type="pct"/>
          </w:tcPr>
          <w:p w14:paraId="4621E6A7" w14:textId="77777777" w:rsidR="00711D97" w:rsidRPr="001C60E2" w:rsidRDefault="00711D97" w:rsidP="00711D97">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cs="Arial"/>
                <w:i/>
                <w:sz w:val="18"/>
                <w:szCs w:val="18"/>
              </w:rPr>
            </w:pPr>
            <w:r w:rsidRPr="001C60E2">
              <w:rPr>
                <w:rFonts w:eastAsia="Calibri" w:cs="Arial"/>
                <w:i/>
                <w:sz w:val="18"/>
                <w:szCs w:val="18"/>
                <w:lang w:eastAsia="en-US"/>
              </w:rPr>
              <w:t>Kupovina vozila</w:t>
            </w:r>
          </w:p>
        </w:tc>
      </w:tr>
      <w:tr w:rsidR="001C60E2" w:rsidRPr="001C60E2" w14:paraId="3AFCD15C" w14:textId="77777777" w:rsidTr="00E5709B">
        <w:tc>
          <w:tcPr>
            <w:cnfStyle w:val="001000000000" w:firstRow="0" w:lastRow="0" w:firstColumn="1" w:lastColumn="0" w:oddVBand="0" w:evenVBand="0" w:oddHBand="0" w:evenHBand="0" w:firstRowFirstColumn="0" w:firstRowLastColumn="0" w:lastRowFirstColumn="0" w:lastRowLastColumn="0"/>
            <w:tcW w:w="285" w:type="pct"/>
          </w:tcPr>
          <w:p w14:paraId="471893B6" w14:textId="6E64A9A0" w:rsidR="00711D97" w:rsidRPr="001C60E2" w:rsidRDefault="00711D97" w:rsidP="00E5709B">
            <w:pPr>
              <w:pStyle w:val="ManualNumPar1"/>
              <w:spacing w:before="0" w:after="0" w:line="240" w:lineRule="auto"/>
              <w:ind w:left="0" w:firstLine="0"/>
              <w:jc w:val="both"/>
              <w:rPr>
                <w:rFonts w:ascii="Arial" w:hAnsi="Arial" w:cs="Arial"/>
                <w:i/>
                <w:sz w:val="18"/>
                <w:szCs w:val="18"/>
              </w:rPr>
            </w:pPr>
            <w:r w:rsidRPr="001C60E2">
              <w:rPr>
                <w:rFonts w:ascii="Arial" w:hAnsi="Arial" w:cs="Arial"/>
                <w:i/>
                <w:sz w:val="18"/>
                <w:szCs w:val="18"/>
              </w:rPr>
              <w:t>TR-</w:t>
            </w:r>
            <w:r w:rsidR="003D2CB2" w:rsidRPr="001C60E2">
              <w:rPr>
                <w:rFonts w:ascii="Arial" w:hAnsi="Arial" w:cs="Arial"/>
                <w:i/>
                <w:sz w:val="18"/>
                <w:szCs w:val="18"/>
              </w:rPr>
              <w:t>3</w:t>
            </w:r>
          </w:p>
        </w:tc>
        <w:tc>
          <w:tcPr>
            <w:tcW w:w="700" w:type="pct"/>
          </w:tcPr>
          <w:p w14:paraId="14E78529" w14:textId="26CC51EB" w:rsidR="00711D97" w:rsidRPr="001C60E2" w:rsidRDefault="006152BB"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Unaprjeđenje sustava javnog prijevoza i promicanje održivog integriranog prometa</w:t>
            </w:r>
          </w:p>
        </w:tc>
        <w:tc>
          <w:tcPr>
            <w:tcW w:w="520" w:type="pct"/>
          </w:tcPr>
          <w:p w14:paraId="10EC39C8" w14:textId="77777777"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Financijska</w:t>
            </w:r>
          </w:p>
        </w:tc>
        <w:tc>
          <w:tcPr>
            <w:tcW w:w="658" w:type="pct"/>
          </w:tcPr>
          <w:p w14:paraId="517176DC" w14:textId="77777777" w:rsidR="00711D97" w:rsidRPr="001C60E2" w:rsidRDefault="00711D97"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Sufinanciranje održivih prometnih rješenja u gradovima</w:t>
            </w:r>
          </w:p>
        </w:tc>
        <w:tc>
          <w:tcPr>
            <w:tcW w:w="706" w:type="pct"/>
          </w:tcPr>
          <w:p w14:paraId="3E9001E4" w14:textId="77777777" w:rsidR="00811BEA" w:rsidRPr="001C60E2" w:rsidRDefault="00811BEA" w:rsidP="00811BEA">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 xml:space="preserve">1,20 </w:t>
            </w:r>
            <w:proofErr w:type="spellStart"/>
            <w:r w:rsidRPr="001C60E2">
              <w:rPr>
                <w:rFonts w:ascii="Arial" w:hAnsi="Arial" w:cs="Arial"/>
                <w:i/>
                <w:sz w:val="18"/>
                <w:szCs w:val="18"/>
              </w:rPr>
              <w:t>ktoe</w:t>
            </w:r>
            <w:proofErr w:type="spellEnd"/>
          </w:p>
          <w:p w14:paraId="0AB1DEDD" w14:textId="5E291D84" w:rsidR="00711D97" w:rsidRPr="001C60E2" w:rsidRDefault="00811BEA"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0,05 PJ</w:t>
            </w:r>
          </w:p>
        </w:tc>
        <w:tc>
          <w:tcPr>
            <w:tcW w:w="659" w:type="pct"/>
          </w:tcPr>
          <w:p w14:paraId="64BF8C11" w14:textId="77777777"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FZOEU</w:t>
            </w:r>
          </w:p>
        </w:tc>
        <w:tc>
          <w:tcPr>
            <w:tcW w:w="565" w:type="pct"/>
          </w:tcPr>
          <w:p w14:paraId="236D4277" w14:textId="77777777" w:rsidR="00711D97" w:rsidRPr="001C60E2" w:rsidRDefault="00711D97"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Promet</w:t>
            </w:r>
          </w:p>
        </w:tc>
        <w:tc>
          <w:tcPr>
            <w:tcW w:w="905" w:type="pct"/>
          </w:tcPr>
          <w:p w14:paraId="319BA45A" w14:textId="3C290210" w:rsidR="00711D97" w:rsidRPr="001C60E2" w:rsidRDefault="00917B4B" w:rsidP="00711D97">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cs="Arial"/>
                <w:i/>
                <w:sz w:val="18"/>
                <w:szCs w:val="18"/>
              </w:rPr>
            </w:pPr>
            <w:r w:rsidRPr="001C60E2">
              <w:rPr>
                <w:rFonts w:cs="Arial"/>
                <w:i/>
                <w:sz w:val="18"/>
                <w:szCs w:val="18"/>
              </w:rPr>
              <w:t xml:space="preserve">Održiva </w:t>
            </w:r>
            <w:r w:rsidR="00EA0D81" w:rsidRPr="001C60E2">
              <w:rPr>
                <w:rFonts w:cs="Arial"/>
                <w:i/>
                <w:sz w:val="18"/>
                <w:szCs w:val="18"/>
              </w:rPr>
              <w:t>prometna rješenja u gradovima</w:t>
            </w:r>
          </w:p>
        </w:tc>
      </w:tr>
      <w:tr w:rsidR="001C60E2" w:rsidRPr="001C60E2" w14:paraId="5B78FC9E" w14:textId="77777777" w:rsidTr="00E5709B">
        <w:tc>
          <w:tcPr>
            <w:cnfStyle w:val="001000000000" w:firstRow="0" w:lastRow="0" w:firstColumn="1" w:lastColumn="0" w:oddVBand="0" w:evenVBand="0" w:oddHBand="0" w:evenHBand="0" w:firstRowFirstColumn="0" w:firstRowLastColumn="0" w:lastRowFirstColumn="0" w:lastRowLastColumn="0"/>
            <w:tcW w:w="285" w:type="pct"/>
          </w:tcPr>
          <w:p w14:paraId="2721794A" w14:textId="42F53588" w:rsidR="00BE1312" w:rsidRPr="001C60E2" w:rsidRDefault="00BE1312" w:rsidP="00E5709B">
            <w:pPr>
              <w:pStyle w:val="ManualNumPar1"/>
              <w:spacing w:before="0" w:after="0" w:line="240" w:lineRule="auto"/>
              <w:ind w:left="0" w:firstLine="0"/>
              <w:jc w:val="both"/>
              <w:rPr>
                <w:rFonts w:ascii="Arial" w:hAnsi="Arial" w:cs="Arial"/>
                <w:i/>
                <w:sz w:val="18"/>
                <w:szCs w:val="18"/>
              </w:rPr>
            </w:pPr>
            <w:r w:rsidRPr="001C60E2">
              <w:rPr>
                <w:rFonts w:ascii="Arial" w:hAnsi="Arial" w:cs="Arial"/>
                <w:i/>
                <w:sz w:val="18"/>
                <w:szCs w:val="18"/>
              </w:rPr>
              <w:t>UET-</w:t>
            </w:r>
            <w:r w:rsidR="00196C2A" w:rsidRPr="001C60E2">
              <w:rPr>
                <w:rFonts w:ascii="Arial" w:hAnsi="Arial" w:cs="Arial"/>
                <w:i/>
                <w:sz w:val="18"/>
                <w:szCs w:val="18"/>
              </w:rPr>
              <w:t>9</w:t>
            </w:r>
          </w:p>
        </w:tc>
        <w:tc>
          <w:tcPr>
            <w:tcW w:w="700" w:type="pct"/>
          </w:tcPr>
          <w:p w14:paraId="4A36D024" w14:textId="0AF40A2A" w:rsidR="00BE1312" w:rsidRPr="001C60E2" w:rsidRDefault="00BE615C"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P</w:t>
            </w:r>
            <w:r w:rsidR="00265C60" w:rsidRPr="001C60E2">
              <w:rPr>
                <w:rFonts w:ascii="Arial" w:hAnsi="Arial" w:cs="Arial"/>
                <w:i/>
                <w:sz w:val="18"/>
                <w:szCs w:val="18"/>
              </w:rPr>
              <w:t xml:space="preserve">rovedba Programa suzbijanja energetskog siromaštva koji uključuje korištenje obnovljivih izvora energije u stambenim zgradama na potpomognutim područjima i područjima posebne državne skrbi za razdoblje </w:t>
            </w:r>
            <w:r w:rsidR="00E12B5B" w:rsidRPr="001C60E2">
              <w:rPr>
                <w:rFonts w:ascii="Arial" w:hAnsi="Arial" w:cs="Arial"/>
                <w:i/>
                <w:sz w:val="18"/>
                <w:szCs w:val="18"/>
              </w:rPr>
              <w:t>do</w:t>
            </w:r>
            <w:r w:rsidR="00265C60" w:rsidRPr="001C60E2">
              <w:rPr>
                <w:rFonts w:ascii="Arial" w:hAnsi="Arial" w:cs="Arial"/>
                <w:i/>
                <w:sz w:val="18"/>
                <w:szCs w:val="18"/>
              </w:rPr>
              <w:t xml:space="preserve"> 2025. godine</w:t>
            </w:r>
          </w:p>
        </w:tc>
        <w:tc>
          <w:tcPr>
            <w:tcW w:w="520" w:type="pct"/>
          </w:tcPr>
          <w:p w14:paraId="28AB4AA4" w14:textId="77777777" w:rsidR="00765403" w:rsidRPr="001C60E2" w:rsidRDefault="00765403" w:rsidP="00765403">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 xml:space="preserve">Financijska </w:t>
            </w:r>
          </w:p>
          <w:p w14:paraId="33DBE120" w14:textId="77777777" w:rsidR="00BE1312" w:rsidRPr="001C60E2" w:rsidRDefault="00BE1312"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p>
        </w:tc>
        <w:tc>
          <w:tcPr>
            <w:tcW w:w="658" w:type="pct"/>
          </w:tcPr>
          <w:p w14:paraId="15585F9F" w14:textId="7478EB28" w:rsidR="00BE1312" w:rsidRPr="001C60E2" w:rsidRDefault="00765403" w:rsidP="00E5709B">
            <w:pPr>
              <w:pStyle w:val="ManualNumPar1"/>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Sufinanciranje energetske obnove, uključujući korištenje OIE, na zg</w:t>
            </w:r>
            <w:r w:rsidR="005F1AFC" w:rsidRPr="001C60E2">
              <w:rPr>
                <w:rFonts w:ascii="Arial" w:hAnsi="Arial" w:cs="Arial"/>
                <w:i/>
                <w:sz w:val="18"/>
                <w:szCs w:val="18"/>
              </w:rPr>
              <w:t>radama kojima upravlja Središnji državni ured za obnovu i stambeno zbrinjavanje na područjima posebne državne skrbi</w:t>
            </w:r>
            <w:r w:rsidRPr="001C60E2">
              <w:rPr>
                <w:rFonts w:ascii="Arial" w:hAnsi="Arial" w:cs="Arial"/>
                <w:i/>
                <w:sz w:val="18"/>
                <w:szCs w:val="18"/>
              </w:rPr>
              <w:t xml:space="preserve"> </w:t>
            </w:r>
          </w:p>
        </w:tc>
        <w:tc>
          <w:tcPr>
            <w:tcW w:w="706" w:type="pct"/>
          </w:tcPr>
          <w:p w14:paraId="4A7584AE" w14:textId="70B9DD23" w:rsidR="002E62C6" w:rsidRPr="001C60E2" w:rsidRDefault="00DB0CEA" w:rsidP="002E62C6">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2,2</w:t>
            </w:r>
            <w:r w:rsidR="002E62C6" w:rsidRPr="001C60E2">
              <w:rPr>
                <w:rFonts w:ascii="Arial" w:hAnsi="Arial" w:cs="Arial"/>
                <w:i/>
                <w:sz w:val="18"/>
                <w:szCs w:val="18"/>
              </w:rPr>
              <w:t xml:space="preserve"> </w:t>
            </w:r>
            <w:proofErr w:type="spellStart"/>
            <w:r w:rsidR="002E62C6" w:rsidRPr="001C60E2">
              <w:rPr>
                <w:rFonts w:ascii="Arial" w:hAnsi="Arial" w:cs="Arial"/>
                <w:i/>
                <w:sz w:val="18"/>
                <w:szCs w:val="18"/>
              </w:rPr>
              <w:t>ktoe</w:t>
            </w:r>
            <w:proofErr w:type="spellEnd"/>
          </w:p>
          <w:p w14:paraId="7A5905D0" w14:textId="4775B5CE" w:rsidR="00BE1312" w:rsidRPr="001C60E2" w:rsidRDefault="002E62C6" w:rsidP="002E62C6">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highlight w:val="yellow"/>
              </w:rPr>
            </w:pPr>
            <w:r w:rsidRPr="001C60E2">
              <w:rPr>
                <w:rFonts w:ascii="Arial" w:hAnsi="Arial" w:cs="Arial"/>
                <w:i/>
                <w:sz w:val="18"/>
                <w:szCs w:val="18"/>
              </w:rPr>
              <w:t>0,0</w:t>
            </w:r>
            <w:r w:rsidR="00DB0CEA" w:rsidRPr="001C60E2">
              <w:rPr>
                <w:rFonts w:ascii="Arial" w:hAnsi="Arial" w:cs="Arial"/>
                <w:i/>
                <w:sz w:val="18"/>
                <w:szCs w:val="18"/>
              </w:rPr>
              <w:t>9</w:t>
            </w:r>
            <w:r w:rsidRPr="001C60E2">
              <w:rPr>
                <w:rFonts w:ascii="Arial" w:hAnsi="Arial" w:cs="Arial"/>
                <w:i/>
                <w:sz w:val="18"/>
                <w:szCs w:val="18"/>
              </w:rPr>
              <w:t xml:space="preserve"> PJ</w:t>
            </w:r>
          </w:p>
        </w:tc>
        <w:tc>
          <w:tcPr>
            <w:tcW w:w="659" w:type="pct"/>
          </w:tcPr>
          <w:p w14:paraId="3AC33EF1" w14:textId="77777777" w:rsidR="00E12B5B" w:rsidRPr="001C60E2" w:rsidRDefault="00E12B5B"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MPGI</w:t>
            </w:r>
          </w:p>
          <w:p w14:paraId="36D897EA" w14:textId="46F832D7" w:rsidR="00BE1312" w:rsidRPr="001C60E2" w:rsidRDefault="005F1AFC"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SDUOSZ</w:t>
            </w:r>
          </w:p>
          <w:p w14:paraId="4440FF76" w14:textId="4F36AD9F" w:rsidR="005F1AFC" w:rsidRPr="001C60E2" w:rsidRDefault="005F1AFC" w:rsidP="005F1AFC">
            <w:pPr>
              <w:cnfStyle w:val="000000000000" w:firstRow="0" w:lastRow="0" w:firstColumn="0" w:lastColumn="0" w:oddVBand="0" w:evenVBand="0" w:oddHBand="0" w:evenHBand="0" w:firstRowFirstColumn="0" w:firstRowLastColumn="0" w:lastRowFirstColumn="0" w:lastRowLastColumn="0"/>
              <w:rPr>
                <w:lang w:eastAsia="en-US"/>
              </w:rPr>
            </w:pPr>
          </w:p>
        </w:tc>
        <w:tc>
          <w:tcPr>
            <w:tcW w:w="565" w:type="pct"/>
          </w:tcPr>
          <w:p w14:paraId="0C95384C" w14:textId="4DEFC7FB" w:rsidR="00BE1312" w:rsidRPr="001C60E2" w:rsidRDefault="005F1AFC" w:rsidP="00E5709B">
            <w:pPr>
              <w:pStyle w:val="ManualNumPar1"/>
              <w:spacing w:before="0"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Kućanstva</w:t>
            </w:r>
          </w:p>
        </w:tc>
        <w:tc>
          <w:tcPr>
            <w:tcW w:w="905" w:type="pct"/>
          </w:tcPr>
          <w:p w14:paraId="539D7AB3" w14:textId="3828D750" w:rsidR="00BE1312" w:rsidRPr="001C60E2" w:rsidRDefault="006C041F" w:rsidP="00711D97">
            <w:pPr>
              <w:pStyle w:val="ListParagraph"/>
              <w:numPr>
                <w:ilvl w:val="0"/>
                <w:numId w:val="21"/>
              </w:numPr>
              <w:tabs>
                <w:tab w:val="clear" w:pos="431"/>
              </w:tabs>
              <w:suppressAutoHyphens w:val="0"/>
              <w:spacing w:after="0"/>
              <w:ind w:left="261" w:hanging="261"/>
              <w:contextualSpacing/>
              <w:jc w:val="lef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eastAsia="Calibri" w:cs="Arial"/>
                <w:i/>
                <w:sz w:val="18"/>
                <w:szCs w:val="18"/>
                <w:lang w:eastAsia="en-US"/>
              </w:rPr>
              <w:t xml:space="preserve">Mjere </w:t>
            </w:r>
            <w:r w:rsidR="0038021A" w:rsidRPr="001C60E2">
              <w:rPr>
                <w:rFonts w:eastAsia="Calibri" w:cs="Arial"/>
                <w:i/>
                <w:sz w:val="18"/>
                <w:szCs w:val="18"/>
                <w:lang w:eastAsia="en-US"/>
              </w:rPr>
              <w:t xml:space="preserve">integralne </w:t>
            </w:r>
            <w:r w:rsidRPr="001C60E2">
              <w:rPr>
                <w:rFonts w:eastAsia="Calibri" w:cs="Arial"/>
                <w:i/>
                <w:sz w:val="18"/>
                <w:szCs w:val="18"/>
                <w:lang w:eastAsia="en-US"/>
              </w:rPr>
              <w:t xml:space="preserve">energetske obnove </w:t>
            </w:r>
            <w:r w:rsidR="0038021A" w:rsidRPr="001C60E2">
              <w:rPr>
                <w:rFonts w:eastAsia="Calibri" w:cs="Arial"/>
                <w:i/>
                <w:sz w:val="18"/>
                <w:szCs w:val="18"/>
                <w:lang w:eastAsia="en-US"/>
              </w:rPr>
              <w:t>zgrada, koje uključuju i korištenje OIE</w:t>
            </w:r>
          </w:p>
        </w:tc>
      </w:tr>
    </w:tbl>
    <w:p w14:paraId="7D5D1272" w14:textId="77777777" w:rsidR="00711D97" w:rsidRPr="001C60E2" w:rsidRDefault="00711D97" w:rsidP="00F816F6">
      <w:pPr>
        <w:spacing w:after="160" w:line="259" w:lineRule="auto"/>
        <w:jc w:val="left"/>
        <w:rPr>
          <w:rFonts w:cs="Arial"/>
          <w:i/>
        </w:rPr>
      </w:pPr>
      <w:r w:rsidRPr="001C60E2">
        <w:rPr>
          <w:rFonts w:cs="Arial"/>
          <w:i/>
        </w:rPr>
        <w:lastRenderedPageBreak/>
        <w:t xml:space="preserve">Sljedeća tablica prikazuje očekivane kumulativne uštede iz alternativnih mjera u razdoblju od 2021. do 2030. </w:t>
      </w:r>
    </w:p>
    <w:tbl>
      <w:tblPr>
        <w:tblStyle w:val="GridTable1Light"/>
        <w:tblW w:w="5064" w:type="pct"/>
        <w:tblLook w:val="04A0" w:firstRow="1" w:lastRow="0" w:firstColumn="1" w:lastColumn="0" w:noHBand="0" w:noVBand="1"/>
      </w:tblPr>
      <w:tblGrid>
        <w:gridCol w:w="956"/>
        <w:gridCol w:w="1331"/>
        <w:gridCol w:w="1331"/>
        <w:gridCol w:w="1331"/>
        <w:gridCol w:w="1331"/>
        <w:gridCol w:w="1331"/>
        <w:gridCol w:w="1325"/>
        <w:gridCol w:w="1325"/>
        <w:gridCol w:w="1325"/>
        <w:gridCol w:w="1325"/>
        <w:gridCol w:w="1343"/>
        <w:gridCol w:w="1331"/>
      </w:tblGrid>
      <w:tr w:rsidR="001C60E2" w:rsidRPr="001C60E2" w14:paraId="70819BB7" w14:textId="77777777" w:rsidTr="00712F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 w:type="pct"/>
          </w:tcPr>
          <w:p w14:paraId="7699AD1A" w14:textId="77777777" w:rsidR="00711D97" w:rsidRPr="001C60E2" w:rsidRDefault="00711D97" w:rsidP="00E5709B">
            <w:pPr>
              <w:pStyle w:val="ManualNumPar1"/>
              <w:spacing w:before="0" w:after="0" w:line="276" w:lineRule="auto"/>
              <w:ind w:left="0" w:firstLine="0"/>
              <w:jc w:val="both"/>
              <w:rPr>
                <w:rFonts w:ascii="Arial" w:hAnsi="Arial" w:cs="Arial"/>
                <w:i/>
                <w:sz w:val="18"/>
                <w:szCs w:val="18"/>
              </w:rPr>
            </w:pPr>
            <w:proofErr w:type="spellStart"/>
            <w:r w:rsidRPr="001C60E2">
              <w:rPr>
                <w:rFonts w:ascii="Arial" w:hAnsi="Arial" w:cs="Arial"/>
                <w:i/>
                <w:sz w:val="18"/>
                <w:szCs w:val="18"/>
              </w:rPr>
              <w:t>Id</w:t>
            </w:r>
            <w:proofErr w:type="spellEnd"/>
            <w:r w:rsidRPr="001C60E2">
              <w:rPr>
                <w:rFonts w:ascii="Arial" w:hAnsi="Arial" w:cs="Arial"/>
                <w:i/>
                <w:sz w:val="18"/>
                <w:szCs w:val="18"/>
              </w:rPr>
              <w:t>.</w:t>
            </w:r>
          </w:p>
        </w:tc>
        <w:tc>
          <w:tcPr>
            <w:tcW w:w="427" w:type="pct"/>
          </w:tcPr>
          <w:p w14:paraId="0092AADF" w14:textId="77777777" w:rsidR="00711D97" w:rsidRPr="001C60E2" w:rsidRDefault="00711D97" w:rsidP="00E5709B">
            <w:pPr>
              <w:pStyle w:val="ManualNumPar1"/>
              <w:spacing w:before="0" w:after="0" w:line="276" w:lineRule="auto"/>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2021.</w:t>
            </w:r>
          </w:p>
        </w:tc>
        <w:tc>
          <w:tcPr>
            <w:tcW w:w="427" w:type="pct"/>
          </w:tcPr>
          <w:p w14:paraId="15B1DA32" w14:textId="77777777" w:rsidR="00711D97" w:rsidRPr="001C60E2" w:rsidRDefault="00711D97" w:rsidP="00E5709B">
            <w:pPr>
              <w:pStyle w:val="ManualNumPar1"/>
              <w:spacing w:before="0" w:after="0" w:line="276" w:lineRule="auto"/>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2022.</w:t>
            </w:r>
          </w:p>
        </w:tc>
        <w:tc>
          <w:tcPr>
            <w:tcW w:w="427" w:type="pct"/>
          </w:tcPr>
          <w:p w14:paraId="630C77F2" w14:textId="77777777" w:rsidR="00711D97" w:rsidRPr="001C60E2" w:rsidRDefault="00711D97" w:rsidP="00E5709B">
            <w:pPr>
              <w:pStyle w:val="ManualNumPar1"/>
              <w:spacing w:before="0" w:after="0" w:line="276" w:lineRule="auto"/>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2023.</w:t>
            </w:r>
          </w:p>
        </w:tc>
        <w:tc>
          <w:tcPr>
            <w:tcW w:w="427" w:type="pct"/>
          </w:tcPr>
          <w:p w14:paraId="706264B4" w14:textId="77777777" w:rsidR="00711D97" w:rsidRPr="001C60E2" w:rsidRDefault="00711D97" w:rsidP="00E5709B">
            <w:pPr>
              <w:pStyle w:val="ManualNumPar1"/>
              <w:spacing w:before="0" w:after="0" w:line="276" w:lineRule="auto"/>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2024.</w:t>
            </w:r>
          </w:p>
        </w:tc>
        <w:tc>
          <w:tcPr>
            <w:tcW w:w="427" w:type="pct"/>
          </w:tcPr>
          <w:p w14:paraId="09BE3133" w14:textId="77777777" w:rsidR="00711D97" w:rsidRPr="001C60E2" w:rsidRDefault="00711D97" w:rsidP="00E5709B">
            <w:pPr>
              <w:pStyle w:val="ManualNumPar1"/>
              <w:spacing w:before="0" w:after="0" w:line="276" w:lineRule="auto"/>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2025.</w:t>
            </w:r>
          </w:p>
        </w:tc>
        <w:tc>
          <w:tcPr>
            <w:tcW w:w="425" w:type="pct"/>
          </w:tcPr>
          <w:p w14:paraId="607222E7" w14:textId="77777777" w:rsidR="00711D97" w:rsidRPr="001C60E2" w:rsidRDefault="00711D97" w:rsidP="00E5709B">
            <w:pPr>
              <w:pStyle w:val="ManualNumPar1"/>
              <w:spacing w:before="0" w:after="0" w:line="276" w:lineRule="auto"/>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2026.</w:t>
            </w:r>
          </w:p>
        </w:tc>
        <w:tc>
          <w:tcPr>
            <w:tcW w:w="425" w:type="pct"/>
          </w:tcPr>
          <w:p w14:paraId="15B1ECA9" w14:textId="77777777" w:rsidR="00711D97" w:rsidRPr="001C60E2" w:rsidRDefault="00711D97" w:rsidP="00E5709B">
            <w:pPr>
              <w:pStyle w:val="ManualNumPar1"/>
              <w:spacing w:before="0" w:after="0" w:line="276" w:lineRule="auto"/>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2027.</w:t>
            </w:r>
          </w:p>
        </w:tc>
        <w:tc>
          <w:tcPr>
            <w:tcW w:w="425" w:type="pct"/>
          </w:tcPr>
          <w:p w14:paraId="65D0C2B8" w14:textId="77777777" w:rsidR="00711D97" w:rsidRPr="001C60E2" w:rsidRDefault="00711D97" w:rsidP="00E5709B">
            <w:pPr>
              <w:pStyle w:val="ManualNumPar1"/>
              <w:spacing w:before="0" w:after="0" w:line="276" w:lineRule="auto"/>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2028.</w:t>
            </w:r>
          </w:p>
        </w:tc>
        <w:tc>
          <w:tcPr>
            <w:tcW w:w="425" w:type="pct"/>
          </w:tcPr>
          <w:p w14:paraId="14CAF6F2" w14:textId="77777777" w:rsidR="00711D97" w:rsidRPr="001C60E2" w:rsidRDefault="00711D97" w:rsidP="00E5709B">
            <w:pPr>
              <w:pStyle w:val="ManualNumPar1"/>
              <w:spacing w:before="0" w:after="0" w:line="276" w:lineRule="auto"/>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2029.</w:t>
            </w:r>
          </w:p>
        </w:tc>
        <w:tc>
          <w:tcPr>
            <w:tcW w:w="428" w:type="pct"/>
          </w:tcPr>
          <w:p w14:paraId="49705D2F" w14:textId="77777777" w:rsidR="00711D97" w:rsidRPr="001C60E2" w:rsidRDefault="00711D97" w:rsidP="00E5709B">
            <w:pPr>
              <w:pStyle w:val="ManualNumPar1"/>
              <w:spacing w:before="0" w:after="0" w:line="276" w:lineRule="auto"/>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2030.</w:t>
            </w:r>
          </w:p>
        </w:tc>
        <w:tc>
          <w:tcPr>
            <w:tcW w:w="430" w:type="pct"/>
          </w:tcPr>
          <w:p w14:paraId="76B3A18C" w14:textId="77777777" w:rsidR="00711D97" w:rsidRPr="001C60E2" w:rsidRDefault="00711D97" w:rsidP="00E5709B">
            <w:pPr>
              <w:pStyle w:val="ManualNumPar1"/>
              <w:spacing w:before="0" w:after="0" w:line="276" w:lineRule="auto"/>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18"/>
                <w:szCs w:val="18"/>
              </w:rPr>
            </w:pPr>
            <w:r w:rsidRPr="001C60E2">
              <w:rPr>
                <w:rFonts w:ascii="Arial" w:hAnsi="Arial" w:cs="Arial"/>
                <w:i/>
                <w:sz w:val="18"/>
                <w:szCs w:val="18"/>
              </w:rPr>
              <w:t>Uštede energije</w:t>
            </w:r>
          </w:p>
          <w:p w14:paraId="64497104" w14:textId="77777777" w:rsidR="00711D97" w:rsidRPr="001C60E2" w:rsidRDefault="00711D97" w:rsidP="00E5709B">
            <w:pPr>
              <w:pStyle w:val="ManualNumPar1"/>
              <w:spacing w:before="0" w:after="0" w:line="276" w:lineRule="auto"/>
              <w:ind w:left="0" w:firstLine="0"/>
              <w:jc w:val="both"/>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sz w:val="18"/>
                <w:szCs w:val="18"/>
              </w:rPr>
              <w:t>[</w:t>
            </w:r>
            <w:proofErr w:type="spellStart"/>
            <w:r w:rsidRPr="001C60E2">
              <w:rPr>
                <w:rFonts w:ascii="Arial" w:hAnsi="Arial" w:cs="Arial"/>
                <w:i/>
                <w:sz w:val="18"/>
                <w:szCs w:val="18"/>
              </w:rPr>
              <w:t>ktoe</w:t>
            </w:r>
            <w:proofErr w:type="spellEnd"/>
            <w:r w:rsidRPr="001C60E2">
              <w:rPr>
                <w:rFonts w:ascii="Arial" w:hAnsi="Arial" w:cs="Arial"/>
                <w:i/>
                <w:sz w:val="18"/>
                <w:szCs w:val="18"/>
              </w:rPr>
              <w:t>]</w:t>
            </w:r>
          </w:p>
        </w:tc>
      </w:tr>
      <w:tr w:rsidR="001C60E2" w:rsidRPr="001C60E2" w14:paraId="28F8D456" w14:textId="77777777" w:rsidTr="00532819">
        <w:trPr>
          <w:trHeight w:val="20"/>
        </w:trPr>
        <w:tc>
          <w:tcPr>
            <w:cnfStyle w:val="001000000000" w:firstRow="0" w:lastRow="0" w:firstColumn="1" w:lastColumn="0" w:oddVBand="0" w:evenVBand="0" w:oddHBand="0" w:evenHBand="0" w:firstRowFirstColumn="0" w:firstRowLastColumn="0" w:lastRowFirstColumn="0" w:lastRowLastColumn="0"/>
            <w:tcW w:w="307" w:type="pct"/>
          </w:tcPr>
          <w:p w14:paraId="373F9F96" w14:textId="77777777" w:rsidR="00532819" w:rsidRPr="001C60E2" w:rsidRDefault="00532819" w:rsidP="00532819">
            <w:pPr>
              <w:pStyle w:val="ManualNumPar1"/>
              <w:spacing w:before="0" w:after="0" w:line="276" w:lineRule="auto"/>
              <w:ind w:left="0" w:firstLine="0"/>
              <w:jc w:val="both"/>
              <w:rPr>
                <w:rFonts w:ascii="Arial" w:hAnsi="Arial" w:cs="Arial"/>
                <w:i/>
                <w:sz w:val="18"/>
                <w:szCs w:val="18"/>
              </w:rPr>
            </w:pPr>
            <w:r w:rsidRPr="001C60E2">
              <w:rPr>
                <w:rFonts w:ascii="Arial" w:hAnsi="Arial" w:cs="Arial"/>
                <w:i/>
                <w:sz w:val="18"/>
                <w:szCs w:val="18"/>
              </w:rPr>
              <w:t>ENU-3</w:t>
            </w:r>
          </w:p>
        </w:tc>
        <w:tc>
          <w:tcPr>
            <w:tcW w:w="427" w:type="pct"/>
            <w:vAlign w:val="bottom"/>
          </w:tcPr>
          <w:p w14:paraId="1EDA0ABF" w14:textId="138406D5" w:rsidR="00532819" w:rsidRPr="001C60E2" w:rsidRDefault="00532819" w:rsidP="00532819">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2,16</w:t>
            </w:r>
          </w:p>
        </w:tc>
        <w:tc>
          <w:tcPr>
            <w:tcW w:w="427" w:type="pct"/>
            <w:vAlign w:val="bottom"/>
          </w:tcPr>
          <w:p w14:paraId="2DDAFF47" w14:textId="4B06C2AA" w:rsidR="00532819" w:rsidRPr="001C60E2" w:rsidRDefault="00532819" w:rsidP="00532819">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4,28</w:t>
            </w:r>
          </w:p>
        </w:tc>
        <w:tc>
          <w:tcPr>
            <w:tcW w:w="427" w:type="pct"/>
            <w:vAlign w:val="bottom"/>
          </w:tcPr>
          <w:p w14:paraId="458021FB" w14:textId="5D66D0D1" w:rsidR="00532819" w:rsidRPr="001C60E2" w:rsidRDefault="00532819" w:rsidP="00532819">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7,74</w:t>
            </w:r>
          </w:p>
        </w:tc>
        <w:tc>
          <w:tcPr>
            <w:tcW w:w="427" w:type="pct"/>
            <w:vAlign w:val="bottom"/>
          </w:tcPr>
          <w:p w14:paraId="5FA47632" w14:textId="4C65D2B1" w:rsidR="00532819" w:rsidRPr="001C60E2" w:rsidRDefault="00532819" w:rsidP="00532819">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11,15</w:t>
            </w:r>
          </w:p>
        </w:tc>
        <w:tc>
          <w:tcPr>
            <w:tcW w:w="427" w:type="pct"/>
            <w:vAlign w:val="bottom"/>
          </w:tcPr>
          <w:p w14:paraId="4357381A" w14:textId="7950B84C" w:rsidR="00532819" w:rsidRPr="001C60E2" w:rsidRDefault="00532819" w:rsidP="00532819">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15,81</w:t>
            </w:r>
          </w:p>
        </w:tc>
        <w:tc>
          <w:tcPr>
            <w:tcW w:w="425" w:type="pct"/>
            <w:vAlign w:val="bottom"/>
          </w:tcPr>
          <w:p w14:paraId="0410126B" w14:textId="28BB404F" w:rsidR="00532819" w:rsidRPr="001C60E2" w:rsidRDefault="00532819" w:rsidP="00532819">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20,35</w:t>
            </w:r>
          </w:p>
        </w:tc>
        <w:tc>
          <w:tcPr>
            <w:tcW w:w="425" w:type="pct"/>
            <w:vAlign w:val="bottom"/>
          </w:tcPr>
          <w:p w14:paraId="779F4598" w14:textId="329EE48D" w:rsidR="00532819" w:rsidRPr="001C60E2" w:rsidRDefault="00532819" w:rsidP="00532819">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26,06</w:t>
            </w:r>
          </w:p>
        </w:tc>
        <w:tc>
          <w:tcPr>
            <w:tcW w:w="425" w:type="pct"/>
            <w:vAlign w:val="bottom"/>
          </w:tcPr>
          <w:p w14:paraId="343DD74C" w14:textId="14B2C480" w:rsidR="00532819" w:rsidRPr="001C60E2" w:rsidRDefault="00532819" w:rsidP="00532819">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eastAsia="Calibri" w:cs="Arial"/>
                <w:i/>
                <w:iCs/>
                <w:sz w:val="18"/>
                <w:szCs w:val="18"/>
                <w:lang w:eastAsia="en-US"/>
              </w:rPr>
            </w:pPr>
            <w:r w:rsidRPr="001C60E2">
              <w:rPr>
                <w:rFonts w:eastAsia="Calibri" w:cs="Arial"/>
                <w:i/>
                <w:iCs/>
                <w:sz w:val="18"/>
                <w:szCs w:val="18"/>
                <w:lang w:eastAsia="en-US"/>
              </w:rPr>
              <w:t>31,60</w:t>
            </w:r>
          </w:p>
        </w:tc>
        <w:tc>
          <w:tcPr>
            <w:tcW w:w="425" w:type="pct"/>
            <w:vAlign w:val="bottom"/>
          </w:tcPr>
          <w:p w14:paraId="43795AD9" w14:textId="29291CB9" w:rsidR="00532819" w:rsidRPr="001C60E2" w:rsidRDefault="00532819" w:rsidP="00532819">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38,19</w:t>
            </w:r>
          </w:p>
        </w:tc>
        <w:tc>
          <w:tcPr>
            <w:tcW w:w="428" w:type="pct"/>
            <w:vAlign w:val="bottom"/>
          </w:tcPr>
          <w:p w14:paraId="219F0150" w14:textId="293F9DDB" w:rsidR="00532819" w:rsidRPr="001C60E2" w:rsidRDefault="00532819" w:rsidP="00532819">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eastAsia="Calibri" w:cs="Arial"/>
                <w:i/>
                <w:iCs/>
                <w:sz w:val="18"/>
                <w:szCs w:val="18"/>
                <w:lang w:eastAsia="en-US"/>
              </w:rPr>
            </w:pPr>
            <w:r w:rsidRPr="001C60E2">
              <w:rPr>
                <w:rFonts w:eastAsia="Calibri" w:cs="Arial"/>
                <w:i/>
                <w:iCs/>
                <w:sz w:val="18"/>
                <w:szCs w:val="18"/>
                <w:lang w:eastAsia="en-US"/>
              </w:rPr>
              <w:t>44,55</w:t>
            </w:r>
          </w:p>
        </w:tc>
        <w:tc>
          <w:tcPr>
            <w:tcW w:w="430" w:type="pct"/>
          </w:tcPr>
          <w:p w14:paraId="6C0222AA" w14:textId="08979A54" w:rsidR="00532819" w:rsidRPr="001C60E2" w:rsidRDefault="00532819" w:rsidP="00532819">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eastAsia="Calibri" w:cs="Arial"/>
                <w:i/>
                <w:iCs/>
                <w:sz w:val="18"/>
                <w:szCs w:val="18"/>
                <w:lang w:eastAsia="en-US"/>
              </w:rPr>
            </w:pPr>
            <w:r w:rsidRPr="001C60E2">
              <w:rPr>
                <w:rFonts w:eastAsia="Calibri" w:cs="Arial"/>
                <w:i/>
                <w:iCs/>
                <w:sz w:val="18"/>
                <w:szCs w:val="18"/>
                <w:lang w:eastAsia="en-US"/>
              </w:rPr>
              <w:t>201,90</w:t>
            </w:r>
          </w:p>
        </w:tc>
      </w:tr>
      <w:tr w:rsidR="001C60E2" w:rsidRPr="001C60E2" w14:paraId="5C5AACAA" w14:textId="77777777" w:rsidTr="00532819">
        <w:trPr>
          <w:trHeight w:val="20"/>
        </w:trPr>
        <w:tc>
          <w:tcPr>
            <w:cnfStyle w:val="001000000000" w:firstRow="0" w:lastRow="0" w:firstColumn="1" w:lastColumn="0" w:oddVBand="0" w:evenVBand="0" w:oddHBand="0" w:evenHBand="0" w:firstRowFirstColumn="0" w:firstRowLastColumn="0" w:lastRowFirstColumn="0" w:lastRowLastColumn="0"/>
            <w:tcW w:w="307" w:type="pct"/>
          </w:tcPr>
          <w:p w14:paraId="6CF6B564" w14:textId="77777777" w:rsidR="00532819" w:rsidRPr="001C60E2" w:rsidRDefault="00532819" w:rsidP="00532819">
            <w:pPr>
              <w:pStyle w:val="ManualNumPar1"/>
              <w:spacing w:before="0" w:after="0" w:line="276" w:lineRule="auto"/>
              <w:ind w:left="0" w:firstLine="0"/>
              <w:jc w:val="both"/>
              <w:rPr>
                <w:rFonts w:ascii="Arial" w:hAnsi="Arial" w:cs="Arial"/>
                <w:i/>
                <w:sz w:val="18"/>
                <w:szCs w:val="18"/>
              </w:rPr>
            </w:pPr>
            <w:r w:rsidRPr="001C60E2">
              <w:rPr>
                <w:rFonts w:ascii="Arial" w:hAnsi="Arial" w:cs="Arial"/>
                <w:i/>
                <w:sz w:val="18"/>
                <w:szCs w:val="18"/>
              </w:rPr>
              <w:t>ENU-4</w:t>
            </w:r>
          </w:p>
        </w:tc>
        <w:tc>
          <w:tcPr>
            <w:tcW w:w="427" w:type="pct"/>
            <w:vAlign w:val="bottom"/>
          </w:tcPr>
          <w:p w14:paraId="4F99A87A" w14:textId="3B082BBC" w:rsidR="00532819" w:rsidRPr="001C60E2" w:rsidRDefault="00532819" w:rsidP="00532819">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5,16</w:t>
            </w:r>
          </w:p>
        </w:tc>
        <w:tc>
          <w:tcPr>
            <w:tcW w:w="427" w:type="pct"/>
            <w:vAlign w:val="bottom"/>
          </w:tcPr>
          <w:p w14:paraId="54E12091" w14:textId="43828D02" w:rsidR="00532819" w:rsidRPr="001C60E2" w:rsidRDefault="00532819" w:rsidP="00532819">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10,27</w:t>
            </w:r>
          </w:p>
        </w:tc>
        <w:tc>
          <w:tcPr>
            <w:tcW w:w="427" w:type="pct"/>
            <w:vAlign w:val="bottom"/>
          </w:tcPr>
          <w:p w14:paraId="5BAB491E" w14:textId="02686B09" w:rsidR="00532819" w:rsidRPr="001C60E2" w:rsidRDefault="00532819" w:rsidP="00532819">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18,56</w:t>
            </w:r>
          </w:p>
        </w:tc>
        <w:tc>
          <w:tcPr>
            <w:tcW w:w="427" w:type="pct"/>
            <w:vAlign w:val="bottom"/>
          </w:tcPr>
          <w:p w14:paraId="5520FA0F" w14:textId="7ADEDB8F" w:rsidR="00532819" w:rsidRPr="001C60E2" w:rsidRDefault="00532819" w:rsidP="00532819">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26,72</w:t>
            </w:r>
          </w:p>
        </w:tc>
        <w:tc>
          <w:tcPr>
            <w:tcW w:w="427" w:type="pct"/>
            <w:vAlign w:val="bottom"/>
          </w:tcPr>
          <w:p w14:paraId="6D25FC72" w14:textId="5299EBFF" w:rsidR="00532819" w:rsidRPr="001C60E2" w:rsidRDefault="00532819" w:rsidP="00532819">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37,89</w:t>
            </w:r>
          </w:p>
        </w:tc>
        <w:tc>
          <w:tcPr>
            <w:tcW w:w="425" w:type="pct"/>
            <w:vAlign w:val="bottom"/>
          </w:tcPr>
          <w:p w14:paraId="655289F0" w14:textId="75FF6788" w:rsidR="00532819" w:rsidRPr="001C60E2" w:rsidRDefault="00532819" w:rsidP="00532819">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48,76</w:t>
            </w:r>
          </w:p>
        </w:tc>
        <w:tc>
          <w:tcPr>
            <w:tcW w:w="425" w:type="pct"/>
            <w:vAlign w:val="bottom"/>
          </w:tcPr>
          <w:p w14:paraId="2A82A504" w14:textId="6233BAB3" w:rsidR="00532819" w:rsidRPr="001C60E2" w:rsidRDefault="00532819" w:rsidP="00532819">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62,46</w:t>
            </w:r>
          </w:p>
        </w:tc>
        <w:tc>
          <w:tcPr>
            <w:tcW w:w="425" w:type="pct"/>
            <w:vAlign w:val="bottom"/>
          </w:tcPr>
          <w:p w14:paraId="71014259" w14:textId="758E4D40" w:rsidR="00532819" w:rsidRPr="001C60E2" w:rsidRDefault="00532819" w:rsidP="00532819">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eastAsia="Calibri" w:cs="Arial"/>
                <w:i/>
                <w:iCs/>
                <w:sz w:val="18"/>
                <w:szCs w:val="18"/>
                <w:lang w:eastAsia="en-US"/>
              </w:rPr>
            </w:pPr>
            <w:r w:rsidRPr="001C60E2">
              <w:rPr>
                <w:rFonts w:eastAsia="Calibri" w:cs="Arial"/>
                <w:i/>
                <w:iCs/>
                <w:sz w:val="18"/>
                <w:szCs w:val="18"/>
                <w:lang w:eastAsia="en-US"/>
              </w:rPr>
              <w:t>75,73</w:t>
            </w:r>
          </w:p>
        </w:tc>
        <w:tc>
          <w:tcPr>
            <w:tcW w:w="425" w:type="pct"/>
            <w:vAlign w:val="bottom"/>
          </w:tcPr>
          <w:p w14:paraId="585B3D80" w14:textId="6F36837D" w:rsidR="00532819" w:rsidRPr="001C60E2" w:rsidRDefault="00532819" w:rsidP="00532819">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91,52</w:t>
            </w:r>
          </w:p>
        </w:tc>
        <w:tc>
          <w:tcPr>
            <w:tcW w:w="428" w:type="pct"/>
            <w:vAlign w:val="bottom"/>
          </w:tcPr>
          <w:p w14:paraId="3F534A5E" w14:textId="195F3A57" w:rsidR="00532819" w:rsidRPr="001C60E2" w:rsidRDefault="00532819" w:rsidP="00532819">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eastAsia="Calibri" w:cs="Arial"/>
                <w:i/>
                <w:iCs/>
                <w:sz w:val="18"/>
                <w:szCs w:val="18"/>
                <w:lang w:eastAsia="en-US"/>
              </w:rPr>
            </w:pPr>
            <w:r w:rsidRPr="001C60E2">
              <w:rPr>
                <w:rFonts w:eastAsia="Calibri" w:cs="Arial"/>
                <w:i/>
                <w:iCs/>
                <w:sz w:val="18"/>
                <w:szCs w:val="18"/>
                <w:lang w:eastAsia="en-US"/>
              </w:rPr>
              <w:t>106,78</w:t>
            </w:r>
          </w:p>
        </w:tc>
        <w:tc>
          <w:tcPr>
            <w:tcW w:w="430" w:type="pct"/>
          </w:tcPr>
          <w:p w14:paraId="7958BD14" w14:textId="754DCCAE" w:rsidR="00532819" w:rsidRPr="001C60E2" w:rsidRDefault="00532819" w:rsidP="00532819">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eastAsia="Calibri" w:cs="Arial"/>
                <w:i/>
                <w:iCs/>
                <w:sz w:val="18"/>
                <w:szCs w:val="18"/>
                <w:lang w:eastAsia="en-US"/>
              </w:rPr>
            </w:pPr>
            <w:r w:rsidRPr="001C60E2">
              <w:rPr>
                <w:rFonts w:eastAsia="Calibri" w:cs="Arial"/>
                <w:i/>
                <w:iCs/>
                <w:sz w:val="18"/>
                <w:szCs w:val="18"/>
                <w:lang w:eastAsia="en-US"/>
              </w:rPr>
              <w:t>483,85</w:t>
            </w:r>
          </w:p>
        </w:tc>
      </w:tr>
      <w:tr w:rsidR="001C60E2" w:rsidRPr="001C60E2" w14:paraId="3FDB1BA2" w14:textId="77777777" w:rsidTr="00532819">
        <w:trPr>
          <w:trHeight w:val="70"/>
        </w:trPr>
        <w:tc>
          <w:tcPr>
            <w:cnfStyle w:val="001000000000" w:firstRow="0" w:lastRow="0" w:firstColumn="1" w:lastColumn="0" w:oddVBand="0" w:evenVBand="0" w:oddHBand="0" w:evenHBand="0" w:firstRowFirstColumn="0" w:firstRowLastColumn="0" w:lastRowFirstColumn="0" w:lastRowLastColumn="0"/>
            <w:tcW w:w="307" w:type="pct"/>
          </w:tcPr>
          <w:p w14:paraId="1D9ECE1A" w14:textId="77777777" w:rsidR="00611C97" w:rsidRPr="001C60E2" w:rsidRDefault="00611C97" w:rsidP="00611C97">
            <w:pPr>
              <w:pStyle w:val="ManualNumPar1"/>
              <w:spacing w:before="0" w:after="0" w:line="276" w:lineRule="auto"/>
              <w:ind w:left="0" w:firstLine="0"/>
              <w:jc w:val="both"/>
              <w:rPr>
                <w:rFonts w:ascii="Arial" w:hAnsi="Arial" w:cs="Arial"/>
                <w:i/>
                <w:sz w:val="18"/>
                <w:szCs w:val="18"/>
              </w:rPr>
            </w:pPr>
            <w:r w:rsidRPr="001C60E2">
              <w:rPr>
                <w:rFonts w:ascii="Arial" w:hAnsi="Arial" w:cs="Arial"/>
                <w:i/>
                <w:sz w:val="18"/>
                <w:szCs w:val="18"/>
              </w:rPr>
              <w:t>ENU-5</w:t>
            </w:r>
          </w:p>
        </w:tc>
        <w:tc>
          <w:tcPr>
            <w:tcW w:w="427" w:type="pct"/>
          </w:tcPr>
          <w:p w14:paraId="705574D6" w14:textId="44B22E70" w:rsidR="00611C97" w:rsidRPr="001C60E2" w:rsidRDefault="00611C97" w:rsidP="00611C97">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1,70</w:t>
            </w:r>
          </w:p>
        </w:tc>
        <w:tc>
          <w:tcPr>
            <w:tcW w:w="427" w:type="pct"/>
          </w:tcPr>
          <w:p w14:paraId="19703B31" w14:textId="02AC6904" w:rsidR="00611C97" w:rsidRPr="001C60E2" w:rsidRDefault="00611C97" w:rsidP="00611C97">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3,38</w:t>
            </w:r>
          </w:p>
        </w:tc>
        <w:tc>
          <w:tcPr>
            <w:tcW w:w="427" w:type="pct"/>
          </w:tcPr>
          <w:p w14:paraId="019B8D9D" w14:textId="2B456844" w:rsidR="00611C97" w:rsidRPr="001C60E2" w:rsidRDefault="00611C97" w:rsidP="00611C97">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5,87</w:t>
            </w:r>
          </w:p>
        </w:tc>
        <w:tc>
          <w:tcPr>
            <w:tcW w:w="427" w:type="pct"/>
          </w:tcPr>
          <w:p w14:paraId="47946619" w14:textId="20BDB9D2" w:rsidR="00611C97" w:rsidRPr="001C60E2" w:rsidRDefault="00611C97" w:rsidP="00611C97">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8,31</w:t>
            </w:r>
          </w:p>
        </w:tc>
        <w:tc>
          <w:tcPr>
            <w:tcW w:w="427" w:type="pct"/>
          </w:tcPr>
          <w:p w14:paraId="231DB16A" w14:textId="298E71DA" w:rsidR="00611C97" w:rsidRPr="001C60E2" w:rsidRDefault="00611C97" w:rsidP="00611C97">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11,52</w:t>
            </w:r>
          </w:p>
        </w:tc>
        <w:tc>
          <w:tcPr>
            <w:tcW w:w="425" w:type="pct"/>
          </w:tcPr>
          <w:p w14:paraId="452BF6C4" w14:textId="58B27363" w:rsidR="00611C97" w:rsidRPr="001C60E2" w:rsidRDefault="00611C97" w:rsidP="00611C97">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14,67</w:t>
            </w:r>
          </w:p>
        </w:tc>
        <w:tc>
          <w:tcPr>
            <w:tcW w:w="425" w:type="pct"/>
          </w:tcPr>
          <w:p w14:paraId="42A68D14" w14:textId="510189D6" w:rsidR="00611C97" w:rsidRPr="001C60E2" w:rsidRDefault="00611C97" w:rsidP="00611C97">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18,51</w:t>
            </w:r>
          </w:p>
        </w:tc>
        <w:tc>
          <w:tcPr>
            <w:tcW w:w="425" w:type="pct"/>
          </w:tcPr>
          <w:p w14:paraId="0A7F03DF" w14:textId="4311ADA9" w:rsidR="00611C97" w:rsidRPr="001C60E2" w:rsidRDefault="00611C97" w:rsidP="00611C97">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eastAsia="Calibri" w:cs="Arial"/>
                <w:i/>
                <w:iCs/>
                <w:sz w:val="18"/>
                <w:szCs w:val="18"/>
                <w:lang w:eastAsia="en-US"/>
              </w:rPr>
            </w:pPr>
            <w:r w:rsidRPr="001C60E2">
              <w:rPr>
                <w:rFonts w:eastAsia="Calibri" w:cs="Arial"/>
                <w:i/>
                <w:iCs/>
                <w:sz w:val="18"/>
                <w:szCs w:val="18"/>
                <w:lang w:eastAsia="en-US"/>
              </w:rPr>
              <w:t>22,26</w:t>
            </w:r>
          </w:p>
        </w:tc>
        <w:tc>
          <w:tcPr>
            <w:tcW w:w="425" w:type="pct"/>
          </w:tcPr>
          <w:p w14:paraId="45C4400D" w14:textId="183FFAD9" w:rsidR="00611C97" w:rsidRPr="001C60E2" w:rsidRDefault="00611C97" w:rsidP="00611C97">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26,63</w:t>
            </w:r>
          </w:p>
        </w:tc>
        <w:tc>
          <w:tcPr>
            <w:tcW w:w="428" w:type="pct"/>
          </w:tcPr>
          <w:p w14:paraId="14DA1BDA" w14:textId="69871120" w:rsidR="00611C97" w:rsidRPr="001C60E2" w:rsidRDefault="00611C97" w:rsidP="00611C97">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eastAsia="Calibri" w:cs="Arial"/>
                <w:i/>
                <w:iCs/>
                <w:sz w:val="18"/>
                <w:szCs w:val="18"/>
                <w:lang w:eastAsia="en-US"/>
              </w:rPr>
            </w:pPr>
            <w:r w:rsidRPr="001C60E2">
              <w:rPr>
                <w:rFonts w:eastAsia="Calibri" w:cs="Arial"/>
                <w:i/>
                <w:iCs/>
                <w:sz w:val="18"/>
                <w:szCs w:val="18"/>
                <w:lang w:eastAsia="en-US"/>
              </w:rPr>
              <w:t>30,87</w:t>
            </w:r>
          </w:p>
        </w:tc>
        <w:tc>
          <w:tcPr>
            <w:tcW w:w="430" w:type="pct"/>
          </w:tcPr>
          <w:p w14:paraId="0E6B279B" w14:textId="7DA8DE99" w:rsidR="00611C97" w:rsidRPr="001C60E2" w:rsidRDefault="00611C97" w:rsidP="00611C97">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eastAsia="Calibri" w:cs="Arial"/>
                <w:i/>
                <w:iCs/>
                <w:sz w:val="18"/>
                <w:szCs w:val="18"/>
                <w:lang w:eastAsia="en-US"/>
              </w:rPr>
            </w:pPr>
            <w:r w:rsidRPr="001C60E2">
              <w:rPr>
                <w:rFonts w:eastAsia="Calibri" w:cs="Arial"/>
                <w:i/>
                <w:iCs/>
                <w:sz w:val="18"/>
                <w:szCs w:val="18"/>
                <w:lang w:eastAsia="en-US"/>
              </w:rPr>
              <w:t>143,71</w:t>
            </w:r>
          </w:p>
        </w:tc>
      </w:tr>
      <w:tr w:rsidR="001C60E2" w:rsidRPr="001C60E2" w14:paraId="74F0D3C7" w14:textId="77777777" w:rsidTr="00532819">
        <w:trPr>
          <w:trHeight w:val="70"/>
        </w:trPr>
        <w:tc>
          <w:tcPr>
            <w:cnfStyle w:val="001000000000" w:firstRow="0" w:lastRow="0" w:firstColumn="1" w:lastColumn="0" w:oddVBand="0" w:evenVBand="0" w:oddHBand="0" w:evenHBand="0" w:firstRowFirstColumn="0" w:firstRowLastColumn="0" w:lastRowFirstColumn="0" w:lastRowLastColumn="0"/>
            <w:tcW w:w="307" w:type="pct"/>
          </w:tcPr>
          <w:p w14:paraId="6B5B39A5" w14:textId="7ADA7E5D" w:rsidR="00611C97" w:rsidRPr="001C60E2" w:rsidRDefault="00611C97" w:rsidP="00611C97">
            <w:pPr>
              <w:pStyle w:val="ManualNumPar1"/>
              <w:spacing w:before="0" w:after="0" w:line="276" w:lineRule="auto"/>
              <w:ind w:left="0" w:firstLine="0"/>
              <w:jc w:val="both"/>
              <w:rPr>
                <w:rFonts w:ascii="Arial" w:hAnsi="Arial" w:cs="Arial"/>
                <w:i/>
                <w:sz w:val="18"/>
                <w:szCs w:val="18"/>
              </w:rPr>
            </w:pPr>
            <w:r w:rsidRPr="001C60E2">
              <w:rPr>
                <w:rFonts w:ascii="Arial" w:hAnsi="Arial" w:cs="Arial"/>
                <w:i/>
                <w:sz w:val="18"/>
                <w:szCs w:val="18"/>
              </w:rPr>
              <w:t>ENU-6</w:t>
            </w:r>
          </w:p>
        </w:tc>
        <w:tc>
          <w:tcPr>
            <w:tcW w:w="427" w:type="pct"/>
          </w:tcPr>
          <w:p w14:paraId="25BF6D46" w14:textId="27873C69" w:rsidR="00611C97" w:rsidRPr="001C60E2" w:rsidRDefault="00611C97" w:rsidP="00611C97">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2,75</w:t>
            </w:r>
          </w:p>
        </w:tc>
        <w:tc>
          <w:tcPr>
            <w:tcW w:w="427" w:type="pct"/>
          </w:tcPr>
          <w:p w14:paraId="3BCFD37F" w14:textId="0A253F25" w:rsidR="00611C97" w:rsidRPr="001C60E2" w:rsidRDefault="00611C97" w:rsidP="00611C97">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5,49</w:t>
            </w:r>
          </w:p>
        </w:tc>
        <w:tc>
          <w:tcPr>
            <w:tcW w:w="427" w:type="pct"/>
          </w:tcPr>
          <w:p w14:paraId="2EF18A67" w14:textId="51F42E5B" w:rsidR="00611C97" w:rsidRPr="001C60E2" w:rsidRDefault="00611C97" w:rsidP="00611C97">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8,24</w:t>
            </w:r>
          </w:p>
        </w:tc>
        <w:tc>
          <w:tcPr>
            <w:tcW w:w="427" w:type="pct"/>
          </w:tcPr>
          <w:p w14:paraId="03574E0A" w14:textId="1FA33094" w:rsidR="00611C97" w:rsidRPr="001C60E2" w:rsidRDefault="00611C97" w:rsidP="00611C97">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10,98</w:t>
            </w:r>
          </w:p>
        </w:tc>
        <w:tc>
          <w:tcPr>
            <w:tcW w:w="427" w:type="pct"/>
          </w:tcPr>
          <w:p w14:paraId="47598716" w14:textId="528B573C" w:rsidR="00611C97" w:rsidRPr="001C60E2" w:rsidRDefault="00611C97" w:rsidP="00611C97">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13,73</w:t>
            </w:r>
          </w:p>
        </w:tc>
        <w:tc>
          <w:tcPr>
            <w:tcW w:w="425" w:type="pct"/>
          </w:tcPr>
          <w:p w14:paraId="50A02C56" w14:textId="469E7ED9" w:rsidR="00611C97" w:rsidRPr="001C60E2" w:rsidRDefault="00611C97" w:rsidP="00611C97">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16,48</w:t>
            </w:r>
          </w:p>
        </w:tc>
        <w:tc>
          <w:tcPr>
            <w:tcW w:w="425" w:type="pct"/>
          </w:tcPr>
          <w:p w14:paraId="2BD1B4D0" w14:textId="497533CE" w:rsidR="00611C97" w:rsidRPr="001C60E2" w:rsidRDefault="00611C97" w:rsidP="00611C97">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19,22</w:t>
            </w:r>
          </w:p>
        </w:tc>
        <w:tc>
          <w:tcPr>
            <w:tcW w:w="425" w:type="pct"/>
          </w:tcPr>
          <w:p w14:paraId="271253AD" w14:textId="30515209" w:rsidR="00611C97" w:rsidRPr="001C60E2" w:rsidRDefault="00611C97" w:rsidP="00611C97">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eastAsia="Calibri" w:cs="Arial"/>
                <w:i/>
                <w:iCs/>
                <w:sz w:val="18"/>
                <w:szCs w:val="18"/>
                <w:lang w:eastAsia="en-US"/>
              </w:rPr>
            </w:pPr>
            <w:r w:rsidRPr="001C60E2">
              <w:rPr>
                <w:rFonts w:eastAsia="Calibri" w:cs="Arial"/>
                <w:i/>
                <w:iCs/>
                <w:sz w:val="18"/>
                <w:szCs w:val="18"/>
                <w:lang w:eastAsia="en-US"/>
              </w:rPr>
              <w:t>21,97</w:t>
            </w:r>
          </w:p>
        </w:tc>
        <w:tc>
          <w:tcPr>
            <w:tcW w:w="425" w:type="pct"/>
          </w:tcPr>
          <w:p w14:paraId="0520CB99" w14:textId="3AC4E1D6" w:rsidR="00611C97" w:rsidRPr="001C60E2" w:rsidRDefault="00611C97" w:rsidP="00611C97">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24,71</w:t>
            </w:r>
          </w:p>
        </w:tc>
        <w:tc>
          <w:tcPr>
            <w:tcW w:w="428" w:type="pct"/>
          </w:tcPr>
          <w:p w14:paraId="562F6574" w14:textId="2E189BEB" w:rsidR="00611C97" w:rsidRPr="001C60E2" w:rsidRDefault="00611C97" w:rsidP="00611C97">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eastAsia="Calibri" w:cs="Arial"/>
                <w:i/>
                <w:iCs/>
                <w:sz w:val="18"/>
                <w:szCs w:val="18"/>
                <w:lang w:eastAsia="en-US"/>
              </w:rPr>
            </w:pPr>
            <w:r w:rsidRPr="001C60E2">
              <w:rPr>
                <w:rFonts w:eastAsia="Calibri" w:cs="Arial"/>
                <w:i/>
                <w:iCs/>
                <w:sz w:val="18"/>
                <w:szCs w:val="18"/>
                <w:lang w:eastAsia="en-US"/>
              </w:rPr>
              <w:t>27,46</w:t>
            </w:r>
          </w:p>
        </w:tc>
        <w:tc>
          <w:tcPr>
            <w:tcW w:w="430" w:type="pct"/>
          </w:tcPr>
          <w:p w14:paraId="7353E7CF" w14:textId="0E886F3A" w:rsidR="00611C97" w:rsidRPr="001C60E2" w:rsidRDefault="00611C97" w:rsidP="00611C97">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eastAsia="Calibri" w:cs="Arial"/>
                <w:i/>
                <w:iCs/>
                <w:sz w:val="18"/>
                <w:szCs w:val="18"/>
                <w:lang w:eastAsia="en-US"/>
              </w:rPr>
            </w:pPr>
            <w:r w:rsidRPr="001C60E2">
              <w:rPr>
                <w:rFonts w:eastAsia="Calibri" w:cs="Arial"/>
                <w:i/>
                <w:iCs/>
                <w:sz w:val="18"/>
                <w:szCs w:val="18"/>
                <w:lang w:eastAsia="en-US"/>
              </w:rPr>
              <w:t>151,03</w:t>
            </w:r>
          </w:p>
        </w:tc>
      </w:tr>
      <w:tr w:rsidR="001C60E2" w:rsidRPr="001C60E2" w14:paraId="1CC12A30" w14:textId="77777777" w:rsidTr="00712F1A">
        <w:trPr>
          <w:trHeight w:val="20"/>
        </w:trPr>
        <w:tc>
          <w:tcPr>
            <w:cnfStyle w:val="001000000000" w:firstRow="0" w:lastRow="0" w:firstColumn="1" w:lastColumn="0" w:oddVBand="0" w:evenVBand="0" w:oddHBand="0" w:evenHBand="0" w:firstRowFirstColumn="0" w:firstRowLastColumn="0" w:lastRowFirstColumn="0" w:lastRowLastColumn="0"/>
            <w:tcW w:w="307" w:type="pct"/>
          </w:tcPr>
          <w:p w14:paraId="53BFE3C7" w14:textId="59261D93" w:rsidR="00711D97" w:rsidRPr="001C60E2" w:rsidRDefault="00711D97" w:rsidP="00E5709B">
            <w:pPr>
              <w:pStyle w:val="ManualNumPar1"/>
              <w:spacing w:before="0" w:after="0" w:line="276" w:lineRule="auto"/>
              <w:ind w:left="0" w:firstLine="0"/>
              <w:jc w:val="both"/>
              <w:rPr>
                <w:rFonts w:ascii="Arial" w:hAnsi="Arial" w:cs="Arial"/>
                <w:i/>
                <w:sz w:val="18"/>
                <w:szCs w:val="18"/>
              </w:rPr>
            </w:pPr>
            <w:r w:rsidRPr="001C60E2">
              <w:rPr>
                <w:rFonts w:ascii="Arial" w:hAnsi="Arial" w:cs="Arial"/>
                <w:i/>
                <w:sz w:val="18"/>
                <w:szCs w:val="18"/>
              </w:rPr>
              <w:t>ENU-</w:t>
            </w:r>
            <w:r w:rsidR="006463D3" w:rsidRPr="001C60E2">
              <w:rPr>
                <w:rFonts w:ascii="Arial" w:hAnsi="Arial" w:cs="Arial"/>
                <w:i/>
                <w:sz w:val="18"/>
                <w:szCs w:val="18"/>
              </w:rPr>
              <w:t>7</w:t>
            </w:r>
          </w:p>
        </w:tc>
        <w:tc>
          <w:tcPr>
            <w:tcW w:w="427" w:type="pct"/>
            <w:vAlign w:val="center"/>
          </w:tcPr>
          <w:p w14:paraId="03921F8A" w14:textId="77777777" w:rsidR="00711D97" w:rsidRPr="001C60E2" w:rsidRDefault="00711D97" w:rsidP="00E5709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2,39</w:t>
            </w:r>
          </w:p>
        </w:tc>
        <w:tc>
          <w:tcPr>
            <w:tcW w:w="427" w:type="pct"/>
            <w:vAlign w:val="center"/>
          </w:tcPr>
          <w:p w14:paraId="17D0A73C" w14:textId="77777777" w:rsidR="00711D97" w:rsidRPr="001C60E2" w:rsidRDefault="00711D97" w:rsidP="00E5709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4,78</w:t>
            </w:r>
          </w:p>
        </w:tc>
        <w:tc>
          <w:tcPr>
            <w:tcW w:w="427" w:type="pct"/>
            <w:vAlign w:val="center"/>
          </w:tcPr>
          <w:p w14:paraId="3AAC61D1" w14:textId="77777777" w:rsidR="00711D97" w:rsidRPr="001C60E2" w:rsidRDefault="00711D97" w:rsidP="00E5709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4,78</w:t>
            </w:r>
          </w:p>
        </w:tc>
        <w:tc>
          <w:tcPr>
            <w:tcW w:w="427" w:type="pct"/>
            <w:vAlign w:val="center"/>
          </w:tcPr>
          <w:p w14:paraId="02317189" w14:textId="77777777" w:rsidR="00711D97" w:rsidRPr="001C60E2" w:rsidRDefault="00711D97" w:rsidP="00E5709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4,78</w:t>
            </w:r>
          </w:p>
        </w:tc>
        <w:tc>
          <w:tcPr>
            <w:tcW w:w="427" w:type="pct"/>
            <w:vAlign w:val="center"/>
          </w:tcPr>
          <w:p w14:paraId="3DDD49BF" w14:textId="77777777" w:rsidR="00711D97" w:rsidRPr="001C60E2" w:rsidRDefault="00711D97" w:rsidP="00E5709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4,78</w:t>
            </w:r>
          </w:p>
        </w:tc>
        <w:tc>
          <w:tcPr>
            <w:tcW w:w="425" w:type="pct"/>
            <w:vAlign w:val="center"/>
          </w:tcPr>
          <w:p w14:paraId="6D62E7F9" w14:textId="77777777" w:rsidR="00711D97" w:rsidRPr="001C60E2" w:rsidRDefault="00711D97" w:rsidP="00E5709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4,78</w:t>
            </w:r>
          </w:p>
        </w:tc>
        <w:tc>
          <w:tcPr>
            <w:tcW w:w="425" w:type="pct"/>
            <w:vAlign w:val="center"/>
          </w:tcPr>
          <w:p w14:paraId="066A2629" w14:textId="77777777" w:rsidR="00711D97" w:rsidRPr="001C60E2" w:rsidRDefault="00711D97" w:rsidP="00E5709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4,78</w:t>
            </w:r>
          </w:p>
        </w:tc>
        <w:tc>
          <w:tcPr>
            <w:tcW w:w="425" w:type="pct"/>
            <w:vAlign w:val="center"/>
          </w:tcPr>
          <w:p w14:paraId="3146992F" w14:textId="77777777" w:rsidR="00711D97" w:rsidRPr="001C60E2" w:rsidRDefault="00711D97" w:rsidP="00E5709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4,78</w:t>
            </w:r>
          </w:p>
        </w:tc>
        <w:tc>
          <w:tcPr>
            <w:tcW w:w="425" w:type="pct"/>
            <w:vAlign w:val="center"/>
          </w:tcPr>
          <w:p w14:paraId="7C6F72F1" w14:textId="77777777" w:rsidR="00711D97" w:rsidRPr="001C60E2" w:rsidRDefault="00711D97" w:rsidP="00E5709B">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cs="Arial"/>
                <w:i/>
                <w:iCs/>
                <w:sz w:val="18"/>
                <w:szCs w:val="18"/>
              </w:rPr>
              <w:t>4,78</w:t>
            </w:r>
          </w:p>
        </w:tc>
        <w:tc>
          <w:tcPr>
            <w:tcW w:w="428" w:type="pct"/>
            <w:vAlign w:val="center"/>
          </w:tcPr>
          <w:p w14:paraId="5A9983B5" w14:textId="77777777" w:rsidR="00711D97" w:rsidRPr="001C60E2" w:rsidRDefault="00711D97" w:rsidP="00E5709B">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cs="Arial"/>
                <w:i/>
                <w:iCs/>
                <w:sz w:val="18"/>
                <w:szCs w:val="18"/>
              </w:rPr>
              <w:t>4,78</w:t>
            </w:r>
          </w:p>
        </w:tc>
        <w:tc>
          <w:tcPr>
            <w:tcW w:w="430" w:type="pct"/>
            <w:vAlign w:val="center"/>
          </w:tcPr>
          <w:p w14:paraId="4E5E8FD8" w14:textId="77777777" w:rsidR="00711D97" w:rsidRPr="001C60E2" w:rsidRDefault="00711D97" w:rsidP="00E5709B">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eastAsia="Calibri" w:cs="Arial"/>
                <w:i/>
                <w:sz w:val="18"/>
                <w:szCs w:val="18"/>
                <w:lang w:eastAsia="en-US"/>
              </w:rPr>
            </w:pPr>
            <w:r w:rsidRPr="001C60E2">
              <w:rPr>
                <w:rFonts w:cs="Arial"/>
                <w:i/>
                <w:iCs/>
                <w:sz w:val="18"/>
                <w:szCs w:val="18"/>
              </w:rPr>
              <w:t>45,41</w:t>
            </w:r>
          </w:p>
        </w:tc>
      </w:tr>
      <w:tr w:rsidR="001C60E2" w:rsidRPr="001C60E2" w14:paraId="55631F2C" w14:textId="77777777" w:rsidTr="00712F1A">
        <w:trPr>
          <w:trHeight w:val="20"/>
        </w:trPr>
        <w:tc>
          <w:tcPr>
            <w:cnfStyle w:val="001000000000" w:firstRow="0" w:lastRow="0" w:firstColumn="1" w:lastColumn="0" w:oddVBand="0" w:evenVBand="0" w:oddHBand="0" w:evenHBand="0" w:firstRowFirstColumn="0" w:firstRowLastColumn="0" w:lastRowFirstColumn="0" w:lastRowLastColumn="0"/>
            <w:tcW w:w="307" w:type="pct"/>
          </w:tcPr>
          <w:p w14:paraId="397C2950" w14:textId="264988D0" w:rsidR="00711D97" w:rsidRPr="001C60E2" w:rsidRDefault="00711D97" w:rsidP="00E5709B">
            <w:pPr>
              <w:pStyle w:val="ManualNumPar1"/>
              <w:spacing w:before="0" w:after="0" w:line="276" w:lineRule="auto"/>
              <w:ind w:left="0" w:firstLine="0"/>
              <w:jc w:val="both"/>
              <w:rPr>
                <w:rFonts w:ascii="Arial" w:hAnsi="Arial" w:cs="Arial"/>
                <w:i/>
                <w:sz w:val="18"/>
                <w:szCs w:val="18"/>
              </w:rPr>
            </w:pPr>
            <w:r w:rsidRPr="001C60E2">
              <w:rPr>
                <w:rFonts w:ascii="Arial" w:hAnsi="Arial" w:cs="Arial"/>
                <w:i/>
                <w:sz w:val="18"/>
                <w:szCs w:val="18"/>
              </w:rPr>
              <w:t>ENU-</w:t>
            </w:r>
            <w:r w:rsidR="006463D3" w:rsidRPr="001C60E2">
              <w:rPr>
                <w:rFonts w:ascii="Arial" w:hAnsi="Arial" w:cs="Arial"/>
                <w:i/>
                <w:sz w:val="18"/>
                <w:szCs w:val="18"/>
              </w:rPr>
              <w:t>8</w:t>
            </w:r>
          </w:p>
        </w:tc>
        <w:tc>
          <w:tcPr>
            <w:tcW w:w="427" w:type="pct"/>
            <w:vAlign w:val="center"/>
          </w:tcPr>
          <w:p w14:paraId="6B49AC8A" w14:textId="77777777" w:rsidR="00711D97" w:rsidRPr="001C60E2" w:rsidRDefault="00711D97" w:rsidP="00E5709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2,15</w:t>
            </w:r>
          </w:p>
        </w:tc>
        <w:tc>
          <w:tcPr>
            <w:tcW w:w="427" w:type="pct"/>
            <w:vAlign w:val="center"/>
          </w:tcPr>
          <w:p w14:paraId="046D191B" w14:textId="5C3CBEBC" w:rsidR="00711D97" w:rsidRPr="001C60E2" w:rsidRDefault="00711D97" w:rsidP="00E5709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4,3</w:t>
            </w:r>
            <w:r w:rsidR="00444F92" w:rsidRPr="001C60E2">
              <w:rPr>
                <w:rFonts w:ascii="Arial" w:hAnsi="Arial" w:cs="Arial"/>
                <w:i/>
                <w:iCs/>
                <w:sz w:val="18"/>
                <w:szCs w:val="18"/>
              </w:rPr>
              <w:t>0</w:t>
            </w:r>
          </w:p>
        </w:tc>
        <w:tc>
          <w:tcPr>
            <w:tcW w:w="427" w:type="pct"/>
            <w:vAlign w:val="center"/>
          </w:tcPr>
          <w:p w14:paraId="6868D4BB" w14:textId="77777777" w:rsidR="00711D97" w:rsidRPr="001C60E2" w:rsidRDefault="00711D97" w:rsidP="00E5709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6,45</w:t>
            </w:r>
          </w:p>
        </w:tc>
        <w:tc>
          <w:tcPr>
            <w:tcW w:w="427" w:type="pct"/>
            <w:vAlign w:val="center"/>
          </w:tcPr>
          <w:p w14:paraId="18B6056B" w14:textId="77777777" w:rsidR="00711D97" w:rsidRPr="001C60E2" w:rsidRDefault="00711D97" w:rsidP="00E5709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8,6</w:t>
            </w:r>
          </w:p>
        </w:tc>
        <w:tc>
          <w:tcPr>
            <w:tcW w:w="427" w:type="pct"/>
            <w:vAlign w:val="center"/>
          </w:tcPr>
          <w:p w14:paraId="19FA9A89" w14:textId="77777777" w:rsidR="00711D97" w:rsidRPr="001C60E2" w:rsidRDefault="00711D97" w:rsidP="00E5709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10,75</w:t>
            </w:r>
          </w:p>
        </w:tc>
        <w:tc>
          <w:tcPr>
            <w:tcW w:w="425" w:type="pct"/>
            <w:vAlign w:val="center"/>
          </w:tcPr>
          <w:p w14:paraId="3E074A3E" w14:textId="77777777" w:rsidR="00711D97" w:rsidRPr="001C60E2" w:rsidRDefault="00711D97" w:rsidP="00E5709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12,9</w:t>
            </w:r>
          </w:p>
        </w:tc>
        <w:tc>
          <w:tcPr>
            <w:tcW w:w="425" w:type="pct"/>
            <w:vAlign w:val="center"/>
          </w:tcPr>
          <w:p w14:paraId="38B80983" w14:textId="77777777" w:rsidR="00711D97" w:rsidRPr="001C60E2" w:rsidRDefault="00711D97" w:rsidP="00E5709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15,05</w:t>
            </w:r>
          </w:p>
        </w:tc>
        <w:tc>
          <w:tcPr>
            <w:tcW w:w="425" w:type="pct"/>
            <w:vAlign w:val="center"/>
          </w:tcPr>
          <w:p w14:paraId="0751AA07" w14:textId="77777777" w:rsidR="00711D97" w:rsidRPr="001C60E2" w:rsidRDefault="00711D97" w:rsidP="00E5709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17,2</w:t>
            </w:r>
          </w:p>
        </w:tc>
        <w:tc>
          <w:tcPr>
            <w:tcW w:w="425" w:type="pct"/>
            <w:vAlign w:val="center"/>
          </w:tcPr>
          <w:p w14:paraId="62F4944D" w14:textId="77777777" w:rsidR="00711D97" w:rsidRPr="001C60E2" w:rsidRDefault="00711D97" w:rsidP="00E5709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19,35</w:t>
            </w:r>
          </w:p>
        </w:tc>
        <w:tc>
          <w:tcPr>
            <w:tcW w:w="428" w:type="pct"/>
            <w:vAlign w:val="center"/>
          </w:tcPr>
          <w:p w14:paraId="5BEA2BEE" w14:textId="77777777" w:rsidR="00711D97" w:rsidRPr="001C60E2" w:rsidRDefault="00711D97" w:rsidP="00E5709B">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cs="Arial"/>
                <w:i/>
                <w:sz w:val="18"/>
                <w:szCs w:val="18"/>
              </w:rPr>
            </w:pPr>
            <w:r w:rsidRPr="001C60E2">
              <w:rPr>
                <w:rFonts w:cs="Arial"/>
                <w:i/>
                <w:iCs/>
                <w:sz w:val="18"/>
                <w:szCs w:val="18"/>
              </w:rPr>
              <w:t>21,5</w:t>
            </w:r>
          </w:p>
        </w:tc>
        <w:tc>
          <w:tcPr>
            <w:tcW w:w="430" w:type="pct"/>
            <w:vAlign w:val="center"/>
          </w:tcPr>
          <w:p w14:paraId="41A4411F" w14:textId="77777777" w:rsidR="00711D97" w:rsidRPr="001C60E2" w:rsidRDefault="00711D97" w:rsidP="00E5709B">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cs="Arial"/>
                <w:i/>
                <w:sz w:val="18"/>
                <w:szCs w:val="18"/>
              </w:rPr>
            </w:pPr>
            <w:r w:rsidRPr="001C60E2">
              <w:rPr>
                <w:rFonts w:cs="Arial"/>
                <w:i/>
                <w:iCs/>
                <w:sz w:val="18"/>
                <w:szCs w:val="18"/>
              </w:rPr>
              <w:t>118,25</w:t>
            </w:r>
          </w:p>
        </w:tc>
      </w:tr>
      <w:tr w:rsidR="001C60E2" w:rsidRPr="001C60E2" w14:paraId="3A504BAE" w14:textId="77777777" w:rsidTr="00C761A0">
        <w:trPr>
          <w:trHeight w:val="20"/>
        </w:trPr>
        <w:tc>
          <w:tcPr>
            <w:cnfStyle w:val="001000000000" w:firstRow="0" w:lastRow="0" w:firstColumn="1" w:lastColumn="0" w:oddVBand="0" w:evenVBand="0" w:oddHBand="0" w:evenHBand="0" w:firstRowFirstColumn="0" w:firstRowLastColumn="0" w:lastRowFirstColumn="0" w:lastRowLastColumn="0"/>
            <w:tcW w:w="307" w:type="pct"/>
          </w:tcPr>
          <w:p w14:paraId="6B573804" w14:textId="2E8A334B" w:rsidR="00847D6A" w:rsidRPr="001C60E2" w:rsidRDefault="00847D6A" w:rsidP="00847D6A">
            <w:pPr>
              <w:pStyle w:val="ManualNumPar1"/>
              <w:spacing w:before="0" w:after="0" w:line="276" w:lineRule="auto"/>
              <w:ind w:left="0" w:firstLine="0"/>
              <w:jc w:val="both"/>
              <w:rPr>
                <w:rFonts w:ascii="Arial" w:hAnsi="Arial" w:cs="Arial"/>
                <w:i/>
                <w:sz w:val="18"/>
                <w:szCs w:val="18"/>
              </w:rPr>
            </w:pPr>
            <w:r w:rsidRPr="001C60E2">
              <w:rPr>
                <w:rFonts w:ascii="Arial" w:hAnsi="Arial" w:cs="Arial"/>
                <w:i/>
                <w:sz w:val="18"/>
                <w:szCs w:val="18"/>
              </w:rPr>
              <w:t>ENU-17</w:t>
            </w:r>
          </w:p>
        </w:tc>
        <w:tc>
          <w:tcPr>
            <w:tcW w:w="427" w:type="pct"/>
            <w:vAlign w:val="center"/>
          </w:tcPr>
          <w:p w14:paraId="0C0CD064" w14:textId="77777777" w:rsidR="00847D6A" w:rsidRPr="001C60E2" w:rsidRDefault="00847D6A" w:rsidP="00847D6A">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p>
        </w:tc>
        <w:tc>
          <w:tcPr>
            <w:tcW w:w="427" w:type="pct"/>
            <w:vAlign w:val="center"/>
          </w:tcPr>
          <w:p w14:paraId="62A34532" w14:textId="77777777" w:rsidR="00847D6A" w:rsidRPr="001C60E2" w:rsidRDefault="00847D6A" w:rsidP="00847D6A">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p>
        </w:tc>
        <w:tc>
          <w:tcPr>
            <w:tcW w:w="427" w:type="pct"/>
            <w:vAlign w:val="center"/>
          </w:tcPr>
          <w:p w14:paraId="2CA28A33" w14:textId="77777777" w:rsidR="00847D6A" w:rsidRPr="001C60E2" w:rsidRDefault="00847D6A" w:rsidP="00847D6A">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p>
        </w:tc>
        <w:tc>
          <w:tcPr>
            <w:tcW w:w="427" w:type="pct"/>
          </w:tcPr>
          <w:p w14:paraId="729C83BE" w14:textId="19C921D6" w:rsidR="00847D6A" w:rsidRPr="001C60E2" w:rsidRDefault="00847D6A" w:rsidP="00847D6A">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10,32</w:t>
            </w:r>
          </w:p>
        </w:tc>
        <w:tc>
          <w:tcPr>
            <w:tcW w:w="427" w:type="pct"/>
          </w:tcPr>
          <w:p w14:paraId="7976F938" w14:textId="5423C4C4" w:rsidR="00847D6A" w:rsidRPr="001C60E2" w:rsidRDefault="00847D6A" w:rsidP="00847D6A">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30,95</w:t>
            </w:r>
          </w:p>
        </w:tc>
        <w:tc>
          <w:tcPr>
            <w:tcW w:w="425" w:type="pct"/>
          </w:tcPr>
          <w:p w14:paraId="6443DA71" w14:textId="7B406B9D" w:rsidR="00847D6A" w:rsidRPr="001C60E2" w:rsidRDefault="00847D6A" w:rsidP="00847D6A">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65,35</w:t>
            </w:r>
          </w:p>
        </w:tc>
        <w:tc>
          <w:tcPr>
            <w:tcW w:w="425" w:type="pct"/>
          </w:tcPr>
          <w:p w14:paraId="1A20200F" w14:textId="716D731F" w:rsidR="00847D6A" w:rsidRPr="001C60E2" w:rsidRDefault="00847D6A" w:rsidP="00847D6A">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99,74</w:t>
            </w:r>
          </w:p>
        </w:tc>
        <w:tc>
          <w:tcPr>
            <w:tcW w:w="425" w:type="pct"/>
          </w:tcPr>
          <w:p w14:paraId="5D7A8E5A" w14:textId="0EE66DAB" w:rsidR="00847D6A" w:rsidRPr="001C60E2" w:rsidRDefault="00847D6A" w:rsidP="00847D6A">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134,14</w:t>
            </w:r>
          </w:p>
        </w:tc>
        <w:tc>
          <w:tcPr>
            <w:tcW w:w="425" w:type="pct"/>
          </w:tcPr>
          <w:p w14:paraId="41B407A9" w14:textId="3909E0E9" w:rsidR="00847D6A" w:rsidRPr="001C60E2" w:rsidRDefault="00847D6A" w:rsidP="00847D6A">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168,53</w:t>
            </w:r>
          </w:p>
        </w:tc>
        <w:tc>
          <w:tcPr>
            <w:tcW w:w="428" w:type="pct"/>
          </w:tcPr>
          <w:p w14:paraId="3296A6A0" w14:textId="4B060F6E" w:rsidR="00847D6A" w:rsidRPr="001C60E2" w:rsidRDefault="00847D6A" w:rsidP="00847D6A">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eastAsia="Calibri" w:cs="Arial"/>
                <w:i/>
                <w:iCs/>
                <w:sz w:val="18"/>
                <w:szCs w:val="18"/>
                <w:lang w:eastAsia="en-US"/>
              </w:rPr>
            </w:pPr>
            <w:r w:rsidRPr="001C60E2">
              <w:rPr>
                <w:rFonts w:eastAsia="Calibri" w:cs="Arial"/>
                <w:i/>
                <w:iCs/>
                <w:sz w:val="18"/>
                <w:szCs w:val="18"/>
                <w:lang w:eastAsia="en-US"/>
              </w:rPr>
              <w:t>202,92</w:t>
            </w:r>
          </w:p>
        </w:tc>
        <w:tc>
          <w:tcPr>
            <w:tcW w:w="430" w:type="pct"/>
            <w:vAlign w:val="center"/>
          </w:tcPr>
          <w:p w14:paraId="588325DC" w14:textId="7C58D0EB" w:rsidR="00847D6A" w:rsidRPr="001C60E2" w:rsidRDefault="00C761A0" w:rsidP="00847D6A">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cs="Arial"/>
                <w:i/>
                <w:iCs/>
                <w:sz w:val="18"/>
                <w:szCs w:val="18"/>
              </w:rPr>
            </w:pPr>
            <w:r w:rsidRPr="001C60E2">
              <w:rPr>
                <w:rFonts w:cs="Arial"/>
                <w:i/>
                <w:iCs/>
                <w:sz w:val="18"/>
                <w:szCs w:val="18"/>
              </w:rPr>
              <w:t>711,95</w:t>
            </w:r>
          </w:p>
        </w:tc>
      </w:tr>
      <w:tr w:rsidR="001C60E2" w:rsidRPr="001C60E2" w14:paraId="05760435" w14:textId="77777777" w:rsidTr="00712F1A">
        <w:trPr>
          <w:trHeight w:val="20"/>
        </w:trPr>
        <w:tc>
          <w:tcPr>
            <w:cnfStyle w:val="001000000000" w:firstRow="0" w:lastRow="0" w:firstColumn="1" w:lastColumn="0" w:oddVBand="0" w:evenVBand="0" w:oddHBand="0" w:evenHBand="0" w:firstRowFirstColumn="0" w:firstRowLastColumn="0" w:lastRowFirstColumn="0" w:lastRowLastColumn="0"/>
            <w:tcW w:w="307" w:type="pct"/>
          </w:tcPr>
          <w:p w14:paraId="69496914" w14:textId="75FFBA26" w:rsidR="00136CEB" w:rsidRPr="001C60E2" w:rsidRDefault="00136CEB" w:rsidP="00136CEB">
            <w:pPr>
              <w:pStyle w:val="ManualNumPar1"/>
              <w:spacing w:before="0" w:after="0" w:line="276" w:lineRule="auto"/>
              <w:ind w:left="0" w:firstLine="0"/>
              <w:jc w:val="both"/>
              <w:rPr>
                <w:rFonts w:ascii="Arial" w:hAnsi="Arial" w:cs="Arial"/>
                <w:i/>
                <w:sz w:val="18"/>
                <w:szCs w:val="18"/>
              </w:rPr>
            </w:pPr>
            <w:r w:rsidRPr="001C60E2">
              <w:rPr>
                <w:rFonts w:ascii="Arial" w:hAnsi="Arial" w:cs="Arial"/>
                <w:i/>
                <w:sz w:val="18"/>
                <w:szCs w:val="18"/>
              </w:rPr>
              <w:t>ENU-18</w:t>
            </w:r>
          </w:p>
        </w:tc>
        <w:tc>
          <w:tcPr>
            <w:tcW w:w="427" w:type="pct"/>
            <w:vAlign w:val="center"/>
          </w:tcPr>
          <w:p w14:paraId="405124D8" w14:textId="77777777" w:rsidR="00136CEB" w:rsidRPr="001C60E2" w:rsidRDefault="00136CEB" w:rsidP="00136CE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p>
        </w:tc>
        <w:tc>
          <w:tcPr>
            <w:tcW w:w="427" w:type="pct"/>
            <w:vAlign w:val="center"/>
          </w:tcPr>
          <w:p w14:paraId="03FF409F" w14:textId="77777777" w:rsidR="00136CEB" w:rsidRPr="001C60E2" w:rsidRDefault="00136CEB" w:rsidP="00136CE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p>
        </w:tc>
        <w:tc>
          <w:tcPr>
            <w:tcW w:w="427" w:type="pct"/>
            <w:vAlign w:val="center"/>
          </w:tcPr>
          <w:p w14:paraId="725ED88B" w14:textId="77777777" w:rsidR="00136CEB" w:rsidRPr="001C60E2" w:rsidRDefault="00136CEB" w:rsidP="00136CE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p>
        </w:tc>
        <w:tc>
          <w:tcPr>
            <w:tcW w:w="427" w:type="pct"/>
            <w:vAlign w:val="center"/>
          </w:tcPr>
          <w:p w14:paraId="3BA642F5" w14:textId="77777777" w:rsidR="00136CEB" w:rsidRPr="001C60E2" w:rsidRDefault="00136CEB" w:rsidP="00136CE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p>
        </w:tc>
        <w:tc>
          <w:tcPr>
            <w:tcW w:w="427" w:type="pct"/>
            <w:vAlign w:val="center"/>
          </w:tcPr>
          <w:p w14:paraId="74639195" w14:textId="77777777" w:rsidR="00136CEB" w:rsidRPr="001C60E2" w:rsidRDefault="00136CEB" w:rsidP="00136CE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p>
        </w:tc>
        <w:tc>
          <w:tcPr>
            <w:tcW w:w="425" w:type="pct"/>
          </w:tcPr>
          <w:p w14:paraId="2AD50681" w14:textId="40517047" w:rsidR="00136CEB" w:rsidRPr="001C60E2" w:rsidRDefault="00136CEB" w:rsidP="00136CE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0,63</w:t>
            </w:r>
          </w:p>
        </w:tc>
        <w:tc>
          <w:tcPr>
            <w:tcW w:w="425" w:type="pct"/>
          </w:tcPr>
          <w:p w14:paraId="496742A1" w14:textId="0F4D1762" w:rsidR="00136CEB" w:rsidRPr="001C60E2" w:rsidRDefault="00136CEB" w:rsidP="00136CE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1,27</w:t>
            </w:r>
          </w:p>
        </w:tc>
        <w:tc>
          <w:tcPr>
            <w:tcW w:w="425" w:type="pct"/>
          </w:tcPr>
          <w:p w14:paraId="1973E412" w14:textId="1B86B7F0" w:rsidR="00136CEB" w:rsidRPr="001C60E2" w:rsidRDefault="00136CEB" w:rsidP="00136CE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1,90</w:t>
            </w:r>
          </w:p>
        </w:tc>
        <w:tc>
          <w:tcPr>
            <w:tcW w:w="425" w:type="pct"/>
          </w:tcPr>
          <w:p w14:paraId="0E014841" w14:textId="1A4B218B" w:rsidR="00136CEB" w:rsidRPr="001C60E2" w:rsidRDefault="00136CEB" w:rsidP="00136CE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2,54</w:t>
            </w:r>
          </w:p>
        </w:tc>
        <w:tc>
          <w:tcPr>
            <w:tcW w:w="428" w:type="pct"/>
          </w:tcPr>
          <w:p w14:paraId="623DA48D" w14:textId="4F52A38B" w:rsidR="00136CEB" w:rsidRPr="001C60E2" w:rsidRDefault="00136CEB" w:rsidP="00136CEB">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eastAsia="Calibri" w:cs="Arial"/>
                <w:i/>
                <w:iCs/>
                <w:sz w:val="18"/>
                <w:szCs w:val="18"/>
                <w:lang w:eastAsia="en-US"/>
              </w:rPr>
            </w:pPr>
            <w:r w:rsidRPr="001C60E2">
              <w:rPr>
                <w:rFonts w:eastAsia="Calibri" w:cs="Arial"/>
                <w:i/>
                <w:iCs/>
                <w:sz w:val="18"/>
                <w:szCs w:val="18"/>
                <w:lang w:eastAsia="en-US"/>
              </w:rPr>
              <w:t>3,17</w:t>
            </w:r>
          </w:p>
        </w:tc>
        <w:tc>
          <w:tcPr>
            <w:tcW w:w="430" w:type="pct"/>
            <w:vAlign w:val="center"/>
          </w:tcPr>
          <w:p w14:paraId="71DEA53D" w14:textId="2B97CD14" w:rsidR="00136CEB" w:rsidRPr="001C60E2" w:rsidRDefault="0085304F" w:rsidP="00136CEB">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cs="Arial"/>
                <w:i/>
                <w:iCs/>
                <w:sz w:val="18"/>
                <w:szCs w:val="18"/>
              </w:rPr>
            </w:pPr>
            <w:r w:rsidRPr="001C60E2">
              <w:rPr>
                <w:rFonts w:cs="Arial"/>
                <w:i/>
                <w:iCs/>
                <w:sz w:val="18"/>
                <w:szCs w:val="18"/>
              </w:rPr>
              <w:t>9,51</w:t>
            </w:r>
          </w:p>
        </w:tc>
      </w:tr>
      <w:tr w:rsidR="001C60E2" w:rsidRPr="001C60E2" w14:paraId="3CA47769" w14:textId="77777777" w:rsidTr="00712F1A">
        <w:trPr>
          <w:trHeight w:val="20"/>
        </w:trPr>
        <w:tc>
          <w:tcPr>
            <w:cnfStyle w:val="001000000000" w:firstRow="0" w:lastRow="0" w:firstColumn="1" w:lastColumn="0" w:oddVBand="0" w:evenVBand="0" w:oddHBand="0" w:evenHBand="0" w:firstRowFirstColumn="0" w:firstRowLastColumn="0" w:lastRowFirstColumn="0" w:lastRowLastColumn="0"/>
            <w:tcW w:w="307" w:type="pct"/>
          </w:tcPr>
          <w:p w14:paraId="56AFBDD0" w14:textId="16BB7F1F" w:rsidR="00336958" w:rsidRPr="001C60E2" w:rsidRDefault="00336958" w:rsidP="00336958">
            <w:pPr>
              <w:pStyle w:val="ManualNumPar1"/>
              <w:spacing w:before="0" w:after="0" w:line="276" w:lineRule="auto"/>
              <w:ind w:left="0" w:firstLine="0"/>
              <w:jc w:val="both"/>
              <w:rPr>
                <w:rFonts w:ascii="Arial" w:hAnsi="Arial" w:cs="Arial"/>
                <w:i/>
                <w:sz w:val="18"/>
                <w:szCs w:val="18"/>
              </w:rPr>
            </w:pPr>
            <w:r w:rsidRPr="001C60E2">
              <w:rPr>
                <w:rFonts w:ascii="Arial" w:hAnsi="Arial" w:cs="Arial"/>
                <w:i/>
                <w:sz w:val="18"/>
                <w:szCs w:val="18"/>
              </w:rPr>
              <w:t>TR-2</w:t>
            </w:r>
          </w:p>
        </w:tc>
        <w:tc>
          <w:tcPr>
            <w:tcW w:w="427" w:type="pct"/>
          </w:tcPr>
          <w:p w14:paraId="2F11C4CE" w14:textId="20D847BF" w:rsidR="00336958" w:rsidRPr="001C60E2" w:rsidRDefault="00336958" w:rsidP="00336958">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1,20</w:t>
            </w:r>
          </w:p>
        </w:tc>
        <w:tc>
          <w:tcPr>
            <w:tcW w:w="427" w:type="pct"/>
          </w:tcPr>
          <w:p w14:paraId="57B7F06C" w14:textId="24453923" w:rsidR="00336958" w:rsidRPr="001C60E2" w:rsidRDefault="00336958" w:rsidP="00336958">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2,40</w:t>
            </w:r>
          </w:p>
        </w:tc>
        <w:tc>
          <w:tcPr>
            <w:tcW w:w="427" w:type="pct"/>
          </w:tcPr>
          <w:p w14:paraId="468F340E" w14:textId="0EADC9E3" w:rsidR="00336958" w:rsidRPr="001C60E2" w:rsidRDefault="00336958" w:rsidP="00336958">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3,60</w:t>
            </w:r>
          </w:p>
        </w:tc>
        <w:tc>
          <w:tcPr>
            <w:tcW w:w="427" w:type="pct"/>
          </w:tcPr>
          <w:p w14:paraId="7ECCC83C" w14:textId="3C26B898" w:rsidR="00336958" w:rsidRPr="001C60E2" w:rsidRDefault="00336958" w:rsidP="00336958">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4,79</w:t>
            </w:r>
          </w:p>
        </w:tc>
        <w:tc>
          <w:tcPr>
            <w:tcW w:w="427" w:type="pct"/>
          </w:tcPr>
          <w:p w14:paraId="112AAD1F" w14:textId="348482B9" w:rsidR="00336958" w:rsidRPr="001C60E2" w:rsidRDefault="00336958" w:rsidP="00336958">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5,99</w:t>
            </w:r>
          </w:p>
        </w:tc>
        <w:tc>
          <w:tcPr>
            <w:tcW w:w="425" w:type="pct"/>
          </w:tcPr>
          <w:p w14:paraId="2D40338A" w14:textId="5A97D570" w:rsidR="00336958" w:rsidRPr="001C60E2" w:rsidRDefault="00336958" w:rsidP="00336958">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7,19</w:t>
            </w:r>
          </w:p>
        </w:tc>
        <w:tc>
          <w:tcPr>
            <w:tcW w:w="425" w:type="pct"/>
          </w:tcPr>
          <w:p w14:paraId="1305EE3B" w14:textId="0DE4088D" w:rsidR="00336958" w:rsidRPr="001C60E2" w:rsidRDefault="00336958" w:rsidP="00336958">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8,39</w:t>
            </w:r>
          </w:p>
        </w:tc>
        <w:tc>
          <w:tcPr>
            <w:tcW w:w="425" w:type="pct"/>
          </w:tcPr>
          <w:p w14:paraId="659110A4" w14:textId="0028BB0E" w:rsidR="00336958" w:rsidRPr="001C60E2" w:rsidRDefault="00336958" w:rsidP="00336958">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9,59</w:t>
            </w:r>
          </w:p>
        </w:tc>
        <w:tc>
          <w:tcPr>
            <w:tcW w:w="425" w:type="pct"/>
          </w:tcPr>
          <w:p w14:paraId="09386129" w14:textId="359CB38C" w:rsidR="00336958" w:rsidRPr="001C60E2" w:rsidRDefault="00336958" w:rsidP="00336958">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10,79</w:t>
            </w:r>
          </w:p>
        </w:tc>
        <w:tc>
          <w:tcPr>
            <w:tcW w:w="428" w:type="pct"/>
          </w:tcPr>
          <w:p w14:paraId="52F425DB" w14:textId="57A0C2D3" w:rsidR="00336958" w:rsidRPr="001C60E2" w:rsidRDefault="00336958" w:rsidP="00336958">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11,99</w:t>
            </w:r>
          </w:p>
        </w:tc>
        <w:tc>
          <w:tcPr>
            <w:tcW w:w="430" w:type="pct"/>
            <w:vAlign w:val="center"/>
          </w:tcPr>
          <w:p w14:paraId="7B5D12BB" w14:textId="4CC88097" w:rsidR="00336958" w:rsidRPr="001C60E2" w:rsidRDefault="00DA7B0B" w:rsidP="00336958">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65</w:t>
            </w:r>
            <w:r w:rsidR="00336958" w:rsidRPr="001C60E2">
              <w:rPr>
                <w:rFonts w:ascii="Arial" w:hAnsi="Arial" w:cs="Arial"/>
                <w:i/>
                <w:iCs/>
                <w:sz w:val="18"/>
                <w:szCs w:val="18"/>
              </w:rPr>
              <w:t>,</w:t>
            </w:r>
            <w:r w:rsidRPr="001C60E2">
              <w:rPr>
                <w:rFonts w:ascii="Arial" w:hAnsi="Arial" w:cs="Arial"/>
                <w:i/>
                <w:iCs/>
                <w:sz w:val="18"/>
                <w:szCs w:val="18"/>
              </w:rPr>
              <w:t>92</w:t>
            </w:r>
          </w:p>
        </w:tc>
      </w:tr>
      <w:tr w:rsidR="001C60E2" w:rsidRPr="001C60E2" w14:paraId="5D64E284" w14:textId="77777777" w:rsidTr="00712F1A">
        <w:trPr>
          <w:trHeight w:val="20"/>
        </w:trPr>
        <w:tc>
          <w:tcPr>
            <w:cnfStyle w:val="001000000000" w:firstRow="0" w:lastRow="0" w:firstColumn="1" w:lastColumn="0" w:oddVBand="0" w:evenVBand="0" w:oddHBand="0" w:evenHBand="0" w:firstRowFirstColumn="0" w:firstRowLastColumn="0" w:lastRowFirstColumn="0" w:lastRowLastColumn="0"/>
            <w:tcW w:w="307" w:type="pct"/>
          </w:tcPr>
          <w:p w14:paraId="0C85CB25" w14:textId="3208888D" w:rsidR="00336958" w:rsidRPr="001C60E2" w:rsidRDefault="00336958" w:rsidP="00336958">
            <w:pPr>
              <w:pStyle w:val="ManualNumPar1"/>
              <w:spacing w:before="0" w:after="0" w:line="276" w:lineRule="auto"/>
              <w:ind w:left="0" w:firstLine="0"/>
              <w:jc w:val="both"/>
              <w:rPr>
                <w:rFonts w:ascii="Arial" w:hAnsi="Arial" w:cs="Arial"/>
                <w:i/>
                <w:sz w:val="18"/>
                <w:szCs w:val="18"/>
              </w:rPr>
            </w:pPr>
            <w:r w:rsidRPr="001C60E2">
              <w:rPr>
                <w:rFonts w:ascii="Arial" w:hAnsi="Arial" w:cs="Arial"/>
                <w:i/>
                <w:sz w:val="18"/>
                <w:szCs w:val="18"/>
              </w:rPr>
              <w:t>TR-3</w:t>
            </w:r>
          </w:p>
        </w:tc>
        <w:tc>
          <w:tcPr>
            <w:tcW w:w="427" w:type="pct"/>
          </w:tcPr>
          <w:p w14:paraId="03CEEF4F" w14:textId="4D5EED05" w:rsidR="00336958" w:rsidRPr="001C60E2" w:rsidRDefault="00336958" w:rsidP="00336958">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1,20</w:t>
            </w:r>
          </w:p>
        </w:tc>
        <w:tc>
          <w:tcPr>
            <w:tcW w:w="427" w:type="pct"/>
          </w:tcPr>
          <w:p w14:paraId="34BF6B43" w14:textId="4DB7C6E3" w:rsidR="00336958" w:rsidRPr="001C60E2" w:rsidRDefault="00336958" w:rsidP="00336958">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2,40</w:t>
            </w:r>
          </w:p>
        </w:tc>
        <w:tc>
          <w:tcPr>
            <w:tcW w:w="427" w:type="pct"/>
          </w:tcPr>
          <w:p w14:paraId="2E82C0B5" w14:textId="1E55C5CA" w:rsidR="00336958" w:rsidRPr="001C60E2" w:rsidRDefault="00336958" w:rsidP="00336958">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3,60</w:t>
            </w:r>
          </w:p>
        </w:tc>
        <w:tc>
          <w:tcPr>
            <w:tcW w:w="427" w:type="pct"/>
          </w:tcPr>
          <w:p w14:paraId="6927B1A6" w14:textId="5B918942" w:rsidR="00336958" w:rsidRPr="001C60E2" w:rsidRDefault="00336958" w:rsidP="00336958">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4,79</w:t>
            </w:r>
          </w:p>
        </w:tc>
        <w:tc>
          <w:tcPr>
            <w:tcW w:w="427" w:type="pct"/>
          </w:tcPr>
          <w:p w14:paraId="32D71B9A" w14:textId="794B8FA0" w:rsidR="00336958" w:rsidRPr="001C60E2" w:rsidRDefault="00336958" w:rsidP="00336958">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5,99</w:t>
            </w:r>
          </w:p>
        </w:tc>
        <w:tc>
          <w:tcPr>
            <w:tcW w:w="425" w:type="pct"/>
          </w:tcPr>
          <w:p w14:paraId="014AA4D0" w14:textId="62D1E77B" w:rsidR="00336958" w:rsidRPr="001C60E2" w:rsidRDefault="00336958" w:rsidP="00336958">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7,19</w:t>
            </w:r>
          </w:p>
        </w:tc>
        <w:tc>
          <w:tcPr>
            <w:tcW w:w="425" w:type="pct"/>
          </w:tcPr>
          <w:p w14:paraId="27A16614" w14:textId="29AA4B5A" w:rsidR="00336958" w:rsidRPr="001C60E2" w:rsidRDefault="00336958" w:rsidP="00336958">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8,39</w:t>
            </w:r>
          </w:p>
        </w:tc>
        <w:tc>
          <w:tcPr>
            <w:tcW w:w="425" w:type="pct"/>
          </w:tcPr>
          <w:p w14:paraId="75D5CEAD" w14:textId="0519843B" w:rsidR="00336958" w:rsidRPr="001C60E2" w:rsidRDefault="00336958" w:rsidP="00336958">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9,59</w:t>
            </w:r>
          </w:p>
        </w:tc>
        <w:tc>
          <w:tcPr>
            <w:tcW w:w="425" w:type="pct"/>
          </w:tcPr>
          <w:p w14:paraId="2666BE25" w14:textId="3EF27851" w:rsidR="00336958" w:rsidRPr="001C60E2" w:rsidRDefault="00336958" w:rsidP="00336958">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10,79</w:t>
            </w:r>
          </w:p>
        </w:tc>
        <w:tc>
          <w:tcPr>
            <w:tcW w:w="428" w:type="pct"/>
          </w:tcPr>
          <w:p w14:paraId="4E9953E7" w14:textId="76FE8DB2" w:rsidR="00336958" w:rsidRPr="001C60E2" w:rsidRDefault="00336958" w:rsidP="00336958">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11,99</w:t>
            </w:r>
          </w:p>
        </w:tc>
        <w:tc>
          <w:tcPr>
            <w:tcW w:w="430" w:type="pct"/>
            <w:vAlign w:val="center"/>
          </w:tcPr>
          <w:p w14:paraId="6B34A32D" w14:textId="0E12CDCF" w:rsidR="00336958" w:rsidRPr="001C60E2" w:rsidRDefault="00DA7B0B" w:rsidP="00336958">
            <w:pPr>
              <w:spacing w:before="0" w:after="0" w:line="276" w:lineRule="auto"/>
              <w:jc w:val="right"/>
              <w:cnfStyle w:val="000000000000" w:firstRow="0" w:lastRow="0" w:firstColumn="0" w:lastColumn="0" w:oddVBand="0" w:evenVBand="0" w:oddHBand="0" w:evenHBand="0" w:firstRowFirstColumn="0" w:firstRowLastColumn="0" w:lastRowFirstColumn="0" w:lastRowLastColumn="0"/>
              <w:rPr>
                <w:rFonts w:cs="Arial"/>
                <w:i/>
                <w:sz w:val="18"/>
                <w:szCs w:val="18"/>
              </w:rPr>
            </w:pPr>
            <w:r w:rsidRPr="001C60E2">
              <w:rPr>
                <w:rFonts w:cs="Arial"/>
                <w:i/>
                <w:iCs/>
                <w:sz w:val="18"/>
                <w:szCs w:val="18"/>
              </w:rPr>
              <w:t>65</w:t>
            </w:r>
            <w:r w:rsidR="00336958" w:rsidRPr="001C60E2">
              <w:rPr>
                <w:rFonts w:cs="Arial"/>
                <w:i/>
                <w:iCs/>
                <w:sz w:val="18"/>
                <w:szCs w:val="18"/>
              </w:rPr>
              <w:t>,</w:t>
            </w:r>
            <w:r w:rsidRPr="001C60E2">
              <w:rPr>
                <w:rFonts w:cs="Arial"/>
                <w:i/>
                <w:iCs/>
                <w:sz w:val="18"/>
                <w:szCs w:val="18"/>
              </w:rPr>
              <w:t>92</w:t>
            </w:r>
          </w:p>
        </w:tc>
      </w:tr>
      <w:tr w:rsidR="001C60E2" w:rsidRPr="001C60E2" w14:paraId="2E4B4B48" w14:textId="77777777" w:rsidTr="0083517B">
        <w:trPr>
          <w:trHeight w:val="20"/>
        </w:trPr>
        <w:tc>
          <w:tcPr>
            <w:cnfStyle w:val="001000000000" w:firstRow="0" w:lastRow="0" w:firstColumn="1" w:lastColumn="0" w:oddVBand="0" w:evenVBand="0" w:oddHBand="0" w:evenHBand="0" w:firstRowFirstColumn="0" w:firstRowLastColumn="0" w:lastRowFirstColumn="0" w:lastRowLastColumn="0"/>
            <w:tcW w:w="307" w:type="pct"/>
          </w:tcPr>
          <w:p w14:paraId="3699E409" w14:textId="7520C3ED" w:rsidR="00AB7C0B" w:rsidRPr="001C60E2" w:rsidRDefault="00AB7C0B" w:rsidP="00AB7C0B">
            <w:pPr>
              <w:pStyle w:val="ManualNumPar1"/>
              <w:spacing w:before="0" w:after="0" w:line="276" w:lineRule="auto"/>
              <w:ind w:left="0" w:firstLine="0"/>
              <w:jc w:val="both"/>
              <w:rPr>
                <w:rFonts w:ascii="Arial" w:hAnsi="Arial" w:cs="Arial"/>
                <w:i/>
                <w:sz w:val="18"/>
                <w:szCs w:val="18"/>
              </w:rPr>
            </w:pPr>
            <w:r w:rsidRPr="001C60E2">
              <w:rPr>
                <w:rFonts w:ascii="Arial" w:hAnsi="Arial" w:cs="Arial"/>
                <w:i/>
                <w:sz w:val="18"/>
                <w:szCs w:val="18"/>
              </w:rPr>
              <w:t>UET-9</w:t>
            </w:r>
          </w:p>
        </w:tc>
        <w:tc>
          <w:tcPr>
            <w:tcW w:w="427" w:type="pct"/>
            <w:vAlign w:val="bottom"/>
          </w:tcPr>
          <w:p w14:paraId="48CE0263" w14:textId="026E3D71" w:rsidR="00AB7C0B" w:rsidRPr="001C60E2" w:rsidRDefault="00AB7C0B" w:rsidP="00AB7C0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2,24</w:t>
            </w:r>
          </w:p>
        </w:tc>
        <w:tc>
          <w:tcPr>
            <w:tcW w:w="427" w:type="pct"/>
            <w:vAlign w:val="bottom"/>
          </w:tcPr>
          <w:p w14:paraId="223E76FE" w14:textId="5A37D737" w:rsidR="00AB7C0B" w:rsidRPr="001C60E2" w:rsidRDefault="00AB7C0B" w:rsidP="00AB7C0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4,47</w:t>
            </w:r>
          </w:p>
        </w:tc>
        <w:tc>
          <w:tcPr>
            <w:tcW w:w="427" w:type="pct"/>
            <w:vAlign w:val="bottom"/>
          </w:tcPr>
          <w:p w14:paraId="5167BEBF" w14:textId="2B48378B" w:rsidR="00AB7C0B" w:rsidRPr="001C60E2" w:rsidRDefault="00AB7C0B" w:rsidP="00AB7C0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6,71</w:t>
            </w:r>
          </w:p>
        </w:tc>
        <w:tc>
          <w:tcPr>
            <w:tcW w:w="427" w:type="pct"/>
            <w:vAlign w:val="bottom"/>
          </w:tcPr>
          <w:p w14:paraId="140D8260" w14:textId="0C87A2D2" w:rsidR="00AB7C0B" w:rsidRPr="001C60E2" w:rsidRDefault="00AB7C0B" w:rsidP="00AB7C0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8,94</w:t>
            </w:r>
          </w:p>
        </w:tc>
        <w:tc>
          <w:tcPr>
            <w:tcW w:w="427" w:type="pct"/>
            <w:vAlign w:val="bottom"/>
          </w:tcPr>
          <w:p w14:paraId="654F604F" w14:textId="4A7E052A" w:rsidR="00AB7C0B" w:rsidRPr="001C60E2" w:rsidRDefault="00AB7C0B" w:rsidP="00AB7C0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1C60E2">
              <w:rPr>
                <w:rFonts w:ascii="Arial" w:hAnsi="Arial" w:cs="Arial"/>
                <w:i/>
                <w:iCs/>
                <w:sz w:val="18"/>
                <w:szCs w:val="18"/>
              </w:rPr>
              <w:t>11,18</w:t>
            </w:r>
          </w:p>
        </w:tc>
        <w:tc>
          <w:tcPr>
            <w:tcW w:w="425" w:type="pct"/>
          </w:tcPr>
          <w:p w14:paraId="312EA2D2" w14:textId="77DF6202" w:rsidR="00AB7C0B" w:rsidRPr="001C60E2" w:rsidRDefault="00AB7C0B" w:rsidP="00AB7C0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11,18</w:t>
            </w:r>
          </w:p>
        </w:tc>
        <w:tc>
          <w:tcPr>
            <w:tcW w:w="425" w:type="pct"/>
          </w:tcPr>
          <w:p w14:paraId="6529303F" w14:textId="4FBFE8E0" w:rsidR="00AB7C0B" w:rsidRPr="001C60E2" w:rsidRDefault="00AB7C0B" w:rsidP="00AB7C0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11,18</w:t>
            </w:r>
          </w:p>
        </w:tc>
        <w:tc>
          <w:tcPr>
            <w:tcW w:w="425" w:type="pct"/>
          </w:tcPr>
          <w:p w14:paraId="782CD88B" w14:textId="1055C6D9" w:rsidR="00AB7C0B" w:rsidRPr="001C60E2" w:rsidRDefault="00AB7C0B" w:rsidP="00AB7C0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11,18</w:t>
            </w:r>
          </w:p>
        </w:tc>
        <w:tc>
          <w:tcPr>
            <w:tcW w:w="425" w:type="pct"/>
          </w:tcPr>
          <w:p w14:paraId="6B7C4FC5" w14:textId="45BA34C5" w:rsidR="00AB7C0B" w:rsidRPr="001C60E2" w:rsidRDefault="00AB7C0B" w:rsidP="00AB7C0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11,18</w:t>
            </w:r>
          </w:p>
        </w:tc>
        <w:tc>
          <w:tcPr>
            <w:tcW w:w="428" w:type="pct"/>
          </w:tcPr>
          <w:p w14:paraId="1B0D1B66" w14:textId="13873D6A" w:rsidR="00AB7C0B" w:rsidRPr="001C60E2" w:rsidRDefault="00AB7C0B" w:rsidP="00AB7C0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11,18</w:t>
            </w:r>
          </w:p>
        </w:tc>
        <w:tc>
          <w:tcPr>
            <w:tcW w:w="430" w:type="pct"/>
            <w:vAlign w:val="center"/>
          </w:tcPr>
          <w:p w14:paraId="60E0E202" w14:textId="7F5AE5D3" w:rsidR="00AB7C0B" w:rsidRPr="001C60E2" w:rsidRDefault="0083517B" w:rsidP="00AB7C0B">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1C60E2">
              <w:rPr>
                <w:rFonts w:ascii="Arial" w:hAnsi="Arial" w:cs="Arial"/>
                <w:i/>
                <w:iCs/>
                <w:sz w:val="18"/>
                <w:szCs w:val="18"/>
              </w:rPr>
              <w:t>89,42</w:t>
            </w:r>
          </w:p>
        </w:tc>
      </w:tr>
      <w:tr w:rsidR="001C60E2" w:rsidRPr="001C60E2" w14:paraId="633A936D" w14:textId="77777777" w:rsidTr="00F816F6">
        <w:trPr>
          <w:trHeight w:val="174"/>
        </w:trPr>
        <w:tc>
          <w:tcPr>
            <w:cnfStyle w:val="001000000000" w:firstRow="0" w:lastRow="0" w:firstColumn="1" w:lastColumn="0" w:oddVBand="0" w:evenVBand="0" w:oddHBand="0" w:evenHBand="0" w:firstRowFirstColumn="0" w:firstRowLastColumn="0" w:lastRowFirstColumn="0" w:lastRowLastColumn="0"/>
            <w:tcW w:w="4573" w:type="pct"/>
            <w:gridSpan w:val="11"/>
          </w:tcPr>
          <w:p w14:paraId="1993D9DB" w14:textId="77777777" w:rsidR="00711D97" w:rsidRPr="001C60E2" w:rsidRDefault="00711D97" w:rsidP="00711D97">
            <w:pPr>
              <w:pStyle w:val="ManualNumPar1"/>
              <w:spacing w:before="0" w:after="0" w:line="276" w:lineRule="auto"/>
              <w:ind w:left="0" w:firstLine="0"/>
              <w:jc w:val="right"/>
              <w:rPr>
                <w:rFonts w:ascii="Arial" w:hAnsi="Arial" w:cs="Arial"/>
                <w:i/>
                <w:iCs/>
                <w:sz w:val="18"/>
                <w:szCs w:val="18"/>
              </w:rPr>
            </w:pPr>
            <w:r w:rsidRPr="001C60E2">
              <w:rPr>
                <w:rFonts w:ascii="Arial" w:hAnsi="Arial" w:cs="Arial"/>
                <w:i/>
                <w:iCs/>
                <w:sz w:val="18"/>
                <w:szCs w:val="18"/>
              </w:rPr>
              <w:t>UKUPNE KUMULATIVNE UŠTEDE U RAZDOBLJU 2021. – 2030. OSTVARENE ALTERNATIVNIM MJERAMA [</w:t>
            </w:r>
            <w:proofErr w:type="spellStart"/>
            <w:r w:rsidRPr="001C60E2">
              <w:rPr>
                <w:rFonts w:ascii="Arial" w:hAnsi="Arial" w:cs="Arial"/>
                <w:i/>
                <w:iCs/>
                <w:sz w:val="18"/>
                <w:szCs w:val="18"/>
              </w:rPr>
              <w:t>ktoe</w:t>
            </w:r>
            <w:proofErr w:type="spellEnd"/>
            <w:r w:rsidRPr="001C60E2">
              <w:rPr>
                <w:rFonts w:ascii="Arial" w:hAnsi="Arial" w:cs="Arial"/>
                <w:i/>
                <w:iCs/>
                <w:sz w:val="18"/>
                <w:szCs w:val="18"/>
              </w:rPr>
              <w:t>]</w:t>
            </w:r>
          </w:p>
        </w:tc>
        <w:tc>
          <w:tcPr>
            <w:tcW w:w="427" w:type="pct"/>
          </w:tcPr>
          <w:p w14:paraId="58197216" w14:textId="5EA68C08" w:rsidR="00711D97" w:rsidRPr="001C60E2" w:rsidRDefault="00E4341C" w:rsidP="00711D97">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sz w:val="18"/>
                <w:szCs w:val="18"/>
              </w:rPr>
            </w:pPr>
            <w:r w:rsidRPr="001C60E2">
              <w:rPr>
                <w:rFonts w:ascii="Arial" w:hAnsi="Arial" w:cs="Arial"/>
                <w:b/>
                <w:bCs/>
                <w:i/>
                <w:iCs/>
                <w:sz w:val="18"/>
                <w:szCs w:val="18"/>
              </w:rPr>
              <w:t>2.086</w:t>
            </w:r>
            <w:r w:rsidR="00711D97" w:rsidRPr="001C60E2">
              <w:rPr>
                <w:rFonts w:ascii="Arial" w:hAnsi="Arial" w:cs="Arial"/>
                <w:b/>
                <w:bCs/>
                <w:i/>
                <w:iCs/>
                <w:sz w:val="18"/>
                <w:szCs w:val="18"/>
              </w:rPr>
              <w:t>,</w:t>
            </w:r>
            <w:r w:rsidR="002F5B91" w:rsidRPr="001C60E2">
              <w:rPr>
                <w:rFonts w:ascii="Arial" w:hAnsi="Arial" w:cs="Arial"/>
                <w:b/>
                <w:bCs/>
                <w:i/>
                <w:iCs/>
                <w:sz w:val="18"/>
                <w:szCs w:val="18"/>
              </w:rPr>
              <w:t>88</w:t>
            </w:r>
          </w:p>
        </w:tc>
      </w:tr>
      <w:tr w:rsidR="001C60E2" w:rsidRPr="001C60E2" w14:paraId="2D8E7C7F" w14:textId="77777777" w:rsidTr="00F816F6">
        <w:trPr>
          <w:trHeight w:val="20"/>
        </w:trPr>
        <w:tc>
          <w:tcPr>
            <w:cnfStyle w:val="001000000000" w:firstRow="0" w:lastRow="0" w:firstColumn="1" w:lastColumn="0" w:oddVBand="0" w:evenVBand="0" w:oddHBand="0" w:evenHBand="0" w:firstRowFirstColumn="0" w:firstRowLastColumn="0" w:lastRowFirstColumn="0" w:lastRowLastColumn="0"/>
            <w:tcW w:w="4573" w:type="pct"/>
            <w:gridSpan w:val="11"/>
          </w:tcPr>
          <w:p w14:paraId="5936A9D8" w14:textId="77777777" w:rsidR="00711D97" w:rsidRPr="001C60E2" w:rsidRDefault="00711D97" w:rsidP="00711D97">
            <w:pPr>
              <w:pStyle w:val="ManualNumPar1"/>
              <w:spacing w:before="0" w:after="0" w:line="276" w:lineRule="auto"/>
              <w:ind w:left="0" w:firstLine="0"/>
              <w:jc w:val="right"/>
              <w:rPr>
                <w:rFonts w:ascii="Arial" w:hAnsi="Arial" w:cs="Arial"/>
                <w:i/>
                <w:iCs/>
                <w:sz w:val="18"/>
                <w:szCs w:val="18"/>
              </w:rPr>
            </w:pPr>
            <w:r w:rsidRPr="001C60E2">
              <w:rPr>
                <w:rFonts w:ascii="Arial" w:hAnsi="Arial" w:cs="Arial"/>
                <w:i/>
                <w:iCs/>
                <w:sz w:val="18"/>
                <w:szCs w:val="18"/>
              </w:rPr>
              <w:t>UKUPNE KUMULATIVNE UŠTEDE U RAZDOBLJU 2021. – 2030. OSTVARENE ALTERNATIVNIM MJERAMA [PJ]</w:t>
            </w:r>
          </w:p>
        </w:tc>
        <w:tc>
          <w:tcPr>
            <w:tcW w:w="427" w:type="pct"/>
          </w:tcPr>
          <w:p w14:paraId="211E96DE" w14:textId="408D4927" w:rsidR="00711D97" w:rsidRPr="001C60E2" w:rsidRDefault="002F5B91" w:rsidP="00711D97">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sz w:val="18"/>
                <w:szCs w:val="18"/>
              </w:rPr>
            </w:pPr>
            <w:r w:rsidRPr="001C60E2">
              <w:rPr>
                <w:rFonts w:ascii="Arial" w:hAnsi="Arial" w:cs="Arial"/>
                <w:b/>
                <w:bCs/>
                <w:i/>
                <w:iCs/>
                <w:sz w:val="18"/>
                <w:szCs w:val="18"/>
              </w:rPr>
              <w:t>87</w:t>
            </w:r>
            <w:r w:rsidR="00711D97" w:rsidRPr="001C60E2">
              <w:rPr>
                <w:rFonts w:ascii="Arial" w:hAnsi="Arial" w:cs="Arial"/>
                <w:b/>
                <w:bCs/>
                <w:i/>
                <w:iCs/>
                <w:sz w:val="18"/>
                <w:szCs w:val="18"/>
              </w:rPr>
              <w:t>,</w:t>
            </w:r>
            <w:r w:rsidRPr="001C60E2">
              <w:rPr>
                <w:rFonts w:ascii="Arial" w:hAnsi="Arial" w:cs="Arial"/>
                <w:b/>
                <w:bCs/>
                <w:i/>
                <w:iCs/>
                <w:sz w:val="18"/>
                <w:szCs w:val="18"/>
              </w:rPr>
              <w:t>37</w:t>
            </w:r>
          </w:p>
        </w:tc>
      </w:tr>
      <w:tr w:rsidR="001C60E2" w:rsidRPr="001C60E2" w14:paraId="7AF52B75" w14:textId="77777777" w:rsidTr="00F816F6">
        <w:trPr>
          <w:trHeight w:val="20"/>
        </w:trPr>
        <w:tc>
          <w:tcPr>
            <w:cnfStyle w:val="001000000000" w:firstRow="0" w:lastRow="0" w:firstColumn="1" w:lastColumn="0" w:oddVBand="0" w:evenVBand="0" w:oddHBand="0" w:evenHBand="0" w:firstRowFirstColumn="0" w:firstRowLastColumn="0" w:lastRowFirstColumn="0" w:lastRowLastColumn="0"/>
            <w:tcW w:w="4573" w:type="pct"/>
            <w:gridSpan w:val="11"/>
          </w:tcPr>
          <w:p w14:paraId="4E4AD04E" w14:textId="2B1C0547" w:rsidR="00711D97" w:rsidRPr="001C60E2" w:rsidRDefault="00711D97" w:rsidP="00E5709B">
            <w:pPr>
              <w:pStyle w:val="ManualNumPar1"/>
              <w:spacing w:before="0" w:after="0" w:line="276" w:lineRule="auto"/>
              <w:ind w:left="0" w:firstLine="0"/>
              <w:jc w:val="right"/>
              <w:rPr>
                <w:rFonts w:ascii="Arial" w:hAnsi="Arial" w:cs="Arial"/>
                <w:i/>
                <w:iCs/>
                <w:sz w:val="18"/>
                <w:szCs w:val="18"/>
              </w:rPr>
            </w:pPr>
            <w:r w:rsidRPr="001C60E2">
              <w:rPr>
                <w:rFonts w:ascii="Arial" w:hAnsi="Arial" w:cs="Arial"/>
                <w:i/>
                <w:iCs/>
                <w:sz w:val="18"/>
                <w:szCs w:val="18"/>
              </w:rPr>
              <w:t>UDIO UŠTEDA OSTVARIVIH ALTERNATIVNIM MJERAMA [%]</w:t>
            </w:r>
            <w:r w:rsidR="002F5B91" w:rsidRPr="001C60E2">
              <w:rPr>
                <w:rFonts w:ascii="Arial" w:hAnsi="Arial" w:cs="Arial"/>
                <w:i/>
                <w:iCs/>
                <w:sz w:val="18"/>
                <w:szCs w:val="18"/>
              </w:rPr>
              <w:t xml:space="preserve"> </w:t>
            </w:r>
            <w:r w:rsidR="000F2B63" w:rsidRPr="001C60E2">
              <w:rPr>
                <w:rFonts w:ascii="Arial" w:hAnsi="Arial" w:cs="Arial"/>
                <w:i/>
                <w:iCs/>
                <w:sz w:val="18"/>
                <w:szCs w:val="18"/>
              </w:rPr>
              <w:t>U NOVOM CILJU PREMA REVIZIJI DIREKTIVE IZ 2023. GODINE</w:t>
            </w:r>
          </w:p>
        </w:tc>
        <w:tc>
          <w:tcPr>
            <w:tcW w:w="427" w:type="pct"/>
            <w:vAlign w:val="center"/>
          </w:tcPr>
          <w:p w14:paraId="272614B5" w14:textId="2ACC8846" w:rsidR="00711D97" w:rsidRPr="001C60E2" w:rsidRDefault="00116B89" w:rsidP="00711D97">
            <w:pPr>
              <w:pStyle w:val="ManualNumPar1"/>
              <w:spacing w:before="0"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sz w:val="18"/>
                <w:szCs w:val="18"/>
              </w:rPr>
            </w:pPr>
            <w:r w:rsidRPr="001C60E2">
              <w:rPr>
                <w:rFonts w:ascii="Arial" w:hAnsi="Arial" w:cs="Arial"/>
                <w:b/>
                <w:bCs/>
                <w:i/>
                <w:iCs/>
                <w:sz w:val="18"/>
                <w:szCs w:val="18"/>
              </w:rPr>
              <w:t>48</w:t>
            </w:r>
            <w:r w:rsidR="00711D97" w:rsidRPr="001C60E2">
              <w:rPr>
                <w:rFonts w:ascii="Arial" w:hAnsi="Arial" w:cs="Arial"/>
                <w:b/>
                <w:bCs/>
                <w:i/>
                <w:iCs/>
                <w:sz w:val="18"/>
                <w:szCs w:val="18"/>
              </w:rPr>
              <w:t>,</w:t>
            </w:r>
            <w:r w:rsidRPr="001C60E2">
              <w:rPr>
                <w:rFonts w:ascii="Arial" w:hAnsi="Arial" w:cs="Arial"/>
                <w:b/>
                <w:bCs/>
                <w:i/>
                <w:iCs/>
                <w:sz w:val="18"/>
                <w:szCs w:val="18"/>
              </w:rPr>
              <w:t>38</w:t>
            </w:r>
          </w:p>
        </w:tc>
      </w:tr>
    </w:tbl>
    <w:p w14:paraId="2A912130" w14:textId="77777777" w:rsidR="00711D97" w:rsidRPr="001C60E2" w:rsidRDefault="00711D97" w:rsidP="00711D97">
      <w:pPr>
        <w:rPr>
          <w:highlight w:val="yellow"/>
          <w:lang w:eastAsia="en-US"/>
        </w:rPr>
        <w:sectPr w:rsidR="00711D97" w:rsidRPr="001C60E2" w:rsidSect="00E5709B">
          <w:pgSz w:w="16838" w:h="11906" w:orient="landscape"/>
          <w:pgMar w:top="720" w:right="720" w:bottom="720" w:left="720" w:header="708" w:footer="708" w:gutter="0"/>
          <w:cols w:space="708"/>
          <w:docGrid w:linePitch="360"/>
        </w:sectPr>
      </w:pPr>
    </w:p>
    <w:p w14:paraId="1CB307AE" w14:textId="3463EA6E" w:rsidR="00711D97" w:rsidRPr="001C60E2" w:rsidRDefault="00711D97" w:rsidP="00711D97">
      <w:pPr>
        <w:pStyle w:val="ManualNumPar1"/>
        <w:numPr>
          <w:ilvl w:val="1"/>
          <w:numId w:val="12"/>
        </w:numPr>
        <w:spacing w:before="0" w:after="0" w:line="276" w:lineRule="auto"/>
        <w:jc w:val="both"/>
        <w:rPr>
          <w:rFonts w:ascii="Arial" w:hAnsi="Arial" w:cs="Arial"/>
          <w:i/>
          <w:sz w:val="22"/>
        </w:rPr>
      </w:pPr>
      <w:r w:rsidRPr="001C60E2">
        <w:rPr>
          <w:rFonts w:ascii="Arial" w:hAnsi="Arial" w:cs="Arial"/>
          <w:i/>
          <w:sz w:val="22"/>
        </w:rPr>
        <w:lastRenderedPageBreak/>
        <w:t>Podaci o mjerama oporezivanja:</w:t>
      </w:r>
    </w:p>
    <w:p w14:paraId="1B3A5E81" w14:textId="77777777" w:rsidR="00711D97" w:rsidRPr="001C60E2" w:rsidRDefault="00711D97" w:rsidP="00711D97">
      <w:pPr>
        <w:spacing w:before="0" w:after="0" w:line="276" w:lineRule="auto"/>
        <w:rPr>
          <w:rFonts w:cs="Arial"/>
          <w:lang w:eastAsia="en-US"/>
        </w:rPr>
      </w:pPr>
    </w:p>
    <w:p w14:paraId="2948287F" w14:textId="1C21BFA1" w:rsidR="00711D97" w:rsidRPr="001C60E2" w:rsidRDefault="00711D97" w:rsidP="00711D97">
      <w:pPr>
        <w:pStyle w:val="PointManual1"/>
        <w:numPr>
          <w:ilvl w:val="0"/>
          <w:numId w:val="17"/>
        </w:numPr>
        <w:spacing w:before="0" w:after="0" w:line="276" w:lineRule="auto"/>
        <w:rPr>
          <w:rFonts w:ascii="Arial" w:hAnsi="Arial" w:cs="Arial"/>
          <w:i/>
          <w:sz w:val="22"/>
        </w:rPr>
      </w:pPr>
      <w:r w:rsidRPr="001C60E2">
        <w:rPr>
          <w:rFonts w:ascii="Arial" w:hAnsi="Arial" w:cs="Arial"/>
          <w:i/>
          <w:sz w:val="22"/>
        </w:rPr>
        <w:t>kratki opis mjere oporezivanja</w:t>
      </w:r>
    </w:p>
    <w:p w14:paraId="50465B5D" w14:textId="55C149FF" w:rsidR="00711D97" w:rsidRPr="001C60E2" w:rsidRDefault="00711D97" w:rsidP="00711D97">
      <w:pPr>
        <w:pStyle w:val="PointManual1"/>
        <w:numPr>
          <w:ilvl w:val="0"/>
          <w:numId w:val="17"/>
        </w:numPr>
        <w:spacing w:before="0" w:after="0" w:line="276" w:lineRule="auto"/>
        <w:rPr>
          <w:rFonts w:ascii="Arial" w:hAnsi="Arial" w:cs="Arial"/>
          <w:i/>
          <w:sz w:val="22"/>
        </w:rPr>
      </w:pPr>
      <w:r w:rsidRPr="001C60E2">
        <w:rPr>
          <w:rFonts w:ascii="Arial" w:hAnsi="Arial" w:cs="Arial"/>
          <w:i/>
          <w:sz w:val="22"/>
        </w:rPr>
        <w:t>trajanje mjere oporezivanja</w:t>
      </w:r>
    </w:p>
    <w:p w14:paraId="3D7F4ED2" w14:textId="314A4EEC" w:rsidR="000A6EB2" w:rsidRPr="001C60E2" w:rsidRDefault="000A6EB2" w:rsidP="00711D97">
      <w:pPr>
        <w:pStyle w:val="PointManual1"/>
        <w:numPr>
          <w:ilvl w:val="0"/>
          <w:numId w:val="17"/>
        </w:numPr>
        <w:spacing w:before="0" w:after="0" w:line="276" w:lineRule="auto"/>
        <w:rPr>
          <w:rFonts w:ascii="Arial" w:hAnsi="Arial" w:cs="Arial"/>
          <w:i/>
          <w:sz w:val="22"/>
        </w:rPr>
      </w:pPr>
      <w:r w:rsidRPr="001C60E2">
        <w:rPr>
          <w:rFonts w:ascii="Arial" w:hAnsi="Arial" w:cs="Arial"/>
          <w:i/>
          <w:sz w:val="22"/>
        </w:rPr>
        <w:t>provedbeno tijelo javne vlasti</w:t>
      </w:r>
    </w:p>
    <w:p w14:paraId="362BE6B6" w14:textId="7340928D" w:rsidR="00711D97" w:rsidRPr="001C60E2" w:rsidRDefault="00711D97" w:rsidP="00711D97">
      <w:pPr>
        <w:pStyle w:val="PointManual1"/>
        <w:numPr>
          <w:ilvl w:val="0"/>
          <w:numId w:val="17"/>
        </w:numPr>
        <w:spacing w:before="0" w:after="0" w:line="276" w:lineRule="auto"/>
        <w:rPr>
          <w:rFonts w:ascii="Arial" w:hAnsi="Arial" w:cs="Arial"/>
          <w:i/>
          <w:sz w:val="22"/>
        </w:rPr>
      </w:pPr>
      <w:r w:rsidRPr="001C60E2">
        <w:rPr>
          <w:rFonts w:ascii="Arial" w:hAnsi="Arial" w:cs="Arial"/>
          <w:i/>
          <w:sz w:val="22"/>
        </w:rPr>
        <w:t>očekivani kumulativni i godišnji iznos uštede po mjeri</w:t>
      </w:r>
    </w:p>
    <w:p w14:paraId="4D3EAB7C" w14:textId="1198B414" w:rsidR="00711D97" w:rsidRPr="001C60E2" w:rsidRDefault="00711D97" w:rsidP="00711D97">
      <w:pPr>
        <w:pStyle w:val="PointManual1"/>
        <w:numPr>
          <w:ilvl w:val="0"/>
          <w:numId w:val="17"/>
        </w:numPr>
        <w:spacing w:before="0" w:after="0" w:line="276" w:lineRule="auto"/>
        <w:rPr>
          <w:rFonts w:ascii="Arial" w:hAnsi="Arial" w:cs="Arial"/>
          <w:i/>
          <w:sz w:val="22"/>
        </w:rPr>
      </w:pPr>
      <w:r w:rsidRPr="001C60E2">
        <w:rPr>
          <w:rFonts w:ascii="Arial" w:hAnsi="Arial" w:cs="Arial"/>
          <w:i/>
          <w:sz w:val="22"/>
        </w:rPr>
        <w:t>ciljani sektori</w:t>
      </w:r>
      <w:r w:rsidR="000A6EB2" w:rsidRPr="001C60E2">
        <w:rPr>
          <w:rFonts w:ascii="Arial" w:hAnsi="Arial" w:cs="Arial"/>
          <w:i/>
          <w:sz w:val="22"/>
        </w:rPr>
        <w:t xml:space="preserve"> i segment poreznih obveznika</w:t>
      </w:r>
      <w:r w:rsidRPr="001C60E2">
        <w:rPr>
          <w:rFonts w:ascii="Arial" w:hAnsi="Arial" w:cs="Arial"/>
          <w:i/>
          <w:sz w:val="22"/>
        </w:rPr>
        <w:t>;</w:t>
      </w:r>
    </w:p>
    <w:p w14:paraId="722647DD" w14:textId="77777777" w:rsidR="000A6EB2" w:rsidRPr="001C60E2" w:rsidRDefault="000A6EB2" w:rsidP="000A6EB2">
      <w:pPr>
        <w:pStyle w:val="ListParagraph"/>
        <w:numPr>
          <w:ilvl w:val="0"/>
          <w:numId w:val="17"/>
        </w:numPr>
        <w:suppressAutoHyphens w:val="0"/>
        <w:spacing w:after="160" w:line="259" w:lineRule="auto"/>
        <w:jc w:val="left"/>
        <w:rPr>
          <w:rFonts w:cs="Arial"/>
          <w:i/>
        </w:rPr>
      </w:pPr>
      <w:r w:rsidRPr="001C60E2">
        <w:rPr>
          <w:rFonts w:eastAsia="Calibri" w:cs="Arial"/>
          <w:i/>
          <w:lang w:eastAsia="en-US"/>
        </w:rPr>
        <w:t>metodologija izračuna, uključujući koje se cjenovne elastičnosti upotrebljavaju i kako su određene u skladu s točkom 4. Priloga V. Direktivi 2012/27/EU</w:t>
      </w:r>
      <w:r w:rsidRPr="001C60E2" w:rsidDel="000A6EB2">
        <w:rPr>
          <w:rFonts w:eastAsia="Calibri" w:cs="Arial"/>
          <w:i/>
          <w:lang w:eastAsia="en-US"/>
        </w:rPr>
        <w:t xml:space="preserve"> </w:t>
      </w:r>
    </w:p>
    <w:p w14:paraId="4066B2B2" w14:textId="1E777007" w:rsidR="00711D97" w:rsidRPr="001C60E2" w:rsidRDefault="00711D97" w:rsidP="00711D97">
      <w:pPr>
        <w:pStyle w:val="PointManual1"/>
        <w:spacing w:before="0" w:after="0" w:line="276" w:lineRule="auto"/>
        <w:ind w:left="0" w:firstLine="0"/>
        <w:jc w:val="both"/>
        <w:rPr>
          <w:rFonts w:ascii="Arial" w:hAnsi="Arial" w:cs="Arial"/>
          <w:sz w:val="22"/>
        </w:rPr>
      </w:pPr>
      <w:r w:rsidRPr="001C60E2">
        <w:rPr>
          <w:rFonts w:ascii="Arial" w:hAnsi="Arial" w:cs="Arial"/>
          <w:sz w:val="22"/>
        </w:rPr>
        <w:t>U Nacionalno</w:t>
      </w:r>
      <w:r w:rsidR="00E72C61" w:rsidRPr="001C60E2">
        <w:rPr>
          <w:rFonts w:ascii="Arial" w:hAnsi="Arial" w:cs="Arial"/>
          <w:sz w:val="22"/>
        </w:rPr>
        <w:t>m</w:t>
      </w:r>
      <w:r w:rsidRPr="001C60E2">
        <w:rPr>
          <w:rFonts w:ascii="Arial" w:hAnsi="Arial" w:cs="Arial"/>
          <w:sz w:val="22"/>
        </w:rPr>
        <w:t xml:space="preserve"> energetsko-</w:t>
      </w:r>
      <w:r w:rsidR="00E72C61" w:rsidRPr="001C60E2">
        <w:rPr>
          <w:rFonts w:ascii="Arial" w:hAnsi="Arial" w:cs="Arial"/>
          <w:sz w:val="22"/>
        </w:rPr>
        <w:t xml:space="preserve">klimatskom planu </w:t>
      </w:r>
      <w:r w:rsidRPr="001C60E2">
        <w:rPr>
          <w:rFonts w:ascii="Arial" w:hAnsi="Arial" w:cs="Arial"/>
          <w:sz w:val="22"/>
        </w:rPr>
        <w:t>predviđa se fiskaln</w:t>
      </w:r>
      <w:r w:rsidR="009538AD" w:rsidRPr="001C60E2">
        <w:rPr>
          <w:rFonts w:ascii="Arial" w:hAnsi="Arial" w:cs="Arial"/>
          <w:sz w:val="22"/>
        </w:rPr>
        <w:t>a</w:t>
      </w:r>
      <w:r w:rsidRPr="001C60E2">
        <w:rPr>
          <w:rFonts w:ascii="Arial" w:hAnsi="Arial" w:cs="Arial"/>
          <w:sz w:val="22"/>
        </w:rPr>
        <w:t xml:space="preserve"> </w:t>
      </w:r>
      <w:r w:rsidR="009538AD" w:rsidRPr="001C60E2">
        <w:rPr>
          <w:rFonts w:ascii="Arial" w:hAnsi="Arial" w:cs="Arial"/>
          <w:sz w:val="22"/>
        </w:rPr>
        <w:t xml:space="preserve">mjera </w:t>
      </w:r>
      <w:r w:rsidRPr="001C60E2">
        <w:rPr>
          <w:rFonts w:ascii="Arial" w:hAnsi="Arial" w:cs="Arial"/>
          <w:sz w:val="22"/>
        </w:rPr>
        <w:t>za poticanje energetske učinkovitosti</w:t>
      </w:r>
      <w:r w:rsidR="009538AD" w:rsidRPr="001C60E2">
        <w:rPr>
          <w:rFonts w:ascii="Arial" w:hAnsi="Arial" w:cs="Arial"/>
          <w:sz w:val="22"/>
        </w:rPr>
        <w:t xml:space="preserve"> u poduzećima</w:t>
      </w:r>
      <w:r w:rsidRPr="001C60E2">
        <w:rPr>
          <w:rFonts w:ascii="Arial" w:hAnsi="Arial" w:cs="Arial"/>
          <w:sz w:val="22"/>
        </w:rPr>
        <w:t xml:space="preserve">: ENU-9-Sustavno gospodarenje energijom u poslovnom sektoru (ciljani sektori: industrija i komercijalne usluge). Za </w:t>
      </w:r>
      <w:r w:rsidR="004464FC" w:rsidRPr="001C60E2">
        <w:rPr>
          <w:rFonts w:ascii="Arial" w:hAnsi="Arial" w:cs="Arial"/>
          <w:sz w:val="22"/>
        </w:rPr>
        <w:t>ovu</w:t>
      </w:r>
      <w:r w:rsidRPr="001C60E2">
        <w:rPr>
          <w:rFonts w:ascii="Arial" w:hAnsi="Arial" w:cs="Arial"/>
          <w:sz w:val="22"/>
        </w:rPr>
        <w:t xml:space="preserve"> </w:t>
      </w:r>
      <w:r w:rsidR="004464FC" w:rsidRPr="001C60E2">
        <w:rPr>
          <w:rFonts w:ascii="Arial" w:hAnsi="Arial" w:cs="Arial"/>
          <w:sz w:val="22"/>
        </w:rPr>
        <w:t xml:space="preserve">mjeru </w:t>
      </w:r>
      <w:r w:rsidRPr="001C60E2">
        <w:rPr>
          <w:rFonts w:ascii="Arial" w:hAnsi="Arial" w:cs="Arial"/>
          <w:sz w:val="22"/>
        </w:rPr>
        <w:t xml:space="preserve">potrebno je izraditi detaljne analize kako bi se utvrdila metodologija praćenja i izračuna ušteda koje su rezultat tih mjera. </w:t>
      </w:r>
    </w:p>
    <w:p w14:paraId="3EE2238A" w14:textId="77777777" w:rsidR="00711D97" w:rsidRPr="001C60E2" w:rsidRDefault="00711D97" w:rsidP="00711D97">
      <w:pPr>
        <w:pStyle w:val="PointManual1"/>
        <w:spacing w:before="0" w:after="0" w:line="276" w:lineRule="auto"/>
        <w:ind w:left="1701"/>
        <w:rPr>
          <w:rFonts w:ascii="Arial" w:hAnsi="Arial" w:cs="Arial"/>
          <w:noProof/>
          <w:sz w:val="22"/>
          <w:highlight w:val="yellow"/>
        </w:rPr>
      </w:pPr>
    </w:p>
    <w:p w14:paraId="047A4CEA" w14:textId="4A56F054" w:rsidR="00711D97" w:rsidRPr="001C60E2" w:rsidRDefault="00711D97" w:rsidP="00711D97">
      <w:pPr>
        <w:pStyle w:val="ManualNumPar1"/>
        <w:numPr>
          <w:ilvl w:val="0"/>
          <w:numId w:val="12"/>
        </w:numPr>
        <w:spacing w:before="0" w:after="0" w:line="276" w:lineRule="auto"/>
        <w:jc w:val="both"/>
        <w:rPr>
          <w:rFonts w:ascii="Arial" w:hAnsi="Arial" w:cs="Arial"/>
          <w:b/>
          <w:i/>
          <w:sz w:val="22"/>
        </w:rPr>
      </w:pPr>
      <w:r w:rsidRPr="001C60E2">
        <w:rPr>
          <w:rFonts w:ascii="Arial" w:hAnsi="Arial" w:cs="Arial"/>
          <w:b/>
          <w:i/>
          <w:sz w:val="22"/>
        </w:rPr>
        <w:t>Metodologija izračuna za mjere priopćene u skladu s člancima 7.a</w:t>
      </w:r>
      <w:r w:rsidR="006F6D55" w:rsidRPr="001C60E2">
        <w:rPr>
          <w:rFonts w:ascii="Arial" w:hAnsi="Arial" w:cs="Arial"/>
          <w:b/>
          <w:i/>
          <w:sz w:val="22"/>
        </w:rPr>
        <w:t xml:space="preserve"> i </w:t>
      </w:r>
      <w:r w:rsidRPr="001C60E2">
        <w:rPr>
          <w:rFonts w:ascii="Arial" w:hAnsi="Arial" w:cs="Arial"/>
          <w:b/>
          <w:i/>
          <w:sz w:val="22"/>
        </w:rPr>
        <w:t>7.b i člankom 20. stavkom 6. Direktive 2012/27/EU (osim mjera oporezivanja):</w:t>
      </w:r>
    </w:p>
    <w:p w14:paraId="62E55013" w14:textId="77777777" w:rsidR="00711D97" w:rsidRPr="001C60E2" w:rsidRDefault="00711D97" w:rsidP="00711D97">
      <w:pPr>
        <w:pStyle w:val="PointManual1"/>
        <w:spacing w:before="0" w:after="0" w:line="276" w:lineRule="auto"/>
        <w:ind w:left="567" w:firstLine="0"/>
        <w:rPr>
          <w:rFonts w:ascii="Arial" w:hAnsi="Arial" w:cs="Arial"/>
          <w:b/>
          <w:noProof/>
          <w:sz w:val="22"/>
        </w:rPr>
      </w:pPr>
    </w:p>
    <w:p w14:paraId="123DC30B" w14:textId="77777777" w:rsidR="00711D97" w:rsidRPr="001C60E2" w:rsidRDefault="00711D97" w:rsidP="00711D97">
      <w:pPr>
        <w:pStyle w:val="PointManual1"/>
        <w:numPr>
          <w:ilvl w:val="0"/>
          <w:numId w:val="18"/>
        </w:numPr>
        <w:spacing w:before="0" w:after="0" w:line="276" w:lineRule="auto"/>
        <w:rPr>
          <w:rFonts w:ascii="Arial" w:hAnsi="Arial" w:cs="Arial"/>
          <w:i/>
          <w:sz w:val="22"/>
        </w:rPr>
      </w:pPr>
      <w:r w:rsidRPr="001C60E2">
        <w:rPr>
          <w:rFonts w:ascii="Arial" w:hAnsi="Arial" w:cs="Arial"/>
          <w:i/>
          <w:sz w:val="22"/>
        </w:rPr>
        <w:t>upotrijebljene metode mjerenja iz točke 1. Priloga V. Direktivi 2012/27/EU</w:t>
      </w:r>
    </w:p>
    <w:p w14:paraId="6670442D" w14:textId="62FC9817" w:rsidR="00711D97" w:rsidRPr="001C60E2" w:rsidRDefault="00711D97" w:rsidP="00711D97">
      <w:pPr>
        <w:pStyle w:val="PointManual1"/>
        <w:spacing w:before="0" w:line="276" w:lineRule="auto"/>
        <w:ind w:left="0" w:firstLine="0"/>
        <w:jc w:val="both"/>
        <w:rPr>
          <w:rFonts w:ascii="Arial" w:hAnsi="Arial" w:cs="Arial"/>
          <w:sz w:val="22"/>
        </w:rPr>
      </w:pPr>
      <w:r w:rsidRPr="001C60E2">
        <w:rPr>
          <w:rFonts w:ascii="Arial" w:hAnsi="Arial" w:cs="Arial"/>
          <w:sz w:val="22"/>
        </w:rPr>
        <w:t>Za izračun ušteda koriste se metode procjene propisane Prilogom II</w:t>
      </w:r>
      <w:r w:rsidR="00F633D2" w:rsidRPr="001C60E2">
        <w:rPr>
          <w:rFonts w:ascii="Arial" w:hAnsi="Arial" w:cs="Arial"/>
          <w:sz w:val="22"/>
        </w:rPr>
        <w:t>I</w:t>
      </w:r>
      <w:r w:rsidRPr="001C60E2">
        <w:rPr>
          <w:rFonts w:ascii="Arial" w:hAnsi="Arial" w:cs="Arial"/>
          <w:sz w:val="22"/>
        </w:rPr>
        <w:t xml:space="preserve">. Pravilnika o sustavu za praćenje, mjerenje i verifikaciju ušteda energije (NN br. </w:t>
      </w:r>
      <w:r w:rsidR="009A33B5" w:rsidRPr="001C60E2">
        <w:rPr>
          <w:rFonts w:ascii="Arial" w:hAnsi="Arial" w:cs="Arial"/>
          <w:sz w:val="22"/>
        </w:rPr>
        <w:t>98/21, 30/22</w:t>
      </w:r>
      <w:r w:rsidRPr="001C60E2">
        <w:rPr>
          <w:rFonts w:ascii="Arial" w:hAnsi="Arial" w:cs="Arial"/>
          <w:sz w:val="22"/>
        </w:rPr>
        <w:t>). Radi se o metodama odozdo-prema-gore, koje se koriste za procjenu ušteda energije ostvarenih primjenom pojedinačnih mjera poboljšanja energetske učinkovitosti (u skladu s točkom 1.(a) Priloga V.</w:t>
      </w:r>
      <w:r w:rsidRPr="001C60E2">
        <w:t xml:space="preserve"> </w:t>
      </w:r>
      <w:r w:rsidRPr="001C60E2">
        <w:rPr>
          <w:rFonts w:ascii="Arial" w:hAnsi="Arial" w:cs="Arial"/>
          <w:sz w:val="22"/>
        </w:rPr>
        <w:t xml:space="preserve">Direktivi 2012/27/EU). </w:t>
      </w:r>
    </w:p>
    <w:p w14:paraId="7BF4619D" w14:textId="77777777" w:rsidR="00711D97" w:rsidRPr="001C60E2" w:rsidRDefault="00711D97" w:rsidP="00711D97">
      <w:pPr>
        <w:pStyle w:val="PointManual1"/>
        <w:spacing w:before="0" w:line="276" w:lineRule="auto"/>
        <w:ind w:left="0" w:firstLine="0"/>
        <w:jc w:val="both"/>
        <w:rPr>
          <w:rFonts w:ascii="Arial" w:hAnsi="Arial" w:cs="Arial"/>
          <w:sz w:val="22"/>
        </w:rPr>
      </w:pPr>
      <w:r w:rsidRPr="001C60E2">
        <w:rPr>
          <w:rFonts w:ascii="Arial" w:hAnsi="Arial" w:cs="Arial"/>
          <w:sz w:val="22"/>
        </w:rPr>
        <w:t>Pravilnikom je dopušteno i utvrđivanje ušteda mjerenjem fizikalnih veličina, odnosno izračunavanjem razlike između stvarne i referentne potrošnje energije (u skladu s točkom 1.(b) Priloga V.</w:t>
      </w:r>
      <w:r w:rsidRPr="001C60E2">
        <w:t xml:space="preserve"> </w:t>
      </w:r>
      <w:r w:rsidRPr="001C60E2">
        <w:rPr>
          <w:rFonts w:ascii="Arial" w:hAnsi="Arial" w:cs="Arial"/>
          <w:sz w:val="22"/>
        </w:rPr>
        <w:t>Direktivi 2012/27/EU).</w:t>
      </w:r>
    </w:p>
    <w:p w14:paraId="6951BA1F" w14:textId="2CB8C8C9" w:rsidR="00711D97" w:rsidRPr="001C60E2" w:rsidRDefault="0001563E" w:rsidP="00711D97">
      <w:pPr>
        <w:pStyle w:val="PointManual1"/>
        <w:spacing w:before="0" w:after="0" w:line="276" w:lineRule="auto"/>
        <w:ind w:left="0" w:firstLine="0"/>
        <w:jc w:val="both"/>
        <w:rPr>
          <w:rFonts w:ascii="Arial" w:hAnsi="Arial" w:cs="Arial"/>
          <w:sz w:val="22"/>
        </w:rPr>
      </w:pPr>
      <w:r w:rsidRPr="001C60E2">
        <w:rPr>
          <w:rFonts w:ascii="Arial" w:hAnsi="Arial" w:cs="Arial"/>
          <w:sz w:val="22"/>
        </w:rPr>
        <w:t>Metode i propisane referentne vrijednosti koje se koriste revidirane su</w:t>
      </w:r>
      <w:r w:rsidR="00756C01" w:rsidRPr="001C60E2">
        <w:rPr>
          <w:rFonts w:ascii="Arial" w:hAnsi="Arial" w:cs="Arial"/>
          <w:sz w:val="22"/>
        </w:rPr>
        <w:t xml:space="preserve"> 2021. godine – nova inačica Pravilnika o sustavu za praćenje, mjerenje i verifikaciju ušteda energije stupila je na snagu u rujnu 2021. godine. </w:t>
      </w:r>
      <w:r w:rsidR="00E250CA" w:rsidRPr="001C60E2">
        <w:rPr>
          <w:rFonts w:ascii="Arial" w:hAnsi="Arial" w:cs="Arial"/>
          <w:sz w:val="22"/>
        </w:rPr>
        <w:t xml:space="preserve">Prilog III. je dodatno uređen </w:t>
      </w:r>
      <w:r w:rsidR="000E632F" w:rsidRPr="001C60E2">
        <w:rPr>
          <w:rFonts w:ascii="Arial" w:hAnsi="Arial" w:cs="Arial"/>
          <w:sz w:val="22"/>
        </w:rPr>
        <w:t>kroz</w:t>
      </w:r>
      <w:r w:rsidR="00E250CA" w:rsidRPr="001C60E2">
        <w:rPr>
          <w:rFonts w:ascii="Arial" w:hAnsi="Arial" w:cs="Arial"/>
          <w:sz w:val="22"/>
        </w:rPr>
        <w:t xml:space="preserve"> izmjene i dopune Pravilnika u </w:t>
      </w:r>
      <w:r w:rsidR="00AB3DC3" w:rsidRPr="001C60E2">
        <w:rPr>
          <w:rFonts w:ascii="Arial" w:hAnsi="Arial" w:cs="Arial"/>
          <w:sz w:val="22"/>
        </w:rPr>
        <w:t xml:space="preserve">ožujku 2022. godine. </w:t>
      </w:r>
    </w:p>
    <w:p w14:paraId="7F5E1B4A" w14:textId="77777777" w:rsidR="00711D97" w:rsidRPr="001C60E2" w:rsidRDefault="00711D97" w:rsidP="00711D97">
      <w:pPr>
        <w:pStyle w:val="PointManual1"/>
        <w:spacing w:before="0" w:after="0" w:line="276" w:lineRule="auto"/>
        <w:ind w:left="0" w:firstLine="0"/>
        <w:jc w:val="both"/>
        <w:rPr>
          <w:rFonts w:ascii="Arial" w:hAnsi="Arial" w:cs="Arial"/>
          <w:sz w:val="22"/>
          <w:highlight w:val="yellow"/>
        </w:rPr>
      </w:pPr>
    </w:p>
    <w:p w14:paraId="5849D287" w14:textId="77777777" w:rsidR="00711D97" w:rsidRPr="001C60E2" w:rsidRDefault="00711D97" w:rsidP="00711D97">
      <w:pPr>
        <w:pStyle w:val="PointManual1"/>
        <w:numPr>
          <w:ilvl w:val="0"/>
          <w:numId w:val="18"/>
        </w:numPr>
        <w:spacing w:before="0" w:after="0" w:line="276" w:lineRule="auto"/>
        <w:rPr>
          <w:rFonts w:ascii="Arial" w:hAnsi="Arial" w:cs="Arial"/>
          <w:i/>
          <w:sz w:val="22"/>
        </w:rPr>
      </w:pPr>
      <w:r w:rsidRPr="001C60E2">
        <w:rPr>
          <w:rFonts w:ascii="Arial" w:hAnsi="Arial" w:cs="Arial"/>
          <w:i/>
          <w:sz w:val="22"/>
        </w:rPr>
        <w:t>metoda za iskazivanje uštede energije (ušteda primarne ili krajnje energije)</w:t>
      </w:r>
    </w:p>
    <w:p w14:paraId="231E6D92" w14:textId="23DDFF85" w:rsidR="00711D97" w:rsidRPr="001C60E2" w:rsidRDefault="00711D97" w:rsidP="00711D97">
      <w:pPr>
        <w:pStyle w:val="PointManual1"/>
        <w:spacing w:before="0" w:after="0" w:line="276" w:lineRule="auto"/>
        <w:ind w:left="0" w:firstLine="0"/>
        <w:rPr>
          <w:rFonts w:ascii="Arial" w:hAnsi="Arial" w:cs="Arial"/>
          <w:sz w:val="22"/>
        </w:rPr>
      </w:pPr>
      <w:r w:rsidRPr="001C60E2">
        <w:rPr>
          <w:rFonts w:ascii="Arial" w:hAnsi="Arial" w:cs="Arial"/>
          <w:sz w:val="22"/>
        </w:rPr>
        <w:t xml:space="preserve">Uštede se iskazuju kao neposredna (krajnja) potrošnja energije. </w:t>
      </w:r>
      <w:r w:rsidR="000170DC" w:rsidRPr="001C60E2">
        <w:rPr>
          <w:rFonts w:ascii="Arial" w:hAnsi="Arial" w:cs="Arial"/>
          <w:sz w:val="22"/>
        </w:rPr>
        <w:t xml:space="preserve">Uštede primarne energije </w:t>
      </w:r>
      <w:r w:rsidR="007A0184" w:rsidRPr="001C60E2">
        <w:rPr>
          <w:rFonts w:ascii="Arial" w:hAnsi="Arial" w:cs="Arial"/>
          <w:sz w:val="22"/>
        </w:rPr>
        <w:t>izračunavaju se k</w:t>
      </w:r>
      <w:r w:rsidR="00BB09FA" w:rsidRPr="001C60E2">
        <w:rPr>
          <w:rFonts w:ascii="Arial" w:hAnsi="Arial" w:cs="Arial"/>
          <w:sz w:val="22"/>
        </w:rPr>
        <w:t xml:space="preserve">orištenjem faktora primarne energije koji su propisani u </w:t>
      </w:r>
      <w:r w:rsidR="0052724A" w:rsidRPr="001C60E2">
        <w:rPr>
          <w:rFonts w:ascii="Arial" w:hAnsi="Arial" w:cs="Arial"/>
          <w:sz w:val="22"/>
        </w:rPr>
        <w:t>Prilogu I. Pravilnika o sustavu za praćenje, mjerenje i verifikaciju ušteda energije</w:t>
      </w:r>
      <w:r w:rsidR="007A0184" w:rsidRPr="001C60E2">
        <w:rPr>
          <w:rFonts w:ascii="Arial" w:hAnsi="Arial" w:cs="Arial"/>
          <w:sz w:val="22"/>
        </w:rPr>
        <w:t>.</w:t>
      </w:r>
    </w:p>
    <w:p w14:paraId="615E3C6C" w14:textId="77777777" w:rsidR="00711D97" w:rsidRPr="001C60E2" w:rsidRDefault="00711D97" w:rsidP="00711D97">
      <w:pPr>
        <w:pStyle w:val="PointManual1"/>
        <w:spacing w:before="0" w:after="0" w:line="276" w:lineRule="auto"/>
        <w:ind w:left="0" w:firstLine="0"/>
        <w:rPr>
          <w:rFonts w:ascii="Arial" w:hAnsi="Arial" w:cs="Arial"/>
          <w:sz w:val="22"/>
          <w:highlight w:val="yellow"/>
        </w:rPr>
      </w:pPr>
    </w:p>
    <w:p w14:paraId="7740F8E3" w14:textId="044EA6F4" w:rsidR="00711D97" w:rsidRPr="001C60E2" w:rsidRDefault="00711D97" w:rsidP="00711D97">
      <w:pPr>
        <w:pStyle w:val="PointManual1"/>
        <w:numPr>
          <w:ilvl w:val="0"/>
          <w:numId w:val="18"/>
        </w:numPr>
        <w:spacing w:before="0" w:after="0" w:line="276" w:lineRule="auto"/>
        <w:rPr>
          <w:rFonts w:ascii="Arial" w:hAnsi="Arial" w:cs="Arial"/>
          <w:i/>
          <w:sz w:val="22"/>
        </w:rPr>
      </w:pPr>
      <w:r w:rsidRPr="001C60E2">
        <w:rPr>
          <w:rFonts w:ascii="Arial" w:hAnsi="Arial" w:cs="Arial"/>
          <w:i/>
          <w:sz w:val="22"/>
        </w:rPr>
        <w:t xml:space="preserve">životni vijek mjera, </w:t>
      </w:r>
      <w:r w:rsidR="006F6D55" w:rsidRPr="001C60E2">
        <w:rPr>
          <w:rFonts w:ascii="Arial" w:hAnsi="Arial" w:cs="Arial"/>
          <w:i/>
          <w:sz w:val="22"/>
        </w:rPr>
        <w:t>stopa smanjenja ušteda tijekom vremena i pristup koji se koristio za uzimanje u obzir životnog vijeka ušteda</w:t>
      </w:r>
    </w:p>
    <w:p w14:paraId="12990DC2" w14:textId="27788F92" w:rsidR="00711D97" w:rsidRPr="001C60E2" w:rsidRDefault="00711D97" w:rsidP="00711D97">
      <w:pPr>
        <w:pStyle w:val="PointManual1"/>
        <w:spacing w:before="0" w:line="276" w:lineRule="auto"/>
        <w:ind w:left="0" w:firstLine="0"/>
        <w:jc w:val="both"/>
        <w:rPr>
          <w:rFonts w:ascii="Arial" w:hAnsi="Arial" w:cs="Arial"/>
          <w:sz w:val="22"/>
        </w:rPr>
      </w:pPr>
      <w:r w:rsidRPr="001C60E2">
        <w:rPr>
          <w:rFonts w:ascii="Arial" w:hAnsi="Arial" w:cs="Arial"/>
          <w:sz w:val="22"/>
        </w:rPr>
        <w:t>Životni vijek mjera propisan je Prilogom II</w:t>
      </w:r>
      <w:r w:rsidR="007A0184" w:rsidRPr="001C60E2">
        <w:rPr>
          <w:rFonts w:ascii="Arial" w:hAnsi="Arial" w:cs="Arial"/>
          <w:sz w:val="22"/>
        </w:rPr>
        <w:t>I</w:t>
      </w:r>
      <w:r w:rsidRPr="001C60E2">
        <w:rPr>
          <w:rFonts w:ascii="Arial" w:hAnsi="Arial" w:cs="Arial"/>
          <w:sz w:val="22"/>
        </w:rPr>
        <w:t>. Pravilnika o sustavu za praćenje, mjerenje i verifikaciju ušteda energije</w:t>
      </w:r>
      <w:r w:rsidR="007A0184" w:rsidRPr="001C60E2">
        <w:rPr>
          <w:rFonts w:ascii="Arial" w:hAnsi="Arial" w:cs="Arial"/>
          <w:sz w:val="22"/>
        </w:rPr>
        <w:t xml:space="preserve"> (NN br. 98/21, 30/22)</w:t>
      </w:r>
      <w:r w:rsidRPr="001C60E2">
        <w:rPr>
          <w:rFonts w:ascii="Arial" w:hAnsi="Arial" w:cs="Arial"/>
          <w:sz w:val="22"/>
        </w:rPr>
        <w:t>. Vrijednosti životnog vijeka mjera preuzete su iz preporuka Europske komisije, još iz razdoblja Direktive 2006/32/EC o energetskim uslugama.</w:t>
      </w:r>
      <w:r w:rsidR="00874BF1" w:rsidRPr="001C60E2">
        <w:rPr>
          <w:rFonts w:ascii="Arial" w:hAnsi="Arial" w:cs="Arial"/>
          <w:sz w:val="22"/>
        </w:rPr>
        <w:t xml:space="preserve"> </w:t>
      </w:r>
    </w:p>
    <w:p w14:paraId="14B19788" w14:textId="1D30DA01" w:rsidR="00711D97" w:rsidRPr="001C60E2" w:rsidRDefault="00711D97" w:rsidP="00711D97">
      <w:pPr>
        <w:pStyle w:val="PointManual1"/>
        <w:spacing w:before="0" w:after="0" w:line="276" w:lineRule="auto"/>
        <w:ind w:left="0" w:firstLine="0"/>
        <w:jc w:val="both"/>
        <w:rPr>
          <w:rFonts w:ascii="Arial" w:hAnsi="Arial" w:cs="Arial"/>
          <w:sz w:val="22"/>
        </w:rPr>
      </w:pPr>
      <w:r w:rsidRPr="001C60E2">
        <w:rPr>
          <w:rFonts w:ascii="Arial" w:hAnsi="Arial" w:cs="Arial"/>
          <w:sz w:val="22"/>
        </w:rPr>
        <w:t>Uštede koje se utvrđuju procjenom prate se od dana unosa dokaza uštede u nacionalni Sustav za mjerenje i verifikaciju ušteda (</w:t>
      </w:r>
      <w:proofErr w:type="spellStart"/>
      <w:r w:rsidRPr="001C60E2">
        <w:rPr>
          <w:rFonts w:ascii="Arial" w:hAnsi="Arial" w:cs="Arial"/>
          <w:sz w:val="22"/>
        </w:rPr>
        <w:t>SMiV</w:t>
      </w:r>
      <w:proofErr w:type="spellEnd"/>
      <w:r w:rsidRPr="001C60E2">
        <w:rPr>
          <w:rFonts w:ascii="Arial" w:hAnsi="Arial" w:cs="Arial"/>
          <w:sz w:val="22"/>
        </w:rPr>
        <w:t xml:space="preserve">), dok se za mjere čije se uštede utvrđuju mjerenjem </w:t>
      </w:r>
      <w:r w:rsidRPr="001C60E2">
        <w:rPr>
          <w:rFonts w:ascii="Arial" w:hAnsi="Arial" w:cs="Arial"/>
          <w:sz w:val="22"/>
        </w:rPr>
        <w:lastRenderedPageBreak/>
        <w:t xml:space="preserve">početkom učinka smatra dan početka mjerenja, u skladu s odredbama Pravilnika o sustavnom gospodarenju energijom. </w:t>
      </w:r>
    </w:p>
    <w:p w14:paraId="70A36201" w14:textId="77777777" w:rsidR="0090122C" w:rsidRPr="001C60E2" w:rsidRDefault="0090122C" w:rsidP="0090122C">
      <w:pPr>
        <w:pStyle w:val="PointManual1"/>
        <w:spacing w:before="0" w:after="0" w:line="276" w:lineRule="auto"/>
        <w:ind w:left="0" w:firstLine="0"/>
        <w:jc w:val="both"/>
        <w:rPr>
          <w:rFonts w:ascii="Arial" w:hAnsi="Arial" w:cs="Arial"/>
          <w:sz w:val="22"/>
        </w:rPr>
      </w:pPr>
    </w:p>
    <w:p w14:paraId="5E3FF5DA" w14:textId="00FD3F29" w:rsidR="009F7D04" w:rsidRPr="001C60E2" w:rsidRDefault="009F7D04" w:rsidP="0090122C">
      <w:pPr>
        <w:pStyle w:val="PointManual1"/>
        <w:spacing w:before="0" w:after="0" w:line="276" w:lineRule="auto"/>
        <w:ind w:left="0" w:firstLine="0"/>
        <w:jc w:val="both"/>
        <w:rPr>
          <w:rFonts w:ascii="Arial" w:hAnsi="Arial" w:cs="Arial"/>
          <w:sz w:val="22"/>
        </w:rPr>
      </w:pPr>
      <w:r w:rsidRPr="001C60E2">
        <w:rPr>
          <w:rFonts w:ascii="Arial" w:hAnsi="Arial" w:cs="Arial"/>
          <w:sz w:val="22"/>
        </w:rPr>
        <w:t xml:space="preserve">Prilikom </w:t>
      </w:r>
      <w:r w:rsidR="0090122C" w:rsidRPr="001C60E2">
        <w:rPr>
          <w:rFonts w:ascii="Arial" w:hAnsi="Arial" w:cs="Arial"/>
          <w:sz w:val="22"/>
        </w:rPr>
        <w:t xml:space="preserve">izračuna kumulativnih ušteda koristi se faktori diskontiranja (uz diskontnu stopu od 4%), kako bi se u </w:t>
      </w:r>
      <w:r w:rsidR="00B8749F" w:rsidRPr="001C60E2">
        <w:rPr>
          <w:rFonts w:ascii="Arial" w:hAnsi="Arial" w:cs="Arial"/>
          <w:sz w:val="22"/>
        </w:rPr>
        <w:t>obzir</w:t>
      </w:r>
      <w:r w:rsidR="0090122C" w:rsidRPr="001C60E2">
        <w:rPr>
          <w:rFonts w:ascii="Arial" w:hAnsi="Arial" w:cs="Arial"/>
          <w:sz w:val="22"/>
        </w:rPr>
        <w:t xml:space="preserve"> uzelo smanjenje ušteda tijekom </w:t>
      </w:r>
      <w:r w:rsidR="00B8749F" w:rsidRPr="001C60E2">
        <w:rPr>
          <w:rFonts w:ascii="Arial" w:hAnsi="Arial" w:cs="Arial"/>
          <w:sz w:val="22"/>
        </w:rPr>
        <w:t>vremena.</w:t>
      </w:r>
    </w:p>
    <w:p w14:paraId="10028878" w14:textId="77777777" w:rsidR="00B8749F" w:rsidRPr="001C60E2" w:rsidRDefault="00B8749F" w:rsidP="0090122C">
      <w:pPr>
        <w:pStyle w:val="PointManual1"/>
        <w:spacing w:before="0" w:after="0" w:line="276" w:lineRule="auto"/>
        <w:ind w:left="0" w:firstLine="0"/>
        <w:jc w:val="both"/>
        <w:rPr>
          <w:rFonts w:ascii="Arial" w:hAnsi="Arial" w:cs="Arial"/>
          <w:sz w:val="22"/>
        </w:rPr>
      </w:pPr>
    </w:p>
    <w:p w14:paraId="662F0A96" w14:textId="13EA3D05" w:rsidR="00711D97" w:rsidRPr="001C60E2" w:rsidRDefault="00711D97" w:rsidP="00711D97">
      <w:pPr>
        <w:pStyle w:val="PointManual1"/>
        <w:numPr>
          <w:ilvl w:val="0"/>
          <w:numId w:val="18"/>
        </w:numPr>
        <w:spacing w:before="0" w:after="0" w:line="276" w:lineRule="auto"/>
        <w:rPr>
          <w:rFonts w:ascii="Arial" w:hAnsi="Arial" w:cs="Arial"/>
          <w:i/>
          <w:sz w:val="22"/>
        </w:rPr>
      </w:pPr>
      <w:r w:rsidRPr="001C60E2">
        <w:rPr>
          <w:rFonts w:ascii="Arial" w:hAnsi="Arial" w:cs="Arial"/>
          <w:i/>
          <w:sz w:val="22"/>
        </w:rPr>
        <w:t xml:space="preserve">kratak opis metodologije izračuna, uključujući kako se osiguravaju </w:t>
      </w:r>
      <w:proofErr w:type="spellStart"/>
      <w:r w:rsidR="006F6D55" w:rsidRPr="001C60E2">
        <w:rPr>
          <w:rFonts w:ascii="Arial" w:hAnsi="Arial" w:cs="Arial"/>
          <w:i/>
          <w:sz w:val="22"/>
        </w:rPr>
        <w:t>dodatnost</w:t>
      </w:r>
      <w:proofErr w:type="spellEnd"/>
      <w:r w:rsidR="006F6D55" w:rsidRPr="001C60E2">
        <w:rPr>
          <w:rFonts w:ascii="Arial" w:hAnsi="Arial" w:cs="Arial"/>
          <w:i/>
          <w:sz w:val="22"/>
        </w:rPr>
        <w:t xml:space="preserve"> </w:t>
      </w:r>
      <w:r w:rsidRPr="001C60E2">
        <w:rPr>
          <w:rFonts w:ascii="Arial" w:hAnsi="Arial" w:cs="Arial"/>
          <w:i/>
          <w:sz w:val="22"/>
        </w:rPr>
        <w:t xml:space="preserve">i </w:t>
      </w:r>
      <w:r w:rsidR="006F6D55" w:rsidRPr="001C60E2">
        <w:rPr>
          <w:rFonts w:ascii="Arial" w:hAnsi="Arial" w:cs="Arial"/>
          <w:i/>
          <w:sz w:val="22"/>
        </w:rPr>
        <w:t xml:space="preserve">značajnost </w:t>
      </w:r>
      <w:r w:rsidRPr="001C60E2">
        <w:rPr>
          <w:rFonts w:ascii="Arial" w:hAnsi="Arial" w:cs="Arial"/>
          <w:i/>
          <w:sz w:val="22"/>
        </w:rPr>
        <w:t xml:space="preserve">ušteda te koje se metodologije i mjerila </w:t>
      </w:r>
      <w:r w:rsidR="006F6D55" w:rsidRPr="001C60E2">
        <w:rPr>
          <w:rFonts w:ascii="Arial" w:hAnsi="Arial" w:cs="Arial"/>
          <w:i/>
          <w:sz w:val="22"/>
        </w:rPr>
        <w:t xml:space="preserve">koriste </w:t>
      </w:r>
      <w:r w:rsidRPr="001C60E2">
        <w:rPr>
          <w:rFonts w:ascii="Arial" w:hAnsi="Arial" w:cs="Arial"/>
          <w:i/>
          <w:sz w:val="22"/>
        </w:rPr>
        <w:t>za predviđene i procijenjene uštede</w:t>
      </w:r>
    </w:p>
    <w:p w14:paraId="4E0DD019" w14:textId="0FB05C03" w:rsidR="00711D97" w:rsidRPr="001C60E2" w:rsidRDefault="00711D97" w:rsidP="002B76BB">
      <w:pPr>
        <w:pStyle w:val="PointManual1"/>
        <w:spacing w:before="0" w:after="0" w:line="276" w:lineRule="auto"/>
        <w:ind w:left="0" w:firstLine="0"/>
        <w:jc w:val="both"/>
        <w:rPr>
          <w:rFonts w:ascii="Arial" w:hAnsi="Arial" w:cs="Arial"/>
          <w:sz w:val="22"/>
          <w:highlight w:val="yellow"/>
        </w:rPr>
      </w:pPr>
      <w:r w:rsidRPr="001C60E2">
        <w:rPr>
          <w:rFonts w:ascii="Arial" w:hAnsi="Arial" w:cs="Arial"/>
          <w:sz w:val="22"/>
        </w:rPr>
        <w:t xml:space="preserve">Metodologija izračuna ušteda iz pojedinačnih mjera temelji se na metodama odozdo-prema-gore, odnosno na matematičkim jednadžbama koje izračunavaju razliku potrošnje energije prije i nakon provedbe mjere poboljšanja energetske učinkovitosti. U izračunu je moguće koristiti predefinirane (referentne) podatke ili stvarne podatke svakog projekta. </w:t>
      </w:r>
    </w:p>
    <w:p w14:paraId="5635B022" w14:textId="77777777" w:rsidR="002B76BB" w:rsidRPr="001C60E2" w:rsidRDefault="002B76BB" w:rsidP="002B76BB">
      <w:pPr>
        <w:pStyle w:val="PointManual1"/>
        <w:spacing w:before="0" w:after="0" w:line="276" w:lineRule="auto"/>
        <w:ind w:left="0" w:firstLine="0"/>
        <w:jc w:val="both"/>
        <w:rPr>
          <w:rFonts w:ascii="Arial" w:hAnsi="Arial" w:cs="Arial"/>
          <w:sz w:val="22"/>
          <w:highlight w:val="yellow"/>
        </w:rPr>
      </w:pPr>
    </w:p>
    <w:p w14:paraId="6DB933A7" w14:textId="3CBD1A4A" w:rsidR="002B76BB" w:rsidRPr="001C60E2" w:rsidRDefault="002B76BB" w:rsidP="002B76BB">
      <w:pPr>
        <w:pStyle w:val="PointManual1"/>
        <w:spacing w:before="0" w:after="0" w:line="276" w:lineRule="auto"/>
        <w:ind w:left="0" w:firstLine="0"/>
        <w:jc w:val="both"/>
        <w:rPr>
          <w:rFonts w:ascii="Arial" w:hAnsi="Arial" w:cs="Arial"/>
          <w:sz w:val="22"/>
        </w:rPr>
      </w:pPr>
      <w:r w:rsidRPr="001C60E2">
        <w:rPr>
          <w:rFonts w:ascii="Arial" w:hAnsi="Arial" w:cs="Arial"/>
          <w:sz w:val="22"/>
        </w:rPr>
        <w:t>Dokaz ostvarene uštede energije jest elaborat o uštedama energije.</w:t>
      </w:r>
      <w:r w:rsidR="00D1254F" w:rsidRPr="001C60E2">
        <w:rPr>
          <w:rFonts w:ascii="Arial" w:hAnsi="Arial" w:cs="Arial"/>
          <w:sz w:val="22"/>
        </w:rPr>
        <w:t xml:space="preserve"> Sastavni dio elaborata su dokazi da je mjera provedena i dokazi o ulaznim podacima korištenim za izračun novih godišnjih ušteda energije.</w:t>
      </w:r>
      <w:r w:rsidR="00857B75" w:rsidRPr="001C60E2">
        <w:rPr>
          <w:rFonts w:ascii="Arial" w:hAnsi="Arial" w:cs="Arial"/>
          <w:sz w:val="22"/>
        </w:rPr>
        <w:t xml:space="preserve"> Kod mjera za poboljšanje energetske učinkovitosti koje se projektiraju, bez obzira jesu li definirane u Prilogu III. Pravilnika, koji je njegov sastavni dio ili ne, kao dokaz o provedenoj mjeri za poboljšanje energetske učinkovitosti smatra se projekt, potpisan od strane ovlaštenog projektanta struke na koju se mjera za poboljšanje energetske učinkovitosti odnosi i završno izvješće o izvedenim radovima potpisano od strane nadzornog inženjera.</w:t>
      </w:r>
      <w:r w:rsidR="005C6476" w:rsidRPr="001C60E2">
        <w:rPr>
          <w:rFonts w:ascii="Arial" w:hAnsi="Arial" w:cs="Arial"/>
          <w:sz w:val="22"/>
        </w:rPr>
        <w:t xml:space="preserve"> Za mjere za poboljšanje energetske učinkovitosti koje se ne projektiraju kao dokaz o provedenoj mjeri smatra se dokumentacija navedena za pojedinu mjeru u Prilogu III. Pravilnika, odnosno za mjere koje nisu definirane u Prilogu III. Pravilnika, dokazom se smatra sva ona dokumentacija na temelju koje se nedvojbeno može utvrditi da je mjera provedena, a koju odobrava Nacionalno koordinacijsko tijelo.</w:t>
      </w:r>
    </w:p>
    <w:p w14:paraId="43C294A0" w14:textId="77777777" w:rsidR="002B76BB" w:rsidRPr="001C60E2" w:rsidRDefault="002B76BB" w:rsidP="000E632F">
      <w:pPr>
        <w:pStyle w:val="PointManual1"/>
        <w:spacing w:before="0" w:after="0" w:line="276" w:lineRule="auto"/>
        <w:ind w:left="0" w:firstLine="0"/>
        <w:jc w:val="both"/>
        <w:rPr>
          <w:rFonts w:ascii="Arial" w:hAnsi="Arial" w:cs="Arial"/>
          <w:sz w:val="22"/>
          <w:highlight w:val="yellow"/>
        </w:rPr>
      </w:pPr>
    </w:p>
    <w:p w14:paraId="02F530F1" w14:textId="77777777" w:rsidR="00711D97" w:rsidRPr="001C60E2" w:rsidRDefault="00711D97" w:rsidP="00711D97">
      <w:pPr>
        <w:pStyle w:val="PointManual1"/>
        <w:spacing w:before="0" w:after="0" w:line="276" w:lineRule="auto"/>
        <w:ind w:left="0" w:firstLine="0"/>
        <w:jc w:val="both"/>
        <w:rPr>
          <w:rFonts w:ascii="Arial" w:hAnsi="Arial" w:cs="Arial"/>
          <w:sz w:val="22"/>
        </w:rPr>
      </w:pPr>
      <w:r w:rsidRPr="001C60E2">
        <w:rPr>
          <w:rFonts w:ascii="Arial" w:hAnsi="Arial" w:cs="Arial"/>
          <w:sz w:val="22"/>
        </w:rPr>
        <w:t xml:space="preserve">Aditivnost mjera se ostvaruje propisivanjem i ostvarivanjem tehničkih uvjeta koji nadilaze minimalne uvjete propisane relevantnom zakonskom regulativom. </w:t>
      </w:r>
    </w:p>
    <w:p w14:paraId="1F5C85D2" w14:textId="77777777" w:rsidR="009479A8" w:rsidRPr="001C60E2" w:rsidRDefault="009479A8" w:rsidP="00B43864">
      <w:pPr>
        <w:pStyle w:val="PointManual1"/>
        <w:spacing w:before="0" w:after="0" w:line="240" w:lineRule="auto"/>
        <w:ind w:left="0" w:firstLine="0"/>
        <w:jc w:val="both"/>
        <w:rPr>
          <w:rFonts w:ascii="Arial" w:hAnsi="Arial" w:cs="Arial"/>
          <w:sz w:val="22"/>
        </w:rPr>
      </w:pPr>
    </w:p>
    <w:p w14:paraId="174E62C7" w14:textId="6A2D241F" w:rsidR="009479A8" w:rsidRPr="001C60E2" w:rsidRDefault="009479A8" w:rsidP="00711D97">
      <w:pPr>
        <w:pStyle w:val="PointManual1"/>
        <w:spacing w:before="0" w:after="0" w:line="276" w:lineRule="auto"/>
        <w:ind w:left="0" w:firstLine="0"/>
        <w:jc w:val="both"/>
        <w:rPr>
          <w:rFonts w:ascii="Arial" w:hAnsi="Arial" w:cs="Arial"/>
          <w:sz w:val="22"/>
        </w:rPr>
      </w:pPr>
      <w:r w:rsidRPr="001C60E2">
        <w:rPr>
          <w:rFonts w:ascii="Arial" w:hAnsi="Arial" w:cs="Arial"/>
          <w:sz w:val="22"/>
        </w:rPr>
        <w:t>Svi dokazi o provedbi mjere moraju biti sastavni dio elaborata o uštedama energije, koje</w:t>
      </w:r>
      <w:r w:rsidR="00B43864" w:rsidRPr="001C60E2">
        <w:rPr>
          <w:rFonts w:ascii="Arial" w:hAnsi="Arial" w:cs="Arial"/>
          <w:sz w:val="22"/>
        </w:rPr>
        <w:t xml:space="preserve">ga izrađuje ovlaštena osoba za projektiranje ili energetske pregleda, koja je neovisna od nositelja uštede. </w:t>
      </w:r>
    </w:p>
    <w:p w14:paraId="13634992" w14:textId="77777777" w:rsidR="00711D97" w:rsidRPr="001C60E2" w:rsidRDefault="00711D97" w:rsidP="00711D97">
      <w:pPr>
        <w:pStyle w:val="PointManual1"/>
        <w:spacing w:before="0" w:after="0" w:line="276" w:lineRule="auto"/>
        <w:ind w:left="0" w:firstLine="0"/>
        <w:jc w:val="both"/>
        <w:rPr>
          <w:rFonts w:ascii="Arial" w:hAnsi="Arial" w:cs="Arial"/>
          <w:sz w:val="22"/>
          <w:highlight w:val="yellow"/>
        </w:rPr>
      </w:pPr>
    </w:p>
    <w:p w14:paraId="630A2C79" w14:textId="5C10F8BB" w:rsidR="00711D97" w:rsidRPr="001C60E2" w:rsidRDefault="00711D97" w:rsidP="00711D97">
      <w:pPr>
        <w:pStyle w:val="PointManual1"/>
        <w:numPr>
          <w:ilvl w:val="0"/>
          <w:numId w:val="18"/>
        </w:numPr>
        <w:spacing w:before="0" w:after="0" w:line="276" w:lineRule="auto"/>
        <w:rPr>
          <w:rFonts w:ascii="Arial" w:hAnsi="Arial" w:cs="Arial"/>
          <w:i/>
          <w:sz w:val="22"/>
        </w:rPr>
      </w:pPr>
      <w:r w:rsidRPr="001C60E2">
        <w:rPr>
          <w:rFonts w:ascii="Arial" w:hAnsi="Arial" w:cs="Arial"/>
          <w:i/>
          <w:sz w:val="22"/>
        </w:rPr>
        <w:t>podaci o tome kako se rješavaju moguća preklapanja između mjera politike i pojedinačnih mjera kako bi se izbjeglo dvostruko računanje uštede energije</w:t>
      </w:r>
    </w:p>
    <w:p w14:paraId="185904E9" w14:textId="77777777" w:rsidR="00711D97" w:rsidRPr="001C60E2" w:rsidRDefault="00711D97" w:rsidP="00711D97">
      <w:pPr>
        <w:pStyle w:val="PointManual1"/>
        <w:spacing w:before="0" w:after="0" w:line="276" w:lineRule="auto"/>
        <w:ind w:left="0" w:firstLine="0"/>
        <w:rPr>
          <w:rFonts w:ascii="Arial" w:hAnsi="Arial" w:cs="Arial"/>
          <w:sz w:val="22"/>
        </w:rPr>
      </w:pPr>
      <w:r w:rsidRPr="001C60E2">
        <w:rPr>
          <w:rFonts w:ascii="Arial" w:hAnsi="Arial" w:cs="Arial"/>
          <w:sz w:val="22"/>
        </w:rPr>
        <w:t>Dvostruko obračunavanje ušteda energije izbjegava se:</w:t>
      </w:r>
    </w:p>
    <w:p w14:paraId="2A1E2827" w14:textId="77777777" w:rsidR="00711D97" w:rsidRPr="001C60E2" w:rsidRDefault="00711D97" w:rsidP="00711D97">
      <w:pPr>
        <w:pStyle w:val="PointManual1"/>
        <w:numPr>
          <w:ilvl w:val="0"/>
          <w:numId w:val="20"/>
        </w:numPr>
        <w:spacing w:before="0" w:after="0" w:line="276" w:lineRule="auto"/>
        <w:rPr>
          <w:rFonts w:ascii="Arial" w:hAnsi="Arial" w:cs="Arial"/>
          <w:sz w:val="22"/>
        </w:rPr>
      </w:pPr>
      <w:r w:rsidRPr="001C60E2">
        <w:rPr>
          <w:rFonts w:ascii="Arial" w:hAnsi="Arial" w:cs="Arial"/>
          <w:sz w:val="22"/>
        </w:rPr>
        <w:t>definiranjem mjera, pazeći da se ne preklapaju</w:t>
      </w:r>
    </w:p>
    <w:p w14:paraId="61F71AE9" w14:textId="60022D09" w:rsidR="00711D97" w:rsidRPr="001C60E2" w:rsidRDefault="00711D97" w:rsidP="00711D97">
      <w:pPr>
        <w:pStyle w:val="PointManual1"/>
        <w:numPr>
          <w:ilvl w:val="0"/>
          <w:numId w:val="20"/>
        </w:numPr>
        <w:spacing w:before="0" w:after="0" w:line="276" w:lineRule="auto"/>
        <w:rPr>
          <w:rFonts w:ascii="Arial" w:hAnsi="Arial" w:cs="Arial"/>
          <w:sz w:val="22"/>
        </w:rPr>
      </w:pPr>
      <w:r w:rsidRPr="001C60E2">
        <w:rPr>
          <w:rFonts w:ascii="Arial" w:hAnsi="Arial" w:cs="Arial"/>
          <w:sz w:val="22"/>
        </w:rPr>
        <w:t xml:space="preserve">definiranjem obveznika unosa podataka u </w:t>
      </w:r>
      <w:proofErr w:type="spellStart"/>
      <w:r w:rsidRPr="001C60E2">
        <w:rPr>
          <w:rFonts w:ascii="Arial" w:hAnsi="Arial" w:cs="Arial"/>
          <w:sz w:val="22"/>
        </w:rPr>
        <w:t>SMiV</w:t>
      </w:r>
      <w:proofErr w:type="spellEnd"/>
      <w:r w:rsidRPr="001C60E2">
        <w:rPr>
          <w:rFonts w:ascii="Arial" w:hAnsi="Arial" w:cs="Arial"/>
          <w:sz w:val="22"/>
        </w:rPr>
        <w:t xml:space="preserve">: </w:t>
      </w:r>
      <w:r w:rsidR="006C4BFF" w:rsidRPr="001C60E2">
        <w:rPr>
          <w:rFonts w:ascii="Arial" w:hAnsi="Arial" w:cs="Arial"/>
          <w:sz w:val="22"/>
        </w:rPr>
        <w:t xml:space="preserve">stranke obveznice, </w:t>
      </w:r>
      <w:r w:rsidRPr="001C60E2">
        <w:rPr>
          <w:rFonts w:ascii="Arial" w:hAnsi="Arial" w:cs="Arial"/>
          <w:sz w:val="22"/>
        </w:rPr>
        <w:t>obveznici planiranja (veliki gradovi i županije); davatelji subvencija i pružatelji energetskih usluga</w:t>
      </w:r>
    </w:p>
    <w:p w14:paraId="5FD04611" w14:textId="366B18C0" w:rsidR="00711D97" w:rsidRPr="001C60E2" w:rsidRDefault="00711D97" w:rsidP="00711D97">
      <w:pPr>
        <w:pStyle w:val="PointManual1"/>
        <w:spacing w:before="0" w:line="276" w:lineRule="auto"/>
        <w:ind w:left="0" w:firstLine="0"/>
        <w:jc w:val="both"/>
        <w:rPr>
          <w:rFonts w:ascii="Arial" w:hAnsi="Arial" w:cs="Arial"/>
          <w:sz w:val="22"/>
        </w:rPr>
      </w:pPr>
      <w:proofErr w:type="spellStart"/>
      <w:r w:rsidRPr="001C60E2">
        <w:rPr>
          <w:rFonts w:ascii="Arial" w:hAnsi="Arial" w:cs="Arial"/>
          <w:sz w:val="22"/>
        </w:rPr>
        <w:t>SMiV</w:t>
      </w:r>
      <w:proofErr w:type="spellEnd"/>
      <w:r w:rsidRPr="001C60E2">
        <w:rPr>
          <w:rFonts w:ascii="Arial" w:hAnsi="Arial" w:cs="Arial"/>
          <w:sz w:val="22"/>
        </w:rPr>
        <w:t xml:space="preserve"> omogućava pregled unesenih podataka i brzo uočavanje eventualno dvostruko unesenih mjera i njihovih ušteda. Velika većina mjera u RH se provodi uz financijsku pomoć ili sudjelovanje Fonda za zaštitu okoliša i energetsku učinkovitost (bilo kao davatelj subvencije bilo kao posredničko tijelo u sustavu korištenja ESI sredstava), stoga ovakva centralizacija unosa također uvelike doprinosi izbjegavanju dvostrukog unosa i obračunavanja ušteda energije. </w:t>
      </w:r>
    </w:p>
    <w:p w14:paraId="45A15651" w14:textId="543292D1" w:rsidR="0084065C" w:rsidRPr="001C60E2" w:rsidRDefault="00D31AB9" w:rsidP="00711D97">
      <w:pPr>
        <w:pStyle w:val="PointManual1"/>
        <w:spacing w:before="0" w:line="276" w:lineRule="auto"/>
        <w:ind w:left="0" w:firstLine="0"/>
        <w:jc w:val="both"/>
        <w:rPr>
          <w:rFonts w:ascii="Arial" w:hAnsi="Arial" w:cs="Arial"/>
          <w:sz w:val="22"/>
        </w:rPr>
      </w:pPr>
      <w:r w:rsidRPr="001C60E2">
        <w:rPr>
          <w:rFonts w:ascii="Arial" w:hAnsi="Arial" w:cs="Arial"/>
          <w:sz w:val="22"/>
        </w:rPr>
        <w:lastRenderedPageBreak/>
        <w:t>S</w:t>
      </w:r>
      <w:r w:rsidR="0084065C" w:rsidRPr="001C60E2">
        <w:rPr>
          <w:rFonts w:ascii="Arial" w:hAnsi="Arial" w:cs="Arial"/>
          <w:sz w:val="22"/>
        </w:rPr>
        <w:t xml:space="preserve">tranke obveznice </w:t>
      </w:r>
      <w:r w:rsidRPr="001C60E2">
        <w:rPr>
          <w:rFonts w:ascii="Arial" w:hAnsi="Arial" w:cs="Arial"/>
          <w:sz w:val="22"/>
        </w:rPr>
        <w:t>ne mogu sebi pripisivati uštede koje su nastale</w:t>
      </w:r>
      <w:r w:rsidR="00AD7C02" w:rsidRPr="001C60E2">
        <w:rPr>
          <w:rFonts w:ascii="Arial" w:hAnsi="Arial" w:cs="Arial"/>
          <w:sz w:val="22"/>
        </w:rPr>
        <w:t xml:space="preserve"> provedbom</w:t>
      </w:r>
      <w:r w:rsidR="0084065C" w:rsidRPr="001C60E2">
        <w:rPr>
          <w:rFonts w:ascii="Arial" w:hAnsi="Arial" w:cs="Arial"/>
          <w:sz w:val="22"/>
        </w:rPr>
        <w:t xml:space="preserve"> </w:t>
      </w:r>
      <w:r w:rsidR="00AD7C02" w:rsidRPr="001C60E2">
        <w:rPr>
          <w:rFonts w:ascii="Arial" w:hAnsi="Arial" w:cs="Arial"/>
          <w:sz w:val="22"/>
        </w:rPr>
        <w:t>alternativnih mjera</w:t>
      </w:r>
      <w:r w:rsidR="009C2E3F" w:rsidRPr="001C60E2">
        <w:rPr>
          <w:rFonts w:ascii="Arial" w:hAnsi="Arial" w:cs="Arial"/>
          <w:sz w:val="22"/>
        </w:rPr>
        <w:t xml:space="preserve">, što je jasno utvrđeno Zakonom o energetskoj učinkovitosti i </w:t>
      </w:r>
      <w:r w:rsidR="00292F1C" w:rsidRPr="001C60E2">
        <w:rPr>
          <w:rFonts w:ascii="Arial" w:hAnsi="Arial" w:cs="Arial"/>
          <w:sz w:val="22"/>
        </w:rPr>
        <w:t>Pravilnikom o sustavu za praćenje, mjerenje i verifikaciju ušteda energije</w:t>
      </w:r>
      <w:r w:rsidR="0084065C" w:rsidRPr="001C60E2">
        <w:rPr>
          <w:rFonts w:ascii="Arial" w:hAnsi="Arial" w:cs="Arial"/>
          <w:sz w:val="22"/>
        </w:rPr>
        <w:t xml:space="preserve">. </w:t>
      </w:r>
    </w:p>
    <w:p w14:paraId="7442E97D" w14:textId="4EA9D666" w:rsidR="00711D97" w:rsidRPr="001C60E2" w:rsidRDefault="00711D97" w:rsidP="00711D97">
      <w:pPr>
        <w:pStyle w:val="PointManual1"/>
        <w:spacing w:before="0" w:after="0" w:line="276" w:lineRule="auto"/>
        <w:ind w:left="720" w:firstLine="0"/>
        <w:rPr>
          <w:rFonts w:ascii="Arial" w:hAnsi="Arial" w:cs="Arial"/>
          <w:sz w:val="22"/>
          <w:highlight w:val="yellow"/>
        </w:rPr>
      </w:pPr>
    </w:p>
    <w:p w14:paraId="46045633" w14:textId="6580DBA0" w:rsidR="00711D97" w:rsidRPr="001C60E2" w:rsidRDefault="006F6D55" w:rsidP="00711D97">
      <w:pPr>
        <w:pStyle w:val="PointManual1"/>
        <w:numPr>
          <w:ilvl w:val="0"/>
          <w:numId w:val="18"/>
        </w:numPr>
        <w:spacing w:before="0" w:after="0" w:line="276" w:lineRule="auto"/>
        <w:rPr>
          <w:rFonts w:ascii="Arial" w:hAnsi="Arial" w:cs="Arial"/>
          <w:i/>
          <w:sz w:val="22"/>
        </w:rPr>
      </w:pPr>
      <w:r w:rsidRPr="001C60E2">
        <w:rPr>
          <w:rFonts w:ascii="Arial" w:hAnsi="Arial" w:cs="Arial"/>
          <w:i/>
          <w:sz w:val="22"/>
        </w:rPr>
        <w:t xml:space="preserve">ako je relevantno, </w:t>
      </w:r>
      <w:r w:rsidR="00711D97" w:rsidRPr="001C60E2">
        <w:rPr>
          <w:rFonts w:ascii="Arial" w:hAnsi="Arial" w:cs="Arial"/>
          <w:i/>
          <w:sz w:val="22"/>
        </w:rPr>
        <w:t>klimatske razlike i primijenjeni pristup (prema potrebi)</w:t>
      </w:r>
    </w:p>
    <w:p w14:paraId="2F6BAAAF" w14:textId="77777777" w:rsidR="00711D97" w:rsidRPr="001C60E2" w:rsidRDefault="00711D97" w:rsidP="00711D97">
      <w:pPr>
        <w:pStyle w:val="PointManual1"/>
        <w:spacing w:before="0" w:after="0" w:line="276" w:lineRule="auto"/>
        <w:ind w:left="0" w:firstLine="0"/>
        <w:jc w:val="both"/>
        <w:rPr>
          <w:rFonts w:ascii="Arial" w:hAnsi="Arial" w:cs="Arial"/>
          <w:sz w:val="22"/>
        </w:rPr>
      </w:pPr>
      <w:r w:rsidRPr="001C60E2">
        <w:rPr>
          <w:rFonts w:ascii="Arial" w:hAnsi="Arial" w:cs="Arial"/>
          <w:sz w:val="22"/>
        </w:rPr>
        <w:t>U Hrvatskoj se razlikuju dvije klimatske regije: kontinentalna i primorska Hrvatska. Ovo je već uzeto u određivanju referentnih vrijednosti koje se koriste u metodama procjene ušteda, u skladu s Pravilnikom o sustavu za praćenje, mjerenje i verifikaciju ušteda energije.</w:t>
      </w:r>
    </w:p>
    <w:p w14:paraId="507FD257" w14:textId="77777777" w:rsidR="00711D97" w:rsidRPr="001C60E2" w:rsidRDefault="00711D97" w:rsidP="00711D97">
      <w:pPr>
        <w:pStyle w:val="PointManual1"/>
        <w:spacing w:before="0" w:after="0" w:line="276" w:lineRule="auto"/>
        <w:ind w:left="1701"/>
        <w:rPr>
          <w:rFonts w:ascii="Arial" w:hAnsi="Arial" w:cs="Arial"/>
          <w:noProof/>
          <w:sz w:val="22"/>
          <w:highlight w:val="yellow"/>
        </w:rPr>
      </w:pPr>
    </w:p>
    <w:p w14:paraId="52B53A7B" w14:textId="7D0C8025" w:rsidR="00711D97" w:rsidRPr="001C60E2" w:rsidRDefault="00711D97" w:rsidP="00711D97">
      <w:pPr>
        <w:suppressAutoHyphens w:val="0"/>
        <w:spacing w:before="0" w:after="0" w:line="240" w:lineRule="auto"/>
        <w:jc w:val="left"/>
        <w:rPr>
          <w:rFonts w:eastAsia="Calibri" w:cs="Arial"/>
          <w:b/>
          <w:i/>
          <w:highlight w:val="yellow"/>
          <w:lang w:eastAsia="en-US"/>
        </w:rPr>
      </w:pPr>
    </w:p>
    <w:p w14:paraId="0D916996" w14:textId="77777777" w:rsidR="00711D97" w:rsidRPr="001C60E2" w:rsidRDefault="00711D97" w:rsidP="00711D97">
      <w:pPr>
        <w:pStyle w:val="ManualNumPar1"/>
        <w:numPr>
          <w:ilvl w:val="0"/>
          <w:numId w:val="12"/>
        </w:numPr>
        <w:spacing w:before="0" w:after="0" w:line="276" w:lineRule="auto"/>
        <w:jc w:val="both"/>
        <w:rPr>
          <w:rFonts w:ascii="Arial" w:hAnsi="Arial" w:cs="Arial"/>
          <w:b/>
          <w:i/>
          <w:sz w:val="22"/>
        </w:rPr>
      </w:pPr>
      <w:r w:rsidRPr="001C60E2">
        <w:rPr>
          <w:rFonts w:ascii="Arial" w:hAnsi="Arial" w:cs="Arial"/>
          <w:b/>
          <w:i/>
          <w:sz w:val="22"/>
        </w:rPr>
        <w:t>Praćenje i verifikacija</w:t>
      </w:r>
    </w:p>
    <w:p w14:paraId="1E8C5E5C" w14:textId="77777777" w:rsidR="00711D97" w:rsidRPr="001C60E2" w:rsidRDefault="00711D97" w:rsidP="00711D97">
      <w:pPr>
        <w:spacing w:before="0" w:after="0" w:line="276" w:lineRule="auto"/>
        <w:rPr>
          <w:rFonts w:cs="Arial"/>
          <w:lang w:eastAsia="en-US"/>
        </w:rPr>
      </w:pPr>
    </w:p>
    <w:p w14:paraId="0A0CB21D" w14:textId="77777777" w:rsidR="00711D97" w:rsidRPr="001C60E2" w:rsidRDefault="00711D97" w:rsidP="00711D97">
      <w:pPr>
        <w:pStyle w:val="PointManual1"/>
        <w:numPr>
          <w:ilvl w:val="0"/>
          <w:numId w:val="19"/>
        </w:numPr>
        <w:spacing w:before="0" w:after="0" w:line="276" w:lineRule="auto"/>
        <w:rPr>
          <w:rFonts w:ascii="Arial" w:hAnsi="Arial" w:cs="Arial"/>
          <w:i/>
          <w:sz w:val="22"/>
        </w:rPr>
      </w:pPr>
      <w:r w:rsidRPr="001C60E2">
        <w:rPr>
          <w:rFonts w:ascii="Arial" w:hAnsi="Arial" w:cs="Arial"/>
          <w:i/>
          <w:sz w:val="22"/>
        </w:rPr>
        <w:t>kratki opis sustava praćenja i verifikacije i postupka verifikacije</w:t>
      </w:r>
    </w:p>
    <w:p w14:paraId="2419A8FA" w14:textId="78511A27" w:rsidR="00711D97" w:rsidRPr="001C60E2" w:rsidRDefault="00711D97" w:rsidP="00711D97">
      <w:pPr>
        <w:pStyle w:val="PointManual1"/>
        <w:spacing w:before="0" w:line="276" w:lineRule="auto"/>
        <w:ind w:left="0" w:firstLine="0"/>
        <w:jc w:val="both"/>
        <w:rPr>
          <w:rFonts w:ascii="Arial" w:hAnsi="Arial" w:cs="Arial"/>
          <w:sz w:val="22"/>
        </w:rPr>
      </w:pPr>
      <w:r w:rsidRPr="001C60E2">
        <w:rPr>
          <w:rFonts w:ascii="Arial" w:hAnsi="Arial" w:cs="Arial"/>
          <w:sz w:val="22"/>
        </w:rPr>
        <w:t xml:space="preserve">Sustav praćenja i verifikacije ušteda energije uspostavljen je Zakonom o energetskoj učinkovitosti i Pravilnikom o sustavu za praćenje, mjerenje i verifikaciju ušteda energije, a temelji se na informacijskoj platformi </w:t>
      </w:r>
      <w:proofErr w:type="spellStart"/>
      <w:r w:rsidRPr="001C60E2">
        <w:rPr>
          <w:rFonts w:ascii="Arial" w:hAnsi="Arial" w:cs="Arial"/>
          <w:sz w:val="22"/>
        </w:rPr>
        <w:t>SMiV</w:t>
      </w:r>
      <w:proofErr w:type="spellEnd"/>
      <w:r w:rsidRPr="001C60E2">
        <w:rPr>
          <w:rFonts w:ascii="Arial" w:hAnsi="Arial" w:cs="Arial"/>
          <w:sz w:val="22"/>
        </w:rPr>
        <w:t xml:space="preserve">, u koju su zakonom definirani nositelji ušteda dužni unositi podatke o provedenim mjerama energetske učinkovitosti i koji temeljem metoda procjene ili mjerenih podataka izračunava ostvarene uštede energije koje su rezultat tih mjera. Nositelji ušteda su </w:t>
      </w:r>
      <w:r w:rsidR="00DE567F" w:rsidRPr="001C60E2">
        <w:rPr>
          <w:rFonts w:ascii="Arial" w:hAnsi="Arial" w:cs="Arial"/>
          <w:sz w:val="22"/>
        </w:rPr>
        <w:t xml:space="preserve">stranke obveznice, </w:t>
      </w:r>
      <w:r w:rsidRPr="001C60E2">
        <w:rPr>
          <w:rFonts w:ascii="Arial" w:hAnsi="Arial" w:cs="Arial"/>
          <w:sz w:val="22"/>
        </w:rPr>
        <w:t>županije, veliki gradovi (s više od 35.000 stanovnika), davatelji subvencija te pružatelji energetskih ušteda.</w:t>
      </w:r>
    </w:p>
    <w:p w14:paraId="173333D8" w14:textId="2D218BE3" w:rsidR="006F6D55" w:rsidRPr="001C60E2" w:rsidRDefault="00711D97" w:rsidP="006F6D55">
      <w:pPr>
        <w:pStyle w:val="PointManual1"/>
        <w:spacing w:before="0" w:line="276" w:lineRule="auto"/>
        <w:ind w:left="0" w:firstLine="0"/>
        <w:jc w:val="both"/>
        <w:rPr>
          <w:rFonts w:ascii="Arial" w:hAnsi="Arial" w:cs="Arial"/>
          <w:sz w:val="22"/>
        </w:rPr>
      </w:pPr>
      <w:r w:rsidRPr="001C60E2">
        <w:rPr>
          <w:rFonts w:ascii="Arial" w:hAnsi="Arial" w:cs="Arial"/>
          <w:sz w:val="22"/>
        </w:rPr>
        <w:t xml:space="preserve">Verifikacija ušteda provodi se kroz </w:t>
      </w:r>
      <w:proofErr w:type="spellStart"/>
      <w:r w:rsidRPr="001C60E2">
        <w:rPr>
          <w:rFonts w:ascii="Arial" w:hAnsi="Arial" w:cs="Arial"/>
          <w:sz w:val="22"/>
        </w:rPr>
        <w:t>SMiV</w:t>
      </w:r>
      <w:proofErr w:type="spellEnd"/>
      <w:r w:rsidRPr="001C60E2">
        <w:rPr>
          <w:rFonts w:ascii="Arial" w:hAnsi="Arial" w:cs="Arial"/>
          <w:sz w:val="22"/>
        </w:rPr>
        <w:t xml:space="preserve"> i to na temelju </w:t>
      </w:r>
      <w:r w:rsidR="00241BF9" w:rsidRPr="001C60E2">
        <w:rPr>
          <w:rFonts w:ascii="Arial" w:hAnsi="Arial" w:cs="Arial"/>
          <w:sz w:val="22"/>
        </w:rPr>
        <w:t>elaborata o uštedama energije</w:t>
      </w:r>
      <w:r w:rsidRPr="001C60E2">
        <w:rPr>
          <w:rFonts w:ascii="Arial" w:hAnsi="Arial" w:cs="Arial"/>
          <w:sz w:val="22"/>
        </w:rPr>
        <w:t xml:space="preserve">, a koji </w:t>
      </w:r>
      <w:r w:rsidR="00241BF9" w:rsidRPr="001C60E2">
        <w:rPr>
          <w:rFonts w:ascii="Arial" w:hAnsi="Arial" w:cs="Arial"/>
          <w:sz w:val="22"/>
        </w:rPr>
        <w:t xml:space="preserve">je opisan </w:t>
      </w:r>
      <w:r w:rsidRPr="001C60E2">
        <w:rPr>
          <w:rFonts w:ascii="Arial" w:hAnsi="Arial" w:cs="Arial"/>
          <w:sz w:val="22"/>
        </w:rPr>
        <w:t xml:space="preserve">pod točkom </w:t>
      </w:r>
      <w:r w:rsidR="003103CA" w:rsidRPr="001C60E2">
        <w:rPr>
          <w:rFonts w:ascii="Arial" w:hAnsi="Arial" w:cs="Arial"/>
          <w:sz w:val="22"/>
        </w:rPr>
        <w:t>4</w:t>
      </w:r>
      <w:r w:rsidRPr="001C60E2">
        <w:rPr>
          <w:rFonts w:ascii="Arial" w:hAnsi="Arial" w:cs="Arial"/>
          <w:sz w:val="22"/>
        </w:rPr>
        <w:t xml:space="preserve">.(d) ovog dokumenta. </w:t>
      </w:r>
    </w:p>
    <w:p w14:paraId="10C5B342" w14:textId="1F5C63DE" w:rsidR="00711D97" w:rsidRPr="001C60E2" w:rsidRDefault="00711D97" w:rsidP="00711D97">
      <w:pPr>
        <w:pStyle w:val="PointManual1"/>
        <w:numPr>
          <w:ilvl w:val="0"/>
          <w:numId w:val="19"/>
        </w:numPr>
        <w:spacing w:before="0" w:after="0" w:line="276" w:lineRule="auto"/>
        <w:rPr>
          <w:rFonts w:ascii="Arial" w:hAnsi="Arial" w:cs="Arial"/>
          <w:i/>
          <w:sz w:val="22"/>
        </w:rPr>
      </w:pPr>
      <w:r w:rsidRPr="001C60E2">
        <w:rPr>
          <w:rFonts w:ascii="Arial" w:hAnsi="Arial" w:cs="Arial"/>
          <w:i/>
          <w:sz w:val="22"/>
        </w:rPr>
        <w:t>provedbeno tijelo javne vlasti i njegove glavne odgovornosti u pogledu sustava praćenja i verifikacije s obzirom na sustav obveze energetske učinkovitosti ili alternativne mjere</w:t>
      </w:r>
    </w:p>
    <w:p w14:paraId="0B7A9E62" w14:textId="7B005103" w:rsidR="00711D97" w:rsidRPr="001C60E2" w:rsidRDefault="00711D97" w:rsidP="00711D97">
      <w:pPr>
        <w:pStyle w:val="PointManual1"/>
        <w:spacing w:before="0" w:after="0" w:line="276" w:lineRule="auto"/>
        <w:ind w:left="0" w:firstLine="0"/>
        <w:jc w:val="both"/>
        <w:rPr>
          <w:rFonts w:ascii="Arial" w:hAnsi="Arial" w:cs="Arial"/>
          <w:sz w:val="22"/>
        </w:rPr>
      </w:pPr>
      <w:r w:rsidRPr="001C60E2">
        <w:rPr>
          <w:rFonts w:ascii="Arial" w:hAnsi="Arial" w:cs="Arial"/>
          <w:sz w:val="22"/>
        </w:rPr>
        <w:t xml:space="preserve">Verifikaciju ušteda provodi Nacionalno koordinacijsko tijelo (NKT), koje je posebna ustrojstvena jedinica unutar Ministarstva </w:t>
      </w:r>
      <w:r w:rsidR="0019381A" w:rsidRPr="001C60E2">
        <w:rPr>
          <w:rFonts w:ascii="Arial" w:hAnsi="Arial" w:cs="Arial"/>
          <w:sz w:val="22"/>
        </w:rPr>
        <w:t>gospodarstva i održivog razvoja</w:t>
      </w:r>
      <w:r w:rsidRPr="001C60E2">
        <w:rPr>
          <w:rFonts w:ascii="Arial" w:hAnsi="Arial" w:cs="Arial"/>
          <w:sz w:val="22"/>
        </w:rPr>
        <w:t xml:space="preserve">. NKT je odgovoran za vođenje cjelokupnoj sustava praćenja, mjerenja i verifikacije ušteda energije, održavanje i razvijanje </w:t>
      </w:r>
      <w:proofErr w:type="spellStart"/>
      <w:r w:rsidRPr="001C60E2">
        <w:rPr>
          <w:rFonts w:ascii="Arial" w:hAnsi="Arial" w:cs="Arial"/>
          <w:sz w:val="22"/>
        </w:rPr>
        <w:t>SMiV</w:t>
      </w:r>
      <w:proofErr w:type="spellEnd"/>
      <w:r w:rsidRPr="001C60E2">
        <w:rPr>
          <w:rFonts w:ascii="Arial" w:hAnsi="Arial" w:cs="Arial"/>
          <w:sz w:val="22"/>
        </w:rPr>
        <w:t xml:space="preserve">-a te izvještavanje o postignutim uštedama na godišnjoj razini. </w:t>
      </w:r>
    </w:p>
    <w:p w14:paraId="7A1AB9F0" w14:textId="77777777" w:rsidR="00711D97" w:rsidRPr="001C60E2" w:rsidRDefault="00711D97" w:rsidP="00711D97">
      <w:pPr>
        <w:pStyle w:val="PointManual1"/>
        <w:spacing w:before="0" w:after="0" w:line="276" w:lineRule="auto"/>
        <w:ind w:left="0" w:firstLine="0"/>
        <w:rPr>
          <w:rFonts w:ascii="Arial" w:hAnsi="Arial" w:cs="Arial"/>
          <w:sz w:val="22"/>
          <w:highlight w:val="yellow"/>
        </w:rPr>
      </w:pPr>
    </w:p>
    <w:p w14:paraId="6E5C300F" w14:textId="77777777" w:rsidR="00711D97" w:rsidRPr="001C60E2" w:rsidRDefault="00711D97" w:rsidP="00711D97">
      <w:pPr>
        <w:pStyle w:val="PointManual1"/>
        <w:numPr>
          <w:ilvl w:val="0"/>
          <w:numId w:val="19"/>
        </w:numPr>
        <w:spacing w:before="0" w:after="0" w:line="276" w:lineRule="auto"/>
        <w:rPr>
          <w:rFonts w:ascii="Arial" w:hAnsi="Arial" w:cs="Arial"/>
          <w:i/>
          <w:sz w:val="22"/>
        </w:rPr>
      </w:pPr>
      <w:r w:rsidRPr="001C60E2">
        <w:rPr>
          <w:rFonts w:ascii="Arial" w:hAnsi="Arial" w:cs="Arial"/>
          <w:i/>
          <w:sz w:val="22"/>
        </w:rPr>
        <w:t>neovisnost praćenja i verifikacije od stranaka obveznica, stranaka sudionica ili ovlaštenih stranaka</w:t>
      </w:r>
    </w:p>
    <w:p w14:paraId="61ACA3A9" w14:textId="4268DB92" w:rsidR="00711D97" w:rsidRPr="001C60E2" w:rsidRDefault="00711D97" w:rsidP="00711D97">
      <w:pPr>
        <w:pStyle w:val="PointManual1"/>
        <w:spacing w:before="0" w:after="0" w:line="276" w:lineRule="auto"/>
        <w:ind w:left="0" w:firstLine="0"/>
        <w:jc w:val="both"/>
        <w:rPr>
          <w:rFonts w:ascii="Arial" w:hAnsi="Arial" w:cs="Arial"/>
          <w:sz w:val="22"/>
        </w:rPr>
      </w:pPr>
      <w:r w:rsidRPr="001C60E2">
        <w:rPr>
          <w:rFonts w:ascii="Arial" w:hAnsi="Arial" w:cs="Arial"/>
          <w:sz w:val="22"/>
        </w:rPr>
        <w:t xml:space="preserve">S obzirom da je praćenje i verifikacija u nadležnosti Ministarstva odnosno NKT-a, osigurana je neovisnost od stranaka obveznica kao i drugih nositelja ušteda. </w:t>
      </w:r>
      <w:r w:rsidR="006470A8" w:rsidRPr="001C60E2">
        <w:rPr>
          <w:rFonts w:ascii="Arial" w:hAnsi="Arial" w:cs="Arial"/>
          <w:sz w:val="22"/>
        </w:rPr>
        <w:t xml:space="preserve">Dodatno, neovisnost se postiže i elaboratom o uštedama energije, kojim se dokazuju ostvarene uštede, a kojega izrađuje ovlaštena osoba, neovisna od nositelja uštede. </w:t>
      </w:r>
    </w:p>
    <w:p w14:paraId="370F801C" w14:textId="77777777" w:rsidR="00711D97" w:rsidRPr="001C60E2" w:rsidRDefault="00711D97" w:rsidP="00711D97">
      <w:pPr>
        <w:pStyle w:val="PointManual1"/>
        <w:spacing w:before="0" w:after="0" w:line="276" w:lineRule="auto"/>
        <w:ind w:left="0" w:firstLine="0"/>
        <w:rPr>
          <w:rFonts w:ascii="Arial" w:hAnsi="Arial" w:cs="Arial"/>
          <w:sz w:val="22"/>
          <w:highlight w:val="yellow"/>
        </w:rPr>
      </w:pPr>
    </w:p>
    <w:p w14:paraId="68B2735B" w14:textId="77777777" w:rsidR="00711D97" w:rsidRPr="001C60E2" w:rsidRDefault="00711D97" w:rsidP="00711D97">
      <w:pPr>
        <w:pStyle w:val="PointManual1"/>
        <w:numPr>
          <w:ilvl w:val="0"/>
          <w:numId w:val="19"/>
        </w:numPr>
        <w:spacing w:before="0" w:after="0" w:line="276" w:lineRule="auto"/>
        <w:rPr>
          <w:rFonts w:ascii="Arial" w:hAnsi="Arial" w:cs="Arial"/>
          <w:i/>
          <w:sz w:val="22"/>
        </w:rPr>
      </w:pPr>
      <w:r w:rsidRPr="001C60E2">
        <w:rPr>
          <w:rFonts w:ascii="Arial" w:hAnsi="Arial" w:cs="Arial"/>
          <w:i/>
          <w:sz w:val="22"/>
        </w:rPr>
        <w:t>statistički značajan udio mjera za poboljšanje energetske učinkovitosti i udio i kriteriji koji su upotrijebljeni za definiranje i odabir reprezentativnog uzorka</w:t>
      </w:r>
    </w:p>
    <w:p w14:paraId="21006B50" w14:textId="2EED3EDC" w:rsidR="00711D97" w:rsidRPr="001C60E2" w:rsidRDefault="00711D97" w:rsidP="00711D97">
      <w:pPr>
        <w:pStyle w:val="PointManual1"/>
        <w:spacing w:before="0" w:after="0" w:line="276" w:lineRule="auto"/>
        <w:ind w:left="0" w:firstLine="0"/>
        <w:jc w:val="both"/>
        <w:rPr>
          <w:rFonts w:ascii="Arial" w:hAnsi="Arial" w:cs="Arial"/>
          <w:sz w:val="22"/>
        </w:rPr>
      </w:pPr>
      <w:r w:rsidRPr="001C60E2">
        <w:rPr>
          <w:rFonts w:ascii="Arial" w:hAnsi="Arial" w:cs="Arial"/>
          <w:sz w:val="22"/>
        </w:rPr>
        <w:t xml:space="preserve">Verifikacija ušteda prema važećem Pravilniku o sustavu za praćenje, mjerenje i verifikaciju ušteda energije obavlja se </w:t>
      </w:r>
      <w:r w:rsidR="000A2655" w:rsidRPr="001C60E2">
        <w:rPr>
          <w:rFonts w:ascii="Arial" w:hAnsi="Arial" w:cs="Arial"/>
          <w:sz w:val="22"/>
        </w:rPr>
        <w:t xml:space="preserve">na temelju elaborata o uštedama energije i kroz </w:t>
      </w:r>
      <w:proofErr w:type="spellStart"/>
      <w:r w:rsidR="000A2655" w:rsidRPr="001C60E2">
        <w:rPr>
          <w:rFonts w:ascii="Arial" w:hAnsi="Arial" w:cs="Arial"/>
          <w:sz w:val="22"/>
        </w:rPr>
        <w:t>SMiV</w:t>
      </w:r>
      <w:proofErr w:type="spellEnd"/>
      <w:r w:rsidRPr="001C60E2">
        <w:rPr>
          <w:rFonts w:ascii="Arial" w:hAnsi="Arial" w:cs="Arial"/>
          <w:sz w:val="22"/>
        </w:rPr>
        <w:t xml:space="preserve">. </w:t>
      </w:r>
      <w:r w:rsidR="00AC2E8C" w:rsidRPr="001C60E2">
        <w:rPr>
          <w:rFonts w:ascii="Arial" w:hAnsi="Arial" w:cs="Arial"/>
          <w:sz w:val="22"/>
        </w:rPr>
        <w:t xml:space="preserve">NKT verificira sve unose u </w:t>
      </w:r>
      <w:proofErr w:type="spellStart"/>
      <w:r w:rsidR="00AC2E8C" w:rsidRPr="001C60E2">
        <w:rPr>
          <w:rFonts w:ascii="Arial" w:hAnsi="Arial" w:cs="Arial"/>
          <w:sz w:val="22"/>
        </w:rPr>
        <w:t>SMiV</w:t>
      </w:r>
      <w:proofErr w:type="spellEnd"/>
      <w:r w:rsidR="00AC2E8C" w:rsidRPr="001C60E2">
        <w:rPr>
          <w:rFonts w:ascii="Arial" w:hAnsi="Arial" w:cs="Arial"/>
          <w:sz w:val="22"/>
        </w:rPr>
        <w:t>.</w:t>
      </w:r>
    </w:p>
    <w:p w14:paraId="28219C34" w14:textId="77777777" w:rsidR="00711D97" w:rsidRPr="001C60E2" w:rsidRDefault="00711D97" w:rsidP="00711D97">
      <w:pPr>
        <w:pStyle w:val="PointManual1"/>
        <w:spacing w:before="0" w:after="0" w:line="276" w:lineRule="auto"/>
        <w:ind w:left="0" w:firstLine="0"/>
        <w:rPr>
          <w:rFonts w:ascii="Arial" w:hAnsi="Arial" w:cs="Arial"/>
          <w:sz w:val="22"/>
          <w:highlight w:val="yellow"/>
        </w:rPr>
      </w:pPr>
    </w:p>
    <w:p w14:paraId="2C723CF3" w14:textId="77777777" w:rsidR="00711D97" w:rsidRPr="001C60E2" w:rsidRDefault="00711D97" w:rsidP="00711D97">
      <w:pPr>
        <w:pStyle w:val="PointManual1"/>
        <w:numPr>
          <w:ilvl w:val="0"/>
          <w:numId w:val="19"/>
        </w:numPr>
        <w:spacing w:before="0" w:after="0" w:line="276" w:lineRule="auto"/>
        <w:rPr>
          <w:rFonts w:ascii="Arial" w:hAnsi="Arial" w:cs="Arial"/>
          <w:i/>
          <w:sz w:val="22"/>
        </w:rPr>
      </w:pPr>
      <w:r w:rsidRPr="001C60E2">
        <w:rPr>
          <w:rFonts w:ascii="Arial" w:hAnsi="Arial" w:cs="Arial"/>
          <w:i/>
          <w:sz w:val="22"/>
        </w:rPr>
        <w:t>obveze stranaka obveznica u pogledu izvješćivanja (uštede koje je ostvarila svaka stranka obveznica ili svaka potkategorija stranke obveznice, te ukupne uštede u okviru sustava)</w:t>
      </w:r>
    </w:p>
    <w:p w14:paraId="359909C0" w14:textId="103AC062" w:rsidR="00711D97" w:rsidRPr="001C60E2" w:rsidRDefault="00711D97" w:rsidP="00711D97">
      <w:pPr>
        <w:pStyle w:val="PointManual1"/>
        <w:spacing w:before="0" w:after="0" w:line="276" w:lineRule="auto"/>
        <w:ind w:left="0" w:firstLine="0"/>
        <w:jc w:val="both"/>
        <w:rPr>
          <w:rFonts w:ascii="Arial" w:hAnsi="Arial" w:cs="Arial"/>
          <w:sz w:val="22"/>
        </w:rPr>
      </w:pPr>
      <w:r w:rsidRPr="001C60E2">
        <w:rPr>
          <w:rFonts w:ascii="Arial" w:hAnsi="Arial" w:cs="Arial"/>
          <w:sz w:val="22"/>
        </w:rPr>
        <w:lastRenderedPageBreak/>
        <w:t>Način izvještavanja stranaka obveznica na godišnjoj razini o ostvarenim uštedama energije propisa</w:t>
      </w:r>
      <w:r w:rsidR="0084065C" w:rsidRPr="001C60E2">
        <w:rPr>
          <w:rFonts w:ascii="Arial" w:hAnsi="Arial" w:cs="Arial"/>
          <w:sz w:val="22"/>
        </w:rPr>
        <w:t xml:space="preserve">n je </w:t>
      </w:r>
      <w:r w:rsidR="004C7D47" w:rsidRPr="001C60E2">
        <w:rPr>
          <w:rFonts w:ascii="Arial" w:hAnsi="Arial" w:cs="Arial"/>
          <w:sz w:val="22"/>
        </w:rPr>
        <w:t>Zakonom o</w:t>
      </w:r>
      <w:r w:rsidRPr="001C60E2">
        <w:rPr>
          <w:rFonts w:ascii="Arial" w:hAnsi="Arial" w:cs="Arial"/>
          <w:sz w:val="22"/>
        </w:rPr>
        <w:t xml:space="preserve"> </w:t>
      </w:r>
      <w:r w:rsidR="004C7D47" w:rsidRPr="001C60E2">
        <w:rPr>
          <w:rFonts w:ascii="Arial" w:hAnsi="Arial" w:cs="Arial"/>
          <w:sz w:val="22"/>
        </w:rPr>
        <w:t xml:space="preserve">energetskoj </w:t>
      </w:r>
      <w:r w:rsidRPr="001C60E2">
        <w:rPr>
          <w:rFonts w:ascii="Arial" w:hAnsi="Arial" w:cs="Arial"/>
          <w:sz w:val="22"/>
        </w:rPr>
        <w:t>učinkovitosti</w:t>
      </w:r>
      <w:r w:rsidR="004C7D47" w:rsidRPr="001C60E2">
        <w:rPr>
          <w:rFonts w:ascii="Arial" w:hAnsi="Arial" w:cs="Arial"/>
          <w:sz w:val="22"/>
        </w:rPr>
        <w:t>, čiji je sastavni dio obrazac za izvještavanje</w:t>
      </w:r>
      <w:r w:rsidRPr="001C60E2">
        <w:rPr>
          <w:rFonts w:ascii="Arial" w:hAnsi="Arial" w:cs="Arial"/>
          <w:sz w:val="22"/>
        </w:rPr>
        <w:t>. Ukupne uštede u okviru sustava obveze sastavni su dio Godišnjeg izvješća o napretku postignutom u ostvarenju nacionalnih ciljeva energetske učinkovitosti (vidi točku (f)).</w:t>
      </w:r>
    </w:p>
    <w:p w14:paraId="4B17CB90" w14:textId="77777777" w:rsidR="00711D97" w:rsidRPr="001C60E2" w:rsidRDefault="00711D97" w:rsidP="00711D97">
      <w:pPr>
        <w:pStyle w:val="PointManual1"/>
        <w:spacing w:before="0" w:after="0" w:line="276" w:lineRule="auto"/>
        <w:ind w:left="0" w:firstLine="0"/>
        <w:jc w:val="both"/>
        <w:rPr>
          <w:rFonts w:ascii="Arial" w:hAnsi="Arial" w:cs="Arial"/>
          <w:sz w:val="22"/>
          <w:highlight w:val="yellow"/>
        </w:rPr>
      </w:pPr>
    </w:p>
    <w:p w14:paraId="6AE931B8" w14:textId="77777777" w:rsidR="00711D97" w:rsidRPr="001C60E2" w:rsidRDefault="00711D97" w:rsidP="00711D97">
      <w:pPr>
        <w:pStyle w:val="PointManual1"/>
        <w:numPr>
          <w:ilvl w:val="0"/>
          <w:numId w:val="19"/>
        </w:numPr>
        <w:spacing w:before="0" w:after="0" w:line="276" w:lineRule="auto"/>
        <w:rPr>
          <w:rFonts w:ascii="Arial" w:hAnsi="Arial" w:cs="Arial"/>
          <w:i/>
          <w:sz w:val="22"/>
        </w:rPr>
      </w:pPr>
      <w:r w:rsidRPr="001C60E2">
        <w:rPr>
          <w:rFonts w:ascii="Arial" w:hAnsi="Arial" w:cs="Arial"/>
          <w:i/>
          <w:sz w:val="22"/>
        </w:rPr>
        <w:t>objava ostvarene uštede energije (svake godine) u okviru sustava obveze energetske učinkovitosti i alternativnih mjera</w:t>
      </w:r>
    </w:p>
    <w:p w14:paraId="0F255AF4" w14:textId="7B391374" w:rsidR="00711D97" w:rsidRPr="001C60E2" w:rsidRDefault="00711D97" w:rsidP="00711D97">
      <w:pPr>
        <w:pStyle w:val="PointManual1"/>
        <w:spacing w:before="0" w:after="0" w:line="276" w:lineRule="auto"/>
        <w:ind w:left="0" w:firstLine="0"/>
        <w:jc w:val="both"/>
        <w:rPr>
          <w:rFonts w:ascii="Arial" w:hAnsi="Arial" w:cs="Arial"/>
          <w:sz w:val="22"/>
        </w:rPr>
      </w:pPr>
      <w:r w:rsidRPr="001C60E2">
        <w:rPr>
          <w:rFonts w:ascii="Arial" w:hAnsi="Arial" w:cs="Arial"/>
          <w:sz w:val="22"/>
        </w:rPr>
        <w:t>Prema Zakonu o energetskoj učinkovitosti, ministarstvo nadležno za energetiku, zajedno s ministarstvom nadležnim za graditeljstvo i NKT-om izrađuje Godišnje izvješće o napretku postignutom u ostvarenju nacionalnih ciljeva energetske učinkovitosti, koje do 1</w:t>
      </w:r>
      <w:r w:rsidR="003630F4" w:rsidRPr="001C60E2">
        <w:rPr>
          <w:rFonts w:ascii="Arial" w:hAnsi="Arial" w:cs="Arial"/>
          <w:sz w:val="22"/>
        </w:rPr>
        <w:t>5</w:t>
      </w:r>
      <w:r w:rsidRPr="001C60E2">
        <w:rPr>
          <w:rFonts w:ascii="Arial" w:hAnsi="Arial" w:cs="Arial"/>
          <w:sz w:val="22"/>
        </w:rPr>
        <w:t>.</w:t>
      </w:r>
      <w:r w:rsidR="003630F4" w:rsidRPr="001C60E2">
        <w:rPr>
          <w:rFonts w:ascii="Arial" w:hAnsi="Arial" w:cs="Arial"/>
          <w:sz w:val="22"/>
        </w:rPr>
        <w:t xml:space="preserve"> ožujka </w:t>
      </w:r>
      <w:r w:rsidRPr="001C60E2">
        <w:rPr>
          <w:rFonts w:ascii="Arial" w:hAnsi="Arial" w:cs="Arial"/>
          <w:sz w:val="22"/>
        </w:rPr>
        <w:t xml:space="preserve">tekuće godine usvaja Vlada RH za prethodnu godinu. Izvješće se </w:t>
      </w:r>
      <w:r w:rsidR="00F371C0" w:rsidRPr="001C60E2">
        <w:rPr>
          <w:rFonts w:ascii="Arial" w:hAnsi="Arial" w:cs="Arial"/>
          <w:sz w:val="22"/>
        </w:rPr>
        <w:t>prema Zakonu objavljuje na nacionalnom portalu energetske učinkovitosti</w:t>
      </w:r>
      <w:r w:rsidRPr="001C60E2">
        <w:rPr>
          <w:rFonts w:ascii="Arial" w:hAnsi="Arial" w:cs="Arial"/>
          <w:sz w:val="22"/>
        </w:rPr>
        <w:t xml:space="preserve">. </w:t>
      </w:r>
    </w:p>
    <w:p w14:paraId="271F06E7" w14:textId="77777777" w:rsidR="00711D97" w:rsidRPr="001C60E2" w:rsidRDefault="00711D97" w:rsidP="00711D97">
      <w:pPr>
        <w:pStyle w:val="PointManual1"/>
        <w:spacing w:before="0" w:after="0" w:line="276" w:lineRule="auto"/>
        <w:ind w:left="0" w:firstLine="0"/>
        <w:rPr>
          <w:rFonts w:ascii="Arial" w:hAnsi="Arial" w:cs="Arial"/>
          <w:sz w:val="22"/>
          <w:highlight w:val="yellow"/>
        </w:rPr>
      </w:pPr>
    </w:p>
    <w:p w14:paraId="6C589199" w14:textId="18C1E192" w:rsidR="00711D97" w:rsidRPr="001C60E2" w:rsidRDefault="00711D97" w:rsidP="00711D97">
      <w:pPr>
        <w:pStyle w:val="PointManual1"/>
        <w:numPr>
          <w:ilvl w:val="0"/>
          <w:numId w:val="19"/>
        </w:numPr>
        <w:spacing w:before="0" w:after="0" w:line="276" w:lineRule="auto"/>
        <w:rPr>
          <w:rFonts w:ascii="Arial" w:hAnsi="Arial" w:cs="Arial"/>
          <w:i/>
          <w:sz w:val="22"/>
        </w:rPr>
      </w:pPr>
      <w:r w:rsidRPr="001C60E2">
        <w:rPr>
          <w:rFonts w:ascii="Arial" w:hAnsi="Arial" w:cs="Arial"/>
          <w:i/>
          <w:sz w:val="22"/>
        </w:rPr>
        <w:t xml:space="preserve">informacije o zakonodavstvu država članica u pogledu sankcija koje treba primijeniti u slučaju </w:t>
      </w:r>
      <w:r w:rsidR="006F6D55" w:rsidRPr="001C60E2">
        <w:rPr>
          <w:rFonts w:ascii="Arial" w:hAnsi="Arial" w:cs="Arial"/>
          <w:i/>
          <w:sz w:val="22"/>
        </w:rPr>
        <w:t>nepoštovanja</w:t>
      </w:r>
    </w:p>
    <w:p w14:paraId="1CD697F1" w14:textId="5E9F5BB8" w:rsidR="00711D97" w:rsidRPr="001C60E2" w:rsidRDefault="0084065C" w:rsidP="00711D97">
      <w:pPr>
        <w:pStyle w:val="PointManual1"/>
        <w:spacing w:before="0" w:after="0" w:line="276" w:lineRule="auto"/>
        <w:ind w:left="0" w:firstLine="0"/>
        <w:jc w:val="both"/>
        <w:rPr>
          <w:rFonts w:ascii="Arial" w:hAnsi="Arial" w:cs="Arial"/>
          <w:sz w:val="22"/>
        </w:rPr>
      </w:pPr>
      <w:r w:rsidRPr="001C60E2">
        <w:rPr>
          <w:rFonts w:ascii="Arial" w:hAnsi="Arial" w:cs="Arial"/>
          <w:sz w:val="22"/>
        </w:rPr>
        <w:t>S</w:t>
      </w:r>
      <w:r w:rsidR="00711D97" w:rsidRPr="001C60E2">
        <w:rPr>
          <w:rFonts w:ascii="Arial" w:hAnsi="Arial" w:cs="Arial"/>
          <w:sz w:val="22"/>
        </w:rPr>
        <w:t>trankama obveznicama</w:t>
      </w:r>
      <w:r w:rsidR="006E2570" w:rsidRPr="001C60E2">
        <w:rPr>
          <w:rFonts w:ascii="Arial" w:hAnsi="Arial" w:cs="Arial"/>
          <w:sz w:val="22"/>
        </w:rPr>
        <w:t xml:space="preserve"> </w:t>
      </w:r>
      <w:r w:rsidR="00711D97" w:rsidRPr="001C60E2">
        <w:rPr>
          <w:rFonts w:ascii="Arial" w:hAnsi="Arial" w:cs="Arial"/>
          <w:sz w:val="22"/>
        </w:rPr>
        <w:t xml:space="preserve">Ministarstvo po službenoj dužnosti rješenjem </w:t>
      </w:r>
      <w:r w:rsidR="006E2570" w:rsidRPr="001C60E2">
        <w:rPr>
          <w:rFonts w:ascii="Arial" w:hAnsi="Arial" w:cs="Arial"/>
          <w:sz w:val="22"/>
        </w:rPr>
        <w:t>određuje</w:t>
      </w:r>
      <w:r w:rsidR="00711D97" w:rsidRPr="001C60E2">
        <w:rPr>
          <w:rFonts w:ascii="Arial" w:hAnsi="Arial" w:cs="Arial"/>
          <w:sz w:val="22"/>
        </w:rPr>
        <w:t xml:space="preserve"> iznos kojeg je na ime neostvarene uštede stranka obveznica dužna jednokratno uplatiti Fondu za zaštitu okoliša i energetsku učinkovitost, s rokom uplate od 30 dana od izvršnosti rješenja. Izračun iznosa kojega je stranka obveznica dužna uplatiti u Fond temelji se na </w:t>
      </w:r>
      <w:r w:rsidR="00072F64" w:rsidRPr="001C60E2">
        <w:rPr>
          <w:rFonts w:ascii="Arial" w:hAnsi="Arial" w:cs="Arial"/>
          <w:sz w:val="22"/>
        </w:rPr>
        <w:t xml:space="preserve">jediničnoj naknadi koja je propisana Zakonom i iznosu neostvarene uštede. </w:t>
      </w:r>
      <w:r w:rsidR="00B778B5" w:rsidRPr="001C60E2">
        <w:rPr>
          <w:rFonts w:ascii="Arial" w:hAnsi="Arial" w:cs="Arial"/>
          <w:sz w:val="22"/>
        </w:rPr>
        <w:t>Jedinična naknada je u 2021. godini iznosila 1,2 kn/kWh (0,16 €/kWh)</w:t>
      </w:r>
      <w:r w:rsidR="00732651" w:rsidRPr="001C60E2">
        <w:rPr>
          <w:rFonts w:ascii="Arial" w:hAnsi="Arial" w:cs="Arial"/>
          <w:sz w:val="22"/>
        </w:rPr>
        <w:t>, a svake godine se korigira množenjem indeksom potrošačkih cijena</w:t>
      </w:r>
      <w:r w:rsidR="00F84B32" w:rsidRPr="001C60E2">
        <w:rPr>
          <w:rFonts w:ascii="Arial" w:hAnsi="Arial" w:cs="Arial"/>
          <w:sz w:val="22"/>
        </w:rPr>
        <w:t xml:space="preserve">, kojega objavljuje Državni zavod za statistiku za prethodnu godinu. </w:t>
      </w:r>
      <w:r w:rsidR="00732651" w:rsidRPr="001C60E2">
        <w:rPr>
          <w:rFonts w:ascii="Arial" w:hAnsi="Arial" w:cs="Arial"/>
          <w:sz w:val="22"/>
        </w:rPr>
        <w:t xml:space="preserve"> </w:t>
      </w:r>
    </w:p>
    <w:p w14:paraId="6F8FA7AE" w14:textId="77777777" w:rsidR="00711D97" w:rsidRPr="001C60E2" w:rsidRDefault="00711D97" w:rsidP="00711D97">
      <w:pPr>
        <w:pStyle w:val="PointManual1"/>
        <w:spacing w:before="0" w:after="0" w:line="276" w:lineRule="auto"/>
        <w:ind w:left="0" w:firstLine="0"/>
        <w:jc w:val="both"/>
        <w:rPr>
          <w:rFonts w:ascii="Arial" w:hAnsi="Arial" w:cs="Arial"/>
          <w:sz w:val="22"/>
          <w:highlight w:val="yellow"/>
        </w:rPr>
      </w:pPr>
    </w:p>
    <w:p w14:paraId="7520A1B6" w14:textId="0AB729DD" w:rsidR="00711D97" w:rsidRPr="001C60E2" w:rsidRDefault="00711D97" w:rsidP="00711D97">
      <w:pPr>
        <w:pStyle w:val="PointManual1"/>
        <w:numPr>
          <w:ilvl w:val="0"/>
          <w:numId w:val="19"/>
        </w:numPr>
        <w:spacing w:before="0" w:after="0" w:line="276" w:lineRule="auto"/>
        <w:rPr>
          <w:rFonts w:ascii="Arial" w:hAnsi="Arial" w:cs="Arial"/>
          <w:i/>
          <w:sz w:val="22"/>
        </w:rPr>
      </w:pPr>
      <w:r w:rsidRPr="001C60E2">
        <w:rPr>
          <w:rFonts w:ascii="Arial" w:hAnsi="Arial" w:cs="Arial"/>
          <w:i/>
          <w:sz w:val="22"/>
        </w:rPr>
        <w:t xml:space="preserve">informacije o mjerama </w:t>
      </w:r>
      <w:r w:rsidR="006F6D55" w:rsidRPr="001C60E2">
        <w:rPr>
          <w:rFonts w:ascii="Arial" w:hAnsi="Arial" w:cs="Arial"/>
          <w:i/>
          <w:sz w:val="22"/>
        </w:rPr>
        <w:t xml:space="preserve">politike koje su predviđene </w:t>
      </w:r>
      <w:r w:rsidRPr="001C60E2">
        <w:rPr>
          <w:rFonts w:ascii="Arial" w:hAnsi="Arial" w:cs="Arial"/>
          <w:i/>
          <w:sz w:val="22"/>
        </w:rPr>
        <w:t>ako napredak nije zadovoljavajući</w:t>
      </w:r>
    </w:p>
    <w:p w14:paraId="7FE8CBB5" w14:textId="2FCDAA40" w:rsidR="00711D97" w:rsidRPr="001C60E2" w:rsidRDefault="00711D97" w:rsidP="00711D97">
      <w:pPr>
        <w:spacing w:before="0" w:line="276" w:lineRule="auto"/>
        <w:rPr>
          <w:rFonts w:cs="Arial"/>
        </w:rPr>
      </w:pPr>
      <w:r w:rsidRPr="001C60E2">
        <w:rPr>
          <w:rFonts w:cs="Arial"/>
        </w:rPr>
        <w:t xml:space="preserve">Trenutno nisu predviđene konkretne mjere koje bi trebalo poduzeti ako napredak u ostvarenju ciljeva nije zadovoljavajući. Korektivne mjere treba primijeniti kako na sustav obveza tako i na alternativne mjere. U sustavu obveza, jedna od korektivnih mjera može biti povećanje naknade koje stranke obveznice moraju uplatiti u Fond, što bi </w:t>
      </w:r>
      <w:r w:rsidR="0084065C" w:rsidRPr="001C60E2">
        <w:rPr>
          <w:rFonts w:cs="Arial"/>
        </w:rPr>
        <w:t xml:space="preserve">se </w:t>
      </w:r>
      <w:r w:rsidRPr="001C60E2">
        <w:rPr>
          <w:rFonts w:cs="Arial"/>
        </w:rPr>
        <w:t xml:space="preserve">trebalo </w:t>
      </w:r>
      <w:r w:rsidR="0084065C" w:rsidRPr="001C60E2">
        <w:rPr>
          <w:rFonts w:cs="Arial"/>
        </w:rPr>
        <w:t>ugraditi u propise, ukoliko se utvrdi da sustav ne funkcionira</w:t>
      </w:r>
      <w:r w:rsidRPr="001C60E2">
        <w:rPr>
          <w:rFonts w:cs="Arial"/>
        </w:rPr>
        <w:t xml:space="preserve">. U dijelu alternativnih mjera, korektivne aktivnosti obuhvaćaju povećanje obuhvata aktivnosti, učinkovitiju provedbu prilagodbom administrativnih procedura i povećanje raspoloživih sredstava za sufinanciranje mjera. </w:t>
      </w:r>
    </w:p>
    <w:p w14:paraId="1042284D" w14:textId="77777777" w:rsidR="006E2570" w:rsidRPr="001C60E2" w:rsidRDefault="006E2570" w:rsidP="00711D97">
      <w:pPr>
        <w:spacing w:before="0" w:line="276" w:lineRule="auto"/>
        <w:rPr>
          <w:rFonts w:cs="Arial"/>
        </w:rPr>
      </w:pPr>
    </w:p>
    <w:p w14:paraId="4F34B468" w14:textId="72AE59C0" w:rsidR="006E2570" w:rsidRPr="001C60E2" w:rsidRDefault="006E2570" w:rsidP="00711D97">
      <w:pPr>
        <w:spacing w:before="0" w:line="276" w:lineRule="auto"/>
        <w:rPr>
          <w:rFonts w:cs="Arial"/>
        </w:rPr>
      </w:pPr>
    </w:p>
    <w:p w14:paraId="20DBE40E" w14:textId="77777777" w:rsidR="00711D97" w:rsidRPr="001C60E2" w:rsidRDefault="00711D97" w:rsidP="00711D97"/>
    <w:p w14:paraId="2EC8A5F5" w14:textId="2B5A886B" w:rsidR="005F6ECC" w:rsidRPr="001C60E2" w:rsidRDefault="005F6ECC" w:rsidP="006F6D55"/>
    <w:sectPr w:rsidR="005F6ECC" w:rsidRPr="001C60E2" w:rsidSect="00E5709B">
      <w:pgSz w:w="11907" w:h="16840" w:code="9"/>
      <w:pgMar w:top="1418" w:right="1418" w:bottom="1418" w:left="1418" w:header="567"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D2AE4" w14:textId="77777777" w:rsidR="005A01E3" w:rsidRDefault="005A01E3">
      <w:pPr>
        <w:spacing w:before="0" w:after="0" w:line="240" w:lineRule="auto"/>
      </w:pPr>
      <w:r>
        <w:separator/>
      </w:r>
    </w:p>
  </w:endnote>
  <w:endnote w:type="continuationSeparator" w:id="0">
    <w:p w14:paraId="7CE1CE34" w14:textId="77777777" w:rsidR="005A01E3" w:rsidRDefault="005A01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Cond">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A4B8D" w14:textId="77777777" w:rsidR="003B34BF" w:rsidRPr="00EC10BE" w:rsidRDefault="003B34BF" w:rsidP="00E57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3FEC" w14:textId="77777777" w:rsidR="003B34BF" w:rsidRPr="00EC10BE" w:rsidRDefault="003B34BF" w:rsidP="00E57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7ADB" w14:textId="77777777" w:rsidR="005A01E3" w:rsidRDefault="005A01E3">
      <w:pPr>
        <w:spacing w:before="0" w:after="0" w:line="240" w:lineRule="auto"/>
      </w:pPr>
      <w:r>
        <w:separator/>
      </w:r>
    </w:p>
  </w:footnote>
  <w:footnote w:type="continuationSeparator" w:id="0">
    <w:p w14:paraId="1E302D4B" w14:textId="77777777" w:rsidR="005A01E3" w:rsidRDefault="005A01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52F2F" w14:textId="77777777" w:rsidR="003B34BF" w:rsidRPr="00EC10BE" w:rsidRDefault="003B34BF" w:rsidP="00E57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2217D" w14:textId="77777777" w:rsidR="003B34BF" w:rsidRPr="00EC10BE" w:rsidRDefault="003B34BF" w:rsidP="00E57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F268" w14:textId="77777777" w:rsidR="003B34BF" w:rsidRPr="00EC10BE" w:rsidRDefault="003B34BF" w:rsidP="00E57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26E7B28"/>
    <w:lvl w:ilvl="0">
      <w:start w:val="1"/>
      <w:numFmt w:val="bullet"/>
      <w:pStyle w:val="Literatura"/>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DB64084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D49576D"/>
    <w:multiLevelType w:val="hybridMultilevel"/>
    <w:tmpl w:val="B43041C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32319E"/>
    <w:multiLevelType w:val="hybridMultilevel"/>
    <w:tmpl w:val="833E7C22"/>
    <w:lvl w:ilvl="0" w:tplc="5C36DE2C">
      <w:start w:val="1"/>
      <w:numFmt w:val="lowerLetter"/>
      <w:lvlText w:val="(%1)"/>
      <w:lvlJc w:val="left"/>
      <w:pPr>
        <w:ind w:left="927" w:hanging="360"/>
      </w:pPr>
      <w:rPr>
        <w:b w:val="0"/>
      </w:rPr>
    </w:lvl>
    <w:lvl w:ilvl="1" w:tplc="E318AF92">
      <w:start w:val="1"/>
      <w:numFmt w:val="lowerRoman"/>
      <w:lvlText w:val="(%2)"/>
      <w:lvlJc w:val="right"/>
      <w:pPr>
        <w:ind w:left="1647" w:hanging="360"/>
      </w:pPr>
      <w:rPr>
        <w:rFonts w:hint="default"/>
      </w:r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4" w15:restartNumberingAfterBreak="0">
    <w:nsid w:val="12690B17"/>
    <w:multiLevelType w:val="hybridMultilevel"/>
    <w:tmpl w:val="9B6AA618"/>
    <w:lvl w:ilvl="0" w:tplc="5C36DE2C">
      <w:start w:val="1"/>
      <w:numFmt w:val="lowerLetter"/>
      <w:lvlText w:val="(%1)"/>
      <w:lvlJc w:val="left"/>
      <w:pPr>
        <w:ind w:left="927" w:hanging="360"/>
      </w:pPr>
      <w:rPr>
        <w:b w:val="0"/>
      </w:rPr>
    </w:lvl>
    <w:lvl w:ilvl="1" w:tplc="041A0019">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5" w15:restartNumberingAfterBreak="0">
    <w:nsid w:val="1318457E"/>
    <w:multiLevelType w:val="hybridMultilevel"/>
    <w:tmpl w:val="9B6AA618"/>
    <w:lvl w:ilvl="0" w:tplc="5C36DE2C">
      <w:start w:val="1"/>
      <w:numFmt w:val="lowerLetter"/>
      <w:lvlText w:val="(%1)"/>
      <w:lvlJc w:val="left"/>
      <w:pPr>
        <w:ind w:left="927" w:hanging="360"/>
      </w:pPr>
      <w:rPr>
        <w:b w:val="0"/>
      </w:rPr>
    </w:lvl>
    <w:lvl w:ilvl="1" w:tplc="041A0019">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14937EE6"/>
    <w:multiLevelType w:val="hybridMultilevel"/>
    <w:tmpl w:val="F0D825FA"/>
    <w:lvl w:ilvl="0" w:tplc="D0E2028C">
      <w:start w:val="1"/>
      <w:numFmt w:val="bullet"/>
      <w:pStyle w:val="Bullets"/>
      <w:lvlText w:val=""/>
      <w:lvlJc w:val="left"/>
      <w:pPr>
        <w:tabs>
          <w:tab w:val="num" w:pos="643"/>
        </w:tabs>
        <w:ind w:left="643" w:hanging="2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F3A4D"/>
    <w:multiLevelType w:val="hybridMultilevel"/>
    <w:tmpl w:val="D8F49C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FE6231"/>
    <w:multiLevelType w:val="hybridMultilevel"/>
    <w:tmpl w:val="1772B664"/>
    <w:lvl w:ilvl="0" w:tplc="5C36DE2C">
      <w:start w:val="1"/>
      <w:numFmt w:val="lowerLetter"/>
      <w:lvlText w:val="(%1)"/>
      <w:lvlJc w:val="left"/>
      <w:pPr>
        <w:ind w:left="927" w:hanging="360"/>
      </w:pPr>
      <w:rPr>
        <w:b w:val="0"/>
      </w:rPr>
    </w:lvl>
    <w:lvl w:ilvl="1" w:tplc="E318AF92">
      <w:start w:val="1"/>
      <w:numFmt w:val="lowerRoman"/>
      <w:lvlText w:val="(%2)"/>
      <w:lvlJc w:val="right"/>
      <w:pPr>
        <w:ind w:left="1647" w:hanging="360"/>
      </w:pPr>
      <w:rPr>
        <w:rFonts w:hint="default"/>
      </w:r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9" w15:restartNumberingAfterBreak="0">
    <w:nsid w:val="25FE4560"/>
    <w:multiLevelType w:val="multilevel"/>
    <w:tmpl w:val="C21C2CEA"/>
    <w:lvl w:ilvl="0">
      <w:start w:val="1"/>
      <w:numFmt w:val="decimal"/>
      <w:pStyle w:val="ListBullet5"/>
      <w:lvlText w:val="%1"/>
      <w:lvlJc w:val="left"/>
      <w:pPr>
        <w:tabs>
          <w:tab w:val="num" w:pos="255"/>
        </w:tabs>
        <w:ind w:left="0" w:firstLine="0"/>
      </w:pPr>
      <w:rPr>
        <w:rFonts w:ascii="Myriad Pro Cond" w:hAnsi="Myriad Pro Cond" w:cs="Myriad Pro Cond" w:hint="default"/>
        <w:spacing w:val="0"/>
        <w:w w:val="100"/>
        <w:kern w:val="16"/>
        <w:position w:val="0"/>
        <w:sz w:val="144"/>
        <w:szCs w:val="144"/>
      </w:rPr>
    </w:lvl>
    <w:lvl w:ilvl="1">
      <w:start w:val="1"/>
      <w:numFmt w:val="decimal"/>
      <w:lvlRestart w:val="0"/>
      <w:lvlText w:val="%1.%2"/>
      <w:lvlJc w:val="left"/>
      <w:pPr>
        <w:tabs>
          <w:tab w:val="num" w:pos="-339"/>
        </w:tabs>
        <w:ind w:left="5160" w:hanging="4196"/>
      </w:pPr>
      <w:rPr>
        <w:rFonts w:hint="default"/>
      </w:rPr>
    </w:lvl>
    <w:lvl w:ilvl="2">
      <w:start w:val="1"/>
      <w:numFmt w:val="decimal"/>
      <w:lvlRestart w:val="0"/>
      <w:lvlText w:val="%1.%2.%3"/>
      <w:lvlJc w:val="left"/>
      <w:pPr>
        <w:tabs>
          <w:tab w:val="num" w:pos="-339"/>
        </w:tabs>
        <w:ind w:left="-339" w:hanging="851"/>
      </w:pPr>
      <w:rPr>
        <w:rFonts w:hint="default"/>
      </w:rPr>
    </w:lvl>
    <w:lvl w:ilvl="3">
      <w:start w:val="1"/>
      <w:numFmt w:val="decimal"/>
      <w:lvlText w:val="%1.%2.%3.%4"/>
      <w:lvlJc w:val="left"/>
      <w:pPr>
        <w:tabs>
          <w:tab w:val="num" w:pos="331"/>
        </w:tabs>
        <w:ind w:left="330" w:hanging="850"/>
      </w:pPr>
      <w:rPr>
        <w:rFonts w:hint="default"/>
      </w:rPr>
    </w:lvl>
    <w:lvl w:ilvl="4">
      <w:start w:val="1"/>
      <w:numFmt w:val="decimal"/>
      <w:lvlText w:val="%1.%2.%3.%4.%5"/>
      <w:lvlJc w:val="left"/>
      <w:pPr>
        <w:tabs>
          <w:tab w:val="num" w:pos="488"/>
        </w:tabs>
        <w:ind w:left="488" w:hanging="1008"/>
      </w:pPr>
      <w:rPr>
        <w:rFonts w:hint="default"/>
      </w:rPr>
    </w:lvl>
    <w:lvl w:ilvl="5">
      <w:start w:val="1"/>
      <w:numFmt w:val="decimal"/>
      <w:lvlText w:val="%1.%2.%3.%4.%5.%6"/>
      <w:lvlJc w:val="left"/>
      <w:pPr>
        <w:tabs>
          <w:tab w:val="num" w:pos="632"/>
        </w:tabs>
        <w:ind w:left="632" w:hanging="1152"/>
      </w:pPr>
      <w:rPr>
        <w:rFonts w:hint="default"/>
      </w:rPr>
    </w:lvl>
    <w:lvl w:ilvl="6">
      <w:start w:val="1"/>
      <w:numFmt w:val="decimal"/>
      <w:lvlText w:val="%1.%2.%3.%4.%5.%6.%7"/>
      <w:lvlJc w:val="left"/>
      <w:pPr>
        <w:tabs>
          <w:tab w:val="num" w:pos="776"/>
        </w:tabs>
        <w:ind w:left="776" w:hanging="1296"/>
      </w:pPr>
      <w:rPr>
        <w:rFonts w:hint="default"/>
      </w:rPr>
    </w:lvl>
    <w:lvl w:ilvl="7">
      <w:start w:val="1"/>
      <w:numFmt w:val="decimal"/>
      <w:lvlText w:val="%1.%2.%3.%4.%5.%6.%7.%8"/>
      <w:lvlJc w:val="left"/>
      <w:pPr>
        <w:tabs>
          <w:tab w:val="num" w:pos="920"/>
        </w:tabs>
        <w:ind w:left="920" w:hanging="1440"/>
      </w:pPr>
      <w:rPr>
        <w:rFonts w:hint="default"/>
      </w:rPr>
    </w:lvl>
    <w:lvl w:ilvl="8">
      <w:start w:val="1"/>
      <w:numFmt w:val="decimal"/>
      <w:lvlText w:val="%1.%2.%3.%4.%5.%6.%7.%8.%9"/>
      <w:lvlJc w:val="left"/>
      <w:pPr>
        <w:tabs>
          <w:tab w:val="num" w:pos="1064"/>
        </w:tabs>
        <w:ind w:left="1064" w:hanging="1584"/>
      </w:pPr>
      <w:rPr>
        <w:rFonts w:hint="default"/>
      </w:rPr>
    </w:lvl>
  </w:abstractNum>
  <w:abstractNum w:abstractNumId="10" w15:restartNumberingAfterBreak="0">
    <w:nsid w:val="2F271912"/>
    <w:multiLevelType w:val="hybridMultilevel"/>
    <w:tmpl w:val="133EA72C"/>
    <w:lvl w:ilvl="0" w:tplc="5C36DE2C">
      <w:start w:val="1"/>
      <w:numFmt w:val="lowerLetter"/>
      <w:lvlText w:val="(%1)"/>
      <w:lvlJc w:val="left"/>
      <w:pPr>
        <w:ind w:left="927" w:hanging="360"/>
      </w:pPr>
      <w:rPr>
        <w:b w:val="0"/>
      </w:rPr>
    </w:lvl>
    <w:lvl w:ilvl="1" w:tplc="041A001B">
      <w:start w:val="1"/>
      <w:numFmt w:val="lowerRoman"/>
      <w:lvlText w:val="%2."/>
      <w:lvlJc w:val="righ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1" w15:restartNumberingAfterBreak="0">
    <w:nsid w:val="31C5144B"/>
    <w:multiLevelType w:val="hybridMultilevel"/>
    <w:tmpl w:val="9B6AA618"/>
    <w:lvl w:ilvl="0" w:tplc="5C36DE2C">
      <w:start w:val="1"/>
      <w:numFmt w:val="lowerLetter"/>
      <w:lvlText w:val="(%1)"/>
      <w:lvlJc w:val="left"/>
      <w:pPr>
        <w:ind w:left="927" w:hanging="360"/>
      </w:pPr>
      <w:rPr>
        <w:b w:val="0"/>
      </w:rPr>
    </w:lvl>
    <w:lvl w:ilvl="1" w:tplc="041A0019">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34C06422"/>
    <w:multiLevelType w:val="hybridMultilevel"/>
    <w:tmpl w:val="841E007C"/>
    <w:lvl w:ilvl="0" w:tplc="041A0005">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39E665AB"/>
    <w:multiLevelType w:val="hybridMultilevel"/>
    <w:tmpl w:val="9B6AA618"/>
    <w:lvl w:ilvl="0" w:tplc="5C36DE2C">
      <w:start w:val="1"/>
      <w:numFmt w:val="lowerLetter"/>
      <w:lvlText w:val="(%1)"/>
      <w:lvlJc w:val="left"/>
      <w:pPr>
        <w:ind w:left="927" w:hanging="360"/>
      </w:pPr>
      <w:rPr>
        <w:b w:val="0"/>
      </w:rPr>
    </w:lvl>
    <w:lvl w:ilvl="1" w:tplc="041A0019">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42C3023D"/>
    <w:multiLevelType w:val="hybridMultilevel"/>
    <w:tmpl w:val="1A6016E4"/>
    <w:lvl w:ilvl="0" w:tplc="FFFFFFFF">
      <w:start w:val="1"/>
      <w:numFmt w:val="decimal"/>
      <w:pStyle w:val="zaglavlje"/>
      <w:lvlText w:val="%1."/>
      <w:lvlJc w:val="left"/>
      <w:pPr>
        <w:tabs>
          <w:tab w:val="num" w:pos="357"/>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76D6472"/>
    <w:multiLevelType w:val="multilevel"/>
    <w:tmpl w:val="35AE9C34"/>
    <w:lvl w:ilvl="0">
      <w:start w:val="1"/>
      <w:numFmt w:val="decimal"/>
      <w:pStyle w:val="Heading1"/>
      <w:lvlText w:val="%1."/>
      <w:lvlJc w:val="left"/>
      <w:pPr>
        <w:ind w:left="432" w:hanging="432"/>
      </w:pPr>
      <w:rPr>
        <w:rFonts w:hint="default"/>
        <w:color w:val="C00000"/>
      </w:rPr>
    </w:lvl>
    <w:lvl w:ilvl="1">
      <w:start w:val="1"/>
      <w:numFmt w:val="decimal"/>
      <w:pStyle w:val="Heading2"/>
      <w:lvlText w:val="%1.%2."/>
      <w:lvlJc w:val="left"/>
      <w:pPr>
        <w:ind w:left="576" w:hanging="576"/>
      </w:pPr>
      <w:rPr>
        <w:rFonts w:hint="default"/>
        <w:strike w:val="0"/>
      </w:rPr>
    </w:lvl>
    <w:lvl w:ilvl="2">
      <w:start w:val="1"/>
      <w:numFmt w:val="decimal"/>
      <w:pStyle w:val="Heading3"/>
      <w:lvlText w:val="%1.%2.%3."/>
      <w:lvlJc w:val="left"/>
      <w:pPr>
        <w:ind w:left="341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4FC328F8"/>
    <w:multiLevelType w:val="hybridMultilevel"/>
    <w:tmpl w:val="F2ECE078"/>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5851588"/>
    <w:multiLevelType w:val="hybridMultilevel"/>
    <w:tmpl w:val="9B6AA618"/>
    <w:lvl w:ilvl="0" w:tplc="5C36DE2C">
      <w:start w:val="1"/>
      <w:numFmt w:val="lowerLetter"/>
      <w:lvlText w:val="(%1)"/>
      <w:lvlJc w:val="left"/>
      <w:pPr>
        <w:ind w:left="927" w:hanging="360"/>
      </w:pPr>
      <w:rPr>
        <w:b w:val="0"/>
      </w:rPr>
    </w:lvl>
    <w:lvl w:ilvl="1" w:tplc="041A0019">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8" w15:restartNumberingAfterBreak="0">
    <w:nsid w:val="58FC7616"/>
    <w:multiLevelType w:val="hybridMultilevel"/>
    <w:tmpl w:val="D9F64D8E"/>
    <w:styleLink w:val="1ai"/>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60380F58"/>
    <w:multiLevelType w:val="hybridMultilevel"/>
    <w:tmpl w:val="9B6AA618"/>
    <w:lvl w:ilvl="0" w:tplc="5C36DE2C">
      <w:start w:val="1"/>
      <w:numFmt w:val="lowerLetter"/>
      <w:lvlText w:val="(%1)"/>
      <w:lvlJc w:val="left"/>
      <w:pPr>
        <w:ind w:left="927" w:hanging="360"/>
      </w:pPr>
      <w:rPr>
        <w:b w:val="0"/>
      </w:rPr>
    </w:lvl>
    <w:lvl w:ilvl="1" w:tplc="041A0019">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0" w15:restartNumberingAfterBreak="0">
    <w:nsid w:val="63C11C41"/>
    <w:multiLevelType w:val="hybridMultilevel"/>
    <w:tmpl w:val="23502642"/>
    <w:lvl w:ilvl="0" w:tplc="5C36DE2C">
      <w:start w:val="1"/>
      <w:numFmt w:val="lowerLetter"/>
      <w:lvlText w:val="(%1)"/>
      <w:lvlJc w:val="left"/>
      <w:pPr>
        <w:ind w:left="927" w:hanging="360"/>
      </w:pPr>
      <w:rPr>
        <w:b w:val="0"/>
      </w:rPr>
    </w:lvl>
    <w:lvl w:ilvl="1" w:tplc="041A0019">
      <w:start w:val="1"/>
      <w:numFmt w:val="lowerLetter"/>
      <w:lvlText w:val="%2."/>
      <w:lvlJc w:val="left"/>
      <w:pPr>
        <w:ind w:left="1647" w:hanging="360"/>
      </w:pPr>
    </w:lvl>
    <w:lvl w:ilvl="2" w:tplc="3A4857E2">
      <w:start w:val="1"/>
      <w:numFmt w:val="decimal"/>
      <w:lvlText w:val="%3."/>
      <w:lvlJc w:val="left"/>
      <w:pPr>
        <w:ind w:left="2547" w:hanging="360"/>
      </w:pPr>
      <w:rPr>
        <w:rFonts w:hint="default"/>
      </w:r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1" w15:restartNumberingAfterBreak="0">
    <w:nsid w:val="64B12422"/>
    <w:multiLevelType w:val="hybridMultilevel"/>
    <w:tmpl w:val="B2EECABA"/>
    <w:styleLink w:val="111111"/>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69DD11DB"/>
    <w:multiLevelType w:val="hybridMultilevel"/>
    <w:tmpl w:val="80747F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CFE0D62"/>
    <w:multiLevelType w:val="hybridMultilevel"/>
    <w:tmpl w:val="0AC0CD88"/>
    <w:styleLink w:val="StyleBulleted"/>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795E4D85"/>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4"/>
  </w:num>
  <w:num w:numId="3">
    <w:abstractNumId w:val="15"/>
  </w:num>
  <w:num w:numId="4">
    <w:abstractNumId w:val="9"/>
  </w:num>
  <w:num w:numId="5">
    <w:abstractNumId w:val="1"/>
  </w:num>
  <w:num w:numId="6">
    <w:abstractNumId w:val="6"/>
  </w:num>
  <w:num w:numId="7">
    <w:abstractNumId w:val="23"/>
  </w:num>
  <w:num w:numId="8">
    <w:abstractNumId w:val="21"/>
  </w:num>
  <w:num w:numId="9">
    <w:abstractNumId w:val="18"/>
  </w:num>
  <w:num w:numId="10">
    <w:abstractNumId w:val="19"/>
  </w:num>
  <w:num w:numId="11">
    <w:abstractNumId w:val="8"/>
  </w:num>
  <w:num w:numId="12">
    <w:abstractNumId w:val="24"/>
  </w:num>
  <w:num w:numId="13">
    <w:abstractNumId w:val="17"/>
  </w:num>
  <w:num w:numId="14">
    <w:abstractNumId w:val="3"/>
  </w:num>
  <w:num w:numId="15">
    <w:abstractNumId w:val="16"/>
  </w:num>
  <w:num w:numId="16">
    <w:abstractNumId w:val="4"/>
  </w:num>
  <w:num w:numId="17">
    <w:abstractNumId w:val="11"/>
  </w:num>
  <w:num w:numId="18">
    <w:abstractNumId w:val="20"/>
  </w:num>
  <w:num w:numId="19">
    <w:abstractNumId w:val="13"/>
  </w:num>
  <w:num w:numId="20">
    <w:abstractNumId w:val="2"/>
  </w:num>
  <w:num w:numId="21">
    <w:abstractNumId w:val="12"/>
  </w:num>
  <w:num w:numId="22">
    <w:abstractNumId w:val="5"/>
  </w:num>
  <w:num w:numId="23">
    <w:abstractNumId w:val="10"/>
  </w:num>
  <w:num w:numId="24">
    <w:abstractNumId w:val="22"/>
  </w:num>
  <w:num w:numId="25">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97"/>
    <w:rsid w:val="000036AA"/>
    <w:rsid w:val="000045E9"/>
    <w:rsid w:val="00004871"/>
    <w:rsid w:val="00010EE2"/>
    <w:rsid w:val="0001563E"/>
    <w:rsid w:val="000170DC"/>
    <w:rsid w:val="00034173"/>
    <w:rsid w:val="00036ADF"/>
    <w:rsid w:val="00051A21"/>
    <w:rsid w:val="0005465E"/>
    <w:rsid w:val="00056D08"/>
    <w:rsid w:val="00057BBD"/>
    <w:rsid w:val="00072768"/>
    <w:rsid w:val="00072F64"/>
    <w:rsid w:val="00074AFB"/>
    <w:rsid w:val="00077523"/>
    <w:rsid w:val="00090C0D"/>
    <w:rsid w:val="00091B9E"/>
    <w:rsid w:val="000A2655"/>
    <w:rsid w:val="000A2D61"/>
    <w:rsid w:val="000A626B"/>
    <w:rsid w:val="000A6EB2"/>
    <w:rsid w:val="000D2216"/>
    <w:rsid w:val="000D79C5"/>
    <w:rsid w:val="000E24BA"/>
    <w:rsid w:val="000E632F"/>
    <w:rsid w:val="000E6D9D"/>
    <w:rsid w:val="000F2B63"/>
    <w:rsid w:val="00106C5D"/>
    <w:rsid w:val="00116B89"/>
    <w:rsid w:val="001315DD"/>
    <w:rsid w:val="00136CEB"/>
    <w:rsid w:val="0014167C"/>
    <w:rsid w:val="00150CFD"/>
    <w:rsid w:val="001612C2"/>
    <w:rsid w:val="00161CA6"/>
    <w:rsid w:val="00167002"/>
    <w:rsid w:val="00171657"/>
    <w:rsid w:val="00175DAB"/>
    <w:rsid w:val="00177804"/>
    <w:rsid w:val="00186975"/>
    <w:rsid w:val="0019381A"/>
    <w:rsid w:val="00196C2A"/>
    <w:rsid w:val="001A7628"/>
    <w:rsid w:val="001C60E2"/>
    <w:rsid w:val="001C7A4D"/>
    <w:rsid w:val="001D0466"/>
    <w:rsid w:val="001D061B"/>
    <w:rsid w:val="001E2716"/>
    <w:rsid w:val="001E2728"/>
    <w:rsid w:val="001E3458"/>
    <w:rsid w:val="001F7C9B"/>
    <w:rsid w:val="0020246B"/>
    <w:rsid w:val="00203B9C"/>
    <w:rsid w:val="00220480"/>
    <w:rsid w:val="00222158"/>
    <w:rsid w:val="00222F5E"/>
    <w:rsid w:val="0024143D"/>
    <w:rsid w:val="00241BF9"/>
    <w:rsid w:val="0024623A"/>
    <w:rsid w:val="00247354"/>
    <w:rsid w:val="00247B32"/>
    <w:rsid w:val="00265C60"/>
    <w:rsid w:val="00274193"/>
    <w:rsid w:val="00285163"/>
    <w:rsid w:val="00292F1C"/>
    <w:rsid w:val="002931B3"/>
    <w:rsid w:val="0029520B"/>
    <w:rsid w:val="002953CE"/>
    <w:rsid w:val="00295560"/>
    <w:rsid w:val="002A2272"/>
    <w:rsid w:val="002A5079"/>
    <w:rsid w:val="002A69E5"/>
    <w:rsid w:val="002B76BB"/>
    <w:rsid w:val="002C1185"/>
    <w:rsid w:val="002D56AA"/>
    <w:rsid w:val="002E62C6"/>
    <w:rsid w:val="002E6504"/>
    <w:rsid w:val="002F3F59"/>
    <w:rsid w:val="002F5489"/>
    <w:rsid w:val="002F5B91"/>
    <w:rsid w:val="00302DE5"/>
    <w:rsid w:val="00306667"/>
    <w:rsid w:val="003078F7"/>
    <w:rsid w:val="003103CA"/>
    <w:rsid w:val="00322837"/>
    <w:rsid w:val="00326335"/>
    <w:rsid w:val="0032674B"/>
    <w:rsid w:val="00326BB3"/>
    <w:rsid w:val="003353D2"/>
    <w:rsid w:val="00336958"/>
    <w:rsid w:val="003479E7"/>
    <w:rsid w:val="00347BD2"/>
    <w:rsid w:val="003522A4"/>
    <w:rsid w:val="0035343D"/>
    <w:rsid w:val="003615B3"/>
    <w:rsid w:val="00362E6F"/>
    <w:rsid w:val="003630F4"/>
    <w:rsid w:val="0036374B"/>
    <w:rsid w:val="00374DAE"/>
    <w:rsid w:val="0038021A"/>
    <w:rsid w:val="00386746"/>
    <w:rsid w:val="00391CD6"/>
    <w:rsid w:val="00393FE6"/>
    <w:rsid w:val="003B34BF"/>
    <w:rsid w:val="003B5788"/>
    <w:rsid w:val="003B6518"/>
    <w:rsid w:val="003D2CB2"/>
    <w:rsid w:val="003E310D"/>
    <w:rsid w:val="003F2E21"/>
    <w:rsid w:val="003F6D54"/>
    <w:rsid w:val="00410C9D"/>
    <w:rsid w:val="00426AC4"/>
    <w:rsid w:val="00427B11"/>
    <w:rsid w:val="004309F2"/>
    <w:rsid w:val="0043155C"/>
    <w:rsid w:val="004360F5"/>
    <w:rsid w:val="00443ED1"/>
    <w:rsid w:val="00444F92"/>
    <w:rsid w:val="004464FC"/>
    <w:rsid w:val="00447FC4"/>
    <w:rsid w:val="004544AD"/>
    <w:rsid w:val="00472229"/>
    <w:rsid w:val="00473314"/>
    <w:rsid w:val="00476CD2"/>
    <w:rsid w:val="00484246"/>
    <w:rsid w:val="00493414"/>
    <w:rsid w:val="004C2550"/>
    <w:rsid w:val="004C7D47"/>
    <w:rsid w:val="004E7DB0"/>
    <w:rsid w:val="005009C5"/>
    <w:rsid w:val="005039AD"/>
    <w:rsid w:val="00504AF2"/>
    <w:rsid w:val="005051E3"/>
    <w:rsid w:val="00507FBB"/>
    <w:rsid w:val="00510D3F"/>
    <w:rsid w:val="00520924"/>
    <w:rsid w:val="00526A85"/>
    <w:rsid w:val="0052724A"/>
    <w:rsid w:val="00532819"/>
    <w:rsid w:val="0053733E"/>
    <w:rsid w:val="0054162E"/>
    <w:rsid w:val="00560291"/>
    <w:rsid w:val="00567688"/>
    <w:rsid w:val="00571B52"/>
    <w:rsid w:val="00581BDC"/>
    <w:rsid w:val="00585C87"/>
    <w:rsid w:val="005A01E3"/>
    <w:rsid w:val="005A1F88"/>
    <w:rsid w:val="005B7B7A"/>
    <w:rsid w:val="005C6476"/>
    <w:rsid w:val="005C7117"/>
    <w:rsid w:val="005D064B"/>
    <w:rsid w:val="005D0EEA"/>
    <w:rsid w:val="005E24B9"/>
    <w:rsid w:val="005F1AFC"/>
    <w:rsid w:val="005F5913"/>
    <w:rsid w:val="005F6ECC"/>
    <w:rsid w:val="00604252"/>
    <w:rsid w:val="00611C97"/>
    <w:rsid w:val="006152BB"/>
    <w:rsid w:val="0062028F"/>
    <w:rsid w:val="00626CA4"/>
    <w:rsid w:val="00640192"/>
    <w:rsid w:val="006463D3"/>
    <w:rsid w:val="006470A8"/>
    <w:rsid w:val="006670C0"/>
    <w:rsid w:val="00674221"/>
    <w:rsid w:val="006778A7"/>
    <w:rsid w:val="006827EB"/>
    <w:rsid w:val="006867AF"/>
    <w:rsid w:val="006B1E61"/>
    <w:rsid w:val="006B3932"/>
    <w:rsid w:val="006B6ECB"/>
    <w:rsid w:val="006C041F"/>
    <w:rsid w:val="006C4BFF"/>
    <w:rsid w:val="006D00F4"/>
    <w:rsid w:val="006D1797"/>
    <w:rsid w:val="006D5004"/>
    <w:rsid w:val="006D67EE"/>
    <w:rsid w:val="006E2570"/>
    <w:rsid w:val="006E289D"/>
    <w:rsid w:val="006F44C4"/>
    <w:rsid w:val="006F6D55"/>
    <w:rsid w:val="00711D97"/>
    <w:rsid w:val="00712F1A"/>
    <w:rsid w:val="007165AE"/>
    <w:rsid w:val="00721C32"/>
    <w:rsid w:val="007239A9"/>
    <w:rsid w:val="00732651"/>
    <w:rsid w:val="00742A52"/>
    <w:rsid w:val="007529DD"/>
    <w:rsid w:val="00756C01"/>
    <w:rsid w:val="00762040"/>
    <w:rsid w:val="00765403"/>
    <w:rsid w:val="00771669"/>
    <w:rsid w:val="00774070"/>
    <w:rsid w:val="0078129F"/>
    <w:rsid w:val="007A0184"/>
    <w:rsid w:val="007A0A19"/>
    <w:rsid w:val="007A189F"/>
    <w:rsid w:val="007A7B48"/>
    <w:rsid w:val="007D4DC4"/>
    <w:rsid w:val="007D7DB7"/>
    <w:rsid w:val="008008D3"/>
    <w:rsid w:val="00805074"/>
    <w:rsid w:val="00811BEA"/>
    <w:rsid w:val="00815525"/>
    <w:rsid w:val="008260C3"/>
    <w:rsid w:val="0082784D"/>
    <w:rsid w:val="00833DE7"/>
    <w:rsid w:val="0083517B"/>
    <w:rsid w:val="008354E4"/>
    <w:rsid w:val="0084065C"/>
    <w:rsid w:val="00843D70"/>
    <w:rsid w:val="0084645B"/>
    <w:rsid w:val="00847691"/>
    <w:rsid w:val="00847D6A"/>
    <w:rsid w:val="0085223F"/>
    <w:rsid w:val="0085304F"/>
    <w:rsid w:val="00854315"/>
    <w:rsid w:val="00856C37"/>
    <w:rsid w:val="00857B75"/>
    <w:rsid w:val="00863753"/>
    <w:rsid w:val="00874BF1"/>
    <w:rsid w:val="00884182"/>
    <w:rsid w:val="00885108"/>
    <w:rsid w:val="00894411"/>
    <w:rsid w:val="008956A1"/>
    <w:rsid w:val="008D0F48"/>
    <w:rsid w:val="008D3A62"/>
    <w:rsid w:val="008D5255"/>
    <w:rsid w:val="008E1086"/>
    <w:rsid w:val="008F0EE8"/>
    <w:rsid w:val="0090122C"/>
    <w:rsid w:val="0091028E"/>
    <w:rsid w:val="00913A33"/>
    <w:rsid w:val="00917B4B"/>
    <w:rsid w:val="009444DF"/>
    <w:rsid w:val="009479A8"/>
    <w:rsid w:val="00947A03"/>
    <w:rsid w:val="009538AD"/>
    <w:rsid w:val="00956CBA"/>
    <w:rsid w:val="00957D54"/>
    <w:rsid w:val="00974053"/>
    <w:rsid w:val="00980C2C"/>
    <w:rsid w:val="00983D71"/>
    <w:rsid w:val="009945C3"/>
    <w:rsid w:val="009A33B5"/>
    <w:rsid w:val="009C2E3F"/>
    <w:rsid w:val="009D3652"/>
    <w:rsid w:val="009E0981"/>
    <w:rsid w:val="009F7772"/>
    <w:rsid w:val="009F7D04"/>
    <w:rsid w:val="00A00ADA"/>
    <w:rsid w:val="00A10628"/>
    <w:rsid w:val="00A14F76"/>
    <w:rsid w:val="00A153AB"/>
    <w:rsid w:val="00A2214D"/>
    <w:rsid w:val="00A34D6C"/>
    <w:rsid w:val="00A76803"/>
    <w:rsid w:val="00A773F3"/>
    <w:rsid w:val="00A867E3"/>
    <w:rsid w:val="00A95C69"/>
    <w:rsid w:val="00AA7852"/>
    <w:rsid w:val="00AB3DC3"/>
    <w:rsid w:val="00AB56D8"/>
    <w:rsid w:val="00AB7C0B"/>
    <w:rsid w:val="00AC2E8C"/>
    <w:rsid w:val="00AD7C02"/>
    <w:rsid w:val="00AE0F00"/>
    <w:rsid w:val="00AE220E"/>
    <w:rsid w:val="00B077BF"/>
    <w:rsid w:val="00B14631"/>
    <w:rsid w:val="00B15A00"/>
    <w:rsid w:val="00B16FCE"/>
    <w:rsid w:val="00B244DB"/>
    <w:rsid w:val="00B24FC5"/>
    <w:rsid w:val="00B3063D"/>
    <w:rsid w:val="00B346B2"/>
    <w:rsid w:val="00B35BB8"/>
    <w:rsid w:val="00B377A2"/>
    <w:rsid w:val="00B40E54"/>
    <w:rsid w:val="00B40E58"/>
    <w:rsid w:val="00B43864"/>
    <w:rsid w:val="00B4514F"/>
    <w:rsid w:val="00B47CE5"/>
    <w:rsid w:val="00B50950"/>
    <w:rsid w:val="00B5628D"/>
    <w:rsid w:val="00B61C88"/>
    <w:rsid w:val="00B778B5"/>
    <w:rsid w:val="00B807AF"/>
    <w:rsid w:val="00B81D0D"/>
    <w:rsid w:val="00B854B9"/>
    <w:rsid w:val="00B8749F"/>
    <w:rsid w:val="00BA55FE"/>
    <w:rsid w:val="00BB09FA"/>
    <w:rsid w:val="00BB5400"/>
    <w:rsid w:val="00BB5DD6"/>
    <w:rsid w:val="00BC0AF6"/>
    <w:rsid w:val="00BC45EC"/>
    <w:rsid w:val="00BE0418"/>
    <w:rsid w:val="00BE06AF"/>
    <w:rsid w:val="00BE1312"/>
    <w:rsid w:val="00BE615C"/>
    <w:rsid w:val="00BF2EBE"/>
    <w:rsid w:val="00BF4DEE"/>
    <w:rsid w:val="00C0007E"/>
    <w:rsid w:val="00C249E7"/>
    <w:rsid w:val="00C2538F"/>
    <w:rsid w:val="00C265F4"/>
    <w:rsid w:val="00C31179"/>
    <w:rsid w:val="00C340AB"/>
    <w:rsid w:val="00C34AE0"/>
    <w:rsid w:val="00C357F0"/>
    <w:rsid w:val="00C43B54"/>
    <w:rsid w:val="00C46E79"/>
    <w:rsid w:val="00C564CB"/>
    <w:rsid w:val="00C6076E"/>
    <w:rsid w:val="00C761A0"/>
    <w:rsid w:val="00C76744"/>
    <w:rsid w:val="00CA05C0"/>
    <w:rsid w:val="00CA273D"/>
    <w:rsid w:val="00CB121A"/>
    <w:rsid w:val="00CB22AC"/>
    <w:rsid w:val="00CC6A13"/>
    <w:rsid w:val="00CF6282"/>
    <w:rsid w:val="00CF7C28"/>
    <w:rsid w:val="00D1254F"/>
    <w:rsid w:val="00D31AB9"/>
    <w:rsid w:val="00D33433"/>
    <w:rsid w:val="00D3425F"/>
    <w:rsid w:val="00D4079C"/>
    <w:rsid w:val="00D41BB9"/>
    <w:rsid w:val="00D54632"/>
    <w:rsid w:val="00D561AD"/>
    <w:rsid w:val="00D568A7"/>
    <w:rsid w:val="00D6174C"/>
    <w:rsid w:val="00D749AA"/>
    <w:rsid w:val="00D81C61"/>
    <w:rsid w:val="00D8437E"/>
    <w:rsid w:val="00D87C06"/>
    <w:rsid w:val="00D91D96"/>
    <w:rsid w:val="00D92F17"/>
    <w:rsid w:val="00D974B2"/>
    <w:rsid w:val="00DA17E3"/>
    <w:rsid w:val="00DA7B0B"/>
    <w:rsid w:val="00DB0CEA"/>
    <w:rsid w:val="00DB112C"/>
    <w:rsid w:val="00DB1416"/>
    <w:rsid w:val="00DB2FF1"/>
    <w:rsid w:val="00DB34D5"/>
    <w:rsid w:val="00DB5C17"/>
    <w:rsid w:val="00DB6D9F"/>
    <w:rsid w:val="00DC0734"/>
    <w:rsid w:val="00DC1935"/>
    <w:rsid w:val="00DC7B51"/>
    <w:rsid w:val="00DD4F9C"/>
    <w:rsid w:val="00DD723B"/>
    <w:rsid w:val="00DE36FA"/>
    <w:rsid w:val="00DE567F"/>
    <w:rsid w:val="00E038F8"/>
    <w:rsid w:val="00E12B5B"/>
    <w:rsid w:val="00E145C1"/>
    <w:rsid w:val="00E250CA"/>
    <w:rsid w:val="00E33EAC"/>
    <w:rsid w:val="00E34ABA"/>
    <w:rsid w:val="00E4341C"/>
    <w:rsid w:val="00E43D14"/>
    <w:rsid w:val="00E463BB"/>
    <w:rsid w:val="00E53004"/>
    <w:rsid w:val="00E53277"/>
    <w:rsid w:val="00E54096"/>
    <w:rsid w:val="00E551C4"/>
    <w:rsid w:val="00E5709B"/>
    <w:rsid w:val="00E62684"/>
    <w:rsid w:val="00E62E38"/>
    <w:rsid w:val="00E70FD7"/>
    <w:rsid w:val="00E72C61"/>
    <w:rsid w:val="00E7493A"/>
    <w:rsid w:val="00E755F1"/>
    <w:rsid w:val="00E75C82"/>
    <w:rsid w:val="00E76873"/>
    <w:rsid w:val="00E84493"/>
    <w:rsid w:val="00EA0D81"/>
    <w:rsid w:val="00EC4F3D"/>
    <w:rsid w:val="00EC780F"/>
    <w:rsid w:val="00EC7ADA"/>
    <w:rsid w:val="00EE3AFE"/>
    <w:rsid w:val="00EF3436"/>
    <w:rsid w:val="00EF3DBF"/>
    <w:rsid w:val="00F12548"/>
    <w:rsid w:val="00F23009"/>
    <w:rsid w:val="00F26875"/>
    <w:rsid w:val="00F34141"/>
    <w:rsid w:val="00F371C0"/>
    <w:rsid w:val="00F451C0"/>
    <w:rsid w:val="00F633D2"/>
    <w:rsid w:val="00F768FD"/>
    <w:rsid w:val="00F76DB1"/>
    <w:rsid w:val="00F816F6"/>
    <w:rsid w:val="00F84B32"/>
    <w:rsid w:val="00FA09C9"/>
    <w:rsid w:val="00FA181D"/>
    <w:rsid w:val="00FA60B4"/>
    <w:rsid w:val="00FA6E4B"/>
    <w:rsid w:val="00FB4187"/>
    <w:rsid w:val="00FD4306"/>
    <w:rsid w:val="00FD77C4"/>
    <w:rsid w:val="00FF07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B4507"/>
  <w15:chartTrackingRefBased/>
  <w15:docId w15:val="{9FEEE745-701A-4C50-BC87-CDA395686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kst studije"/>
    <w:qFormat/>
    <w:rsid w:val="00974053"/>
    <w:pPr>
      <w:suppressAutoHyphens/>
      <w:spacing w:before="240" w:after="120" w:line="288" w:lineRule="auto"/>
      <w:jc w:val="both"/>
    </w:pPr>
    <w:rPr>
      <w:rFonts w:ascii="Arial" w:eastAsia="Times New Roman" w:hAnsi="Arial" w:cs="Times New Roman"/>
      <w:lang w:eastAsia="hr-HR"/>
    </w:rPr>
  </w:style>
  <w:style w:type="paragraph" w:styleId="Heading1">
    <w:name w:val="heading 1"/>
    <w:basedOn w:val="Normal"/>
    <w:next w:val="Normal"/>
    <w:link w:val="Heading1Char"/>
    <w:uiPriority w:val="9"/>
    <w:qFormat/>
    <w:rsid w:val="00711D97"/>
    <w:pPr>
      <w:keepNext/>
      <w:pageBreakBefore/>
      <w:numPr>
        <w:numId w:val="3"/>
      </w:numPr>
      <w:pBdr>
        <w:top w:val="single" w:sz="48" w:space="5" w:color="F5C1C6"/>
      </w:pBdr>
      <w:tabs>
        <w:tab w:val="left" w:pos="567"/>
      </w:tabs>
      <w:autoSpaceDE w:val="0"/>
      <w:autoSpaceDN w:val="0"/>
      <w:adjustRightInd w:val="0"/>
      <w:spacing w:after="320" w:line="240" w:lineRule="auto"/>
      <w:jc w:val="left"/>
      <w:textAlignment w:val="center"/>
      <w:outlineLvl w:val="0"/>
    </w:pPr>
    <w:rPr>
      <w:b/>
      <w:iCs/>
      <w:caps/>
      <w:color w:val="BE1D2D"/>
      <w:position w:val="24"/>
      <w:sz w:val="32"/>
      <w:szCs w:val="48"/>
    </w:rPr>
  </w:style>
  <w:style w:type="paragraph" w:styleId="Heading2">
    <w:name w:val="heading 2"/>
    <w:basedOn w:val="Normal"/>
    <w:next w:val="Normal"/>
    <w:link w:val="Heading2Char"/>
    <w:uiPriority w:val="9"/>
    <w:qFormat/>
    <w:rsid w:val="00711D97"/>
    <w:pPr>
      <w:keepNext/>
      <w:widowControl w:val="0"/>
      <w:numPr>
        <w:ilvl w:val="1"/>
        <w:numId w:val="3"/>
      </w:numPr>
      <w:pBdr>
        <w:bottom w:val="single" w:sz="8" w:space="4" w:color="BE1D2D"/>
      </w:pBdr>
      <w:autoSpaceDE w:val="0"/>
      <w:autoSpaceDN w:val="0"/>
      <w:adjustRightInd w:val="0"/>
      <w:spacing w:before="400" w:after="240" w:line="240" w:lineRule="auto"/>
      <w:jc w:val="left"/>
      <w:textAlignment w:val="center"/>
      <w:outlineLvl w:val="1"/>
    </w:pPr>
    <w:rPr>
      <w:rFonts w:cs="Myriad Pro Cond"/>
      <w:b/>
      <w:bCs/>
      <w:color w:val="BE1D2D"/>
      <w:sz w:val="28"/>
      <w:szCs w:val="36"/>
    </w:rPr>
  </w:style>
  <w:style w:type="paragraph" w:styleId="Heading3">
    <w:name w:val="heading 3"/>
    <w:basedOn w:val="Normal"/>
    <w:next w:val="Normal"/>
    <w:link w:val="Heading3Char"/>
    <w:uiPriority w:val="9"/>
    <w:qFormat/>
    <w:rsid w:val="00711D97"/>
    <w:pPr>
      <w:keepNext/>
      <w:widowControl w:val="0"/>
      <w:numPr>
        <w:ilvl w:val="2"/>
        <w:numId w:val="3"/>
      </w:numPr>
      <w:autoSpaceDE w:val="0"/>
      <w:autoSpaceDN w:val="0"/>
      <w:adjustRightInd w:val="0"/>
      <w:spacing w:before="360" w:after="240" w:line="240" w:lineRule="auto"/>
      <w:ind w:left="567" w:hanging="567"/>
      <w:jc w:val="left"/>
      <w:textAlignment w:val="center"/>
      <w:outlineLvl w:val="2"/>
    </w:pPr>
    <w:rPr>
      <w:b/>
      <w:bCs/>
      <w:iCs/>
      <w:color w:val="BE1D2D"/>
      <w:sz w:val="24"/>
    </w:rPr>
  </w:style>
  <w:style w:type="paragraph" w:styleId="Heading4">
    <w:name w:val="heading 4"/>
    <w:basedOn w:val="Heading3"/>
    <w:next w:val="Normal"/>
    <w:link w:val="Heading4Char"/>
    <w:uiPriority w:val="9"/>
    <w:qFormat/>
    <w:rsid w:val="00711D97"/>
    <w:pPr>
      <w:widowControl/>
      <w:numPr>
        <w:ilvl w:val="0"/>
        <w:numId w:val="0"/>
      </w:numPr>
      <w:autoSpaceDE/>
      <w:autoSpaceDN/>
      <w:adjustRightInd/>
      <w:spacing w:after="120"/>
      <w:ind w:left="864" w:hanging="864"/>
      <w:textAlignment w:val="auto"/>
      <w:outlineLvl w:val="3"/>
    </w:pPr>
    <w:rPr>
      <w:rFonts w:cs="Arial"/>
      <w:b w:val="0"/>
      <w:bCs w:val="0"/>
      <w:kern w:val="32"/>
      <w:szCs w:val="28"/>
    </w:rPr>
  </w:style>
  <w:style w:type="paragraph" w:styleId="Heading5">
    <w:name w:val="heading 5"/>
    <w:basedOn w:val="Normal"/>
    <w:next w:val="Normal"/>
    <w:link w:val="Heading5Char"/>
    <w:uiPriority w:val="9"/>
    <w:qFormat/>
    <w:rsid w:val="00711D97"/>
    <w:pPr>
      <w:keepNext/>
      <w:outlineLvl w:val="4"/>
    </w:pPr>
    <w:rPr>
      <w:b/>
      <w:bCs/>
      <w:iCs/>
      <w:color w:val="C00000"/>
      <w:szCs w:val="26"/>
    </w:rPr>
  </w:style>
  <w:style w:type="paragraph" w:styleId="Heading6">
    <w:name w:val="heading 6"/>
    <w:basedOn w:val="Normal"/>
    <w:next w:val="Normal"/>
    <w:link w:val="Heading6Char"/>
    <w:uiPriority w:val="9"/>
    <w:unhideWhenUsed/>
    <w:qFormat/>
    <w:rsid w:val="00711D97"/>
    <w:pPr>
      <w:keepNext/>
      <w:pageBreakBefore/>
      <w:numPr>
        <w:ilvl w:val="5"/>
        <w:numId w:val="3"/>
      </w:numPr>
      <w:spacing w:after="240"/>
      <w:outlineLvl w:val="5"/>
    </w:pPr>
    <w:rPr>
      <w:bCs/>
      <w:i/>
    </w:rPr>
  </w:style>
  <w:style w:type="paragraph" w:styleId="Heading7">
    <w:name w:val="heading 7"/>
    <w:basedOn w:val="Normal"/>
    <w:next w:val="Normal"/>
    <w:link w:val="Heading7Char"/>
    <w:uiPriority w:val="9"/>
    <w:unhideWhenUsed/>
    <w:qFormat/>
    <w:rsid w:val="00711D97"/>
    <w:pPr>
      <w:numPr>
        <w:ilvl w:val="6"/>
        <w:numId w:val="3"/>
      </w:numPr>
      <w:spacing w:after="60"/>
      <w:outlineLvl w:val="6"/>
    </w:pPr>
    <w:rPr>
      <w:rFonts w:ascii="Times New Roman" w:hAnsi="Times New Roman"/>
    </w:rPr>
  </w:style>
  <w:style w:type="paragraph" w:styleId="Heading8">
    <w:name w:val="heading 8"/>
    <w:basedOn w:val="Normal"/>
    <w:next w:val="Normal"/>
    <w:link w:val="Heading8Char"/>
    <w:uiPriority w:val="9"/>
    <w:unhideWhenUsed/>
    <w:qFormat/>
    <w:rsid w:val="00711D97"/>
    <w:pPr>
      <w:numPr>
        <w:ilvl w:val="7"/>
        <w:numId w:val="3"/>
      </w:numPr>
      <w:spacing w:after="60"/>
      <w:outlineLvl w:val="7"/>
    </w:pPr>
    <w:rPr>
      <w:rFonts w:ascii="Times New Roman" w:hAnsi="Times New Roman"/>
      <w:i/>
      <w:iCs/>
    </w:rPr>
  </w:style>
  <w:style w:type="paragraph" w:styleId="Heading9">
    <w:name w:val="heading 9"/>
    <w:basedOn w:val="Normal"/>
    <w:next w:val="Normal"/>
    <w:link w:val="Heading9Char"/>
    <w:uiPriority w:val="9"/>
    <w:unhideWhenUsed/>
    <w:qFormat/>
    <w:rsid w:val="00711D97"/>
    <w:pPr>
      <w:numPr>
        <w:ilvl w:val="8"/>
        <w:numId w:val="3"/>
      </w:numPr>
      <w:spacing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D97"/>
    <w:rPr>
      <w:rFonts w:ascii="Arial" w:eastAsia="Times New Roman" w:hAnsi="Arial" w:cs="Times New Roman"/>
      <w:b/>
      <w:iCs/>
      <w:caps/>
      <w:color w:val="BE1D2D"/>
      <w:position w:val="24"/>
      <w:sz w:val="32"/>
      <w:szCs w:val="48"/>
      <w:lang w:eastAsia="hr-HR"/>
    </w:rPr>
  </w:style>
  <w:style w:type="character" w:customStyle="1" w:styleId="Heading2Char">
    <w:name w:val="Heading 2 Char"/>
    <w:basedOn w:val="DefaultParagraphFont"/>
    <w:link w:val="Heading2"/>
    <w:uiPriority w:val="9"/>
    <w:rsid w:val="00711D97"/>
    <w:rPr>
      <w:rFonts w:ascii="Arial" w:eastAsia="Times New Roman" w:hAnsi="Arial" w:cs="Myriad Pro Cond"/>
      <w:b/>
      <w:bCs/>
      <w:color w:val="BE1D2D"/>
      <w:sz w:val="28"/>
      <w:szCs w:val="36"/>
      <w:lang w:eastAsia="hr-HR"/>
    </w:rPr>
  </w:style>
  <w:style w:type="character" w:customStyle="1" w:styleId="Heading3Char">
    <w:name w:val="Heading 3 Char"/>
    <w:basedOn w:val="DefaultParagraphFont"/>
    <w:link w:val="Heading3"/>
    <w:uiPriority w:val="9"/>
    <w:rsid w:val="00711D97"/>
    <w:rPr>
      <w:rFonts w:ascii="Arial" w:eastAsia="Times New Roman" w:hAnsi="Arial" w:cs="Times New Roman"/>
      <w:b/>
      <w:bCs/>
      <w:iCs/>
      <w:color w:val="BE1D2D"/>
      <w:sz w:val="24"/>
      <w:lang w:eastAsia="hr-HR"/>
    </w:rPr>
  </w:style>
  <w:style w:type="character" w:customStyle="1" w:styleId="Heading4Char">
    <w:name w:val="Heading 4 Char"/>
    <w:basedOn w:val="DefaultParagraphFont"/>
    <w:link w:val="Heading4"/>
    <w:uiPriority w:val="9"/>
    <w:rsid w:val="00711D97"/>
    <w:rPr>
      <w:rFonts w:ascii="Arial" w:eastAsia="Times New Roman" w:hAnsi="Arial" w:cs="Arial"/>
      <w:iCs/>
      <w:color w:val="BE1D2D"/>
      <w:kern w:val="32"/>
      <w:sz w:val="24"/>
      <w:szCs w:val="28"/>
      <w:lang w:eastAsia="hr-HR"/>
    </w:rPr>
  </w:style>
  <w:style w:type="character" w:customStyle="1" w:styleId="Heading5Char">
    <w:name w:val="Heading 5 Char"/>
    <w:basedOn w:val="DefaultParagraphFont"/>
    <w:link w:val="Heading5"/>
    <w:uiPriority w:val="9"/>
    <w:rsid w:val="00711D97"/>
    <w:rPr>
      <w:rFonts w:ascii="Arial" w:eastAsia="Times New Roman" w:hAnsi="Arial" w:cs="Times New Roman"/>
      <w:b/>
      <w:bCs/>
      <w:iCs/>
      <w:color w:val="C00000"/>
      <w:szCs w:val="26"/>
      <w:lang w:eastAsia="hr-HR"/>
    </w:rPr>
  </w:style>
  <w:style w:type="character" w:customStyle="1" w:styleId="Heading6Char">
    <w:name w:val="Heading 6 Char"/>
    <w:basedOn w:val="DefaultParagraphFont"/>
    <w:link w:val="Heading6"/>
    <w:uiPriority w:val="9"/>
    <w:rsid w:val="00711D97"/>
    <w:rPr>
      <w:rFonts w:ascii="Arial" w:eastAsia="Times New Roman" w:hAnsi="Arial" w:cs="Times New Roman"/>
      <w:bCs/>
      <w:i/>
      <w:lang w:eastAsia="hr-HR"/>
    </w:rPr>
  </w:style>
  <w:style w:type="character" w:customStyle="1" w:styleId="Heading7Char">
    <w:name w:val="Heading 7 Char"/>
    <w:basedOn w:val="DefaultParagraphFont"/>
    <w:link w:val="Heading7"/>
    <w:uiPriority w:val="9"/>
    <w:rsid w:val="00711D97"/>
    <w:rPr>
      <w:rFonts w:ascii="Times New Roman" w:eastAsia="Times New Roman" w:hAnsi="Times New Roman" w:cs="Times New Roman"/>
      <w:lang w:eastAsia="hr-HR"/>
    </w:rPr>
  </w:style>
  <w:style w:type="character" w:customStyle="1" w:styleId="Heading8Char">
    <w:name w:val="Heading 8 Char"/>
    <w:basedOn w:val="DefaultParagraphFont"/>
    <w:link w:val="Heading8"/>
    <w:uiPriority w:val="9"/>
    <w:rsid w:val="00711D97"/>
    <w:rPr>
      <w:rFonts w:ascii="Times New Roman" w:eastAsia="Times New Roman" w:hAnsi="Times New Roman" w:cs="Times New Roman"/>
      <w:i/>
      <w:iCs/>
      <w:lang w:eastAsia="hr-HR"/>
    </w:rPr>
  </w:style>
  <w:style w:type="character" w:customStyle="1" w:styleId="Heading9Char">
    <w:name w:val="Heading 9 Char"/>
    <w:basedOn w:val="DefaultParagraphFont"/>
    <w:link w:val="Heading9"/>
    <w:uiPriority w:val="9"/>
    <w:rsid w:val="00711D97"/>
    <w:rPr>
      <w:rFonts w:ascii="Arial" w:eastAsia="Times New Roman" w:hAnsi="Arial" w:cs="Arial"/>
      <w:lang w:eastAsia="hr-HR"/>
    </w:rPr>
  </w:style>
  <w:style w:type="paragraph" w:styleId="TOCHeading">
    <w:name w:val="TOC Heading"/>
    <w:basedOn w:val="Heading1"/>
    <w:next w:val="Normal"/>
    <w:uiPriority w:val="39"/>
    <w:unhideWhenUsed/>
    <w:qFormat/>
    <w:rsid w:val="00711D97"/>
    <w:pPr>
      <w:keepLines/>
      <w:pageBreakBefore w:val="0"/>
      <w:numPr>
        <w:numId w:val="0"/>
      </w:numPr>
      <w:pBdr>
        <w:top w:val="none" w:sz="0" w:space="0" w:color="auto"/>
      </w:pBdr>
      <w:suppressAutoHyphens w:val="0"/>
      <w:autoSpaceDE/>
      <w:autoSpaceDN/>
      <w:adjustRightInd/>
      <w:spacing w:after="0" w:line="259" w:lineRule="auto"/>
      <w:textAlignment w:val="auto"/>
      <w:outlineLvl w:val="9"/>
    </w:pPr>
    <w:rPr>
      <w:rFonts w:asciiTheme="majorHAnsi" w:eastAsiaTheme="majorEastAsia" w:hAnsiTheme="majorHAnsi" w:cstheme="majorBidi"/>
      <w:b w:val="0"/>
      <w:iCs w:val="0"/>
      <w:caps w:val="0"/>
      <w:color w:val="2F5496" w:themeColor="accent1" w:themeShade="BF"/>
      <w:position w:val="0"/>
      <w:szCs w:val="32"/>
      <w:lang w:val="en-US" w:eastAsia="en-US"/>
    </w:rPr>
  </w:style>
  <w:style w:type="paragraph" w:customStyle="1" w:styleId="Body">
    <w:name w:val="Body"/>
    <w:basedOn w:val="Normal"/>
    <w:uiPriority w:val="3"/>
    <w:rsid w:val="00711D97"/>
    <w:pPr>
      <w:widowControl w:val="0"/>
      <w:autoSpaceDE w:val="0"/>
      <w:autoSpaceDN w:val="0"/>
      <w:adjustRightInd w:val="0"/>
      <w:spacing w:beforeAutospacing="1" w:afterAutospacing="1" w:line="240" w:lineRule="atLeast"/>
      <w:ind w:left="680"/>
      <w:textAlignment w:val="center"/>
    </w:pPr>
    <w:rPr>
      <w:rFonts w:cs="Myriad Pro"/>
      <w:szCs w:val="24"/>
    </w:rPr>
  </w:style>
  <w:style w:type="paragraph" w:styleId="Footer">
    <w:name w:val="footer"/>
    <w:basedOn w:val="Normal"/>
    <w:link w:val="FooterChar"/>
    <w:uiPriority w:val="99"/>
    <w:rsid w:val="00711D97"/>
    <w:pPr>
      <w:tabs>
        <w:tab w:val="right" w:pos="170"/>
        <w:tab w:val="left" w:pos="397"/>
      </w:tabs>
      <w:ind w:left="-142"/>
    </w:pPr>
    <w:rPr>
      <w:b/>
      <w:bCs/>
      <w:color w:val="5F5F5F"/>
      <w:sz w:val="20"/>
      <w:szCs w:val="20"/>
      <w:lang w:val="en-US"/>
    </w:rPr>
  </w:style>
  <w:style w:type="character" w:customStyle="1" w:styleId="FooterChar">
    <w:name w:val="Footer Char"/>
    <w:basedOn w:val="DefaultParagraphFont"/>
    <w:link w:val="Footer"/>
    <w:uiPriority w:val="99"/>
    <w:rsid w:val="00711D97"/>
    <w:rPr>
      <w:rFonts w:ascii="Arial" w:eastAsia="Times New Roman" w:hAnsi="Arial" w:cs="Times New Roman"/>
      <w:b/>
      <w:bCs/>
      <w:color w:val="5F5F5F"/>
      <w:sz w:val="20"/>
      <w:szCs w:val="20"/>
      <w:lang w:val="en-US" w:eastAsia="hr-HR"/>
    </w:rPr>
  </w:style>
  <w:style w:type="paragraph" w:styleId="TOC1">
    <w:name w:val="toc 1"/>
    <w:basedOn w:val="Normal"/>
    <w:next w:val="Normal"/>
    <w:autoRedefine/>
    <w:uiPriority w:val="39"/>
    <w:rsid w:val="00711D97"/>
    <w:pPr>
      <w:tabs>
        <w:tab w:val="left" w:pos="440"/>
        <w:tab w:val="right" w:leader="dot" w:pos="9061"/>
      </w:tabs>
      <w:spacing w:after="0" w:line="240" w:lineRule="auto"/>
      <w:ind w:left="442" w:hanging="442"/>
    </w:pPr>
    <w:rPr>
      <w:b/>
      <w:color w:val="BE1D2D"/>
      <w:sz w:val="28"/>
    </w:rPr>
  </w:style>
  <w:style w:type="paragraph" w:styleId="DocumentMap">
    <w:name w:val="Document Map"/>
    <w:basedOn w:val="Normal"/>
    <w:link w:val="DocumentMapChar"/>
    <w:semiHidden/>
    <w:rsid w:val="00711D9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11D97"/>
    <w:rPr>
      <w:rFonts w:ascii="Tahoma" w:eastAsia="Times New Roman" w:hAnsi="Tahoma" w:cs="Tahoma"/>
      <w:sz w:val="20"/>
      <w:szCs w:val="20"/>
      <w:shd w:val="clear" w:color="auto" w:fill="000080"/>
      <w:lang w:eastAsia="hr-HR"/>
    </w:rPr>
  </w:style>
  <w:style w:type="paragraph" w:styleId="TOC2">
    <w:name w:val="toc 2"/>
    <w:basedOn w:val="Normal"/>
    <w:next w:val="Normal"/>
    <w:autoRedefine/>
    <w:uiPriority w:val="39"/>
    <w:rsid w:val="00711D97"/>
    <w:pPr>
      <w:tabs>
        <w:tab w:val="left" w:pos="1077"/>
        <w:tab w:val="right" w:leader="dot" w:pos="9061"/>
      </w:tabs>
      <w:spacing w:before="120" w:after="60" w:line="240" w:lineRule="auto"/>
      <w:ind w:left="1077" w:hanging="635"/>
    </w:pPr>
  </w:style>
  <w:style w:type="paragraph" w:styleId="TOC3">
    <w:name w:val="toc 3"/>
    <w:basedOn w:val="Normal"/>
    <w:next w:val="Normal"/>
    <w:autoRedefine/>
    <w:uiPriority w:val="39"/>
    <w:rsid w:val="00711D97"/>
    <w:pPr>
      <w:tabs>
        <w:tab w:val="left" w:pos="1871"/>
        <w:tab w:val="right" w:leader="dot" w:pos="9061"/>
      </w:tabs>
      <w:spacing w:before="80" w:after="80" w:line="240" w:lineRule="auto"/>
      <w:ind w:left="1871" w:hanging="794"/>
    </w:pPr>
  </w:style>
  <w:style w:type="paragraph" w:styleId="Header">
    <w:name w:val="header"/>
    <w:basedOn w:val="Normal"/>
    <w:link w:val="HeaderChar"/>
    <w:uiPriority w:val="99"/>
    <w:rsid w:val="00711D97"/>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711D97"/>
    <w:rPr>
      <w:rFonts w:ascii="Arial" w:eastAsia="Times New Roman" w:hAnsi="Arial" w:cs="Times New Roman"/>
      <w:lang w:eastAsia="hr-HR"/>
    </w:rPr>
  </w:style>
  <w:style w:type="character" w:styleId="Hyperlink">
    <w:name w:val="Hyperlink"/>
    <w:uiPriority w:val="99"/>
    <w:rsid w:val="00711D97"/>
    <w:rPr>
      <w:noProof/>
      <w:color w:val="0000FF"/>
      <w:u w:val="single"/>
    </w:rPr>
  </w:style>
  <w:style w:type="paragraph" w:styleId="BodyText">
    <w:name w:val="Body Text"/>
    <w:basedOn w:val="Normal"/>
    <w:link w:val="BodyTextChar"/>
    <w:uiPriority w:val="3"/>
    <w:rsid w:val="00711D97"/>
    <w:pPr>
      <w:spacing w:before="100" w:beforeAutospacing="1" w:after="100" w:afterAutospacing="1"/>
    </w:pPr>
    <w:rPr>
      <w:rFonts w:cs="Arial"/>
      <w:szCs w:val="24"/>
    </w:rPr>
  </w:style>
  <w:style w:type="character" w:customStyle="1" w:styleId="BodyTextChar">
    <w:name w:val="Body Text Char"/>
    <w:basedOn w:val="DefaultParagraphFont"/>
    <w:link w:val="BodyText"/>
    <w:uiPriority w:val="3"/>
    <w:rsid w:val="00711D97"/>
    <w:rPr>
      <w:rFonts w:ascii="Arial" w:eastAsia="Times New Roman" w:hAnsi="Arial" w:cs="Arial"/>
      <w:szCs w:val="24"/>
      <w:lang w:eastAsia="hr-HR"/>
    </w:rPr>
  </w:style>
  <w:style w:type="character" w:styleId="FootnoteReference">
    <w:name w:val="footnote reference"/>
    <w:aliases w:val="Footnote symbol,Fussnota,Footnote,Footnote reference number,note TESI,SUPERS,EN Footnote Reference,-E Fußnotenzeichen,ESPON Footnote No,number,Times 10 Point,Exposant 3 Point,Footnote Reference_LVL6,Footnote Reference_LVL61,BVI fnr"/>
    <w:uiPriority w:val="99"/>
    <w:rsid w:val="00711D97"/>
    <w:rPr>
      <w:rFonts w:ascii="Arial" w:hAnsi="Arial"/>
      <w:position w:val="0"/>
      <w:sz w:val="22"/>
      <w:vertAlign w:val="superscript"/>
    </w:rPr>
  </w:style>
  <w:style w:type="paragraph" w:styleId="FootnoteText">
    <w:name w:val="footnote text"/>
    <w:aliases w:val="Sprotna opomba-besedilo,Char Char Char Char,Char Char Char,Sprotna opomba - besedilo Znak1,Sprotna opomba - besedilo Znak Znak2,Sprotna opomba - besedilo Znak1 Znak Znak1,Sprotna opomba - besedilo Znak1 Znak Znak Znak,Footnote1"/>
    <w:basedOn w:val="Normal"/>
    <w:link w:val="FootnoteTextChar"/>
    <w:uiPriority w:val="99"/>
    <w:qFormat/>
    <w:rsid w:val="00711D97"/>
    <w:pPr>
      <w:spacing w:before="0" w:after="0" w:line="240" w:lineRule="auto"/>
    </w:pPr>
    <w:rPr>
      <w:sz w:val="16"/>
      <w:szCs w:val="20"/>
      <w:lang w:eastAsia="en-US"/>
    </w:rPr>
  </w:style>
  <w:style w:type="character" w:customStyle="1" w:styleId="FootnoteTextChar">
    <w:name w:val="Footnote Text Char"/>
    <w:aliases w:val="Sprotna opomba-besedilo Char,Char Char Char Char Char,Char Char Char Char1,Sprotna opomba - besedilo Znak1 Char,Sprotna opomba - besedilo Znak Znak2 Char,Sprotna opomba - besedilo Znak1 Znak Znak1 Char,Footnote1 Char"/>
    <w:basedOn w:val="DefaultParagraphFont"/>
    <w:link w:val="FootnoteText"/>
    <w:uiPriority w:val="99"/>
    <w:qFormat/>
    <w:rsid w:val="00711D97"/>
    <w:rPr>
      <w:rFonts w:ascii="Arial" w:eastAsia="Times New Roman" w:hAnsi="Arial" w:cs="Times New Roman"/>
      <w:sz w:val="16"/>
      <w:szCs w:val="20"/>
    </w:rPr>
  </w:style>
  <w:style w:type="paragraph" w:styleId="E-mailSignature">
    <w:name w:val="E-mail Signature"/>
    <w:basedOn w:val="Normal"/>
    <w:link w:val="E-mailSignatureChar"/>
    <w:semiHidden/>
    <w:rsid w:val="00711D97"/>
    <w:rPr>
      <w:rFonts w:ascii="Times New Roman" w:hAnsi="Times New Roman"/>
    </w:rPr>
  </w:style>
  <w:style w:type="character" w:customStyle="1" w:styleId="E-mailSignatureChar">
    <w:name w:val="E-mail Signature Char"/>
    <w:basedOn w:val="DefaultParagraphFont"/>
    <w:link w:val="E-mailSignature"/>
    <w:semiHidden/>
    <w:rsid w:val="00711D97"/>
    <w:rPr>
      <w:rFonts w:ascii="Times New Roman" w:eastAsia="Times New Roman" w:hAnsi="Times New Roman" w:cs="Times New Roman"/>
      <w:lang w:eastAsia="hr-HR"/>
    </w:rPr>
  </w:style>
  <w:style w:type="paragraph" w:styleId="HTMLAddress">
    <w:name w:val="HTML Address"/>
    <w:basedOn w:val="Normal"/>
    <w:link w:val="HTMLAddressChar"/>
    <w:semiHidden/>
    <w:rsid w:val="00711D97"/>
    <w:rPr>
      <w:rFonts w:ascii="Times New Roman" w:hAnsi="Times New Roman"/>
      <w:i/>
      <w:iCs/>
    </w:rPr>
  </w:style>
  <w:style w:type="character" w:customStyle="1" w:styleId="HTMLAddressChar">
    <w:name w:val="HTML Address Char"/>
    <w:basedOn w:val="DefaultParagraphFont"/>
    <w:link w:val="HTMLAddress"/>
    <w:semiHidden/>
    <w:rsid w:val="00711D97"/>
    <w:rPr>
      <w:rFonts w:ascii="Times New Roman" w:eastAsia="Times New Roman" w:hAnsi="Times New Roman" w:cs="Times New Roman"/>
      <w:i/>
      <w:iCs/>
      <w:lang w:eastAsia="hr-HR"/>
    </w:rPr>
  </w:style>
  <w:style w:type="paragraph" w:styleId="HTMLPreformatted">
    <w:name w:val="HTML Preformatted"/>
    <w:basedOn w:val="Normal"/>
    <w:link w:val="HTMLPreformattedChar"/>
    <w:semiHidden/>
    <w:rsid w:val="00711D97"/>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711D97"/>
    <w:rPr>
      <w:rFonts w:ascii="Courier New" w:eastAsia="Times New Roman" w:hAnsi="Courier New" w:cs="Courier New"/>
      <w:sz w:val="20"/>
      <w:szCs w:val="20"/>
      <w:lang w:eastAsia="hr-HR"/>
    </w:rPr>
  </w:style>
  <w:style w:type="character" w:styleId="PageNumber">
    <w:name w:val="page number"/>
    <w:basedOn w:val="DefaultParagraphFont"/>
    <w:uiPriority w:val="3"/>
    <w:rsid w:val="00711D97"/>
  </w:style>
  <w:style w:type="paragraph" w:customStyle="1" w:styleId="Izvor">
    <w:name w:val="Izvor"/>
    <w:basedOn w:val="Normal"/>
    <w:link w:val="IzvorChar"/>
    <w:rsid w:val="00711D97"/>
    <w:pPr>
      <w:spacing w:before="100" w:beforeAutospacing="1" w:after="100" w:afterAutospacing="1"/>
      <w:jc w:val="center"/>
    </w:pPr>
    <w:rPr>
      <w:rFonts w:cs="Arial"/>
      <w:i/>
      <w:sz w:val="20"/>
    </w:rPr>
  </w:style>
  <w:style w:type="paragraph" w:customStyle="1" w:styleId="Naslovstudije">
    <w:name w:val="Naslov studije"/>
    <w:basedOn w:val="Normal"/>
    <w:uiPriority w:val="3"/>
    <w:rsid w:val="00711D97"/>
    <w:rPr>
      <w:rFonts w:cs="Arial"/>
      <w:b/>
      <w:color w:val="BE1D2D"/>
      <w:sz w:val="36"/>
      <w:szCs w:val="36"/>
    </w:rPr>
  </w:style>
  <w:style w:type="paragraph" w:customStyle="1" w:styleId="Naslovslika">
    <w:name w:val="Naslov slika"/>
    <w:basedOn w:val="Normal"/>
    <w:link w:val="NaslovslikaChar"/>
    <w:uiPriority w:val="99"/>
    <w:qFormat/>
    <w:rsid w:val="00711D97"/>
    <w:pPr>
      <w:tabs>
        <w:tab w:val="left" w:pos="1021"/>
      </w:tabs>
      <w:spacing w:before="120" w:after="360"/>
      <w:ind w:left="1021" w:hanging="1021"/>
      <w:jc w:val="center"/>
    </w:pPr>
    <w:rPr>
      <w:b/>
      <w:sz w:val="20"/>
      <w:szCs w:val="28"/>
    </w:rPr>
  </w:style>
  <w:style w:type="paragraph" w:styleId="TableofFigures">
    <w:name w:val="table of figures"/>
    <w:basedOn w:val="Normal"/>
    <w:next w:val="Normal"/>
    <w:uiPriority w:val="99"/>
    <w:rsid w:val="00711D97"/>
    <w:pPr>
      <w:tabs>
        <w:tab w:val="left" w:pos="1247"/>
        <w:tab w:val="right" w:leader="dot" w:pos="9061"/>
      </w:tabs>
      <w:spacing w:before="120" w:line="240" w:lineRule="auto"/>
      <w:ind w:left="1247" w:hanging="1247"/>
    </w:pPr>
  </w:style>
  <w:style w:type="paragraph" w:customStyle="1" w:styleId="Literatura">
    <w:name w:val="Literatura"/>
    <w:basedOn w:val="Normal"/>
    <w:link w:val="LiteraturaCharChar"/>
    <w:uiPriority w:val="3"/>
    <w:rsid w:val="00711D97"/>
    <w:pPr>
      <w:numPr>
        <w:numId w:val="1"/>
      </w:numPr>
      <w:spacing w:before="100" w:beforeAutospacing="1" w:after="240"/>
    </w:pPr>
    <w:rPr>
      <w:rFonts w:cs="Arial"/>
    </w:rPr>
  </w:style>
  <w:style w:type="paragraph" w:customStyle="1" w:styleId="Naslovtablica">
    <w:name w:val="Naslov tablica"/>
    <w:basedOn w:val="Normal"/>
    <w:uiPriority w:val="1"/>
    <w:qFormat/>
    <w:rsid w:val="00711D97"/>
    <w:pPr>
      <w:keepNext/>
      <w:tabs>
        <w:tab w:val="left" w:pos="1247"/>
      </w:tabs>
      <w:spacing w:before="360"/>
      <w:ind w:left="1247" w:hanging="1247"/>
      <w:jc w:val="center"/>
    </w:pPr>
    <w:rPr>
      <w:rFonts w:cs="Arial"/>
      <w:b/>
      <w:sz w:val="20"/>
    </w:rPr>
  </w:style>
  <w:style w:type="paragraph" w:customStyle="1" w:styleId="zaglavlje">
    <w:name w:val="zaglavlje"/>
    <w:basedOn w:val="Normal"/>
    <w:uiPriority w:val="3"/>
    <w:rsid w:val="00711D97"/>
    <w:pPr>
      <w:numPr>
        <w:numId w:val="2"/>
      </w:numPr>
      <w:tabs>
        <w:tab w:val="clear" w:pos="357"/>
      </w:tabs>
      <w:ind w:left="0" w:firstLine="0"/>
    </w:pPr>
    <w:rPr>
      <w:b/>
      <w:color w:val="808080"/>
      <w:sz w:val="16"/>
    </w:rPr>
  </w:style>
  <w:style w:type="paragraph" w:customStyle="1" w:styleId="Podnoje1">
    <w:name w:val="Podnožje 1"/>
    <w:basedOn w:val="Normal"/>
    <w:uiPriority w:val="3"/>
    <w:rsid w:val="00711D97"/>
    <w:rPr>
      <w:sz w:val="20"/>
    </w:rPr>
  </w:style>
  <w:style w:type="table" w:styleId="TableGrid">
    <w:name w:val="Table Grid"/>
    <w:basedOn w:val="TableNormal"/>
    <w:uiPriority w:val="39"/>
    <w:rsid w:val="00711D97"/>
    <w:pPr>
      <w:spacing w:after="0" w:line="240" w:lineRule="auto"/>
      <w:contextualSpacing/>
    </w:pPr>
    <w:rPr>
      <w:rFonts w:ascii="Arial" w:eastAsia="Times New Roman" w:hAnsi="Arial"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FBFBF" w:themeFill="background1" w:themeFillShade="BF"/>
      <w:vAlign w:val="center"/>
    </w:tcPr>
  </w:style>
  <w:style w:type="character" w:styleId="CommentReference">
    <w:name w:val="annotation reference"/>
    <w:uiPriority w:val="99"/>
    <w:rsid w:val="00711D97"/>
    <w:rPr>
      <w:sz w:val="16"/>
      <w:szCs w:val="16"/>
    </w:rPr>
  </w:style>
  <w:style w:type="paragraph" w:styleId="CommentText">
    <w:name w:val="annotation text"/>
    <w:basedOn w:val="Normal"/>
    <w:link w:val="CommentTextChar"/>
    <w:uiPriority w:val="99"/>
    <w:rsid w:val="00711D97"/>
    <w:pPr>
      <w:widowControl w:val="0"/>
      <w:ind w:firstLine="720"/>
    </w:pPr>
    <w:rPr>
      <w:rFonts w:ascii="Times New Roman" w:hAnsi="Times New Roman"/>
      <w:sz w:val="20"/>
      <w:szCs w:val="20"/>
      <w:lang w:val="en-US" w:eastAsia="ru-RU"/>
    </w:rPr>
  </w:style>
  <w:style w:type="character" w:customStyle="1" w:styleId="CommentTextChar">
    <w:name w:val="Comment Text Char"/>
    <w:basedOn w:val="DefaultParagraphFont"/>
    <w:link w:val="CommentText"/>
    <w:uiPriority w:val="99"/>
    <w:rsid w:val="00711D97"/>
    <w:rPr>
      <w:rFonts w:ascii="Times New Roman" w:eastAsia="Times New Roman" w:hAnsi="Times New Roman" w:cs="Times New Roman"/>
      <w:sz w:val="20"/>
      <w:szCs w:val="20"/>
      <w:lang w:val="en-US" w:eastAsia="ru-RU"/>
    </w:rPr>
  </w:style>
  <w:style w:type="numbering" w:styleId="1ai">
    <w:name w:val="Outline List 1"/>
    <w:basedOn w:val="NoList"/>
    <w:semiHidden/>
    <w:rsid w:val="00711D97"/>
    <w:pPr>
      <w:numPr>
        <w:numId w:val="9"/>
      </w:numPr>
    </w:pPr>
  </w:style>
  <w:style w:type="numbering" w:customStyle="1" w:styleId="StyleBulleted">
    <w:name w:val="Style Bulleted"/>
    <w:basedOn w:val="NoList"/>
    <w:rsid w:val="00711D97"/>
    <w:pPr>
      <w:numPr>
        <w:numId w:val="7"/>
      </w:numPr>
    </w:pPr>
  </w:style>
  <w:style w:type="paragraph" w:styleId="ListParagraph">
    <w:name w:val="List Paragraph"/>
    <w:aliases w:val="REPORT Bullet,Nabrajanje,Tocka,List Paragraph1,KiF bullets,UNIZG_ALU_bullet,Lettre d'introduction,FM,Akapit z listą BS,Bullet1,References,List Paragraph (numbered (a)),List_Paragraph,Multilevel para_II,Yellow Bullet,Normal bullet 2,Dot pt"/>
    <w:basedOn w:val="Normal"/>
    <w:link w:val="ListParagraphChar"/>
    <w:uiPriority w:val="34"/>
    <w:qFormat/>
    <w:rsid w:val="00711D97"/>
    <w:pPr>
      <w:tabs>
        <w:tab w:val="left" w:pos="431"/>
      </w:tabs>
      <w:spacing w:before="0" w:line="240" w:lineRule="auto"/>
    </w:pPr>
    <w:rPr>
      <w:rFonts w:cs="Tahoma"/>
      <w:lang w:eastAsia="ar-SA"/>
    </w:rPr>
  </w:style>
  <w:style w:type="paragraph" w:styleId="CommentSubject">
    <w:name w:val="annotation subject"/>
    <w:basedOn w:val="CommentText"/>
    <w:next w:val="CommentText"/>
    <w:link w:val="CommentSubjectChar"/>
    <w:uiPriority w:val="99"/>
    <w:semiHidden/>
    <w:rsid w:val="00711D97"/>
    <w:pPr>
      <w:widowControl/>
      <w:ind w:firstLine="0"/>
    </w:pPr>
    <w:rPr>
      <w:rFonts w:ascii="Myriad Pro" w:hAnsi="Myriad Pro" w:cs="Myriad Pro"/>
      <w:b/>
      <w:bCs/>
      <w:lang w:val="en-GB" w:eastAsia="de-DE"/>
    </w:rPr>
  </w:style>
  <w:style w:type="character" w:customStyle="1" w:styleId="CommentSubjectChar">
    <w:name w:val="Comment Subject Char"/>
    <w:basedOn w:val="CommentTextChar"/>
    <w:link w:val="CommentSubject"/>
    <w:uiPriority w:val="99"/>
    <w:semiHidden/>
    <w:rsid w:val="00711D97"/>
    <w:rPr>
      <w:rFonts w:ascii="Myriad Pro" w:eastAsia="Times New Roman" w:hAnsi="Myriad Pro" w:cs="Myriad Pro"/>
      <w:b/>
      <w:bCs/>
      <w:sz w:val="20"/>
      <w:szCs w:val="20"/>
      <w:lang w:val="en-GB" w:eastAsia="de-DE"/>
    </w:rPr>
  </w:style>
  <w:style w:type="paragraph" w:styleId="TOC5">
    <w:name w:val="toc 5"/>
    <w:basedOn w:val="Normal"/>
    <w:next w:val="Normal"/>
    <w:autoRedefine/>
    <w:uiPriority w:val="39"/>
    <w:rsid w:val="00711D97"/>
    <w:pPr>
      <w:ind w:left="880"/>
    </w:pPr>
  </w:style>
  <w:style w:type="paragraph" w:styleId="TOC6">
    <w:name w:val="toc 6"/>
    <w:basedOn w:val="Normal"/>
    <w:next w:val="Normal"/>
    <w:autoRedefine/>
    <w:uiPriority w:val="39"/>
    <w:rsid w:val="00711D97"/>
    <w:pPr>
      <w:ind w:left="1100"/>
    </w:pPr>
  </w:style>
  <w:style w:type="paragraph" w:customStyle="1" w:styleId="Slike">
    <w:name w:val="Slike"/>
    <w:basedOn w:val="Normal"/>
    <w:uiPriority w:val="3"/>
    <w:qFormat/>
    <w:rsid w:val="00711D97"/>
    <w:pPr>
      <w:keepNext/>
      <w:suppressAutoHyphens w:val="0"/>
      <w:spacing w:before="120" w:after="240" w:line="240" w:lineRule="auto"/>
      <w:jc w:val="center"/>
    </w:pPr>
    <w:rPr>
      <w:bCs/>
      <w:i/>
      <w:sz w:val="20"/>
      <w:szCs w:val="20"/>
    </w:rPr>
  </w:style>
  <w:style w:type="paragraph" w:styleId="Revision">
    <w:name w:val="Revision"/>
    <w:hidden/>
    <w:uiPriority w:val="99"/>
    <w:semiHidden/>
    <w:rsid w:val="00711D97"/>
    <w:pPr>
      <w:spacing w:after="0" w:line="240" w:lineRule="auto"/>
    </w:pPr>
    <w:rPr>
      <w:rFonts w:ascii="Arial" w:eastAsia="Times New Roman" w:hAnsi="Arial" w:cs="Myriad Pro"/>
      <w:szCs w:val="24"/>
      <w:lang w:eastAsia="de-DE"/>
    </w:rPr>
  </w:style>
  <w:style w:type="table" w:styleId="GridTable1Light">
    <w:name w:val="Grid Table 1 Light"/>
    <w:basedOn w:val="TableNormal"/>
    <w:uiPriority w:val="46"/>
    <w:rsid w:val="00711D97"/>
    <w:pPr>
      <w:spacing w:after="0" w:line="240" w:lineRule="auto"/>
    </w:pPr>
    <w:rPr>
      <w:rFonts w:ascii="Arial" w:eastAsia="Times New Roman" w:hAnsi="Arial" w:cs="Times New Roman"/>
      <w:lang w:eastAsia="hr-H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711D97"/>
    <w:pPr>
      <w:spacing w:after="0" w:line="240" w:lineRule="auto"/>
      <w:ind w:right="510"/>
      <w:jc w:val="right"/>
    </w:pPr>
    <w:rPr>
      <w:rFonts w:ascii="Arial" w:eastAsia="Times New Roman" w:hAnsi="Arial" w:cs="Times New Roman"/>
      <w:lang w:eastAsia="hr-H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e1">
    <w:name w:val="Style1"/>
    <w:basedOn w:val="Normal"/>
    <w:link w:val="Style1Char"/>
    <w:rsid w:val="00711D97"/>
    <w:pPr>
      <w:tabs>
        <w:tab w:val="left" w:pos="3960"/>
        <w:tab w:val="left" w:pos="5400"/>
      </w:tabs>
      <w:spacing w:before="0" w:line="276" w:lineRule="auto"/>
      <w:ind w:left="5398"/>
    </w:pPr>
    <w:rPr>
      <w:rFonts w:cs="Arial"/>
      <w:b/>
      <w:sz w:val="24"/>
      <w:szCs w:val="24"/>
      <w:lang w:eastAsia="de-DE"/>
    </w:rPr>
  </w:style>
  <w:style w:type="character" w:customStyle="1" w:styleId="Style1Char">
    <w:name w:val="Style1 Char"/>
    <w:link w:val="Style1"/>
    <w:rsid w:val="00711D97"/>
    <w:rPr>
      <w:rFonts w:ascii="Arial" w:eastAsia="Times New Roman" w:hAnsi="Arial" w:cs="Arial"/>
      <w:b/>
      <w:sz w:val="24"/>
      <w:szCs w:val="24"/>
      <w:lang w:eastAsia="de-DE"/>
    </w:rPr>
  </w:style>
  <w:style w:type="table" w:styleId="PlainTable1">
    <w:name w:val="Plain Table 1"/>
    <w:basedOn w:val="TableNormal"/>
    <w:uiPriority w:val="41"/>
    <w:rsid w:val="00711D97"/>
    <w:pPr>
      <w:spacing w:after="0" w:line="240" w:lineRule="auto"/>
    </w:pPr>
    <w:rPr>
      <w:rFonts w:ascii="Arial" w:eastAsia="Times New Roman" w:hAnsi="Arial" w:cs="Times New Roman"/>
      <w:lang w:eastAsia="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aliases w:val="Figures,Map,Map Char Char Char,Map Char Char,Tabellen,Char"/>
    <w:basedOn w:val="Naslovslika"/>
    <w:next w:val="Normal"/>
    <w:link w:val="CaptionChar"/>
    <w:qFormat/>
    <w:rsid w:val="00711D97"/>
    <w:pPr>
      <w:spacing w:after="120"/>
    </w:pPr>
  </w:style>
  <w:style w:type="character" w:customStyle="1" w:styleId="LiteraturaCharChar">
    <w:name w:val="Literatura Char Char"/>
    <w:link w:val="Literatura"/>
    <w:uiPriority w:val="3"/>
    <w:rsid w:val="00711D97"/>
    <w:rPr>
      <w:rFonts w:ascii="Arial" w:eastAsia="Times New Roman" w:hAnsi="Arial" w:cs="Arial"/>
      <w:lang w:eastAsia="hr-HR"/>
    </w:rPr>
  </w:style>
  <w:style w:type="character" w:styleId="FollowedHyperlink">
    <w:name w:val="FollowedHyperlink"/>
    <w:basedOn w:val="DefaultParagraphFont"/>
    <w:semiHidden/>
    <w:unhideWhenUsed/>
    <w:rsid w:val="00711D97"/>
    <w:rPr>
      <w:color w:val="954F72" w:themeColor="followedHyperlink"/>
      <w:u w:val="single"/>
    </w:rPr>
  </w:style>
  <w:style w:type="paragraph" w:customStyle="1" w:styleId="StyleNaslovstudije14pt">
    <w:name w:val="Style Naslov studije + 14 pt"/>
    <w:basedOn w:val="Naslovstudije"/>
    <w:link w:val="StyleNaslovstudije14ptChar"/>
    <w:rsid w:val="00711D97"/>
    <w:pPr>
      <w:suppressAutoHyphens w:val="0"/>
      <w:spacing w:before="0" w:after="0" w:line="240" w:lineRule="auto"/>
    </w:pPr>
    <w:rPr>
      <w:bCs/>
      <w:color w:val="auto"/>
      <w:sz w:val="28"/>
    </w:rPr>
  </w:style>
  <w:style w:type="character" w:customStyle="1" w:styleId="StyleNaslovstudije14ptChar">
    <w:name w:val="Style Naslov studije + 14 pt Char"/>
    <w:link w:val="StyleNaslovstudije14pt"/>
    <w:rsid w:val="00711D97"/>
    <w:rPr>
      <w:rFonts w:ascii="Arial" w:eastAsia="Times New Roman" w:hAnsi="Arial" w:cs="Arial"/>
      <w:b/>
      <w:bCs/>
      <w:sz w:val="28"/>
      <w:szCs w:val="36"/>
      <w:lang w:eastAsia="hr-HR"/>
    </w:rPr>
  </w:style>
  <w:style w:type="paragraph" w:styleId="BalloonText">
    <w:name w:val="Balloon Text"/>
    <w:basedOn w:val="Normal"/>
    <w:link w:val="BalloonTextChar"/>
    <w:uiPriority w:val="99"/>
    <w:semiHidden/>
    <w:unhideWhenUsed/>
    <w:rsid w:val="00711D9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D97"/>
    <w:rPr>
      <w:rFonts w:ascii="Segoe UI" w:eastAsia="Times New Roman" w:hAnsi="Segoe UI" w:cs="Segoe UI"/>
      <w:sz w:val="18"/>
      <w:szCs w:val="18"/>
      <w:lang w:eastAsia="hr-HR"/>
    </w:rPr>
  </w:style>
  <w:style w:type="character" w:styleId="Strong">
    <w:name w:val="Strong"/>
    <w:basedOn w:val="DefaultParagraphFont"/>
    <w:uiPriority w:val="22"/>
    <w:qFormat/>
    <w:rsid w:val="00711D97"/>
    <w:rPr>
      <w:b/>
      <w:bCs/>
    </w:rPr>
  </w:style>
  <w:style w:type="character" w:customStyle="1" w:styleId="apple-converted-space">
    <w:name w:val="apple-converted-space"/>
    <w:basedOn w:val="DefaultParagraphFont"/>
    <w:rsid w:val="00711D97"/>
  </w:style>
  <w:style w:type="character" w:customStyle="1" w:styleId="CaptionChar">
    <w:name w:val="Caption Char"/>
    <w:aliases w:val="Figures Char,Map Char,Map Char Char Char Char,Map Char Char Char1,Tabellen Char,Char Char"/>
    <w:link w:val="Caption"/>
    <w:rsid w:val="00711D97"/>
    <w:rPr>
      <w:rFonts w:ascii="Arial" w:eastAsia="Times New Roman" w:hAnsi="Arial" w:cs="Times New Roman"/>
      <w:b/>
      <w:sz w:val="20"/>
      <w:szCs w:val="28"/>
      <w:lang w:eastAsia="hr-HR"/>
    </w:rPr>
  </w:style>
  <w:style w:type="character" w:customStyle="1" w:styleId="TekststudijeChar">
    <w:name w:val="Tekst studije Char"/>
    <w:rsid w:val="00711D97"/>
    <w:rPr>
      <w:rFonts w:ascii="Arial" w:hAnsi="Arial" w:cs="Arial"/>
      <w:sz w:val="22"/>
      <w:szCs w:val="22"/>
    </w:rPr>
  </w:style>
  <w:style w:type="paragraph" w:styleId="ListBullet5">
    <w:name w:val="List Bullet 5"/>
    <w:basedOn w:val="Normal"/>
    <w:autoRedefine/>
    <w:rsid w:val="00711D97"/>
    <w:pPr>
      <w:numPr>
        <w:numId w:val="4"/>
      </w:numPr>
      <w:spacing w:before="120" w:line="276" w:lineRule="auto"/>
    </w:pPr>
    <w:rPr>
      <w:rFonts w:ascii="Times New Roman" w:hAnsi="Times New Roman"/>
      <w:szCs w:val="24"/>
    </w:rPr>
  </w:style>
  <w:style w:type="paragraph" w:styleId="PlainText">
    <w:name w:val="Plain Text"/>
    <w:basedOn w:val="Normal"/>
    <w:link w:val="PlainTextChar"/>
    <w:uiPriority w:val="99"/>
    <w:rsid w:val="00711D97"/>
    <w:pPr>
      <w:spacing w:before="120" w:line="276" w:lineRule="auto"/>
    </w:pPr>
    <w:rPr>
      <w:rFonts w:ascii="Courier New" w:hAnsi="Courier New" w:cs="Courier New"/>
      <w:sz w:val="20"/>
      <w:szCs w:val="20"/>
    </w:rPr>
  </w:style>
  <w:style w:type="character" w:customStyle="1" w:styleId="PlainTextChar">
    <w:name w:val="Plain Text Char"/>
    <w:basedOn w:val="DefaultParagraphFont"/>
    <w:link w:val="PlainText"/>
    <w:uiPriority w:val="99"/>
    <w:rsid w:val="00711D97"/>
    <w:rPr>
      <w:rFonts w:ascii="Courier New" w:eastAsia="Times New Roman" w:hAnsi="Courier New" w:cs="Courier New"/>
      <w:sz w:val="20"/>
      <w:szCs w:val="20"/>
      <w:lang w:eastAsia="hr-HR"/>
    </w:rPr>
  </w:style>
  <w:style w:type="character" w:customStyle="1" w:styleId="spelle">
    <w:name w:val="spelle"/>
    <w:basedOn w:val="DefaultParagraphFont"/>
    <w:rsid w:val="00711D97"/>
  </w:style>
  <w:style w:type="numbering" w:styleId="111111">
    <w:name w:val="Outline List 2"/>
    <w:basedOn w:val="NoList"/>
    <w:rsid w:val="00711D97"/>
    <w:pPr>
      <w:numPr>
        <w:numId w:val="8"/>
      </w:numPr>
    </w:pPr>
  </w:style>
  <w:style w:type="paragraph" w:customStyle="1" w:styleId="Default">
    <w:name w:val="Default"/>
    <w:rsid w:val="00711D97"/>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NormalWeb">
    <w:name w:val="Normal (Web)"/>
    <w:basedOn w:val="Normal"/>
    <w:uiPriority w:val="99"/>
    <w:unhideWhenUsed/>
    <w:rsid w:val="00711D97"/>
    <w:pPr>
      <w:suppressAutoHyphens w:val="0"/>
      <w:spacing w:before="100" w:beforeAutospacing="1" w:after="100" w:afterAutospacing="1" w:line="240" w:lineRule="auto"/>
      <w:jc w:val="left"/>
    </w:pPr>
    <w:rPr>
      <w:rFonts w:ascii="Times New Roman" w:hAnsi="Times New Roman"/>
      <w:sz w:val="24"/>
      <w:szCs w:val="24"/>
    </w:rPr>
  </w:style>
  <w:style w:type="table" w:customStyle="1" w:styleId="TableNormal1">
    <w:name w:val="Table Normal1"/>
    <w:uiPriority w:val="2"/>
    <w:semiHidden/>
    <w:unhideWhenUsed/>
    <w:qFormat/>
    <w:rsid w:val="00711D9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1D97"/>
    <w:pPr>
      <w:widowControl w:val="0"/>
      <w:suppressAutoHyphens w:val="0"/>
      <w:spacing w:before="0" w:after="0" w:line="240" w:lineRule="auto"/>
      <w:jc w:val="left"/>
    </w:pPr>
    <w:rPr>
      <w:rFonts w:asciiTheme="minorHAnsi" w:eastAsiaTheme="minorHAnsi" w:hAnsiTheme="minorHAnsi" w:cstheme="minorBidi"/>
      <w:lang w:val="en-US" w:eastAsia="en-US"/>
    </w:rPr>
  </w:style>
  <w:style w:type="paragraph" w:customStyle="1" w:styleId="Sadraj">
    <w:name w:val="Sadržaj"/>
    <w:basedOn w:val="Normal"/>
    <w:qFormat/>
    <w:rsid w:val="00711D97"/>
    <w:pPr>
      <w:pBdr>
        <w:top w:val="single" w:sz="48" w:space="5" w:color="F5C1C6"/>
      </w:pBdr>
      <w:spacing w:before="120" w:after="320" w:line="240" w:lineRule="auto"/>
    </w:pPr>
    <w:rPr>
      <w:b/>
      <w:caps/>
      <w:color w:val="BE1D2D"/>
      <w:sz w:val="32"/>
    </w:rPr>
  </w:style>
  <w:style w:type="paragraph" w:customStyle="1" w:styleId="Naslovslike">
    <w:name w:val="Naslov slike"/>
    <w:basedOn w:val="Normal"/>
    <w:link w:val="NaslovslikeChar"/>
    <w:qFormat/>
    <w:rsid w:val="00711D97"/>
    <w:pPr>
      <w:suppressAutoHyphens w:val="0"/>
      <w:spacing w:before="120" w:after="360" w:line="240" w:lineRule="auto"/>
      <w:jc w:val="center"/>
    </w:pPr>
    <w:rPr>
      <w:rFonts w:cs="Arial"/>
      <w:b/>
      <w:sz w:val="20"/>
      <w:szCs w:val="24"/>
      <w:lang w:eastAsia="en-US"/>
    </w:rPr>
  </w:style>
  <w:style w:type="character" w:customStyle="1" w:styleId="NaslovslikeChar">
    <w:name w:val="Naslov slike Char"/>
    <w:link w:val="Naslovslike"/>
    <w:rsid w:val="00711D97"/>
    <w:rPr>
      <w:rFonts w:ascii="Arial" w:eastAsia="Times New Roman" w:hAnsi="Arial" w:cs="Arial"/>
      <w:b/>
      <w:sz w:val="20"/>
      <w:szCs w:val="24"/>
    </w:rPr>
  </w:style>
  <w:style w:type="paragraph" w:customStyle="1" w:styleId="line">
    <w:name w:val="line"/>
    <w:basedOn w:val="Normal"/>
    <w:rsid w:val="00711D97"/>
    <w:pPr>
      <w:suppressAutoHyphens w:val="0"/>
      <w:spacing w:before="100" w:beforeAutospacing="1" w:after="100" w:afterAutospacing="1" w:line="240" w:lineRule="auto"/>
      <w:jc w:val="left"/>
    </w:pPr>
    <w:rPr>
      <w:rFonts w:ascii="Times New Roman" w:hAnsi="Times New Roman"/>
      <w:sz w:val="24"/>
      <w:szCs w:val="24"/>
    </w:rPr>
  </w:style>
  <w:style w:type="paragraph" w:customStyle="1" w:styleId="bodytext0">
    <w:name w:val="bodytext"/>
    <w:basedOn w:val="Normal"/>
    <w:rsid w:val="00711D97"/>
    <w:pPr>
      <w:suppressAutoHyphens w:val="0"/>
      <w:spacing w:before="100" w:beforeAutospacing="1" w:after="100" w:afterAutospacing="1" w:line="240" w:lineRule="auto"/>
      <w:jc w:val="left"/>
    </w:pPr>
    <w:rPr>
      <w:rFonts w:ascii="Times New Roman" w:hAnsi="Times New Roman"/>
      <w:sz w:val="24"/>
      <w:szCs w:val="24"/>
    </w:rPr>
  </w:style>
  <w:style w:type="paragraph" w:customStyle="1" w:styleId="TableofTables">
    <w:name w:val="Table of Tables"/>
    <w:basedOn w:val="TableofFigures"/>
    <w:qFormat/>
    <w:rsid w:val="00711D97"/>
  </w:style>
  <w:style w:type="paragraph" w:styleId="ListBullet">
    <w:name w:val="List Bullet"/>
    <w:basedOn w:val="Normal"/>
    <w:autoRedefine/>
    <w:uiPriority w:val="99"/>
    <w:semiHidden/>
    <w:rsid w:val="00711D97"/>
    <w:pPr>
      <w:numPr>
        <w:numId w:val="5"/>
      </w:numPr>
      <w:suppressAutoHyphens w:val="0"/>
      <w:spacing w:before="0" w:after="0" w:line="240" w:lineRule="auto"/>
      <w:jc w:val="left"/>
    </w:pPr>
    <w:rPr>
      <w:rFonts w:ascii="Times New Roman" w:hAnsi="Times New Roman"/>
      <w:sz w:val="24"/>
      <w:szCs w:val="24"/>
    </w:rPr>
  </w:style>
  <w:style w:type="table" w:customStyle="1" w:styleId="GridTable1Light2">
    <w:name w:val="Grid Table 1 Light2"/>
    <w:basedOn w:val="TableNormal"/>
    <w:next w:val="GridTable1Light"/>
    <w:uiPriority w:val="46"/>
    <w:rsid w:val="00711D97"/>
    <w:pPr>
      <w:spacing w:after="0" w:line="240" w:lineRule="auto"/>
    </w:pPr>
    <w:rPr>
      <w:rFonts w:ascii="Arial" w:eastAsia="Times New Roman" w:hAnsi="Arial" w:cs="Times New Roman"/>
      <w:lang w:eastAsia="hr-H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99"/>
    <w:rsid w:val="00711D97"/>
    <w:pPr>
      <w:spacing w:after="0" w:line="240" w:lineRule="auto"/>
      <w:contextualSpacing/>
    </w:pPr>
    <w:rPr>
      <w:rFonts w:ascii="Arial" w:eastAsia="Times New Roman" w:hAnsi="Arial"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FBFBF" w:themeFill="background1" w:themeFillShade="BF"/>
      <w:vAlign w:val="center"/>
    </w:tcPr>
  </w:style>
  <w:style w:type="table" w:customStyle="1" w:styleId="GridTable1Light11">
    <w:name w:val="Grid Table 1 Light11"/>
    <w:basedOn w:val="TableNormal"/>
    <w:uiPriority w:val="46"/>
    <w:rsid w:val="00711D97"/>
    <w:pPr>
      <w:spacing w:after="0" w:line="240" w:lineRule="auto"/>
      <w:ind w:right="510"/>
      <w:jc w:val="right"/>
    </w:pPr>
    <w:rPr>
      <w:rFonts w:ascii="Arial" w:eastAsia="Times New Roman" w:hAnsi="Arial" w:cs="Times New Roman"/>
      <w:lang w:eastAsia="hr-H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81">
    <w:name w:val="font81"/>
    <w:basedOn w:val="DefaultParagraphFont"/>
    <w:rsid w:val="00711D97"/>
    <w:rPr>
      <w:rFonts w:ascii="Calibri" w:hAnsi="Calibri" w:hint="default"/>
      <w:b w:val="0"/>
      <w:bCs w:val="0"/>
      <w:i w:val="0"/>
      <w:iCs w:val="0"/>
      <w:strike w:val="0"/>
      <w:dstrike w:val="0"/>
      <w:color w:val="000000"/>
      <w:sz w:val="22"/>
      <w:szCs w:val="22"/>
      <w:u w:val="none"/>
      <w:effect w:val="none"/>
    </w:rPr>
  </w:style>
  <w:style w:type="character" w:customStyle="1" w:styleId="NaslovslikaChar">
    <w:name w:val="Naslov slika Char"/>
    <w:link w:val="Naslovslika"/>
    <w:uiPriority w:val="99"/>
    <w:rsid w:val="00711D97"/>
    <w:rPr>
      <w:rFonts w:ascii="Arial" w:eastAsia="Times New Roman" w:hAnsi="Arial" w:cs="Times New Roman"/>
      <w:b/>
      <w:sz w:val="20"/>
      <w:szCs w:val="28"/>
      <w:lang w:eastAsia="hr-HR"/>
    </w:rPr>
  </w:style>
  <w:style w:type="character" w:customStyle="1" w:styleId="IzvorChar">
    <w:name w:val="Izvor Char"/>
    <w:link w:val="Izvor"/>
    <w:rsid w:val="00711D97"/>
    <w:rPr>
      <w:rFonts w:ascii="Arial" w:eastAsia="Times New Roman" w:hAnsi="Arial" w:cs="Arial"/>
      <w:i/>
      <w:sz w:val="20"/>
      <w:lang w:eastAsia="hr-HR"/>
    </w:rPr>
  </w:style>
  <w:style w:type="table" w:styleId="PlainTable4">
    <w:name w:val="Plain Table 4"/>
    <w:basedOn w:val="TableNormal"/>
    <w:uiPriority w:val="44"/>
    <w:rsid w:val="00711D97"/>
    <w:pPr>
      <w:spacing w:after="0" w:line="240" w:lineRule="auto"/>
    </w:pPr>
    <w:rPr>
      <w:rFonts w:ascii="Arial" w:eastAsia="Times New Roman" w:hAnsi="Arial" w:cs="Times New Roman"/>
      <w:lang w:eastAsia="hr-H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11D97"/>
    <w:pPr>
      <w:spacing w:after="0" w:line="240" w:lineRule="auto"/>
    </w:pPr>
    <w:rPr>
      <w:rFonts w:ascii="Arial" w:eastAsia="Times New Roman" w:hAnsi="Arial" w:cs="Times New Roman"/>
      <w:lang w:eastAsia="hr-H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711D97"/>
    <w:pPr>
      <w:spacing w:after="0" w:line="240" w:lineRule="auto"/>
    </w:pPr>
    <w:rPr>
      <w:rFonts w:ascii="Arial" w:eastAsia="Times New Roman" w:hAnsi="Arial" w:cs="Times New Roman"/>
      <w:lang w:eastAsia="hr-H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711D97"/>
    <w:rPr>
      <w:color w:val="808080"/>
      <w:shd w:val="clear" w:color="auto" w:fill="E6E6E6"/>
    </w:rPr>
  </w:style>
  <w:style w:type="paragraph" w:styleId="EndnoteText">
    <w:name w:val="endnote text"/>
    <w:basedOn w:val="Normal"/>
    <w:link w:val="EndnoteTextChar"/>
    <w:uiPriority w:val="99"/>
    <w:unhideWhenUsed/>
    <w:rsid w:val="00711D97"/>
    <w:pPr>
      <w:spacing w:before="0" w:after="0" w:line="240" w:lineRule="auto"/>
    </w:pPr>
    <w:rPr>
      <w:sz w:val="20"/>
      <w:szCs w:val="20"/>
    </w:rPr>
  </w:style>
  <w:style w:type="character" w:customStyle="1" w:styleId="EndnoteTextChar">
    <w:name w:val="Endnote Text Char"/>
    <w:basedOn w:val="DefaultParagraphFont"/>
    <w:link w:val="EndnoteText"/>
    <w:uiPriority w:val="99"/>
    <w:rsid w:val="00711D97"/>
    <w:rPr>
      <w:rFonts w:ascii="Arial" w:eastAsia="Times New Roman" w:hAnsi="Arial" w:cs="Times New Roman"/>
      <w:sz w:val="20"/>
      <w:szCs w:val="20"/>
      <w:lang w:eastAsia="hr-HR"/>
    </w:rPr>
  </w:style>
  <w:style w:type="character" w:styleId="EndnoteReference">
    <w:name w:val="endnote reference"/>
    <w:basedOn w:val="DefaultParagraphFont"/>
    <w:uiPriority w:val="99"/>
    <w:semiHidden/>
    <w:unhideWhenUsed/>
    <w:rsid w:val="00711D97"/>
    <w:rPr>
      <w:vertAlign w:val="superscript"/>
    </w:rPr>
  </w:style>
  <w:style w:type="paragraph" w:styleId="BodyTextIndent">
    <w:name w:val="Body Text Indent"/>
    <w:basedOn w:val="Normal"/>
    <w:link w:val="BodyTextIndentChar"/>
    <w:uiPriority w:val="99"/>
    <w:unhideWhenUsed/>
    <w:rsid w:val="00711D97"/>
    <w:pPr>
      <w:suppressAutoHyphens w:val="0"/>
      <w:spacing w:before="0" w:line="240" w:lineRule="auto"/>
      <w:ind w:left="283"/>
      <w:jc w:val="left"/>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711D97"/>
    <w:rPr>
      <w:rFonts w:ascii="Times New Roman" w:eastAsia="Times New Roman" w:hAnsi="Times New Roman" w:cs="Times New Roman"/>
      <w:sz w:val="24"/>
      <w:szCs w:val="24"/>
      <w:lang w:eastAsia="hr-HR"/>
    </w:rPr>
  </w:style>
  <w:style w:type="paragraph" w:customStyle="1" w:styleId="msonormal0">
    <w:name w:val="msonormal"/>
    <w:basedOn w:val="Normal"/>
    <w:rsid w:val="00711D97"/>
    <w:pPr>
      <w:suppressAutoHyphens w:val="0"/>
      <w:spacing w:before="100" w:beforeAutospacing="1" w:after="100" w:afterAutospacing="1" w:line="240" w:lineRule="auto"/>
      <w:jc w:val="left"/>
    </w:pPr>
    <w:rPr>
      <w:rFonts w:ascii="Times New Roman" w:hAnsi="Times New Roman"/>
      <w:sz w:val="24"/>
      <w:szCs w:val="24"/>
    </w:rPr>
  </w:style>
  <w:style w:type="paragraph" w:styleId="NoSpacing">
    <w:name w:val="No Spacing"/>
    <w:link w:val="NoSpacingChar"/>
    <w:uiPriority w:val="1"/>
    <w:qFormat/>
    <w:rsid w:val="00711D97"/>
    <w:pPr>
      <w:spacing w:after="0" w:line="240" w:lineRule="auto"/>
    </w:pPr>
    <w:rPr>
      <w:rFonts w:eastAsiaTheme="minorEastAsia"/>
      <w:lang w:eastAsia="hr-HR"/>
    </w:rPr>
  </w:style>
  <w:style w:type="character" w:customStyle="1" w:styleId="NoSpacingChar">
    <w:name w:val="No Spacing Char"/>
    <w:basedOn w:val="DefaultParagraphFont"/>
    <w:link w:val="NoSpacing"/>
    <w:uiPriority w:val="1"/>
    <w:rsid w:val="00711D97"/>
    <w:rPr>
      <w:rFonts w:eastAsiaTheme="minorEastAsia"/>
      <w:lang w:eastAsia="hr-HR"/>
    </w:rPr>
  </w:style>
  <w:style w:type="table" w:styleId="GridTable1Light-Accent1">
    <w:name w:val="Grid Table 1 Light Accent 1"/>
    <w:basedOn w:val="TableNormal"/>
    <w:uiPriority w:val="46"/>
    <w:rsid w:val="00711D97"/>
    <w:pPr>
      <w:spacing w:after="0" w:line="240" w:lineRule="auto"/>
    </w:pPr>
    <w:rPr>
      <w:rFonts w:ascii="Arial" w:eastAsia="Times New Roman" w:hAnsi="Arial" w:cs="Times New Roman"/>
      <w:lang w:eastAsia="hr-HR"/>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12">
    <w:name w:val="Grid Table 1 Light12"/>
    <w:basedOn w:val="TableNormal"/>
    <w:uiPriority w:val="46"/>
    <w:rsid w:val="00711D97"/>
    <w:pPr>
      <w:spacing w:after="0" w:line="240" w:lineRule="auto"/>
      <w:ind w:right="510"/>
      <w:jc w:val="right"/>
    </w:pPr>
    <w:rPr>
      <w:rFonts w:ascii="Arial" w:eastAsia="Times New Roman" w:hAnsi="Arial" w:cs="Times New Roman"/>
      <w:lang w:eastAsia="hr-H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ption-tbl">
    <w:name w:val="Caption-tbl"/>
    <w:basedOn w:val="Normal"/>
    <w:next w:val="Normal"/>
    <w:rsid w:val="00711D97"/>
    <w:pPr>
      <w:keepNext/>
      <w:suppressAutoHyphens w:val="0"/>
      <w:spacing w:before="270" w:after="90" w:line="240" w:lineRule="auto"/>
      <w:jc w:val="center"/>
    </w:pPr>
    <w:rPr>
      <w:b/>
      <w:i/>
      <w:sz w:val="20"/>
      <w:lang w:eastAsia="ko-KR"/>
    </w:rPr>
  </w:style>
  <w:style w:type="paragraph" w:styleId="Bibliography">
    <w:name w:val="Bibliography"/>
    <w:basedOn w:val="Normal"/>
    <w:next w:val="Normal"/>
    <w:uiPriority w:val="37"/>
    <w:unhideWhenUsed/>
    <w:rsid w:val="00711D97"/>
    <w:pPr>
      <w:spacing w:before="120"/>
    </w:pPr>
  </w:style>
  <w:style w:type="numbering" w:customStyle="1" w:styleId="NoList1">
    <w:name w:val="No List1"/>
    <w:next w:val="NoList"/>
    <w:uiPriority w:val="99"/>
    <w:semiHidden/>
    <w:unhideWhenUsed/>
    <w:rsid w:val="00711D97"/>
  </w:style>
  <w:style w:type="paragraph" w:customStyle="1" w:styleId="Bullets">
    <w:name w:val="Bullets"/>
    <w:basedOn w:val="Normal"/>
    <w:rsid w:val="00711D97"/>
    <w:pPr>
      <w:numPr>
        <w:numId w:val="6"/>
      </w:numPr>
      <w:suppressAutoHyphens w:val="0"/>
      <w:spacing w:before="90" w:after="90" w:line="240" w:lineRule="auto"/>
    </w:pPr>
    <w:rPr>
      <w:rFonts w:cs="Arial"/>
      <w:lang w:eastAsia="ko-KR"/>
    </w:rPr>
  </w:style>
  <w:style w:type="paragraph" w:customStyle="1" w:styleId="Caption-sl">
    <w:name w:val="Caption-sl"/>
    <w:basedOn w:val="Caption"/>
    <w:next w:val="Normal"/>
    <w:link w:val="Caption-slChar"/>
    <w:rsid w:val="00711D97"/>
    <w:pPr>
      <w:tabs>
        <w:tab w:val="clear" w:pos="1021"/>
      </w:tabs>
      <w:suppressAutoHyphens w:val="0"/>
      <w:spacing w:before="0" w:after="270" w:line="240" w:lineRule="auto"/>
      <w:ind w:left="0" w:firstLine="0"/>
    </w:pPr>
    <w:rPr>
      <w:i/>
      <w:szCs w:val="20"/>
      <w:lang w:eastAsia="ko-KR"/>
    </w:rPr>
  </w:style>
  <w:style w:type="character" w:customStyle="1" w:styleId="Caption-slChar">
    <w:name w:val="Caption-sl Char"/>
    <w:basedOn w:val="DefaultParagraphFont"/>
    <w:link w:val="Caption-sl"/>
    <w:rsid w:val="00711D97"/>
    <w:rPr>
      <w:rFonts w:ascii="Arial" w:eastAsia="Times New Roman" w:hAnsi="Arial" w:cs="Times New Roman"/>
      <w:b/>
      <w:i/>
      <w:sz w:val="20"/>
      <w:szCs w:val="20"/>
      <w:lang w:eastAsia="ko-KR"/>
    </w:rPr>
  </w:style>
  <w:style w:type="paragraph" w:styleId="BodyText3">
    <w:name w:val="Body Text 3"/>
    <w:basedOn w:val="Normal"/>
    <w:link w:val="BodyText3Char"/>
    <w:semiHidden/>
    <w:rsid w:val="00711D97"/>
    <w:pPr>
      <w:suppressAutoHyphens w:val="0"/>
      <w:spacing w:before="0" w:line="240" w:lineRule="auto"/>
      <w:jc w:val="left"/>
    </w:pPr>
    <w:rPr>
      <w:rFonts w:ascii="Times New Roman" w:hAnsi="Times New Roman"/>
      <w:sz w:val="16"/>
      <w:szCs w:val="16"/>
    </w:rPr>
  </w:style>
  <w:style w:type="character" w:customStyle="1" w:styleId="BodyText3Char">
    <w:name w:val="Body Text 3 Char"/>
    <w:basedOn w:val="DefaultParagraphFont"/>
    <w:link w:val="BodyText3"/>
    <w:semiHidden/>
    <w:rsid w:val="00711D97"/>
    <w:rPr>
      <w:rFonts w:ascii="Times New Roman" w:eastAsia="Times New Roman" w:hAnsi="Times New Roman" w:cs="Times New Roman"/>
      <w:sz w:val="16"/>
      <w:szCs w:val="16"/>
      <w:lang w:eastAsia="hr-HR"/>
    </w:rPr>
  </w:style>
  <w:style w:type="paragraph" w:styleId="BlockText">
    <w:name w:val="Block Text"/>
    <w:basedOn w:val="Normal"/>
    <w:semiHidden/>
    <w:rsid w:val="00711D97"/>
    <w:pPr>
      <w:suppressAutoHyphens w:val="0"/>
      <w:spacing w:before="0" w:line="240" w:lineRule="auto"/>
      <w:ind w:left="1440" w:right="1440"/>
      <w:jc w:val="left"/>
    </w:pPr>
    <w:rPr>
      <w:rFonts w:ascii="Times New Roman" w:hAnsi="Times New Roman"/>
      <w:sz w:val="24"/>
      <w:szCs w:val="24"/>
    </w:rPr>
  </w:style>
  <w:style w:type="table" w:customStyle="1" w:styleId="TableGrid2">
    <w:name w:val="Table Grid2"/>
    <w:basedOn w:val="TableNormal"/>
    <w:next w:val="TableGrid"/>
    <w:uiPriority w:val="39"/>
    <w:rsid w:val="00711D97"/>
    <w:pPr>
      <w:spacing w:after="0" w:line="240" w:lineRule="auto"/>
    </w:pPr>
    <w:rPr>
      <w:rFonts w:ascii="Arial" w:eastAsia="Times New Roman" w:hAnsi="Arial"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711D97"/>
  </w:style>
  <w:style w:type="paragraph" w:customStyle="1" w:styleId="fusnota">
    <w:name w:val="fusnota"/>
    <w:basedOn w:val="FootnoteText"/>
    <w:link w:val="fusnotaChar"/>
    <w:rsid w:val="00711D97"/>
    <w:pPr>
      <w:suppressAutoHyphens w:val="0"/>
      <w:spacing w:before="120" w:after="60"/>
    </w:pPr>
    <w:rPr>
      <w:rFonts w:cs="Arial"/>
      <w:sz w:val="18"/>
      <w:lang w:eastAsia="hr-HR"/>
    </w:rPr>
  </w:style>
  <w:style w:type="character" w:customStyle="1" w:styleId="fusnotaChar">
    <w:name w:val="fusnota Char"/>
    <w:link w:val="fusnota"/>
    <w:rsid w:val="00711D97"/>
    <w:rPr>
      <w:rFonts w:ascii="Arial" w:eastAsia="Times New Roman" w:hAnsi="Arial" w:cs="Arial"/>
      <w:sz w:val="18"/>
      <w:szCs w:val="20"/>
      <w:lang w:eastAsia="hr-HR"/>
    </w:rPr>
  </w:style>
  <w:style w:type="table" w:customStyle="1" w:styleId="GridTable1Light-Accent51">
    <w:name w:val="Grid Table 1 Light - Accent 51"/>
    <w:basedOn w:val="TableNormal"/>
    <w:uiPriority w:val="46"/>
    <w:rsid w:val="00711D9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t-9-8">
    <w:name w:val="t-9-8"/>
    <w:basedOn w:val="Normal"/>
    <w:rsid w:val="00711D97"/>
    <w:pPr>
      <w:suppressAutoHyphens w:val="0"/>
      <w:spacing w:before="100" w:beforeAutospacing="1" w:after="100" w:afterAutospacing="1" w:line="240" w:lineRule="auto"/>
      <w:jc w:val="left"/>
    </w:pPr>
    <w:rPr>
      <w:rFonts w:ascii="Times New Roman" w:hAnsi="Times New Roman"/>
      <w:sz w:val="24"/>
      <w:szCs w:val="24"/>
    </w:rPr>
  </w:style>
  <w:style w:type="table" w:customStyle="1" w:styleId="GridTable1Light3">
    <w:name w:val="Grid Table 1 Light3"/>
    <w:basedOn w:val="TableNormal"/>
    <w:next w:val="GridTable1Light"/>
    <w:uiPriority w:val="46"/>
    <w:rsid w:val="00711D97"/>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TOC4">
    <w:name w:val="toc 4"/>
    <w:basedOn w:val="Normal"/>
    <w:next w:val="Normal"/>
    <w:autoRedefine/>
    <w:uiPriority w:val="39"/>
    <w:unhideWhenUsed/>
    <w:rsid w:val="00711D97"/>
    <w:pPr>
      <w:suppressAutoHyphens w:val="0"/>
      <w:spacing w:before="0" w:after="100" w:line="259" w:lineRule="auto"/>
      <w:ind w:left="660"/>
      <w:jc w:val="left"/>
    </w:pPr>
    <w:rPr>
      <w:rFonts w:asciiTheme="minorHAnsi" w:eastAsiaTheme="minorEastAsia" w:hAnsiTheme="minorHAnsi" w:cstheme="minorBidi"/>
    </w:rPr>
  </w:style>
  <w:style w:type="paragraph" w:styleId="TOC7">
    <w:name w:val="toc 7"/>
    <w:basedOn w:val="Normal"/>
    <w:next w:val="Normal"/>
    <w:autoRedefine/>
    <w:uiPriority w:val="39"/>
    <w:unhideWhenUsed/>
    <w:rsid w:val="00711D97"/>
    <w:pPr>
      <w:suppressAutoHyphens w:val="0"/>
      <w:spacing w:before="0" w:after="100" w:line="259" w:lineRule="auto"/>
      <w:ind w:left="1320"/>
      <w:jc w:val="left"/>
    </w:pPr>
    <w:rPr>
      <w:rFonts w:asciiTheme="minorHAnsi" w:eastAsiaTheme="minorEastAsia" w:hAnsiTheme="minorHAnsi" w:cstheme="minorBidi"/>
    </w:rPr>
  </w:style>
  <w:style w:type="paragraph" w:styleId="TOC8">
    <w:name w:val="toc 8"/>
    <w:basedOn w:val="Normal"/>
    <w:next w:val="Normal"/>
    <w:autoRedefine/>
    <w:uiPriority w:val="39"/>
    <w:unhideWhenUsed/>
    <w:rsid w:val="00711D97"/>
    <w:pPr>
      <w:suppressAutoHyphens w:val="0"/>
      <w:spacing w:before="0" w:after="100" w:line="259" w:lineRule="auto"/>
      <w:ind w:left="1540"/>
      <w:jc w:val="left"/>
    </w:pPr>
    <w:rPr>
      <w:rFonts w:asciiTheme="minorHAnsi" w:eastAsiaTheme="minorEastAsia" w:hAnsiTheme="minorHAnsi" w:cstheme="minorBidi"/>
    </w:rPr>
  </w:style>
  <w:style w:type="paragraph" w:styleId="TOC9">
    <w:name w:val="toc 9"/>
    <w:basedOn w:val="Normal"/>
    <w:next w:val="Normal"/>
    <w:autoRedefine/>
    <w:uiPriority w:val="39"/>
    <w:unhideWhenUsed/>
    <w:rsid w:val="00711D97"/>
    <w:pPr>
      <w:suppressAutoHyphens w:val="0"/>
      <w:spacing w:before="0" w:after="100" w:line="259" w:lineRule="auto"/>
      <w:ind w:left="1760"/>
      <w:jc w:val="left"/>
    </w:pPr>
    <w:rPr>
      <w:rFonts w:asciiTheme="minorHAnsi" w:eastAsiaTheme="minorEastAsia" w:hAnsiTheme="minorHAnsi" w:cstheme="minorBidi"/>
    </w:rPr>
  </w:style>
  <w:style w:type="character" w:customStyle="1" w:styleId="UnresolvedMention2">
    <w:name w:val="Unresolved Mention2"/>
    <w:basedOn w:val="DefaultParagraphFont"/>
    <w:uiPriority w:val="99"/>
    <w:semiHidden/>
    <w:unhideWhenUsed/>
    <w:rsid w:val="00711D97"/>
    <w:rPr>
      <w:color w:val="605E5C"/>
      <w:shd w:val="clear" w:color="auto" w:fill="E1DFDD"/>
    </w:rPr>
  </w:style>
  <w:style w:type="character" w:customStyle="1" w:styleId="UnresolvedMention3">
    <w:name w:val="Unresolved Mention3"/>
    <w:basedOn w:val="DefaultParagraphFont"/>
    <w:uiPriority w:val="99"/>
    <w:semiHidden/>
    <w:unhideWhenUsed/>
    <w:rsid w:val="00711D97"/>
    <w:rPr>
      <w:color w:val="605E5C"/>
      <w:shd w:val="clear" w:color="auto" w:fill="E1DFDD"/>
    </w:rPr>
  </w:style>
  <w:style w:type="table" w:styleId="GridTable5Dark-Accent2">
    <w:name w:val="Grid Table 5 Dark Accent 2"/>
    <w:basedOn w:val="TableNormal"/>
    <w:uiPriority w:val="50"/>
    <w:rsid w:val="00711D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2-Accent3">
    <w:name w:val="Grid Table 2 Accent 3"/>
    <w:basedOn w:val="TableNormal"/>
    <w:uiPriority w:val="47"/>
    <w:rsid w:val="00711D97"/>
    <w:pPr>
      <w:spacing w:after="0" w:line="240" w:lineRule="auto"/>
    </w:pPr>
    <w:rPr>
      <w:rFonts w:ascii="Arial" w:eastAsia="Times New Roman" w:hAnsi="Arial" w:cs="Times New Roman"/>
      <w:lang w:eastAsia="hr-HR"/>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711D97"/>
    <w:pPr>
      <w:spacing w:after="0" w:line="240" w:lineRule="auto"/>
    </w:pPr>
    <w:rPr>
      <w:rFonts w:ascii="Arial" w:eastAsia="Times New Roman" w:hAnsi="Arial" w:cs="Times New Roman"/>
      <w:lang w:eastAsia="hr-H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3">
    <w:name w:val="Table Grid3"/>
    <w:basedOn w:val="TableNormal"/>
    <w:next w:val="TableGrid"/>
    <w:uiPriority w:val="39"/>
    <w:rsid w:val="00711D97"/>
    <w:pPr>
      <w:spacing w:after="0" w:line="240" w:lineRule="auto"/>
      <w:contextualSpacing/>
    </w:pPr>
    <w:rPr>
      <w:rFonts w:ascii="Arial" w:eastAsia="Times New Roman" w:hAnsi="Arial"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FBFBF" w:themeFill="background1" w:themeFillShade="BF"/>
      <w:vAlign w:val="center"/>
    </w:tcPr>
  </w:style>
  <w:style w:type="character" w:customStyle="1" w:styleId="ListParagraphChar">
    <w:name w:val="List Paragraph Char"/>
    <w:aliases w:val="REPORT Bullet Char,Nabrajanje Char,Tocka Char,List Paragraph1 Char,KiF bullets Char,UNIZG_ALU_bullet Char,Lettre d'introduction Char,FM Char,Akapit z listą BS Char,Bullet1 Char,References Char,List Paragraph (numbered (a)) Char"/>
    <w:link w:val="ListParagraph"/>
    <w:uiPriority w:val="34"/>
    <w:qFormat/>
    <w:locked/>
    <w:rsid w:val="00711D97"/>
    <w:rPr>
      <w:rFonts w:ascii="Arial" w:eastAsia="Times New Roman" w:hAnsi="Arial" w:cs="Tahoma"/>
      <w:lang w:eastAsia="ar-SA"/>
    </w:rPr>
  </w:style>
  <w:style w:type="table" w:customStyle="1" w:styleId="TableGrid21">
    <w:name w:val="Table Grid21"/>
    <w:basedOn w:val="TableNormal"/>
    <w:next w:val="TableGrid"/>
    <w:uiPriority w:val="39"/>
    <w:rsid w:val="00711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11D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711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711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711D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711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711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711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11D97"/>
  </w:style>
  <w:style w:type="table" w:customStyle="1" w:styleId="TableGrid4">
    <w:name w:val="Table Grid4"/>
    <w:basedOn w:val="TableNormal"/>
    <w:next w:val="TableGrid"/>
    <w:uiPriority w:val="39"/>
    <w:rsid w:val="00711D97"/>
    <w:pPr>
      <w:spacing w:after="0" w:line="240" w:lineRule="auto"/>
      <w:contextualSpacing/>
    </w:pPr>
    <w:rPr>
      <w:rFonts w:ascii="Arial" w:eastAsia="Times New Roman" w:hAnsi="Arial"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FBFBF" w:themeFill="background1" w:themeFillShade="BF"/>
      <w:vAlign w:val="center"/>
    </w:tcPr>
  </w:style>
  <w:style w:type="table" w:customStyle="1" w:styleId="GridTable1Light4">
    <w:name w:val="Grid Table 1 Light4"/>
    <w:basedOn w:val="TableNormal"/>
    <w:next w:val="GridTable1Light"/>
    <w:uiPriority w:val="46"/>
    <w:rsid w:val="00711D97"/>
    <w:pPr>
      <w:spacing w:after="0" w:line="240" w:lineRule="auto"/>
    </w:pPr>
    <w:rPr>
      <w:rFonts w:ascii="Arial" w:eastAsia="Times New Roman" w:hAnsi="Arial" w:cs="Times New Roman"/>
      <w:lang w:eastAsia="hr-H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3">
    <w:name w:val="Grid Table 1 Light13"/>
    <w:basedOn w:val="TableNormal"/>
    <w:uiPriority w:val="46"/>
    <w:rsid w:val="00711D97"/>
    <w:pPr>
      <w:spacing w:after="0" w:line="240" w:lineRule="auto"/>
      <w:ind w:right="510"/>
      <w:jc w:val="right"/>
    </w:pPr>
    <w:rPr>
      <w:rFonts w:ascii="Arial" w:eastAsia="Times New Roman" w:hAnsi="Arial" w:cs="Times New Roman"/>
      <w:lang w:eastAsia="hr-H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11">
    <w:name w:val="Plain Table 11"/>
    <w:basedOn w:val="TableNormal"/>
    <w:next w:val="PlainTable1"/>
    <w:uiPriority w:val="41"/>
    <w:rsid w:val="00711D97"/>
    <w:pPr>
      <w:spacing w:after="0" w:line="240" w:lineRule="auto"/>
    </w:pPr>
    <w:rPr>
      <w:rFonts w:ascii="Arial" w:eastAsia="Times New Roman" w:hAnsi="Arial" w:cs="Times New Roman"/>
      <w:lang w:eastAsia="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11">
    <w:name w:val="Table Normal11"/>
    <w:uiPriority w:val="2"/>
    <w:semiHidden/>
    <w:unhideWhenUsed/>
    <w:qFormat/>
    <w:rsid w:val="00711D9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GridTable1Light21">
    <w:name w:val="Grid Table 1 Light21"/>
    <w:basedOn w:val="TableNormal"/>
    <w:next w:val="GridTable1Light"/>
    <w:uiPriority w:val="46"/>
    <w:rsid w:val="00711D97"/>
    <w:pPr>
      <w:spacing w:after="0" w:line="240" w:lineRule="auto"/>
    </w:pPr>
    <w:rPr>
      <w:rFonts w:ascii="Arial" w:eastAsia="Times New Roman" w:hAnsi="Arial" w:cs="Times New Roman"/>
      <w:lang w:eastAsia="hr-H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1">
    <w:name w:val="Table Grid11"/>
    <w:basedOn w:val="TableNormal"/>
    <w:next w:val="TableGrid"/>
    <w:rsid w:val="00711D97"/>
    <w:pPr>
      <w:spacing w:after="0" w:line="240" w:lineRule="auto"/>
      <w:contextualSpacing/>
    </w:pPr>
    <w:rPr>
      <w:rFonts w:ascii="Arial" w:eastAsia="Times New Roman" w:hAnsi="Arial"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FBFBF" w:themeFill="background1" w:themeFillShade="BF"/>
      <w:vAlign w:val="center"/>
    </w:tcPr>
  </w:style>
  <w:style w:type="table" w:customStyle="1" w:styleId="GridTable1Light111">
    <w:name w:val="Grid Table 1 Light111"/>
    <w:basedOn w:val="TableNormal"/>
    <w:uiPriority w:val="46"/>
    <w:rsid w:val="00711D97"/>
    <w:pPr>
      <w:spacing w:after="0" w:line="240" w:lineRule="auto"/>
      <w:ind w:right="510"/>
      <w:jc w:val="right"/>
    </w:pPr>
    <w:rPr>
      <w:rFonts w:ascii="Arial" w:eastAsia="Times New Roman" w:hAnsi="Arial" w:cs="Times New Roman"/>
      <w:lang w:eastAsia="hr-H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1">
    <w:name w:val="Plain Table 41"/>
    <w:basedOn w:val="TableNormal"/>
    <w:next w:val="PlainTable4"/>
    <w:uiPriority w:val="44"/>
    <w:rsid w:val="00711D97"/>
    <w:pPr>
      <w:spacing w:after="0" w:line="240" w:lineRule="auto"/>
    </w:pPr>
    <w:rPr>
      <w:rFonts w:ascii="Arial" w:eastAsia="Times New Roman" w:hAnsi="Arial" w:cs="Times New Roman"/>
      <w:lang w:eastAsia="hr-H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next w:val="TableGridLight"/>
    <w:uiPriority w:val="40"/>
    <w:rsid w:val="00711D97"/>
    <w:pPr>
      <w:spacing w:after="0" w:line="240" w:lineRule="auto"/>
    </w:pPr>
    <w:rPr>
      <w:rFonts w:ascii="Arial" w:eastAsia="Times New Roman" w:hAnsi="Arial" w:cs="Times New Roman"/>
      <w:lang w:eastAsia="hr-H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1">
    <w:name w:val="Plain Table 31"/>
    <w:basedOn w:val="TableNormal"/>
    <w:next w:val="PlainTable3"/>
    <w:uiPriority w:val="43"/>
    <w:rsid w:val="00711D97"/>
    <w:pPr>
      <w:spacing w:after="0" w:line="240" w:lineRule="auto"/>
    </w:pPr>
    <w:rPr>
      <w:rFonts w:ascii="Arial" w:eastAsia="Times New Roman" w:hAnsi="Arial" w:cs="Times New Roman"/>
      <w:lang w:eastAsia="hr-H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11">
    <w:name w:val="Grid Table 1 Light - Accent 11"/>
    <w:basedOn w:val="TableNormal"/>
    <w:next w:val="GridTable1Light-Accent1"/>
    <w:uiPriority w:val="46"/>
    <w:rsid w:val="00711D97"/>
    <w:pPr>
      <w:spacing w:after="0" w:line="240" w:lineRule="auto"/>
    </w:pPr>
    <w:rPr>
      <w:rFonts w:ascii="Arial" w:eastAsia="Times New Roman" w:hAnsi="Arial" w:cs="Times New Roman"/>
      <w:lang w:eastAsia="hr-HR"/>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ubtitle">
    <w:name w:val="Subtitle"/>
    <w:basedOn w:val="Normal"/>
    <w:next w:val="Normal"/>
    <w:link w:val="SubtitleChar"/>
    <w:uiPriority w:val="11"/>
    <w:qFormat/>
    <w:rsid w:val="00711D97"/>
    <w:pPr>
      <w:numPr>
        <w:ilvl w:val="1"/>
      </w:numPr>
      <w:suppressAutoHyphens w:val="0"/>
      <w:spacing w:before="0" w:after="160" w:line="259" w:lineRule="auto"/>
      <w:jc w:val="left"/>
    </w:pPr>
    <w:rPr>
      <w:rFonts w:asciiTheme="minorHAnsi" w:eastAsiaTheme="minorEastAsia" w:hAnsiTheme="minorHAnsi" w:cstheme="minorBidi"/>
      <w:color w:val="5A5A5A" w:themeColor="text1" w:themeTint="A5"/>
      <w:spacing w:val="15"/>
      <w:lang w:eastAsia="en-US"/>
    </w:rPr>
  </w:style>
  <w:style w:type="character" w:customStyle="1" w:styleId="SubtitleChar">
    <w:name w:val="Subtitle Char"/>
    <w:basedOn w:val="DefaultParagraphFont"/>
    <w:link w:val="Subtitle"/>
    <w:uiPriority w:val="11"/>
    <w:rsid w:val="00711D97"/>
    <w:rPr>
      <w:rFonts w:eastAsiaTheme="minorEastAsia"/>
      <w:color w:val="5A5A5A" w:themeColor="text1" w:themeTint="A5"/>
      <w:spacing w:val="15"/>
    </w:rPr>
  </w:style>
  <w:style w:type="character" w:styleId="SubtleEmphasis">
    <w:name w:val="Subtle Emphasis"/>
    <w:basedOn w:val="DefaultParagraphFont"/>
    <w:uiPriority w:val="19"/>
    <w:qFormat/>
    <w:rsid w:val="00711D97"/>
    <w:rPr>
      <w:i/>
      <w:iCs/>
      <w:color w:val="404040" w:themeColor="text1" w:themeTint="BF"/>
    </w:rPr>
  </w:style>
  <w:style w:type="character" w:styleId="Emphasis">
    <w:name w:val="Emphasis"/>
    <w:basedOn w:val="DefaultParagraphFont"/>
    <w:uiPriority w:val="20"/>
    <w:qFormat/>
    <w:rsid w:val="00711D97"/>
    <w:rPr>
      <w:i/>
      <w:iCs/>
    </w:rPr>
  </w:style>
  <w:style w:type="table" w:customStyle="1" w:styleId="TableGrid27">
    <w:name w:val="Table Grid27"/>
    <w:basedOn w:val="TableNormal"/>
    <w:next w:val="TableGrid"/>
    <w:uiPriority w:val="39"/>
    <w:rsid w:val="00711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711D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11D97"/>
    <w:rPr>
      <w:color w:val="605E5C"/>
      <w:shd w:val="clear" w:color="auto" w:fill="E1DFDD"/>
    </w:rPr>
  </w:style>
  <w:style w:type="character" w:customStyle="1" w:styleId="UnresolvedMention5">
    <w:name w:val="Unresolved Mention5"/>
    <w:basedOn w:val="DefaultParagraphFont"/>
    <w:uiPriority w:val="99"/>
    <w:semiHidden/>
    <w:unhideWhenUsed/>
    <w:rsid w:val="00711D97"/>
    <w:rPr>
      <w:color w:val="605E5C"/>
      <w:shd w:val="clear" w:color="auto" w:fill="E1DFDD"/>
    </w:rPr>
  </w:style>
  <w:style w:type="character" w:customStyle="1" w:styleId="UnresolvedMention6">
    <w:name w:val="Unresolved Mention6"/>
    <w:basedOn w:val="DefaultParagraphFont"/>
    <w:uiPriority w:val="99"/>
    <w:semiHidden/>
    <w:unhideWhenUsed/>
    <w:rsid w:val="00711D97"/>
    <w:rPr>
      <w:color w:val="605E5C"/>
      <w:shd w:val="clear" w:color="auto" w:fill="E1DFDD"/>
    </w:rPr>
  </w:style>
  <w:style w:type="character" w:customStyle="1" w:styleId="UnresolvedMention7">
    <w:name w:val="Unresolved Mention7"/>
    <w:basedOn w:val="DefaultParagraphFont"/>
    <w:uiPriority w:val="99"/>
    <w:semiHidden/>
    <w:unhideWhenUsed/>
    <w:rsid w:val="00711D97"/>
    <w:rPr>
      <w:color w:val="605E5C"/>
      <w:shd w:val="clear" w:color="auto" w:fill="E1DFDD"/>
    </w:rPr>
  </w:style>
  <w:style w:type="character" w:customStyle="1" w:styleId="kurziv">
    <w:name w:val="kurziv"/>
    <w:basedOn w:val="DefaultParagraphFont"/>
    <w:rsid w:val="00711D97"/>
  </w:style>
  <w:style w:type="character" w:customStyle="1" w:styleId="fontstyle01">
    <w:name w:val="fontstyle01"/>
    <w:basedOn w:val="DefaultParagraphFont"/>
    <w:rsid w:val="00711D97"/>
    <w:rPr>
      <w:rFonts w:ascii="Times New Roman" w:hAnsi="Times New Roman" w:cs="Times New Roman" w:hint="default"/>
      <w:b w:val="0"/>
      <w:bCs w:val="0"/>
      <w:i w:val="0"/>
      <w:iCs w:val="0"/>
      <w:color w:val="000000"/>
      <w:sz w:val="24"/>
      <w:szCs w:val="24"/>
    </w:rPr>
  </w:style>
  <w:style w:type="paragraph" w:customStyle="1" w:styleId="Point0">
    <w:name w:val="Point 0"/>
    <w:basedOn w:val="Normal"/>
    <w:rsid w:val="00711D97"/>
    <w:pPr>
      <w:suppressAutoHyphens w:val="0"/>
      <w:spacing w:before="120" w:line="240" w:lineRule="auto"/>
      <w:ind w:left="850" w:hanging="850"/>
    </w:pPr>
    <w:rPr>
      <w:rFonts w:ascii="Times New Roman" w:eastAsiaTheme="minorHAnsi" w:hAnsi="Times New Roman"/>
      <w:sz w:val="24"/>
      <w:szCs w:val="24"/>
      <w:lang w:eastAsia="en-GB"/>
    </w:rPr>
  </w:style>
  <w:style w:type="character" w:customStyle="1" w:styleId="CRMarker">
    <w:name w:val="CR Marker"/>
    <w:basedOn w:val="DefaultParagraphFont"/>
    <w:uiPriority w:val="99"/>
    <w:rsid w:val="00711D97"/>
    <w:rPr>
      <w:rFonts w:ascii="Wingdings" w:hAnsi="Wingdings" w:hint="default"/>
    </w:rPr>
  </w:style>
  <w:style w:type="paragraph" w:customStyle="1" w:styleId="Slika">
    <w:name w:val="Slika"/>
    <w:basedOn w:val="Normal"/>
    <w:next w:val="Normal"/>
    <w:link w:val="SlikaChar"/>
    <w:autoRedefine/>
    <w:qFormat/>
    <w:rsid w:val="00711D97"/>
    <w:pPr>
      <w:keepNext/>
      <w:suppressAutoHyphens w:val="0"/>
      <w:spacing w:before="120" w:line="240" w:lineRule="auto"/>
      <w:jc w:val="center"/>
    </w:pPr>
    <w:rPr>
      <w:rFonts w:ascii="Tahoma" w:hAnsi="Tahoma" w:cs="Myriad Pro"/>
      <w:sz w:val="20"/>
      <w:szCs w:val="24"/>
    </w:rPr>
  </w:style>
  <w:style w:type="character" w:customStyle="1" w:styleId="SlikaChar">
    <w:name w:val="Slika Char"/>
    <w:basedOn w:val="DefaultParagraphFont"/>
    <w:link w:val="Slika"/>
    <w:rsid w:val="00711D97"/>
    <w:rPr>
      <w:rFonts w:ascii="Tahoma" w:eastAsia="Times New Roman" w:hAnsi="Tahoma" w:cs="Myriad Pro"/>
      <w:sz w:val="20"/>
      <w:szCs w:val="24"/>
      <w:lang w:eastAsia="hr-HR"/>
    </w:rPr>
  </w:style>
  <w:style w:type="paragraph" w:customStyle="1" w:styleId="Naslovtablice">
    <w:name w:val="Naslov tablice"/>
    <w:basedOn w:val="Caption"/>
    <w:next w:val="Normal"/>
    <w:link w:val="NaslovtabliceChar"/>
    <w:autoRedefine/>
    <w:qFormat/>
    <w:rsid w:val="00711D97"/>
    <w:pPr>
      <w:keepNext/>
      <w:keepLines/>
      <w:tabs>
        <w:tab w:val="clear" w:pos="1021"/>
      </w:tabs>
      <w:spacing w:after="60" w:line="240" w:lineRule="auto"/>
      <w:ind w:left="0" w:firstLine="0"/>
    </w:pPr>
    <w:rPr>
      <w:rFonts w:ascii="Tahoma" w:hAnsi="Tahoma" w:cs="Tahoma"/>
      <w:b w:val="0"/>
      <w:i/>
      <w:iCs/>
      <w:sz w:val="16"/>
      <w:szCs w:val="20"/>
    </w:rPr>
  </w:style>
  <w:style w:type="character" w:customStyle="1" w:styleId="NaslovtabliceChar">
    <w:name w:val="Naslov tablice Char"/>
    <w:basedOn w:val="DefaultParagraphFont"/>
    <w:link w:val="Naslovtablice"/>
    <w:rsid w:val="00711D97"/>
    <w:rPr>
      <w:rFonts w:ascii="Tahoma" w:eastAsia="Times New Roman" w:hAnsi="Tahoma" w:cs="Tahoma"/>
      <w:i/>
      <w:iCs/>
      <w:sz w:val="16"/>
      <w:szCs w:val="20"/>
      <w:lang w:eastAsia="hr-HR"/>
    </w:rPr>
  </w:style>
  <w:style w:type="paragraph" w:customStyle="1" w:styleId="Slikanaslov">
    <w:name w:val="Slika naslov"/>
    <w:basedOn w:val="Normal"/>
    <w:next w:val="Normal"/>
    <w:link w:val="SlikanaslovChar"/>
    <w:autoRedefine/>
    <w:uiPriority w:val="99"/>
    <w:qFormat/>
    <w:rsid w:val="00711D97"/>
    <w:pPr>
      <w:keepLines/>
      <w:spacing w:before="60" w:line="240" w:lineRule="auto"/>
      <w:jc w:val="center"/>
    </w:pPr>
    <w:rPr>
      <w:rFonts w:ascii="Tahoma" w:hAnsi="Tahoma" w:cs="Tahoma"/>
      <w:bCs/>
      <w:i/>
      <w:sz w:val="16"/>
      <w:szCs w:val="28"/>
    </w:rPr>
  </w:style>
  <w:style w:type="paragraph" w:customStyle="1" w:styleId="Tblnaslov">
    <w:name w:val="Tbl naslov"/>
    <w:basedOn w:val="Normal"/>
    <w:next w:val="Normal"/>
    <w:link w:val="TblnaslovChar"/>
    <w:qFormat/>
    <w:rsid w:val="00711D97"/>
    <w:pPr>
      <w:keepNext/>
      <w:keepLines/>
      <w:spacing w:before="120" w:after="60" w:line="240" w:lineRule="auto"/>
      <w:jc w:val="right"/>
    </w:pPr>
    <w:rPr>
      <w:rFonts w:ascii="Tahoma" w:hAnsi="Tahoma" w:cs="Myriad Pro"/>
      <w:i/>
      <w:sz w:val="16"/>
      <w:szCs w:val="24"/>
      <w:lang w:eastAsia="de-DE"/>
    </w:rPr>
  </w:style>
  <w:style w:type="character" w:customStyle="1" w:styleId="SlikanaslovChar">
    <w:name w:val="Slika naslov Char"/>
    <w:basedOn w:val="DefaultParagraphFont"/>
    <w:link w:val="Slikanaslov"/>
    <w:uiPriority w:val="99"/>
    <w:rsid w:val="00711D97"/>
    <w:rPr>
      <w:rFonts w:ascii="Tahoma" w:eastAsia="Times New Roman" w:hAnsi="Tahoma" w:cs="Tahoma"/>
      <w:bCs/>
      <w:i/>
      <w:sz w:val="16"/>
      <w:szCs w:val="28"/>
      <w:lang w:eastAsia="hr-HR"/>
    </w:rPr>
  </w:style>
  <w:style w:type="character" w:customStyle="1" w:styleId="TblnaslovChar">
    <w:name w:val="Tbl naslov Char"/>
    <w:basedOn w:val="DefaultParagraphFont"/>
    <w:link w:val="Tblnaslov"/>
    <w:rsid w:val="00711D97"/>
    <w:rPr>
      <w:rFonts w:ascii="Tahoma" w:eastAsia="Times New Roman" w:hAnsi="Tahoma" w:cs="Myriad Pro"/>
      <w:i/>
      <w:sz w:val="16"/>
      <w:szCs w:val="24"/>
      <w:lang w:eastAsia="de-DE"/>
    </w:rPr>
  </w:style>
  <w:style w:type="character" w:customStyle="1" w:styleId="UnresolvedMention8">
    <w:name w:val="Unresolved Mention8"/>
    <w:basedOn w:val="DefaultParagraphFont"/>
    <w:uiPriority w:val="99"/>
    <w:semiHidden/>
    <w:unhideWhenUsed/>
    <w:rsid w:val="00711D97"/>
    <w:rPr>
      <w:color w:val="605E5C"/>
      <w:shd w:val="clear" w:color="auto" w:fill="E1DFDD"/>
    </w:rPr>
  </w:style>
  <w:style w:type="paragraph" w:customStyle="1" w:styleId="normal-000013">
    <w:name w:val="normal-000013"/>
    <w:basedOn w:val="Normal"/>
    <w:rsid w:val="00711D97"/>
    <w:pPr>
      <w:suppressAutoHyphens w:val="0"/>
      <w:spacing w:before="0" w:after="135" w:line="240" w:lineRule="auto"/>
      <w:jc w:val="left"/>
    </w:pPr>
    <w:rPr>
      <w:rFonts w:ascii="Calibri" w:eastAsiaTheme="minorEastAsia" w:hAnsi="Calibri" w:cs="Calibri"/>
      <w:sz w:val="24"/>
      <w:szCs w:val="24"/>
    </w:rPr>
  </w:style>
  <w:style w:type="paragraph" w:customStyle="1" w:styleId="normal-000017">
    <w:name w:val="normal-000017"/>
    <w:basedOn w:val="Normal"/>
    <w:rsid w:val="00711D97"/>
    <w:pPr>
      <w:suppressAutoHyphens w:val="0"/>
      <w:spacing w:before="0" w:after="135" w:line="240" w:lineRule="auto"/>
      <w:jc w:val="left"/>
    </w:pPr>
    <w:rPr>
      <w:rFonts w:ascii="Calibri" w:eastAsiaTheme="minorEastAsia" w:hAnsi="Calibri" w:cs="Calibri"/>
      <w:sz w:val="20"/>
      <w:szCs w:val="20"/>
    </w:rPr>
  </w:style>
  <w:style w:type="paragraph" w:customStyle="1" w:styleId="normal-000052">
    <w:name w:val="normal-000052"/>
    <w:basedOn w:val="Normal"/>
    <w:rsid w:val="00711D97"/>
    <w:pPr>
      <w:suppressAutoHyphens w:val="0"/>
      <w:spacing w:before="0" w:after="135" w:line="240" w:lineRule="auto"/>
      <w:jc w:val="center"/>
    </w:pPr>
    <w:rPr>
      <w:rFonts w:ascii="Calibri" w:eastAsiaTheme="minorEastAsia" w:hAnsi="Calibri" w:cs="Calibri"/>
      <w:sz w:val="20"/>
      <w:szCs w:val="20"/>
    </w:rPr>
  </w:style>
  <w:style w:type="character" w:customStyle="1" w:styleId="zadanifontodlomka-000018">
    <w:name w:val="zadanifontodlomka-000018"/>
    <w:basedOn w:val="DefaultParagraphFont"/>
    <w:rsid w:val="00711D97"/>
    <w:rPr>
      <w:rFonts w:ascii="Calibri" w:hAnsi="Calibri" w:cs="Calibri" w:hint="default"/>
      <w:b w:val="0"/>
      <w:bCs w:val="0"/>
      <w:sz w:val="20"/>
      <w:szCs w:val="20"/>
    </w:rPr>
  </w:style>
  <w:style w:type="character" w:customStyle="1" w:styleId="zadanifontodlomka-000053">
    <w:name w:val="zadanifontodlomka-000053"/>
    <w:basedOn w:val="DefaultParagraphFont"/>
    <w:rsid w:val="00711D97"/>
    <w:rPr>
      <w:rFonts w:ascii="Calibri" w:hAnsi="Calibri" w:cs="Calibri" w:hint="default"/>
      <w:b/>
      <w:bCs/>
      <w:sz w:val="20"/>
      <w:szCs w:val="20"/>
    </w:rPr>
  </w:style>
  <w:style w:type="paragraph" w:customStyle="1" w:styleId="normal-000139">
    <w:name w:val="normal-000139"/>
    <w:basedOn w:val="Normal"/>
    <w:rsid w:val="00711D97"/>
    <w:pPr>
      <w:suppressAutoHyphens w:val="0"/>
      <w:spacing w:before="0" w:after="135" w:line="240" w:lineRule="auto"/>
      <w:jc w:val="left"/>
    </w:pPr>
    <w:rPr>
      <w:rFonts w:ascii="Calibri" w:eastAsiaTheme="minorEastAsia" w:hAnsi="Calibri" w:cs="Calibri"/>
      <w:sz w:val="16"/>
      <w:szCs w:val="16"/>
    </w:rPr>
  </w:style>
  <w:style w:type="character" w:customStyle="1" w:styleId="zadanifontodlomka-000079">
    <w:name w:val="zadanifontodlomka-000079"/>
    <w:basedOn w:val="DefaultParagraphFont"/>
    <w:rsid w:val="00711D97"/>
    <w:rPr>
      <w:rFonts w:ascii="Calibri" w:hAnsi="Calibri" w:cs="Calibri" w:hint="default"/>
      <w:b w:val="0"/>
      <w:bCs w:val="0"/>
      <w:sz w:val="16"/>
      <w:szCs w:val="16"/>
    </w:rPr>
  </w:style>
  <w:style w:type="character" w:customStyle="1" w:styleId="zadanifontodlomka-000119">
    <w:name w:val="zadanifontodlomka-000119"/>
    <w:basedOn w:val="DefaultParagraphFont"/>
    <w:rsid w:val="00711D97"/>
    <w:rPr>
      <w:rFonts w:ascii="Calibri" w:hAnsi="Calibri" w:cs="Calibri" w:hint="default"/>
      <w:b w:val="0"/>
      <w:bCs w:val="0"/>
      <w:color w:val="000000"/>
      <w:sz w:val="20"/>
      <w:szCs w:val="20"/>
    </w:rPr>
  </w:style>
  <w:style w:type="character" w:customStyle="1" w:styleId="zadanifontodlomka-000138">
    <w:name w:val="zadanifontodlomka-000138"/>
    <w:basedOn w:val="DefaultParagraphFont"/>
    <w:rsid w:val="00711D97"/>
    <w:rPr>
      <w:rFonts w:ascii="Calibri" w:hAnsi="Calibri" w:cs="Calibri" w:hint="default"/>
      <w:b/>
      <w:bCs/>
      <w:color w:val="000000"/>
      <w:sz w:val="20"/>
      <w:szCs w:val="20"/>
    </w:rPr>
  </w:style>
  <w:style w:type="paragraph" w:customStyle="1" w:styleId="PointManual1">
    <w:name w:val="Point Manual (1)"/>
    <w:basedOn w:val="Normal"/>
    <w:rsid w:val="00711D97"/>
    <w:pPr>
      <w:suppressAutoHyphens w:val="0"/>
      <w:spacing w:before="120" w:line="360" w:lineRule="auto"/>
      <w:ind w:left="1134" w:hanging="567"/>
      <w:jc w:val="left"/>
    </w:pPr>
    <w:rPr>
      <w:rFonts w:ascii="Times New Roman" w:eastAsia="Calibri" w:hAnsi="Times New Roman"/>
      <w:sz w:val="24"/>
      <w:lang w:eastAsia="en-US"/>
    </w:rPr>
  </w:style>
  <w:style w:type="character" w:customStyle="1" w:styleId="Nerijeenospominjanje1">
    <w:name w:val="Neriješeno spominjanje1"/>
    <w:basedOn w:val="DefaultParagraphFont"/>
    <w:uiPriority w:val="99"/>
    <w:semiHidden/>
    <w:unhideWhenUsed/>
    <w:rsid w:val="00711D97"/>
    <w:rPr>
      <w:color w:val="605E5C"/>
      <w:shd w:val="clear" w:color="auto" w:fill="E1DFDD"/>
    </w:rPr>
  </w:style>
  <w:style w:type="character" w:customStyle="1" w:styleId="UnresolvedMention">
    <w:name w:val="Unresolved Mention"/>
    <w:basedOn w:val="DefaultParagraphFont"/>
    <w:uiPriority w:val="99"/>
    <w:semiHidden/>
    <w:unhideWhenUsed/>
    <w:rsid w:val="00711D97"/>
    <w:rPr>
      <w:color w:val="605E5C"/>
      <w:shd w:val="clear" w:color="auto" w:fill="E1DFDD"/>
    </w:rPr>
  </w:style>
  <w:style w:type="paragraph" w:customStyle="1" w:styleId="Text2">
    <w:name w:val="Text 2"/>
    <w:basedOn w:val="Normal"/>
    <w:rsid w:val="00711D97"/>
    <w:pPr>
      <w:suppressAutoHyphens w:val="0"/>
      <w:spacing w:before="120" w:line="360" w:lineRule="auto"/>
      <w:ind w:left="1134"/>
      <w:jc w:val="left"/>
    </w:pPr>
    <w:rPr>
      <w:rFonts w:ascii="Times New Roman" w:eastAsia="Calibri" w:hAnsi="Times New Roman"/>
      <w:sz w:val="24"/>
      <w:lang w:eastAsia="en-US"/>
    </w:rPr>
  </w:style>
  <w:style w:type="paragraph" w:customStyle="1" w:styleId="Annex">
    <w:name w:val="Annex"/>
    <w:basedOn w:val="Normal"/>
    <w:next w:val="Normal"/>
    <w:rsid w:val="00711D97"/>
    <w:pPr>
      <w:suppressAutoHyphens w:val="0"/>
      <w:spacing w:before="120" w:line="360" w:lineRule="auto"/>
      <w:jc w:val="right"/>
    </w:pPr>
    <w:rPr>
      <w:rFonts w:ascii="Times New Roman" w:eastAsia="Calibri" w:hAnsi="Times New Roman"/>
      <w:b/>
      <w:sz w:val="24"/>
      <w:u w:val="single"/>
      <w:lang w:eastAsia="en-US"/>
    </w:rPr>
  </w:style>
  <w:style w:type="paragraph" w:customStyle="1" w:styleId="ManualNumPar1">
    <w:name w:val="Manual NumPar 1"/>
    <w:basedOn w:val="Normal"/>
    <w:next w:val="Normal"/>
    <w:rsid w:val="00711D97"/>
    <w:pPr>
      <w:suppressAutoHyphens w:val="0"/>
      <w:spacing w:before="120" w:line="360" w:lineRule="auto"/>
      <w:ind w:left="850" w:hanging="850"/>
      <w:jc w:val="left"/>
    </w:pPr>
    <w:rPr>
      <w:rFonts w:ascii="Times New Roman" w:eastAsia="Calibri" w:hAnsi="Times New Roman"/>
      <w:sz w:val="24"/>
      <w:lang w:eastAsia="en-US"/>
    </w:rPr>
  </w:style>
  <w:style w:type="paragraph" w:customStyle="1" w:styleId="ManualNumPar2">
    <w:name w:val="Manual NumPar 2"/>
    <w:basedOn w:val="Normal"/>
    <w:next w:val="Normal"/>
    <w:rsid w:val="00711D97"/>
    <w:pPr>
      <w:suppressAutoHyphens w:val="0"/>
      <w:spacing w:before="120" w:line="360" w:lineRule="auto"/>
      <w:ind w:left="850" w:hanging="850"/>
      <w:jc w:val="left"/>
    </w:pPr>
    <w:rPr>
      <w:rFonts w:ascii="Times New Roman" w:eastAsia="Calibri" w:hAnsi="Times New Roman"/>
      <w:sz w:val="24"/>
      <w:lang w:eastAsia="en-US"/>
    </w:rPr>
  </w:style>
  <w:style w:type="character" w:customStyle="1" w:styleId="defaultparagraphfont-000015">
    <w:name w:val="defaultparagraphfont-000015"/>
    <w:basedOn w:val="DefaultParagraphFont"/>
    <w:rsid w:val="00711D97"/>
    <w:rPr>
      <w:rFonts w:ascii="Minion Pro" w:hAnsi="Minion Pro" w:hint="default"/>
      <w:b w:val="0"/>
      <w:bCs w:val="0"/>
      <w:sz w:val="24"/>
      <w:szCs w:val="24"/>
    </w:rPr>
  </w:style>
  <w:style w:type="paragraph" w:customStyle="1" w:styleId="Normal1">
    <w:name w:val="Normal1"/>
    <w:basedOn w:val="Normal"/>
    <w:rsid w:val="00711D97"/>
    <w:pPr>
      <w:suppressAutoHyphens w:val="0"/>
      <w:spacing w:before="100" w:beforeAutospacing="1" w:after="210" w:line="240" w:lineRule="auto"/>
      <w:jc w:val="left"/>
    </w:pPr>
    <w:rPr>
      <w:rFonts w:ascii="Times New Roman" w:eastAsiaTheme="minorEastAsia" w:hAnsi="Times New Roman"/>
      <w:sz w:val="24"/>
      <w:szCs w:val="24"/>
    </w:rPr>
  </w:style>
  <w:style w:type="character" w:customStyle="1" w:styleId="defaultparagraphfont-000005">
    <w:name w:val="defaultparagraphfont-000005"/>
    <w:basedOn w:val="DefaultParagraphFont"/>
    <w:rsid w:val="00711D97"/>
    <w:rPr>
      <w:rFonts w:ascii="Times New Roman" w:hAnsi="Times New Roman" w:cs="Times New Roman" w:hint="default"/>
      <w:b w:val="0"/>
      <w:bCs w:val="0"/>
      <w:sz w:val="24"/>
      <w:szCs w:val="24"/>
    </w:rPr>
  </w:style>
  <w:style w:type="character" w:styleId="PlaceholderText">
    <w:name w:val="Placeholder Text"/>
    <w:basedOn w:val="DefaultParagraphFont"/>
    <w:uiPriority w:val="99"/>
    <w:semiHidden/>
    <w:rsid w:val="00711D97"/>
    <w:rPr>
      <w:color w:val="808080"/>
    </w:rPr>
  </w:style>
  <w:style w:type="paragraph" w:customStyle="1" w:styleId="box459189">
    <w:name w:val="box_459189"/>
    <w:basedOn w:val="Normal"/>
    <w:rsid w:val="00B81D0D"/>
    <w:pPr>
      <w:suppressAutoHyphens w:val="0"/>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950246">
      <w:bodyDiv w:val="1"/>
      <w:marLeft w:val="0"/>
      <w:marRight w:val="0"/>
      <w:marTop w:val="0"/>
      <w:marBottom w:val="0"/>
      <w:divBdr>
        <w:top w:val="none" w:sz="0" w:space="0" w:color="auto"/>
        <w:left w:val="none" w:sz="0" w:space="0" w:color="auto"/>
        <w:bottom w:val="none" w:sz="0" w:space="0" w:color="auto"/>
        <w:right w:val="none" w:sz="0" w:space="0" w:color="auto"/>
      </w:divBdr>
    </w:div>
    <w:div w:id="396516305">
      <w:bodyDiv w:val="1"/>
      <w:marLeft w:val="0"/>
      <w:marRight w:val="0"/>
      <w:marTop w:val="0"/>
      <w:marBottom w:val="0"/>
      <w:divBdr>
        <w:top w:val="none" w:sz="0" w:space="0" w:color="auto"/>
        <w:left w:val="none" w:sz="0" w:space="0" w:color="auto"/>
        <w:bottom w:val="none" w:sz="0" w:space="0" w:color="auto"/>
        <w:right w:val="none" w:sz="0" w:space="0" w:color="auto"/>
      </w:divBdr>
    </w:div>
    <w:div w:id="556090886">
      <w:bodyDiv w:val="1"/>
      <w:marLeft w:val="0"/>
      <w:marRight w:val="0"/>
      <w:marTop w:val="0"/>
      <w:marBottom w:val="0"/>
      <w:divBdr>
        <w:top w:val="none" w:sz="0" w:space="0" w:color="auto"/>
        <w:left w:val="none" w:sz="0" w:space="0" w:color="auto"/>
        <w:bottom w:val="none" w:sz="0" w:space="0" w:color="auto"/>
        <w:right w:val="none" w:sz="0" w:space="0" w:color="auto"/>
      </w:divBdr>
    </w:div>
    <w:div w:id="575088987">
      <w:bodyDiv w:val="1"/>
      <w:marLeft w:val="0"/>
      <w:marRight w:val="0"/>
      <w:marTop w:val="0"/>
      <w:marBottom w:val="0"/>
      <w:divBdr>
        <w:top w:val="none" w:sz="0" w:space="0" w:color="auto"/>
        <w:left w:val="none" w:sz="0" w:space="0" w:color="auto"/>
        <w:bottom w:val="none" w:sz="0" w:space="0" w:color="auto"/>
        <w:right w:val="none" w:sz="0" w:space="0" w:color="auto"/>
      </w:divBdr>
    </w:div>
    <w:div w:id="752971984">
      <w:bodyDiv w:val="1"/>
      <w:marLeft w:val="0"/>
      <w:marRight w:val="0"/>
      <w:marTop w:val="0"/>
      <w:marBottom w:val="0"/>
      <w:divBdr>
        <w:top w:val="none" w:sz="0" w:space="0" w:color="auto"/>
        <w:left w:val="none" w:sz="0" w:space="0" w:color="auto"/>
        <w:bottom w:val="none" w:sz="0" w:space="0" w:color="auto"/>
        <w:right w:val="none" w:sz="0" w:space="0" w:color="auto"/>
      </w:divBdr>
    </w:div>
    <w:div w:id="833103541">
      <w:bodyDiv w:val="1"/>
      <w:marLeft w:val="0"/>
      <w:marRight w:val="0"/>
      <w:marTop w:val="0"/>
      <w:marBottom w:val="0"/>
      <w:divBdr>
        <w:top w:val="none" w:sz="0" w:space="0" w:color="auto"/>
        <w:left w:val="none" w:sz="0" w:space="0" w:color="auto"/>
        <w:bottom w:val="none" w:sz="0" w:space="0" w:color="auto"/>
        <w:right w:val="none" w:sz="0" w:space="0" w:color="auto"/>
      </w:divBdr>
    </w:div>
    <w:div w:id="901795194">
      <w:bodyDiv w:val="1"/>
      <w:marLeft w:val="0"/>
      <w:marRight w:val="0"/>
      <w:marTop w:val="0"/>
      <w:marBottom w:val="0"/>
      <w:divBdr>
        <w:top w:val="none" w:sz="0" w:space="0" w:color="auto"/>
        <w:left w:val="none" w:sz="0" w:space="0" w:color="auto"/>
        <w:bottom w:val="none" w:sz="0" w:space="0" w:color="auto"/>
        <w:right w:val="none" w:sz="0" w:space="0" w:color="auto"/>
      </w:divBdr>
    </w:div>
    <w:div w:id="1294407826">
      <w:bodyDiv w:val="1"/>
      <w:marLeft w:val="0"/>
      <w:marRight w:val="0"/>
      <w:marTop w:val="0"/>
      <w:marBottom w:val="0"/>
      <w:divBdr>
        <w:top w:val="none" w:sz="0" w:space="0" w:color="auto"/>
        <w:left w:val="none" w:sz="0" w:space="0" w:color="auto"/>
        <w:bottom w:val="none" w:sz="0" w:space="0" w:color="auto"/>
        <w:right w:val="none" w:sz="0" w:space="0" w:color="auto"/>
      </w:divBdr>
    </w:div>
    <w:div w:id="1312176007">
      <w:bodyDiv w:val="1"/>
      <w:marLeft w:val="0"/>
      <w:marRight w:val="0"/>
      <w:marTop w:val="0"/>
      <w:marBottom w:val="0"/>
      <w:divBdr>
        <w:top w:val="none" w:sz="0" w:space="0" w:color="auto"/>
        <w:left w:val="none" w:sz="0" w:space="0" w:color="auto"/>
        <w:bottom w:val="none" w:sz="0" w:space="0" w:color="auto"/>
        <w:right w:val="none" w:sz="0" w:space="0" w:color="auto"/>
      </w:divBdr>
    </w:div>
    <w:div w:id="1329139104">
      <w:bodyDiv w:val="1"/>
      <w:marLeft w:val="0"/>
      <w:marRight w:val="0"/>
      <w:marTop w:val="0"/>
      <w:marBottom w:val="0"/>
      <w:divBdr>
        <w:top w:val="none" w:sz="0" w:space="0" w:color="auto"/>
        <w:left w:val="none" w:sz="0" w:space="0" w:color="auto"/>
        <w:bottom w:val="none" w:sz="0" w:space="0" w:color="auto"/>
        <w:right w:val="none" w:sz="0" w:space="0" w:color="auto"/>
      </w:divBdr>
    </w:div>
    <w:div w:id="1435982133">
      <w:bodyDiv w:val="1"/>
      <w:marLeft w:val="0"/>
      <w:marRight w:val="0"/>
      <w:marTop w:val="0"/>
      <w:marBottom w:val="0"/>
      <w:divBdr>
        <w:top w:val="none" w:sz="0" w:space="0" w:color="auto"/>
        <w:left w:val="none" w:sz="0" w:space="0" w:color="auto"/>
        <w:bottom w:val="none" w:sz="0" w:space="0" w:color="auto"/>
        <w:right w:val="none" w:sz="0" w:space="0" w:color="auto"/>
      </w:divBdr>
    </w:div>
    <w:div w:id="1590384624">
      <w:bodyDiv w:val="1"/>
      <w:marLeft w:val="0"/>
      <w:marRight w:val="0"/>
      <w:marTop w:val="0"/>
      <w:marBottom w:val="0"/>
      <w:divBdr>
        <w:top w:val="none" w:sz="0" w:space="0" w:color="auto"/>
        <w:left w:val="none" w:sz="0" w:space="0" w:color="auto"/>
        <w:bottom w:val="none" w:sz="0" w:space="0" w:color="auto"/>
        <w:right w:val="none" w:sz="0" w:space="0" w:color="auto"/>
      </w:divBdr>
    </w:div>
    <w:div w:id="1685202788">
      <w:bodyDiv w:val="1"/>
      <w:marLeft w:val="0"/>
      <w:marRight w:val="0"/>
      <w:marTop w:val="0"/>
      <w:marBottom w:val="0"/>
      <w:divBdr>
        <w:top w:val="none" w:sz="0" w:space="0" w:color="auto"/>
        <w:left w:val="none" w:sz="0" w:space="0" w:color="auto"/>
        <w:bottom w:val="none" w:sz="0" w:space="0" w:color="auto"/>
        <w:right w:val="none" w:sz="0" w:space="0" w:color="auto"/>
      </w:divBdr>
    </w:div>
    <w:div w:id="1814905415">
      <w:bodyDiv w:val="1"/>
      <w:marLeft w:val="0"/>
      <w:marRight w:val="0"/>
      <w:marTop w:val="0"/>
      <w:marBottom w:val="0"/>
      <w:divBdr>
        <w:top w:val="none" w:sz="0" w:space="0" w:color="auto"/>
        <w:left w:val="none" w:sz="0" w:space="0" w:color="auto"/>
        <w:bottom w:val="none" w:sz="0" w:space="0" w:color="auto"/>
        <w:right w:val="none" w:sz="0" w:space="0" w:color="auto"/>
      </w:divBdr>
    </w:div>
    <w:div w:id="2046058835">
      <w:bodyDiv w:val="1"/>
      <w:marLeft w:val="0"/>
      <w:marRight w:val="0"/>
      <w:marTop w:val="0"/>
      <w:marBottom w:val="0"/>
      <w:divBdr>
        <w:top w:val="none" w:sz="0" w:space="0" w:color="auto"/>
        <w:left w:val="none" w:sz="0" w:space="0" w:color="auto"/>
        <w:bottom w:val="none" w:sz="0" w:space="0" w:color="auto"/>
        <w:right w:val="none" w:sz="0" w:space="0" w:color="auto"/>
      </w:divBdr>
    </w:div>
    <w:div w:id="214534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ngor.gov.hr/o-ministarstvu-1065/djelokrug/uprava-za-energetiku-1999/energetska-politika-i-planiranje/energija-u-hrvatskoj/533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d4f3ea-16ba-46eb-b833-43c6c52c9a0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3101e956-9ccc-4c6c-bc44-90c24f899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5CDDD34F70AD409073BCCD62E49974" ma:contentTypeVersion="10" ma:contentTypeDescription="Create a new document." ma:contentTypeScope="" ma:versionID="89102a4cb12c6cf906c8f85b4c25efcc">
  <xsd:schema xmlns:xsd="http://www.w3.org/2001/XMLSchema" xmlns:xs="http://www.w3.org/2001/XMLSchema" xmlns:p="http://schemas.microsoft.com/office/2006/metadata/properties" xmlns:ns2="f6d4f3ea-16ba-46eb-b833-43c6c52c9a0e" xmlns:ns3="3101e956-9ccc-4c6c-bc44-90c24f899976" targetNamespace="http://schemas.microsoft.com/office/2006/metadata/properties" ma:root="true" ma:fieldsID="9dcc8d29e93ae00248823546dde74861" ns2:_="" ns3:_="">
    <xsd:import namespace="f6d4f3ea-16ba-46eb-b833-43c6c52c9a0e"/>
    <xsd:import namespace="3101e956-9ccc-4c6c-bc44-90c24f8999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4f3ea-16ba-46eb-b833-43c6c52c9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65529b3-693a-41aa-b0bf-d4da65b6367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1e956-9ccc-4c6c-bc44-90c24f89997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8b8cb7-63cd-47b3-b0c1-fe596459c25e}" ma:internalName="TaxCatchAll" ma:showField="CatchAllData" ma:web="3101e956-9ccc-4c6c-bc44-90c24f89997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265AF-F254-4B1A-8569-2BC83C1F7FE1}">
  <ds:schemaRefs>
    <ds:schemaRef ds:uri="http://schemas.microsoft.com/sharepoint/v3/contenttype/forms"/>
  </ds:schemaRefs>
</ds:datastoreItem>
</file>

<file path=customXml/itemProps2.xml><?xml version="1.0" encoding="utf-8"?>
<ds:datastoreItem xmlns:ds="http://schemas.openxmlformats.org/officeDocument/2006/customXml" ds:itemID="{FC696B47-DA09-49EF-A74A-E00FDF55A78A}">
  <ds:schemaRefs>
    <ds:schemaRef ds:uri="http://schemas.microsoft.com/office/2006/documentManagement/types"/>
    <ds:schemaRef ds:uri="http://schemas.microsoft.com/office/infopath/2007/PartnerControls"/>
    <ds:schemaRef ds:uri="f6d4f3ea-16ba-46eb-b833-43c6c52c9a0e"/>
    <ds:schemaRef ds:uri="http://purl.org/dc/elements/1.1/"/>
    <ds:schemaRef ds:uri="http://schemas.microsoft.com/office/2006/metadata/properties"/>
    <ds:schemaRef ds:uri="3101e956-9ccc-4c6c-bc44-90c24f899976"/>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18FFFE5-3FBA-456E-939B-86F2ECF81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4f3ea-16ba-46eb-b833-43c6c52c9a0e"/>
    <ds:schemaRef ds:uri="3101e956-9ccc-4c6c-bc44-90c24f899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60B06-C48C-4868-8D4C-9FB78D98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6081</Words>
  <Characters>36309</Characters>
  <Application>Microsoft Office Word</Application>
  <DocSecurity>4</DocSecurity>
  <Lines>1650</Lines>
  <Paragraphs>1009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Bukarica</dc:creator>
  <cp:keywords/>
  <dc:description/>
  <cp:lastModifiedBy>ENGELBREKT Dara (ENER-EXT)</cp:lastModifiedBy>
  <cp:revision>2</cp:revision>
  <dcterms:created xsi:type="dcterms:W3CDTF">2023-07-04T12:40:00Z</dcterms:created>
  <dcterms:modified xsi:type="dcterms:W3CDTF">2023-07-04T12:40:00Z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0x010100FE5CDDD34F70AD409073BCCD62E49974</vt:lpwstr>
  </property>
  <property fmtid="{D5CDD505-2E9C-101B-9397-08002B2CF9AE}" pid="3" name="MediaServiceImageTags">
    <vt:lpwstr/>
  </property>
</Properties>
</file>