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D3C2"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65CBD19" wp14:editId="5ECF525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B326E73"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58C41BBA"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14:paraId="76688269"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260002A" w14:textId="7751128A"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57F31536"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23819D2C"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3E7771AF"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14:paraId="0751121B"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4C304CE1"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DD9BBD5" w14:textId="77777777" w:rsidTr="0BF28E0C">
        <w:trPr>
          <w:trHeight w:val="443"/>
        </w:trPr>
        <w:tc>
          <w:tcPr>
            <w:tcW w:w="1996" w:type="pct"/>
            <w:tcBorders>
              <w:right w:val="single" w:sz="12" w:space="0" w:color="auto"/>
            </w:tcBorders>
          </w:tcPr>
          <w:p w14:paraId="740240FB"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1583D6F2"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170CC89" w14:textId="77777777" w:rsidTr="00E3160B">
        <w:trPr>
          <w:trHeight w:val="443"/>
        </w:trPr>
        <w:tc>
          <w:tcPr>
            <w:tcW w:w="1996" w:type="pct"/>
            <w:tcBorders>
              <w:right w:val="single" w:sz="12" w:space="0" w:color="auto"/>
            </w:tcBorders>
          </w:tcPr>
          <w:p w14:paraId="2507C3E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4CFEC77C" w14:textId="666DDF7B" w:rsidR="00E3160B" w:rsidRPr="00E3160B" w:rsidRDefault="00E3160B" w:rsidP="00E3160B">
            <w:pPr>
              <w:pStyle w:val="Text1"/>
              <w:spacing w:before="60" w:after="60"/>
              <w:ind w:left="0"/>
              <w:jc w:val="left"/>
              <w:rPr>
                <w:rFonts w:ascii="Verdana" w:hAnsi="Verdana" w:cs="Arial"/>
                <w:b/>
                <w:bCs/>
                <w:sz w:val="20"/>
                <w:szCs w:val="20"/>
              </w:rPr>
            </w:pPr>
            <w:r w:rsidRPr="00E3160B">
              <w:rPr>
                <w:rFonts w:ascii="Verdana" w:hAnsi="Verdana" w:cs="Arial"/>
                <w:b/>
                <w:bCs/>
                <w:sz w:val="20"/>
                <w:szCs w:val="20"/>
              </w:rPr>
              <w:t>Greening taxes – applying the polluter pays principle in practice</w:t>
            </w:r>
          </w:p>
          <w:p w14:paraId="2E32D7FE" w14:textId="70176807" w:rsidR="00997A38" w:rsidRPr="00A83238" w:rsidRDefault="00997A38" w:rsidP="00997A38">
            <w:pPr>
              <w:pStyle w:val="Text1"/>
              <w:spacing w:before="60" w:after="60"/>
              <w:ind w:left="0"/>
              <w:rPr>
                <w:rFonts w:ascii="Verdana" w:hAnsi="Verdana" w:cs="Arial"/>
                <w:b/>
                <w:bCs/>
                <w:i/>
                <w:sz w:val="20"/>
                <w:szCs w:val="20"/>
              </w:rPr>
            </w:pPr>
            <w:r w:rsidRPr="00A83238">
              <w:rPr>
                <w:rFonts w:ascii="Verdana" w:hAnsi="Verdana" w:cs="Arial"/>
                <w:b/>
                <w:bCs/>
                <w:i/>
                <w:sz w:val="20"/>
                <w:szCs w:val="20"/>
              </w:rPr>
              <w:t>Possibility to add subtitle (optional)</w:t>
            </w:r>
          </w:p>
          <w:p w14:paraId="6F94FB12" w14:textId="77777777" w:rsidR="00A7100F" w:rsidRPr="00837AD6" w:rsidRDefault="00997A38" w:rsidP="00997A38">
            <w:pPr>
              <w:pStyle w:val="Text1"/>
              <w:spacing w:before="60" w:after="60"/>
              <w:ind w:left="0"/>
              <w:jc w:val="left"/>
              <w:rPr>
                <w:rFonts w:ascii="Verdana" w:hAnsi="Verdana" w:cs="Arial"/>
                <w:bCs/>
                <w:sz w:val="20"/>
                <w:szCs w:val="20"/>
                <w:highlight w:val="yellow"/>
              </w:rPr>
            </w:pPr>
            <w:r w:rsidRPr="00A83238">
              <w:rPr>
                <w:rFonts w:ascii="Verdana" w:hAnsi="Verdana" w:cs="Arial"/>
                <w:bCs/>
                <w:i/>
                <w:sz w:val="20"/>
                <w:szCs w:val="20"/>
              </w:rPr>
              <w:t>[Insert text: maximum 15 words]</w:t>
            </w:r>
          </w:p>
        </w:tc>
      </w:tr>
      <w:tr w:rsidR="00A7100F" w:rsidRPr="003A5F9A" w14:paraId="1FFB6AEE" w14:textId="77777777" w:rsidTr="0BF28E0C">
        <w:trPr>
          <w:trHeight w:val="443"/>
        </w:trPr>
        <w:tc>
          <w:tcPr>
            <w:tcW w:w="1996" w:type="pct"/>
            <w:tcBorders>
              <w:right w:val="single" w:sz="12" w:space="0" w:color="auto"/>
            </w:tcBorders>
          </w:tcPr>
          <w:p w14:paraId="1F638C4C"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490A01F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67090816" w14:textId="77777777" w:rsidTr="0BF28E0C">
        <w:trPr>
          <w:trHeight w:val="443"/>
        </w:trPr>
        <w:tc>
          <w:tcPr>
            <w:tcW w:w="1996" w:type="pct"/>
            <w:tcBorders>
              <w:right w:val="single" w:sz="12" w:space="0" w:color="auto"/>
            </w:tcBorders>
          </w:tcPr>
          <w:p w14:paraId="0B41F765"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7CBC8361"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08127B1" w14:textId="77777777" w:rsidTr="0BF28E0C">
        <w:trPr>
          <w:trHeight w:val="443"/>
        </w:trPr>
        <w:tc>
          <w:tcPr>
            <w:tcW w:w="1996" w:type="pct"/>
            <w:tcBorders>
              <w:right w:val="single" w:sz="12" w:space="0" w:color="auto"/>
            </w:tcBorders>
          </w:tcPr>
          <w:p w14:paraId="60882AE7"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2E2C3DF"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5DC776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C3C96E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5DEB7C3"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2078F0" w14:textId="77777777" w:rsidTr="0BF28E0C">
        <w:trPr>
          <w:trHeight w:val="412"/>
        </w:trPr>
        <w:tc>
          <w:tcPr>
            <w:tcW w:w="2003" w:type="pct"/>
            <w:tcBorders>
              <w:top w:val="single" w:sz="18" w:space="0" w:color="auto"/>
              <w:left w:val="single" w:sz="12" w:space="0" w:color="auto"/>
              <w:right w:val="single" w:sz="12" w:space="0" w:color="auto"/>
            </w:tcBorders>
          </w:tcPr>
          <w:p w14:paraId="1B75ADF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CA0210C"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473E50FA" w14:textId="77777777" w:rsidTr="0BF28E0C">
        <w:trPr>
          <w:trHeight w:val="412"/>
        </w:trPr>
        <w:tc>
          <w:tcPr>
            <w:tcW w:w="2003" w:type="pct"/>
            <w:tcBorders>
              <w:top w:val="single" w:sz="8" w:space="0" w:color="auto"/>
              <w:left w:val="single" w:sz="12" w:space="0" w:color="auto"/>
              <w:right w:val="single" w:sz="12" w:space="0" w:color="auto"/>
            </w:tcBorders>
          </w:tcPr>
          <w:p w14:paraId="56CC7623"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CDD0CBB"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3293A1" w14:textId="77777777" w:rsidTr="0BF28E0C">
        <w:trPr>
          <w:trHeight w:val="412"/>
        </w:trPr>
        <w:tc>
          <w:tcPr>
            <w:tcW w:w="2003" w:type="pct"/>
            <w:tcBorders>
              <w:top w:val="single" w:sz="8" w:space="0" w:color="auto"/>
              <w:left w:val="single" w:sz="12" w:space="0" w:color="auto"/>
              <w:right w:val="single" w:sz="12" w:space="0" w:color="auto"/>
            </w:tcBorders>
          </w:tcPr>
          <w:p w14:paraId="3CB56827"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16697823"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2812B01C" w14:textId="77777777" w:rsidTr="0BF28E0C">
        <w:trPr>
          <w:trHeight w:val="412"/>
        </w:trPr>
        <w:tc>
          <w:tcPr>
            <w:tcW w:w="2003" w:type="pct"/>
            <w:tcBorders>
              <w:top w:val="single" w:sz="8" w:space="0" w:color="auto"/>
              <w:left w:val="single" w:sz="12" w:space="0" w:color="auto"/>
              <w:right w:val="single" w:sz="12" w:space="0" w:color="auto"/>
            </w:tcBorders>
          </w:tcPr>
          <w:p w14:paraId="1A567B2E"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2C05893"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3F2862DD" w14:textId="77777777" w:rsidTr="0BF28E0C">
        <w:trPr>
          <w:trHeight w:val="412"/>
        </w:trPr>
        <w:tc>
          <w:tcPr>
            <w:tcW w:w="2003" w:type="pct"/>
            <w:tcBorders>
              <w:top w:val="single" w:sz="8" w:space="0" w:color="auto"/>
              <w:left w:val="single" w:sz="12" w:space="0" w:color="auto"/>
              <w:right w:val="single" w:sz="12" w:space="0" w:color="auto"/>
            </w:tcBorders>
          </w:tcPr>
          <w:p w14:paraId="6FFAD832"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544E596" w14:textId="77777777" w:rsidR="00E0003B" w:rsidRPr="003A5F9A" w:rsidRDefault="00E0003B" w:rsidP="0008727F">
            <w:pPr>
              <w:pStyle w:val="Text2"/>
              <w:spacing w:before="60" w:after="120"/>
              <w:ind w:left="0"/>
              <w:rPr>
                <w:rFonts w:ascii="Verdana" w:hAnsi="Verdana"/>
                <w:b/>
                <w:sz w:val="20"/>
                <w:szCs w:val="20"/>
              </w:rPr>
            </w:pPr>
          </w:p>
        </w:tc>
      </w:tr>
    </w:tbl>
    <w:p w14:paraId="53F9B7E8"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2E1120FD" w14:textId="77777777" w:rsidR="00A7100F" w:rsidRDefault="00A7100F" w:rsidP="00060746">
      <w:pPr>
        <w:jc w:val="center"/>
        <w:rPr>
          <w:rFonts w:ascii="Verdana" w:hAnsi="Verdana"/>
          <w:b/>
          <w:sz w:val="16"/>
          <w:szCs w:val="16"/>
        </w:rPr>
      </w:pPr>
    </w:p>
    <w:p w14:paraId="622B5E5A" w14:textId="77777777"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AFCD680"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CF97BC" w14:textId="77777777" w:rsidR="00A7100F" w:rsidRPr="003A5F9A" w:rsidRDefault="00A7100F" w:rsidP="00DC0080">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C857C91" w14:textId="77777777" w:rsidTr="0BF28E0C">
        <w:trPr>
          <w:trHeight w:val="412"/>
        </w:trPr>
        <w:tc>
          <w:tcPr>
            <w:tcW w:w="2003" w:type="pct"/>
            <w:tcBorders>
              <w:top w:val="single" w:sz="18" w:space="0" w:color="auto"/>
              <w:left w:val="single" w:sz="12" w:space="0" w:color="auto"/>
              <w:right w:val="single" w:sz="12" w:space="0" w:color="auto"/>
            </w:tcBorders>
          </w:tcPr>
          <w:p w14:paraId="70BD9FC0" w14:textId="77777777" w:rsidR="00A7100F" w:rsidRPr="00AA5A63" w:rsidRDefault="00A7100F" w:rsidP="00DC0080">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5A66BE2" w14:textId="77777777" w:rsidR="00A7100F" w:rsidRPr="003A5F9A" w:rsidRDefault="00A7100F" w:rsidP="00DC0080">
            <w:pPr>
              <w:pStyle w:val="Text2"/>
              <w:spacing w:before="60" w:after="60"/>
              <w:ind w:left="0"/>
              <w:jc w:val="left"/>
              <w:rPr>
                <w:rFonts w:ascii="Verdana" w:hAnsi="Verdana" w:cs="Arial"/>
                <w:b/>
                <w:sz w:val="20"/>
                <w:szCs w:val="20"/>
                <w:u w:val="single"/>
              </w:rPr>
            </w:pPr>
          </w:p>
        </w:tc>
      </w:tr>
      <w:tr w:rsidR="00A7100F" w:rsidRPr="003A5F9A" w14:paraId="5E6A2EEF" w14:textId="77777777" w:rsidTr="0BF28E0C">
        <w:trPr>
          <w:trHeight w:val="412"/>
        </w:trPr>
        <w:tc>
          <w:tcPr>
            <w:tcW w:w="2003" w:type="pct"/>
            <w:tcBorders>
              <w:top w:val="single" w:sz="8" w:space="0" w:color="auto"/>
              <w:left w:val="single" w:sz="12" w:space="0" w:color="auto"/>
              <w:right w:val="single" w:sz="12" w:space="0" w:color="auto"/>
            </w:tcBorders>
          </w:tcPr>
          <w:p w14:paraId="38089ABF" w14:textId="77777777" w:rsidR="00A7100F" w:rsidRPr="00AA5A63" w:rsidRDefault="00A7100F" w:rsidP="00DC0080">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56395"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6A2F5F69" w14:textId="77777777" w:rsidTr="0BF28E0C">
        <w:trPr>
          <w:trHeight w:val="412"/>
        </w:trPr>
        <w:tc>
          <w:tcPr>
            <w:tcW w:w="2003" w:type="pct"/>
            <w:tcBorders>
              <w:top w:val="single" w:sz="8" w:space="0" w:color="auto"/>
              <w:left w:val="single" w:sz="12" w:space="0" w:color="auto"/>
              <w:right w:val="single" w:sz="12" w:space="0" w:color="auto"/>
            </w:tcBorders>
          </w:tcPr>
          <w:p w14:paraId="2A975E91"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C13AF0E" w14:textId="77777777" w:rsidR="00A7100F" w:rsidRPr="003A5F9A" w:rsidRDefault="00A7100F" w:rsidP="00DC0080">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68D9F901" w14:textId="77777777" w:rsidTr="0BF28E0C">
        <w:trPr>
          <w:trHeight w:val="412"/>
        </w:trPr>
        <w:tc>
          <w:tcPr>
            <w:tcW w:w="2003" w:type="pct"/>
            <w:tcBorders>
              <w:top w:val="single" w:sz="8" w:space="0" w:color="auto"/>
              <w:left w:val="single" w:sz="12" w:space="0" w:color="auto"/>
              <w:right w:val="single" w:sz="12" w:space="0" w:color="auto"/>
            </w:tcBorders>
          </w:tcPr>
          <w:p w14:paraId="366C293E" w14:textId="77777777" w:rsidR="00A7100F" w:rsidRPr="5ED146BE" w:rsidRDefault="00A7100F" w:rsidP="00DC0080">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6E771127" w14:textId="77777777" w:rsidR="00A7100F" w:rsidRPr="5ED146BE" w:rsidRDefault="00A7100F" w:rsidP="00DC0080">
            <w:pPr>
              <w:pStyle w:val="Text2"/>
              <w:spacing w:before="60" w:after="120"/>
              <w:ind w:left="0"/>
              <w:rPr>
                <w:rFonts w:ascii="Verdana" w:hAnsi="Verdana" w:cs="Arial"/>
                <w:b/>
                <w:bCs/>
                <w:sz w:val="20"/>
                <w:szCs w:val="20"/>
              </w:rPr>
            </w:pPr>
          </w:p>
        </w:tc>
      </w:tr>
      <w:tr w:rsidR="00A7100F" w:rsidRPr="003A5F9A" w14:paraId="544BB0C8" w14:textId="77777777" w:rsidTr="0BF28E0C">
        <w:trPr>
          <w:trHeight w:val="412"/>
        </w:trPr>
        <w:tc>
          <w:tcPr>
            <w:tcW w:w="2003" w:type="pct"/>
            <w:tcBorders>
              <w:top w:val="single" w:sz="8" w:space="0" w:color="auto"/>
              <w:left w:val="single" w:sz="12" w:space="0" w:color="auto"/>
              <w:right w:val="single" w:sz="12" w:space="0" w:color="auto"/>
            </w:tcBorders>
          </w:tcPr>
          <w:p w14:paraId="0D3294AD"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87E673E"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48426AED" w14:textId="77777777" w:rsidTr="0BF28E0C">
        <w:trPr>
          <w:trHeight w:val="412"/>
        </w:trPr>
        <w:tc>
          <w:tcPr>
            <w:tcW w:w="2003" w:type="pct"/>
            <w:tcBorders>
              <w:top w:val="single" w:sz="8" w:space="0" w:color="auto"/>
              <w:left w:val="single" w:sz="12" w:space="0" w:color="auto"/>
              <w:right w:val="single" w:sz="12" w:space="0" w:color="auto"/>
            </w:tcBorders>
          </w:tcPr>
          <w:p w14:paraId="76C9BAC6"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0F4121" w14:textId="77777777" w:rsidR="00A7100F" w:rsidRPr="003A5F9A" w:rsidRDefault="00A7100F" w:rsidP="00DC0080">
            <w:pPr>
              <w:pStyle w:val="Text2"/>
              <w:spacing w:before="60" w:after="120"/>
              <w:ind w:left="0"/>
              <w:rPr>
                <w:rFonts w:ascii="Verdana" w:hAnsi="Verdana"/>
                <w:b/>
                <w:sz w:val="20"/>
                <w:szCs w:val="20"/>
              </w:rPr>
            </w:pPr>
          </w:p>
        </w:tc>
      </w:tr>
    </w:tbl>
    <w:p w14:paraId="370CDB11" w14:textId="77777777" w:rsidR="008C2EFF" w:rsidRDefault="008C2EFF" w:rsidP="008C2EFF">
      <w:pPr>
        <w:pStyle w:val="Text2"/>
        <w:spacing w:after="0"/>
        <w:ind w:left="0"/>
        <w:rPr>
          <w:rFonts w:ascii="Verdana" w:hAnsi="Verdana"/>
          <w:sz w:val="20"/>
          <w:szCs w:val="20"/>
        </w:rPr>
      </w:pPr>
    </w:p>
    <w:p w14:paraId="033CF445" w14:textId="77777777" w:rsidR="008C2EFF" w:rsidRDefault="008C2EFF" w:rsidP="008C2EFF">
      <w:pPr>
        <w:pStyle w:val="Text2"/>
        <w:spacing w:after="0"/>
        <w:ind w:left="0"/>
        <w:rPr>
          <w:rFonts w:ascii="Verdana" w:hAnsi="Verdana"/>
          <w:sz w:val="20"/>
          <w:szCs w:val="20"/>
        </w:rPr>
      </w:pPr>
    </w:p>
    <w:p w14:paraId="5473AD6B"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14:paraId="74D0BE1B" w14:textId="77777777" w:rsidR="008C2EFF" w:rsidRDefault="008C2EFF">
      <w:pPr>
        <w:rPr>
          <w:rFonts w:ascii="Verdana" w:hAnsi="Verdana"/>
          <w:b/>
          <w:sz w:val="32"/>
          <w:szCs w:val="32"/>
        </w:rPr>
      </w:pPr>
      <w:r>
        <w:rPr>
          <w:rFonts w:ascii="Verdana" w:hAnsi="Verdana"/>
          <w:b/>
          <w:sz w:val="32"/>
          <w:szCs w:val="32"/>
        </w:rPr>
        <w:br w:type="page"/>
      </w:r>
    </w:p>
    <w:p w14:paraId="071A19A8" w14:textId="77777777"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17E6F8F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F5701A6"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7622559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2E94C3C"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B1E57FD" w14:textId="77777777"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14:paraId="04C0DC9E"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E3B0D34" w14:textId="77777777" w:rsidR="00B26DE0" w:rsidRPr="00E84FE8" w:rsidRDefault="00A8323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5A763AF6" w14:textId="77777777" w:rsidR="00B26DE0" w:rsidRPr="00E84FE8" w:rsidRDefault="00A83238"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14:paraId="0086CA8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1E86CA2C" w14:textId="79F2DE85"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406B627"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14:paraId="4434084D"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E14D7D7" w14:textId="77777777" w:rsidR="00B26DE0" w:rsidRPr="00E84FE8" w:rsidRDefault="00A8323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14:paraId="10A9266E" w14:textId="77777777" w:rsidR="00B26DE0" w:rsidRPr="00E84FE8" w:rsidRDefault="00A83238"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14:paraId="4ABA1C30"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B2F509C"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13433F6" w14:textId="77777777"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14:paraId="63A7C697" w14:textId="77777777" w:rsidTr="008C2EFF">
        <w:trPr>
          <w:trHeight w:val="412"/>
        </w:trPr>
        <w:tc>
          <w:tcPr>
            <w:tcW w:w="5000" w:type="pct"/>
            <w:gridSpan w:val="2"/>
            <w:tcBorders>
              <w:top w:val="single" w:sz="8" w:space="0" w:color="auto"/>
              <w:left w:val="single" w:sz="12" w:space="0" w:color="auto"/>
              <w:right w:val="single" w:sz="12" w:space="0" w:color="auto"/>
            </w:tcBorders>
          </w:tcPr>
          <w:p w14:paraId="60D843A4" w14:textId="77777777"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14:paraId="367A6ACB"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76B1CC2" w14:textId="77777777" w:rsidTr="008C2EFF">
        <w:trPr>
          <w:trHeight w:val="420"/>
        </w:trPr>
        <w:tc>
          <w:tcPr>
            <w:tcW w:w="673" w:type="dxa"/>
            <w:shd w:val="clear" w:color="auto" w:fill="D9D9D9" w:themeFill="background1" w:themeFillShade="D9"/>
            <w:vAlign w:val="center"/>
          </w:tcPr>
          <w:p w14:paraId="115FC2B8"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21BDBF93"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2596E5F5" w14:textId="77777777" w:rsidTr="008C2EFF">
        <w:trPr>
          <w:trHeight w:val="420"/>
        </w:trPr>
        <w:tc>
          <w:tcPr>
            <w:tcW w:w="673" w:type="dxa"/>
            <w:shd w:val="clear" w:color="auto" w:fill="D9D9D9" w:themeFill="background1" w:themeFillShade="D9"/>
            <w:vAlign w:val="center"/>
          </w:tcPr>
          <w:p w14:paraId="333AF45A"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77BCEB2C"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60DE67A1" w14:textId="77777777" w:rsidTr="008C2EFF">
        <w:trPr>
          <w:trHeight w:val="420"/>
        </w:trPr>
        <w:tc>
          <w:tcPr>
            <w:tcW w:w="9072" w:type="dxa"/>
            <w:gridSpan w:val="3"/>
            <w:shd w:val="clear" w:color="auto" w:fill="FFFFFF" w:themeFill="background1"/>
            <w:vAlign w:val="center"/>
          </w:tcPr>
          <w:p w14:paraId="74B19F47" w14:textId="1D510286" w:rsidR="00E3160B" w:rsidRPr="00E3160B" w:rsidRDefault="00E3160B" w:rsidP="00E3160B">
            <w:pPr>
              <w:spacing w:after="0"/>
              <w:jc w:val="both"/>
              <w:rPr>
                <w:rStyle w:val="normaltextrun"/>
                <w:rFonts w:ascii="Verdana" w:eastAsia="Times New Roman" w:hAnsi="Verdana" w:cs="Arial"/>
                <w:iCs/>
                <w:color w:val="4F81BD" w:themeColor="accent1"/>
                <w:sz w:val="20"/>
                <w:szCs w:val="20"/>
              </w:rPr>
            </w:pPr>
            <w:r w:rsidRPr="00E3160B">
              <w:rPr>
                <w:rFonts w:ascii="Verdana" w:eastAsia="Times New Roman" w:hAnsi="Verdana" w:cs="Arial"/>
                <w:color w:val="4F81BD" w:themeColor="accent1"/>
                <w:sz w:val="20"/>
                <w:szCs w:val="20"/>
                <w:lang w:val="en-US" w:eastAsia="en-GB"/>
              </w:rPr>
              <w:t xml:space="preserve">This request addresses </w:t>
            </w:r>
            <w:r w:rsidR="00385150">
              <w:rPr>
                <w:rFonts w:ascii="Verdana" w:eastAsia="Times New Roman" w:hAnsi="Verdana" w:cs="Arial"/>
                <w:color w:val="4F81BD" w:themeColor="accent1"/>
                <w:sz w:val="20"/>
                <w:szCs w:val="20"/>
                <w:lang w:val="en-US" w:eastAsia="en-GB"/>
              </w:rPr>
              <w:t>a</w:t>
            </w:r>
            <w:r w:rsidR="00385150" w:rsidRPr="00E3160B">
              <w:rPr>
                <w:rFonts w:ascii="Verdana" w:eastAsia="Times New Roman" w:hAnsi="Verdana" w:cs="Arial"/>
                <w:color w:val="4F81BD" w:themeColor="accent1"/>
                <w:sz w:val="20"/>
                <w:szCs w:val="20"/>
                <w:lang w:val="en-US" w:eastAsia="en-GB"/>
              </w:rPr>
              <w:t xml:space="preserve"> </w:t>
            </w:r>
            <w:r w:rsidRPr="00E3160B">
              <w:rPr>
                <w:rFonts w:ascii="Verdana" w:eastAsia="Times New Roman" w:hAnsi="Verdana" w:cs="Arial"/>
                <w:color w:val="4F81BD" w:themeColor="accent1"/>
                <w:sz w:val="20"/>
                <w:szCs w:val="20"/>
                <w:lang w:val="en-US" w:eastAsia="en-GB"/>
              </w:rPr>
              <w:t xml:space="preserve">need to </w:t>
            </w:r>
            <w:r w:rsidRPr="00E3160B">
              <w:rPr>
                <w:rStyle w:val="normaltextrun"/>
                <w:rFonts w:ascii="Verdana" w:eastAsia="Times New Roman" w:hAnsi="Verdana" w:cs="Arial"/>
                <w:iCs/>
                <w:color w:val="4F81BD" w:themeColor="accent1"/>
                <w:sz w:val="20"/>
                <w:szCs w:val="20"/>
              </w:rPr>
              <w:t xml:space="preserve">build capacity in designing green structural fiscal reforms and </w:t>
            </w:r>
            <w:r w:rsidR="00385150">
              <w:rPr>
                <w:rStyle w:val="normaltextrun"/>
                <w:rFonts w:ascii="Verdana" w:eastAsia="Times New Roman" w:hAnsi="Verdana" w:cs="Arial"/>
                <w:iCs/>
                <w:color w:val="4F81BD" w:themeColor="accent1"/>
                <w:sz w:val="20"/>
                <w:szCs w:val="20"/>
              </w:rPr>
              <w:t xml:space="preserve">in </w:t>
            </w:r>
            <w:r w:rsidR="00645259">
              <w:rPr>
                <w:rStyle w:val="normaltextrun"/>
                <w:rFonts w:ascii="Verdana" w:eastAsia="Times New Roman" w:hAnsi="Verdana" w:cs="Arial"/>
                <w:iCs/>
                <w:color w:val="4F81BD" w:themeColor="accent1"/>
                <w:sz w:val="20"/>
                <w:szCs w:val="20"/>
              </w:rPr>
              <w:t>particular,</w:t>
            </w:r>
            <w:r w:rsidR="00385150">
              <w:rPr>
                <w:rStyle w:val="normaltextrun"/>
                <w:rFonts w:ascii="Verdana" w:eastAsia="Times New Roman" w:hAnsi="Verdana" w:cs="Arial"/>
                <w:iCs/>
                <w:color w:val="4F81BD" w:themeColor="accent1"/>
                <w:sz w:val="20"/>
                <w:szCs w:val="20"/>
              </w:rPr>
              <w:t xml:space="preserve"> </w:t>
            </w:r>
            <w:r w:rsidRPr="00E3160B">
              <w:rPr>
                <w:rStyle w:val="normaltextrun"/>
                <w:rFonts w:ascii="Verdana" w:eastAsia="Times New Roman" w:hAnsi="Verdana" w:cs="Arial"/>
                <w:iCs/>
                <w:color w:val="4F81BD" w:themeColor="accent1"/>
                <w:sz w:val="20"/>
                <w:szCs w:val="20"/>
              </w:rPr>
              <w:t xml:space="preserve">measures through green taxation and other market based economic instruments. This </w:t>
            </w:r>
            <w:r w:rsidR="00385150">
              <w:rPr>
                <w:rStyle w:val="normaltextrun"/>
                <w:rFonts w:ascii="Verdana" w:eastAsia="Times New Roman" w:hAnsi="Verdana" w:cs="Arial"/>
                <w:iCs/>
                <w:color w:val="4F81BD" w:themeColor="accent1"/>
                <w:sz w:val="20"/>
                <w:szCs w:val="20"/>
              </w:rPr>
              <w:t xml:space="preserve">responds to a need to develop capacity for </w:t>
            </w:r>
            <w:r w:rsidRPr="00E3160B">
              <w:rPr>
                <w:rStyle w:val="normaltextrun"/>
                <w:rFonts w:ascii="Verdana" w:eastAsia="Times New Roman" w:hAnsi="Verdana" w:cs="Arial"/>
                <w:iCs/>
                <w:color w:val="4F81BD" w:themeColor="accent1"/>
                <w:sz w:val="20"/>
                <w:szCs w:val="20"/>
              </w:rPr>
              <w:t xml:space="preserve">operationalisation of ‘the polluter pays principle’ </w:t>
            </w:r>
            <w:r w:rsidRPr="00E3160B">
              <w:rPr>
                <w:rFonts w:ascii="Verdana" w:hAnsi="Verdana" w:cs="Arial"/>
                <w:color w:val="4F81BD" w:themeColor="accent1"/>
                <w:sz w:val="20"/>
                <w:szCs w:val="20"/>
              </w:rPr>
              <w:t>to ensure that polluting behaviour is reduced/eliminated or, if that is not fully achievable, that polluters compensate society for the damage they cause within the policy area(s)</w:t>
            </w:r>
            <w:r w:rsidRPr="00E3160B">
              <w:rPr>
                <w:rStyle w:val="normaltextrun"/>
                <w:rFonts w:ascii="Verdana" w:eastAsia="Times New Roman" w:hAnsi="Verdana" w:cs="Arial"/>
                <w:iCs/>
                <w:color w:val="4F81BD" w:themeColor="accent1"/>
                <w:sz w:val="20"/>
                <w:szCs w:val="20"/>
              </w:rPr>
              <w:t>:</w:t>
            </w:r>
          </w:p>
          <w:p w14:paraId="5D384EA4" w14:textId="77777777" w:rsidR="00E3160B" w:rsidRPr="00E3160B" w:rsidRDefault="00E3160B" w:rsidP="00E3160B">
            <w:pPr>
              <w:pStyle w:val="ListParagraph"/>
              <w:numPr>
                <w:ilvl w:val="0"/>
                <w:numId w:val="12"/>
              </w:numPr>
              <w:spacing w:line="240" w:lineRule="auto"/>
              <w:jc w:val="both"/>
              <w:rPr>
                <w:rFonts w:ascii="Verdana" w:hAnsi="Verdana" w:cs="Arial"/>
                <w:color w:val="4F81BD" w:themeColor="accent1"/>
                <w:sz w:val="20"/>
                <w:szCs w:val="20"/>
              </w:rPr>
            </w:pPr>
            <w:r w:rsidRPr="00E3160B">
              <w:rPr>
                <w:rFonts w:ascii="Verdana" w:hAnsi="Verdana" w:cs="Arial"/>
                <w:color w:val="4F81BD" w:themeColor="accent1"/>
                <w:sz w:val="20"/>
                <w:szCs w:val="20"/>
              </w:rPr>
              <w:t>Biodiversity</w:t>
            </w:r>
          </w:p>
          <w:p w14:paraId="542DE07D" w14:textId="77777777" w:rsidR="00E3160B" w:rsidRPr="00E3160B" w:rsidRDefault="00E3160B" w:rsidP="00E3160B">
            <w:pPr>
              <w:pStyle w:val="ListParagraph"/>
              <w:numPr>
                <w:ilvl w:val="0"/>
                <w:numId w:val="12"/>
              </w:numPr>
              <w:spacing w:line="240" w:lineRule="auto"/>
              <w:jc w:val="both"/>
              <w:rPr>
                <w:rFonts w:ascii="Verdana" w:hAnsi="Verdana" w:cs="Arial"/>
                <w:color w:val="4F81BD" w:themeColor="accent1"/>
                <w:sz w:val="20"/>
                <w:szCs w:val="20"/>
              </w:rPr>
            </w:pPr>
            <w:r w:rsidRPr="00E3160B">
              <w:rPr>
                <w:rFonts w:ascii="Verdana" w:hAnsi="Verdana" w:cs="Arial"/>
                <w:color w:val="4F81BD" w:themeColor="accent1"/>
                <w:sz w:val="20"/>
                <w:szCs w:val="20"/>
              </w:rPr>
              <w:t>Zero Pollution</w:t>
            </w:r>
          </w:p>
          <w:p w14:paraId="7F09FF5C" w14:textId="77777777" w:rsidR="00E3160B" w:rsidRPr="00E3160B" w:rsidRDefault="00E3160B" w:rsidP="00E3160B">
            <w:pPr>
              <w:pStyle w:val="ListParagraph"/>
              <w:numPr>
                <w:ilvl w:val="0"/>
                <w:numId w:val="12"/>
              </w:numPr>
              <w:spacing w:line="240" w:lineRule="auto"/>
              <w:jc w:val="both"/>
              <w:rPr>
                <w:rFonts w:ascii="Verdana" w:hAnsi="Verdana" w:cs="Arial"/>
                <w:color w:val="4F81BD" w:themeColor="accent1"/>
                <w:sz w:val="20"/>
                <w:szCs w:val="20"/>
              </w:rPr>
            </w:pPr>
            <w:r w:rsidRPr="00E3160B">
              <w:rPr>
                <w:rFonts w:ascii="Verdana" w:hAnsi="Verdana" w:cs="Arial"/>
                <w:color w:val="4F81BD" w:themeColor="accent1"/>
                <w:sz w:val="20"/>
                <w:szCs w:val="20"/>
              </w:rPr>
              <w:t>Circular Economy</w:t>
            </w:r>
          </w:p>
          <w:p w14:paraId="50983370" w14:textId="48D329F2" w:rsidR="00E3160B" w:rsidRPr="00E3160B" w:rsidRDefault="00E3160B" w:rsidP="00E3160B">
            <w:pPr>
              <w:jc w:val="both"/>
              <w:rPr>
                <w:rFonts w:ascii="Verdana" w:hAnsi="Verdana" w:cs="Arial"/>
                <w:color w:val="4F81BD" w:themeColor="accent1"/>
                <w:sz w:val="20"/>
                <w:szCs w:val="20"/>
                <w:shd w:val="clear" w:color="auto" w:fill="FFFFFF"/>
              </w:rPr>
            </w:pPr>
            <w:r w:rsidRPr="00E3160B">
              <w:rPr>
                <w:rFonts w:ascii="Verdana" w:hAnsi="Verdana" w:cs="Arial"/>
                <w:color w:val="4F81BD" w:themeColor="accent1"/>
                <w:sz w:val="20"/>
                <w:szCs w:val="20"/>
              </w:rPr>
              <w:t xml:space="preserve">The polluter pays principle, first recommended by the OECD in 1972 and enshrined in the EU Treaty since 1987 is at the heart of EU legislation. The European Green Deal further builds on this principle, to ensure that </w:t>
            </w:r>
            <w:r w:rsidRPr="00E3160B">
              <w:rPr>
                <w:rFonts w:ascii="Verdana" w:hAnsi="Verdana" w:cs="Arial"/>
                <w:color w:val="4F81BD" w:themeColor="accent1"/>
                <w:sz w:val="20"/>
                <w:szCs w:val="20"/>
                <w:shd w:val="clear" w:color="auto" w:fill="FFFFFF"/>
              </w:rPr>
              <w:t>taxation is aligned with climate</w:t>
            </w:r>
            <w:r w:rsidR="00A04083">
              <w:rPr>
                <w:rFonts w:ascii="Verdana" w:hAnsi="Verdana" w:cs="Arial"/>
                <w:color w:val="4F81BD" w:themeColor="accent1"/>
                <w:sz w:val="20"/>
                <w:szCs w:val="20"/>
                <w:shd w:val="clear" w:color="auto" w:fill="FFFFFF"/>
              </w:rPr>
              <w:t xml:space="preserve"> and environmental</w:t>
            </w:r>
            <w:r w:rsidRPr="00E3160B">
              <w:rPr>
                <w:rFonts w:ascii="Verdana" w:hAnsi="Verdana" w:cs="Arial"/>
                <w:color w:val="4F81BD" w:themeColor="accent1"/>
                <w:sz w:val="20"/>
                <w:szCs w:val="20"/>
                <w:shd w:val="clear" w:color="auto" w:fill="FFFFFF"/>
              </w:rPr>
              <w:t xml:space="preserve"> objectives. </w:t>
            </w:r>
          </w:p>
          <w:p w14:paraId="79FA3117" w14:textId="77777777" w:rsidR="00E3160B" w:rsidRPr="00E3160B" w:rsidRDefault="00E3160B" w:rsidP="00E3160B">
            <w:pPr>
              <w:shd w:val="clear" w:color="auto" w:fill="FFFFFF" w:themeFill="background1"/>
              <w:jc w:val="both"/>
              <w:rPr>
                <w:rFonts w:ascii="Verdana" w:hAnsi="Verdana" w:cs="Arial"/>
                <w:color w:val="4F81BD" w:themeColor="accent1"/>
                <w:sz w:val="20"/>
                <w:szCs w:val="20"/>
              </w:rPr>
            </w:pPr>
            <w:r w:rsidRPr="00E3160B">
              <w:rPr>
                <w:rFonts w:ascii="Verdana" w:hAnsi="Verdana" w:cs="Arial"/>
                <w:color w:val="4F81BD" w:themeColor="accent1"/>
                <w:sz w:val="20"/>
                <w:szCs w:val="20"/>
              </w:rPr>
              <w:t>While there are hundreds of forms of economic instruments in place across the EU designed to make polluters pay, many of them focussing on energy products, the polluters’ contribution remains a minor share of the total government revenues in all the EU Member States, 5.91% in 2019 (EU-27 average) and followed a slightly decreasing trend during the last years. However, their share in GDP has been relatively stable (about 2.4%) over the last decade.</w:t>
            </w:r>
          </w:p>
          <w:p w14:paraId="601F8B0E" w14:textId="0E3A44A8" w:rsidR="00D70AE4" w:rsidRPr="00E3160B" w:rsidRDefault="00E3160B" w:rsidP="00E3160B">
            <w:pPr>
              <w:shd w:val="clear" w:color="auto" w:fill="FFFFFF" w:themeFill="background1"/>
              <w:spacing w:after="0"/>
              <w:jc w:val="both"/>
              <w:rPr>
                <w:rFonts w:ascii="Verdana" w:eastAsia="Times New Roman" w:hAnsi="Verdana" w:cs="Arial"/>
                <w:color w:val="4F81BD" w:themeColor="accent1"/>
                <w:sz w:val="20"/>
                <w:szCs w:val="20"/>
                <w:lang w:val="en-US" w:eastAsia="en-GB"/>
              </w:rPr>
            </w:pPr>
            <w:r w:rsidRPr="00E3160B">
              <w:rPr>
                <w:rFonts w:ascii="Verdana" w:hAnsi="Verdana" w:cs="Arial"/>
                <w:color w:val="4F81BD" w:themeColor="accent1"/>
                <w:sz w:val="20"/>
                <w:szCs w:val="20"/>
                <w:shd w:val="clear" w:color="auto" w:fill="FFFFFF"/>
              </w:rPr>
              <w:t xml:space="preserve">Studies suggest that </w:t>
            </w:r>
            <w:r w:rsidRPr="00E3160B">
              <w:rPr>
                <w:rFonts w:ascii="Verdana" w:eastAsia="Calibri" w:hAnsi="Verdana" w:cs="Arial"/>
                <w:noProof/>
                <w:color w:val="4F81BD" w:themeColor="accent1"/>
                <w:sz w:val="20"/>
                <w:szCs w:val="20"/>
              </w:rPr>
              <w:t xml:space="preserve">environmental tax reforms, beyond the environmental and health benefits, can have overall positive macroeconomic impacts on the EU economy. </w:t>
            </w:r>
            <w:r w:rsidRPr="00E3160B">
              <w:rPr>
                <w:rFonts w:ascii="Verdana" w:eastAsia="Calibri" w:hAnsi="Verdana" w:cs="Arial"/>
                <w:color w:val="4F81BD" w:themeColor="accent1"/>
                <w:sz w:val="20"/>
                <w:szCs w:val="20"/>
              </w:rPr>
              <w:t xml:space="preserve">The results of the latest study by the Institute European Environmental Policy (IEEP) for the European Commission find that </w:t>
            </w:r>
            <w:r w:rsidRPr="00E3160B">
              <w:rPr>
                <w:rFonts w:ascii="Verdana" w:eastAsia="Calibri" w:hAnsi="Verdana" w:cs="Arial"/>
                <w:bCs/>
                <w:color w:val="4F81BD" w:themeColor="accent1"/>
                <w:sz w:val="20"/>
                <w:szCs w:val="20"/>
              </w:rPr>
              <w:t xml:space="preserve">a portfolio of market based instruments in combination </w:t>
            </w:r>
            <w:r w:rsidRPr="00E3160B">
              <w:rPr>
                <w:rFonts w:ascii="Verdana" w:eastAsia="Calibri" w:hAnsi="Verdana" w:cs="Arial"/>
                <w:bCs/>
                <w:color w:val="4F81BD" w:themeColor="accent1"/>
                <w:sz w:val="20"/>
                <w:szCs w:val="20"/>
              </w:rPr>
              <w:lastRenderedPageBreak/>
              <w:t>with a reduction in income taxation could generate positive economic and employment benefits</w:t>
            </w:r>
            <w:r w:rsidRPr="00E3160B">
              <w:rPr>
                <w:rFonts w:ascii="Verdana" w:eastAsia="Calibri" w:hAnsi="Verdana" w:cs="Arial"/>
                <w:color w:val="4F81BD" w:themeColor="accent1"/>
                <w:sz w:val="20"/>
                <w:szCs w:val="20"/>
              </w:rPr>
              <w:t xml:space="preserve"> of approximately EUR 30 billion at the European level. Using this amount of revenues to reduce income tax generates net positive GDP impacts of EUR 35 billion, offsetting the initial negative impacts of environmental taxation, and creates 140,000 additional jobs.</w:t>
            </w:r>
          </w:p>
          <w:p w14:paraId="634B09D6" w14:textId="77777777" w:rsidR="00E3160B" w:rsidRPr="00E3160B" w:rsidRDefault="00E3160B" w:rsidP="00E3160B">
            <w:pPr>
              <w:shd w:val="clear" w:color="auto" w:fill="FFFFFF" w:themeFill="background1"/>
              <w:spacing w:after="0"/>
              <w:jc w:val="both"/>
              <w:rPr>
                <w:rFonts w:ascii="Verdana" w:eastAsia="Times New Roman" w:hAnsi="Verdana" w:cs="Arial"/>
                <w:color w:val="4F81BD" w:themeColor="accent1"/>
                <w:sz w:val="20"/>
                <w:szCs w:val="20"/>
                <w:lang w:val="en-US" w:eastAsia="en-GB"/>
              </w:rPr>
            </w:pPr>
          </w:p>
          <w:p w14:paraId="35267BF7" w14:textId="77777777" w:rsidR="00D70AE4" w:rsidRPr="00A83238" w:rsidRDefault="00D70AE4" w:rsidP="00E3160B">
            <w:pPr>
              <w:shd w:val="clear" w:color="auto" w:fill="FFFFFF" w:themeFill="background1"/>
              <w:spacing w:after="0"/>
              <w:jc w:val="both"/>
              <w:rPr>
                <w:rFonts w:ascii="Verdana" w:eastAsia="Times New Roman" w:hAnsi="Verdana" w:cs="Arial"/>
                <w:i/>
                <w:sz w:val="20"/>
                <w:szCs w:val="20"/>
                <w:lang w:val="en-US" w:eastAsia="en-GB"/>
              </w:rPr>
            </w:pPr>
            <w:r w:rsidRPr="00A83238">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p>
          <w:p w14:paraId="4CCE664E" w14:textId="77777777" w:rsidR="00D70AE4" w:rsidRPr="00A83238" w:rsidRDefault="00D70AE4" w:rsidP="00E3160B">
            <w:pPr>
              <w:shd w:val="clear" w:color="auto" w:fill="FFFFFF" w:themeFill="background1"/>
              <w:spacing w:after="0"/>
              <w:jc w:val="both"/>
              <w:rPr>
                <w:rFonts w:ascii="Verdana" w:eastAsia="Times New Roman" w:hAnsi="Verdana" w:cs="Arial"/>
                <w:i/>
                <w:sz w:val="20"/>
                <w:szCs w:val="20"/>
                <w:lang w:val="en-US" w:eastAsia="en-GB"/>
              </w:rPr>
            </w:pPr>
          </w:p>
          <w:p w14:paraId="25379867" w14:textId="77777777" w:rsidR="00CA5DB7" w:rsidRPr="00E3160B" w:rsidDel="00CA5DB7" w:rsidRDefault="00C52F24" w:rsidP="00E3160B">
            <w:pPr>
              <w:shd w:val="clear" w:color="auto" w:fill="FFFFFF" w:themeFill="background1"/>
              <w:spacing w:after="0"/>
              <w:jc w:val="both"/>
              <w:rPr>
                <w:rFonts w:ascii="Verdana" w:eastAsia="Times New Roman" w:hAnsi="Verdana" w:cs="Arial"/>
                <w:bCs/>
                <w:sz w:val="20"/>
                <w:szCs w:val="20"/>
                <w:lang w:val="en-US" w:eastAsia="en-GB"/>
              </w:rPr>
            </w:pPr>
            <w:r w:rsidRPr="00A83238">
              <w:rPr>
                <w:rFonts w:ascii="Verdana" w:eastAsia="Times New Roman" w:hAnsi="Verdana" w:cs="Arial"/>
                <w:i/>
                <w:sz w:val="20"/>
                <w:szCs w:val="20"/>
                <w:lang w:val="en-US" w:eastAsia="en-GB"/>
              </w:rPr>
              <w:t>[Insert Text</w:t>
            </w:r>
            <w:r w:rsidR="00126003" w:rsidRPr="00A83238">
              <w:rPr>
                <w:rFonts w:ascii="Verdana" w:eastAsia="Times New Roman" w:hAnsi="Verdana" w:cs="Arial"/>
                <w:i/>
                <w:sz w:val="20"/>
                <w:szCs w:val="20"/>
                <w:lang w:val="en-US" w:eastAsia="en-GB"/>
              </w:rPr>
              <w:t>; b</w:t>
            </w:r>
            <w:r w:rsidR="004819DF" w:rsidRPr="00A83238">
              <w:rPr>
                <w:rFonts w:ascii="Verdana" w:eastAsia="Times New Roman" w:hAnsi="Verdana" w:cs="Arial"/>
                <w:i/>
                <w:sz w:val="20"/>
                <w:szCs w:val="20"/>
                <w:lang w:val="en-US" w:eastAsia="en-GB"/>
              </w:rPr>
              <w:t>etween 2</w:t>
            </w:r>
            <w:r w:rsidR="00EB26D4" w:rsidRPr="00A83238">
              <w:rPr>
                <w:rFonts w:ascii="Verdana" w:eastAsia="Times New Roman" w:hAnsi="Verdana" w:cs="Arial"/>
                <w:i/>
                <w:sz w:val="20"/>
                <w:szCs w:val="20"/>
                <w:lang w:val="en-US" w:eastAsia="en-GB"/>
              </w:rPr>
              <w:t>50</w:t>
            </w:r>
            <w:r w:rsidR="00126003" w:rsidRPr="00A83238">
              <w:rPr>
                <w:rFonts w:ascii="Verdana" w:eastAsia="Times New Roman" w:hAnsi="Verdana" w:cs="Arial"/>
                <w:i/>
                <w:sz w:val="20"/>
                <w:szCs w:val="20"/>
                <w:lang w:val="en-US" w:eastAsia="en-GB"/>
              </w:rPr>
              <w:t>-400 words</w:t>
            </w:r>
            <w:r w:rsidRPr="00A83238">
              <w:rPr>
                <w:rFonts w:ascii="Verdana" w:eastAsia="Times New Roman" w:hAnsi="Verdana" w:cs="Arial"/>
                <w:i/>
                <w:sz w:val="20"/>
                <w:szCs w:val="20"/>
                <w:lang w:val="en-US" w:eastAsia="en-GB"/>
              </w:rPr>
              <w:t>]</w:t>
            </w:r>
          </w:p>
        </w:tc>
      </w:tr>
      <w:tr w:rsidR="00CA5DB7" w:rsidRPr="00F64CAB" w14:paraId="48F42C8B" w14:textId="77777777" w:rsidTr="008C2EFF">
        <w:trPr>
          <w:trHeight w:val="420"/>
        </w:trPr>
        <w:tc>
          <w:tcPr>
            <w:tcW w:w="673" w:type="dxa"/>
            <w:shd w:val="clear" w:color="auto" w:fill="D9D9D9" w:themeFill="background1" w:themeFillShade="D9"/>
            <w:vAlign w:val="center"/>
          </w:tcPr>
          <w:p w14:paraId="4F3A7E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12224D1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5684B51A" w14:textId="77777777" w:rsidTr="008C2EFF">
        <w:trPr>
          <w:trHeight w:val="420"/>
        </w:trPr>
        <w:tc>
          <w:tcPr>
            <w:tcW w:w="9072" w:type="dxa"/>
            <w:gridSpan w:val="3"/>
            <w:shd w:val="clear" w:color="auto" w:fill="FFFFFF" w:themeFill="background1"/>
            <w:vAlign w:val="center"/>
          </w:tcPr>
          <w:p w14:paraId="5A5DAB62" w14:textId="77777777"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78E0C012" w14:textId="77777777" w:rsidTr="008C2EFF">
        <w:trPr>
          <w:trHeight w:val="420"/>
        </w:trPr>
        <w:tc>
          <w:tcPr>
            <w:tcW w:w="673" w:type="dxa"/>
            <w:shd w:val="clear" w:color="auto" w:fill="D9D9D9" w:themeFill="background1" w:themeFillShade="D9"/>
            <w:vAlign w:val="center"/>
          </w:tcPr>
          <w:p w14:paraId="3C2492DE"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223221E"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F64CAB" w14:paraId="5B2F0CCE" w14:textId="77777777" w:rsidTr="008C2EFF">
        <w:trPr>
          <w:trHeight w:val="420"/>
        </w:trPr>
        <w:tc>
          <w:tcPr>
            <w:tcW w:w="9072" w:type="dxa"/>
            <w:gridSpan w:val="3"/>
            <w:shd w:val="clear" w:color="auto" w:fill="FFFFFF" w:themeFill="background1"/>
            <w:vAlign w:val="center"/>
          </w:tcPr>
          <w:p w14:paraId="6135774F"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1934BF54" w14:textId="77777777" w:rsidTr="008C2EFF">
        <w:trPr>
          <w:trHeight w:val="420"/>
        </w:trPr>
        <w:tc>
          <w:tcPr>
            <w:tcW w:w="673" w:type="dxa"/>
            <w:shd w:val="clear" w:color="auto" w:fill="D9D9D9" w:themeFill="background1" w:themeFillShade="D9"/>
            <w:vAlign w:val="center"/>
          </w:tcPr>
          <w:p w14:paraId="370B2563"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1A605AE"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6FED6638" w14:textId="77777777" w:rsidTr="008C2EFF">
        <w:trPr>
          <w:trHeight w:val="355"/>
        </w:trPr>
        <w:tc>
          <w:tcPr>
            <w:tcW w:w="9072" w:type="dxa"/>
            <w:gridSpan w:val="3"/>
            <w:shd w:val="clear" w:color="auto" w:fill="FFFFFF" w:themeFill="background1"/>
            <w:vAlign w:val="center"/>
          </w:tcPr>
          <w:p w14:paraId="179CA833"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3764C452" w14:textId="77777777" w:rsidTr="008C2EFF">
        <w:trPr>
          <w:trHeight w:val="420"/>
        </w:trPr>
        <w:tc>
          <w:tcPr>
            <w:tcW w:w="673" w:type="dxa"/>
            <w:shd w:val="clear" w:color="auto" w:fill="D9D9D9" w:themeFill="background1" w:themeFillShade="D9"/>
            <w:vAlign w:val="center"/>
          </w:tcPr>
          <w:p w14:paraId="01776D4E"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DA8FFA8"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4E785F95" w14:textId="77777777" w:rsidTr="008C2EFF">
        <w:trPr>
          <w:trHeight w:val="365"/>
        </w:trPr>
        <w:tc>
          <w:tcPr>
            <w:tcW w:w="9072" w:type="dxa"/>
            <w:gridSpan w:val="3"/>
            <w:shd w:val="clear" w:color="auto" w:fill="FFFFFF" w:themeFill="background1"/>
            <w:vAlign w:val="center"/>
          </w:tcPr>
          <w:p w14:paraId="2FCC5F7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7201F5F5" w14:textId="77777777" w:rsidTr="008C2EFF">
        <w:trPr>
          <w:trHeight w:val="966"/>
        </w:trPr>
        <w:tc>
          <w:tcPr>
            <w:tcW w:w="708" w:type="dxa"/>
            <w:gridSpan w:val="2"/>
            <w:shd w:val="clear" w:color="auto" w:fill="D9D9D9" w:themeFill="background1" w:themeFillShade="D9"/>
            <w:vAlign w:val="center"/>
          </w:tcPr>
          <w:p w14:paraId="7AF7A5C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9A09F0A"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1A68A114" w14:textId="77777777" w:rsidTr="008C2EFF">
        <w:trPr>
          <w:trHeight w:val="333"/>
        </w:trPr>
        <w:tc>
          <w:tcPr>
            <w:tcW w:w="9072" w:type="dxa"/>
            <w:gridSpan w:val="3"/>
            <w:shd w:val="clear" w:color="auto" w:fill="FFFFFF" w:themeFill="background1"/>
            <w:vAlign w:val="center"/>
          </w:tcPr>
          <w:p w14:paraId="5045A21A"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3AF849BE"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C5D50A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231D0D1"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2C24D71D"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1FB087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2ECA7DB"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F06071" w14:textId="77777777" w:rsidR="00B320E5" w:rsidRPr="00F64CAB" w:rsidRDefault="00AF08B2" w:rsidP="008C2EFF">
            <w:pPr>
              <w:spacing w:after="0"/>
              <w:jc w:val="both"/>
              <w:rPr>
                <w:rFonts w:ascii="Verdana" w:eastAsia="Times New Roman" w:hAnsi="Verdana" w:cs="Arial"/>
                <w:sz w:val="20"/>
                <w:szCs w:val="20"/>
                <w:u w:val="single"/>
                <w:lang w:val="en-US" w:eastAsia="en-GB"/>
              </w:rPr>
            </w:pPr>
            <w:r w:rsidRPr="008C2EFF">
              <w:rPr>
                <w:rFonts w:ascii="Verdana" w:hAnsi="Verdana"/>
                <w:b/>
                <w:bCs/>
                <w:sz w:val="20"/>
                <w:szCs w:val="20"/>
                <w:lang w:val="en-US" w:eastAsia="en-GB"/>
              </w:rPr>
              <w:t xml:space="preserve">Briefly </w:t>
            </w:r>
            <w:r w:rsidR="008C2EFF">
              <w:rPr>
                <w:rFonts w:ascii="Verdana" w:hAnsi="Verdana"/>
                <w:b/>
                <w:bCs/>
                <w:sz w:val="20"/>
                <w:szCs w:val="20"/>
                <w:lang w:val="en-US" w:eastAsia="en-GB"/>
              </w:rPr>
              <w:t>indicate the</w:t>
            </w:r>
            <w:r w:rsidRPr="008C2EFF">
              <w:rPr>
                <w:rFonts w:ascii="Verdana" w:hAnsi="Verdana"/>
                <w:b/>
                <w:bCs/>
                <w:sz w:val="20"/>
                <w:szCs w:val="20"/>
                <w:lang w:val="en-US" w:eastAsia="en-GB"/>
              </w:rPr>
              <w:t xml:space="preserve"> support measures </w:t>
            </w:r>
            <w:r w:rsidR="008C2EFF">
              <w:rPr>
                <w:rFonts w:ascii="Verdana" w:hAnsi="Verdana"/>
                <w:b/>
                <w:bCs/>
                <w:sz w:val="20"/>
                <w:szCs w:val="20"/>
                <w:lang w:val="en-US" w:eastAsia="en-GB"/>
              </w:rPr>
              <w:t xml:space="preserve">envisaged </w:t>
            </w:r>
            <w:r w:rsidRPr="008C2EFF">
              <w:rPr>
                <w:rFonts w:ascii="Verdana" w:hAnsi="Verdana"/>
                <w:b/>
                <w:bCs/>
                <w:sz w:val="20"/>
                <w:szCs w:val="20"/>
                <w:lang w:val="en-US" w:eastAsia="en-GB"/>
              </w:rPr>
              <w:t xml:space="preserve">(key outputs/deliverables) </w:t>
            </w:r>
            <w:r w:rsidR="008C2EFF" w:rsidRPr="008C2EFF">
              <w:rPr>
                <w:rFonts w:ascii="Verdana" w:eastAsia="Times New Roman" w:hAnsi="Verdana" w:cs="Arial"/>
                <w:b/>
                <w:bCs/>
                <w:sz w:val="20"/>
                <w:szCs w:val="20"/>
                <w:lang w:val="en-US" w:eastAsia="en-GB"/>
              </w:rPr>
              <w:t>(e.g. diagnostic report, comparative analysis, recommendations, feasibility study, technical specifications fo</w:t>
            </w:r>
            <w:r w:rsidR="008C2EFF">
              <w:rPr>
                <w:rFonts w:ascii="Verdana" w:eastAsia="Times New Roman" w:hAnsi="Verdana" w:cs="Arial"/>
                <w:b/>
                <w:bCs/>
                <w:sz w:val="20"/>
                <w:szCs w:val="20"/>
                <w:lang w:val="en-US" w:eastAsia="en-GB"/>
              </w:rPr>
              <w:t>r an IT tool, guidelines, etc.). Describe how these measures</w:t>
            </w:r>
            <w:r w:rsidR="00EC5A01" w:rsidRPr="008C2EFF">
              <w:rPr>
                <w:rFonts w:ascii="Verdana" w:eastAsia="Times New Roman" w:hAnsi="Verdana" w:cs="Arial"/>
                <w:b/>
                <w:bCs/>
                <w:sz w:val="20"/>
                <w:szCs w:val="20"/>
                <w:lang w:val="en-US" w:eastAsia="en-GB"/>
              </w:rPr>
              <w:t xml:space="preserve"> will help to </w:t>
            </w:r>
            <w:r w:rsidR="008C2EFF">
              <w:rPr>
                <w:rFonts w:ascii="Verdana" w:eastAsia="Times New Roman" w:hAnsi="Verdana" w:cs="Arial"/>
                <w:b/>
                <w:bCs/>
                <w:sz w:val="20"/>
                <w:szCs w:val="20"/>
                <w:lang w:val="en-US" w:eastAsia="en-GB"/>
              </w:rPr>
              <w:t>address the problem identified.</w:t>
            </w:r>
          </w:p>
        </w:tc>
      </w:tr>
      <w:tr w:rsidR="00D81722" w:rsidRPr="00F64CAB" w14:paraId="592E40E1" w14:textId="77777777" w:rsidTr="00A50CD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FA1937A" w14:textId="6D974327" w:rsidR="00E3160B" w:rsidRPr="00A83238" w:rsidRDefault="00E3160B" w:rsidP="00E3160B">
            <w:pPr>
              <w:spacing w:before="120"/>
              <w:jc w:val="both"/>
              <w:rPr>
                <w:rFonts w:ascii="Verdana" w:hAnsi="Verdana" w:cs="Arial"/>
                <w:i/>
                <w:sz w:val="20"/>
                <w:szCs w:val="20"/>
              </w:rPr>
            </w:pPr>
            <w:r w:rsidRPr="00A83238">
              <w:rPr>
                <w:rFonts w:ascii="Verdana" w:hAnsi="Verdana" w:cs="Arial"/>
                <w:i/>
                <w:sz w:val="20"/>
                <w:szCs w:val="20"/>
              </w:rPr>
              <w:t xml:space="preserve">This flagship identifies </w:t>
            </w:r>
            <w:r w:rsidR="0071660F" w:rsidRPr="00A83238">
              <w:rPr>
                <w:rFonts w:ascii="Verdana" w:hAnsi="Verdana" w:cs="Arial"/>
                <w:i/>
                <w:sz w:val="20"/>
                <w:szCs w:val="20"/>
              </w:rPr>
              <w:t xml:space="preserve">support measures in </w:t>
            </w:r>
            <w:r w:rsidRPr="00A83238">
              <w:rPr>
                <w:rFonts w:ascii="Verdana" w:hAnsi="Verdana" w:cs="Arial"/>
                <w:i/>
                <w:sz w:val="20"/>
                <w:szCs w:val="20"/>
              </w:rPr>
              <w:t xml:space="preserve">two phases: 1) Introduction to environmental taxation and 2) Member State </w:t>
            </w:r>
            <w:r w:rsidRPr="00A83238">
              <w:rPr>
                <w:rFonts w:ascii="Verdana" w:hAnsi="Verdana" w:cs="Arial"/>
                <w:b/>
                <w:i/>
                <w:sz w:val="20"/>
                <w:szCs w:val="20"/>
              </w:rPr>
              <w:t>tailored support</w:t>
            </w:r>
            <w:r w:rsidRPr="00A83238">
              <w:rPr>
                <w:rFonts w:ascii="Verdana" w:hAnsi="Verdana" w:cs="Arial"/>
                <w:i/>
                <w:sz w:val="20"/>
                <w:szCs w:val="20"/>
              </w:rPr>
              <w:t xml:space="preserve"> to design environmental taxation measures/reforms and estimate their impacts. </w:t>
            </w:r>
          </w:p>
          <w:p w14:paraId="74A3B4D7" w14:textId="2AEB1666" w:rsidR="00E3160B" w:rsidRPr="00A83238" w:rsidRDefault="00E3160B" w:rsidP="00E3160B">
            <w:pPr>
              <w:jc w:val="both"/>
              <w:rPr>
                <w:rFonts w:ascii="Verdana" w:hAnsi="Verdana" w:cs="Arial"/>
                <w:i/>
                <w:sz w:val="20"/>
                <w:szCs w:val="20"/>
              </w:rPr>
            </w:pPr>
            <w:r w:rsidRPr="00A83238">
              <w:rPr>
                <w:rFonts w:ascii="Verdana" w:hAnsi="Verdana" w:cs="Arial"/>
                <w:i/>
                <w:sz w:val="20"/>
                <w:szCs w:val="20"/>
              </w:rPr>
              <w:t>The beneficiary authority can choose to sign up for both Phases or for one of them.</w:t>
            </w:r>
            <w:r w:rsidR="008944AE" w:rsidRPr="00A83238">
              <w:rPr>
                <w:rFonts w:ascii="Verdana" w:hAnsi="Verdana" w:cs="Arial"/>
                <w:i/>
                <w:sz w:val="20"/>
                <w:szCs w:val="20"/>
              </w:rPr>
              <w:t xml:space="preserve"> </w:t>
            </w:r>
            <w:r w:rsidRPr="00A83238">
              <w:rPr>
                <w:rFonts w:ascii="Verdana" w:hAnsi="Verdana" w:cs="Arial"/>
                <w:i/>
                <w:sz w:val="20"/>
                <w:szCs w:val="20"/>
              </w:rPr>
              <w:t>The Phases are organised accordingly:</w:t>
            </w:r>
          </w:p>
          <w:p w14:paraId="475D9052" w14:textId="4541527E" w:rsidR="00E3160B" w:rsidRPr="00C17AC0" w:rsidRDefault="00E3160B" w:rsidP="00E3160B">
            <w:pPr>
              <w:keepNext/>
              <w:spacing w:before="120"/>
              <w:jc w:val="both"/>
              <w:rPr>
                <w:rFonts w:ascii="Arial" w:hAnsi="Arial" w:cs="Arial"/>
                <w:b/>
                <w:color w:val="FF0000"/>
              </w:rPr>
            </w:pPr>
            <w:r w:rsidRPr="00C17AC0">
              <w:rPr>
                <w:rFonts w:ascii="Verdana" w:hAnsi="Verdana" w:cs="Arial"/>
                <w:b/>
                <w:color w:val="4F81BD" w:themeColor="accent1"/>
              </w:rPr>
              <w:lastRenderedPageBreak/>
              <w:t>Phase 1 – Introduction to environmental taxation</w:t>
            </w:r>
            <w:r w:rsidRPr="00C17AC0">
              <w:rPr>
                <w:rFonts w:ascii="Arial" w:hAnsi="Arial" w:cs="Arial"/>
                <w:b/>
                <w:color w:val="4F81BD" w:themeColor="accent1"/>
              </w:rPr>
              <w:t xml:space="preserve"> </w:t>
            </w:r>
          </w:p>
          <w:p w14:paraId="6B766923" w14:textId="06B2C477" w:rsidR="00E3160B" w:rsidRPr="00A83238" w:rsidRDefault="00E3160B" w:rsidP="00E3160B">
            <w:pPr>
              <w:spacing w:before="120"/>
              <w:jc w:val="both"/>
              <w:rPr>
                <w:rFonts w:ascii="Verdana" w:hAnsi="Verdana" w:cs="Arial"/>
                <w:i/>
                <w:sz w:val="20"/>
                <w:szCs w:val="20"/>
              </w:rPr>
            </w:pPr>
            <w:r w:rsidRPr="00A83238">
              <w:rPr>
                <w:rFonts w:ascii="Verdana" w:hAnsi="Verdana" w:cs="Arial"/>
                <w:i/>
                <w:sz w:val="20"/>
                <w:szCs w:val="20"/>
              </w:rPr>
              <w:t xml:space="preserve">The capacity building in phase 1 consists of </w:t>
            </w:r>
            <w:r w:rsidRPr="00A83238">
              <w:rPr>
                <w:rFonts w:ascii="Verdana" w:hAnsi="Verdana" w:cs="Arial"/>
                <w:b/>
                <w:i/>
                <w:sz w:val="20"/>
                <w:szCs w:val="20"/>
              </w:rPr>
              <w:t xml:space="preserve">three 1-day complementary </w:t>
            </w:r>
            <w:r w:rsidR="000B0422" w:rsidRPr="00A83238">
              <w:rPr>
                <w:rFonts w:ascii="Verdana" w:hAnsi="Verdana" w:cs="Arial"/>
                <w:b/>
                <w:i/>
                <w:sz w:val="20"/>
                <w:szCs w:val="20"/>
              </w:rPr>
              <w:t xml:space="preserve">peer-learning and training </w:t>
            </w:r>
            <w:r w:rsidRPr="00A83238">
              <w:rPr>
                <w:rFonts w:ascii="Verdana" w:hAnsi="Verdana" w:cs="Arial"/>
                <w:b/>
                <w:i/>
                <w:sz w:val="20"/>
                <w:szCs w:val="20"/>
              </w:rPr>
              <w:t>modules</w:t>
            </w:r>
            <w:r w:rsidRPr="00A83238">
              <w:rPr>
                <w:rFonts w:ascii="Verdana" w:hAnsi="Verdana" w:cs="Arial"/>
                <w:i/>
                <w:sz w:val="20"/>
                <w:szCs w:val="20"/>
              </w:rPr>
              <w:t xml:space="preserve"> that the beneficiary authority can choose. </w:t>
            </w:r>
            <w:r w:rsidRPr="00A83238">
              <w:rPr>
                <w:rFonts w:ascii="Verdana" w:eastAsia="Verdana" w:hAnsi="Verdana" w:cs="Verdana"/>
                <w:i/>
                <w:iCs/>
                <w:sz w:val="20"/>
                <w:szCs w:val="20"/>
              </w:rPr>
              <w:t>Please tick relevant boxes for the</w:t>
            </w:r>
            <w:r w:rsidRPr="00A83238">
              <w:rPr>
                <w:rFonts w:ascii="Verdana" w:hAnsi="Verdana" w:cs="Arial"/>
                <w:i/>
                <w:sz w:val="20"/>
                <w:szCs w:val="20"/>
              </w:rPr>
              <w:t xml:space="preserve"> modules that </w:t>
            </w:r>
            <w:r w:rsidR="000B0422" w:rsidRPr="00A83238">
              <w:rPr>
                <w:rFonts w:ascii="Verdana" w:hAnsi="Verdana" w:cs="Arial"/>
                <w:i/>
                <w:sz w:val="20"/>
                <w:szCs w:val="20"/>
              </w:rPr>
              <w:t xml:space="preserve">you are interested </w:t>
            </w:r>
            <w:r w:rsidRPr="00A83238">
              <w:rPr>
                <w:rFonts w:ascii="Verdana" w:hAnsi="Verdana" w:cs="Arial"/>
                <w:i/>
                <w:sz w:val="20"/>
                <w:szCs w:val="20"/>
              </w:rPr>
              <w:t>to participate in:</w:t>
            </w:r>
          </w:p>
          <w:p w14:paraId="38AC4B44" w14:textId="77777777" w:rsidR="00E3160B" w:rsidRPr="00C17AC0" w:rsidRDefault="00E3160B" w:rsidP="002A29E0">
            <w:pPr>
              <w:spacing w:before="120"/>
              <w:ind w:left="313"/>
              <w:jc w:val="both"/>
              <w:rPr>
                <w:rFonts w:ascii="Verdana" w:eastAsia="Verdana" w:hAnsi="Verdana" w:cs="Verdana"/>
                <w:b/>
                <w:bCs/>
                <w:color w:val="4F81BD" w:themeColor="accent1"/>
                <w:sz w:val="20"/>
                <w:szCs w:val="20"/>
                <w:lang w:val="en-IE"/>
              </w:rPr>
            </w:pPr>
            <w:r w:rsidRPr="00C17AC0">
              <w:rPr>
                <w:rFonts w:ascii="Segoe UI Symbol" w:eastAsia="Verdana" w:hAnsi="Segoe UI Symbol" w:cs="Segoe UI Symbol"/>
                <w:b/>
                <w:bCs/>
                <w:color w:val="4F81BD" w:themeColor="accent1"/>
                <w:sz w:val="20"/>
                <w:szCs w:val="20"/>
              </w:rPr>
              <w:t>☐</w:t>
            </w:r>
            <w:r w:rsidRPr="00C17AC0">
              <w:rPr>
                <w:rFonts w:ascii="Verdana" w:eastAsia="Verdana" w:hAnsi="Verdana" w:cs="Verdana"/>
                <w:b/>
                <w:bCs/>
                <w:color w:val="4F81BD" w:themeColor="accent1"/>
                <w:sz w:val="20"/>
                <w:szCs w:val="20"/>
                <w:lang w:val="en-IE"/>
              </w:rPr>
              <w:t xml:space="preserve"> </w:t>
            </w:r>
            <w:r w:rsidRPr="00C17AC0">
              <w:rPr>
                <w:rFonts w:ascii="Verdana" w:hAnsi="Verdana"/>
                <w:color w:val="4F81BD" w:themeColor="accent1"/>
                <w:sz w:val="20"/>
                <w:szCs w:val="20"/>
              </w:rPr>
              <w:tab/>
            </w:r>
            <w:r w:rsidRPr="00C17AC0">
              <w:rPr>
                <w:rFonts w:ascii="Verdana" w:eastAsia="Verdana" w:hAnsi="Verdana" w:cs="Verdana"/>
                <w:b/>
                <w:bCs/>
                <w:color w:val="4F81BD" w:themeColor="accent1"/>
                <w:sz w:val="20"/>
                <w:szCs w:val="20"/>
                <w:lang w:val="en-IE"/>
              </w:rPr>
              <w:t xml:space="preserve"> </w:t>
            </w:r>
            <w:r w:rsidRPr="00C17AC0">
              <w:rPr>
                <w:rFonts w:ascii="Verdana" w:hAnsi="Verdana" w:cs="Arial"/>
                <w:b/>
                <w:color w:val="4F81BD" w:themeColor="accent1"/>
                <w:sz w:val="20"/>
                <w:szCs w:val="20"/>
              </w:rPr>
              <w:t>Biodiversity:</w:t>
            </w:r>
            <w:r w:rsidRPr="00C17AC0">
              <w:rPr>
                <w:rFonts w:ascii="Verdana" w:hAnsi="Verdana" w:cs="Arial"/>
                <w:i/>
                <w:color w:val="4F81BD" w:themeColor="accent1"/>
                <w:sz w:val="20"/>
                <w:szCs w:val="20"/>
              </w:rPr>
              <w:t xml:space="preserve"> nature &amp; land use management:</w:t>
            </w:r>
            <w:r w:rsidRPr="00C17AC0">
              <w:rPr>
                <w:rFonts w:ascii="Verdana" w:hAnsi="Verdana" w:cs="Arial"/>
                <w:color w:val="4F81BD" w:themeColor="accent1"/>
                <w:sz w:val="20"/>
                <w:szCs w:val="20"/>
              </w:rPr>
              <w:t xml:space="preserve"> intensive agriculture tax; peat tax; biodiversity offsetting; forest felling charge.</w:t>
            </w:r>
          </w:p>
          <w:p w14:paraId="44D04ABE" w14:textId="77777777" w:rsidR="00E3160B" w:rsidRPr="00C17AC0" w:rsidRDefault="00E3160B" w:rsidP="002A29E0">
            <w:pPr>
              <w:spacing w:before="120"/>
              <w:ind w:left="313"/>
              <w:jc w:val="both"/>
              <w:rPr>
                <w:rFonts w:ascii="Verdana" w:eastAsia="Verdana" w:hAnsi="Verdana" w:cs="Verdana"/>
                <w:b/>
                <w:bCs/>
                <w:color w:val="4F81BD" w:themeColor="accent1"/>
                <w:sz w:val="20"/>
                <w:szCs w:val="20"/>
                <w:lang w:val="en-IE"/>
              </w:rPr>
            </w:pPr>
            <w:r w:rsidRPr="00C17AC0">
              <w:rPr>
                <w:rFonts w:ascii="Segoe UI Symbol" w:eastAsia="Verdana" w:hAnsi="Segoe UI Symbol" w:cs="Segoe UI Symbol"/>
                <w:b/>
                <w:bCs/>
                <w:color w:val="4F81BD" w:themeColor="accent1"/>
                <w:sz w:val="20"/>
                <w:szCs w:val="20"/>
              </w:rPr>
              <w:t>☐</w:t>
            </w:r>
            <w:r w:rsidRPr="00C17AC0">
              <w:rPr>
                <w:rFonts w:ascii="Verdana" w:eastAsia="Verdana" w:hAnsi="Verdana" w:cs="Verdana"/>
                <w:b/>
                <w:bCs/>
                <w:color w:val="4F81BD" w:themeColor="accent1"/>
                <w:sz w:val="20"/>
                <w:szCs w:val="20"/>
                <w:lang w:val="en-IE"/>
              </w:rPr>
              <w:t xml:space="preserve"> </w:t>
            </w:r>
            <w:r w:rsidRPr="00C17AC0">
              <w:rPr>
                <w:rFonts w:ascii="Verdana" w:hAnsi="Verdana"/>
                <w:color w:val="4F81BD" w:themeColor="accent1"/>
                <w:sz w:val="20"/>
                <w:szCs w:val="20"/>
              </w:rPr>
              <w:tab/>
            </w:r>
            <w:r w:rsidRPr="00C17AC0">
              <w:rPr>
                <w:rFonts w:ascii="Verdana" w:eastAsia="Verdana" w:hAnsi="Verdana" w:cs="Verdana"/>
                <w:b/>
                <w:bCs/>
                <w:color w:val="4F81BD" w:themeColor="accent1"/>
                <w:sz w:val="20"/>
                <w:szCs w:val="20"/>
                <w:lang w:val="en-IE"/>
              </w:rPr>
              <w:t xml:space="preserve"> </w:t>
            </w:r>
            <w:r w:rsidRPr="00C17AC0">
              <w:rPr>
                <w:rFonts w:ascii="Verdana" w:hAnsi="Verdana" w:cs="Arial"/>
                <w:b/>
                <w:color w:val="4F81BD" w:themeColor="accent1"/>
                <w:sz w:val="20"/>
                <w:szCs w:val="20"/>
              </w:rPr>
              <w:t>Zero Pollution:</w:t>
            </w:r>
            <w:r w:rsidRPr="00C17AC0">
              <w:rPr>
                <w:rFonts w:ascii="Verdana" w:hAnsi="Verdana" w:cs="Arial"/>
                <w:color w:val="4F81BD" w:themeColor="accent1"/>
                <w:sz w:val="20"/>
                <w:szCs w:val="20"/>
              </w:rPr>
              <w:t xml:space="preserve"> NOx tax; indirect tax on PM2.5 through domestic biomass fuel and coal; congestion charging; pesticide tax; nitrogen-fertiliser levy; waste water pollution taxes.</w:t>
            </w:r>
          </w:p>
          <w:p w14:paraId="05D0291A" w14:textId="77777777" w:rsidR="00E3160B" w:rsidRPr="00C17AC0" w:rsidRDefault="00E3160B" w:rsidP="002A29E0">
            <w:pPr>
              <w:spacing w:before="120"/>
              <w:ind w:left="313"/>
              <w:jc w:val="both"/>
              <w:rPr>
                <w:rFonts w:ascii="Verdana" w:hAnsi="Verdana" w:cs="Arial"/>
                <w:color w:val="4F81BD" w:themeColor="accent1"/>
                <w:sz w:val="20"/>
                <w:szCs w:val="20"/>
              </w:rPr>
            </w:pPr>
            <w:r w:rsidRPr="00C17AC0">
              <w:rPr>
                <w:rFonts w:ascii="Segoe UI Symbol" w:eastAsia="Verdana" w:hAnsi="Segoe UI Symbol" w:cs="Segoe UI Symbol"/>
                <w:b/>
                <w:bCs/>
                <w:color w:val="4F81BD" w:themeColor="accent1"/>
                <w:sz w:val="20"/>
                <w:szCs w:val="20"/>
              </w:rPr>
              <w:t>☐</w:t>
            </w:r>
            <w:r w:rsidRPr="00C17AC0">
              <w:rPr>
                <w:rFonts w:ascii="Verdana" w:eastAsia="Verdana" w:hAnsi="Verdana" w:cs="Verdana"/>
                <w:b/>
                <w:bCs/>
                <w:color w:val="4F81BD" w:themeColor="accent1"/>
                <w:sz w:val="20"/>
                <w:szCs w:val="20"/>
                <w:lang w:val="en-IE"/>
              </w:rPr>
              <w:t xml:space="preserve"> </w:t>
            </w:r>
            <w:r w:rsidRPr="00C17AC0">
              <w:rPr>
                <w:rFonts w:ascii="Verdana" w:hAnsi="Verdana"/>
                <w:color w:val="4F81BD" w:themeColor="accent1"/>
                <w:sz w:val="20"/>
                <w:szCs w:val="20"/>
              </w:rPr>
              <w:tab/>
            </w:r>
            <w:r w:rsidRPr="00C17AC0">
              <w:rPr>
                <w:rFonts w:ascii="Verdana" w:eastAsia="Verdana" w:hAnsi="Verdana" w:cs="Verdana"/>
                <w:b/>
                <w:bCs/>
                <w:color w:val="4F81BD" w:themeColor="accent1"/>
                <w:sz w:val="20"/>
                <w:szCs w:val="20"/>
                <w:lang w:val="en-IE"/>
              </w:rPr>
              <w:t xml:space="preserve"> </w:t>
            </w:r>
            <w:r w:rsidRPr="00C17AC0">
              <w:rPr>
                <w:rFonts w:ascii="Verdana" w:hAnsi="Verdana" w:cs="Arial"/>
                <w:b/>
                <w:color w:val="4F81BD" w:themeColor="accent1"/>
                <w:sz w:val="20"/>
                <w:szCs w:val="20"/>
              </w:rPr>
              <w:t>Circular Economy:</w:t>
            </w:r>
            <w:r w:rsidRPr="00C17AC0">
              <w:rPr>
                <w:rFonts w:ascii="Verdana" w:hAnsi="Verdana" w:cs="Arial"/>
                <w:i/>
                <w:color w:val="4F81BD" w:themeColor="accent1"/>
                <w:sz w:val="20"/>
                <w:szCs w:val="20"/>
              </w:rPr>
              <w:t xml:space="preserve"> waste &amp; resources use:</w:t>
            </w:r>
            <w:r w:rsidRPr="00C17AC0">
              <w:rPr>
                <w:rFonts w:ascii="Verdana" w:hAnsi="Verdana" w:cs="Arial"/>
                <w:color w:val="4F81BD" w:themeColor="accent1"/>
                <w:sz w:val="20"/>
                <w:szCs w:val="20"/>
              </w:rPr>
              <w:t xml:space="preserve"> Pay-As-You-Throw (PAYT); landfill tax; incineration tax; beverage container tax.</w:t>
            </w:r>
          </w:p>
          <w:p w14:paraId="1DC58843" w14:textId="77777777" w:rsidR="00E3160B" w:rsidRPr="00C17AC0" w:rsidRDefault="00E3160B" w:rsidP="00E3160B">
            <w:pPr>
              <w:jc w:val="both"/>
              <w:rPr>
                <w:rFonts w:ascii="Verdana" w:hAnsi="Verdana"/>
                <w:b/>
                <w:bCs/>
                <w:noProof/>
                <w:color w:val="4F81BD" w:themeColor="accent1"/>
                <w:sz w:val="20"/>
                <w:szCs w:val="20"/>
              </w:rPr>
            </w:pPr>
            <w:r w:rsidRPr="00C17AC0">
              <w:rPr>
                <w:rFonts w:ascii="Verdana" w:hAnsi="Verdana" w:cs="Arial"/>
                <w:color w:val="4F81BD" w:themeColor="accent1"/>
                <w:sz w:val="20"/>
                <w:szCs w:val="20"/>
              </w:rPr>
              <w:t xml:space="preserve">The modules seek to raise awareness and build basic knowledge, that can serve as inspiration for fiscal reforms instruments to i) support the delivery of environmental objectives, ii) to generate revenues, and iii) to allow for tax shifts. The peer-learning will include examples of practical implementation in Member States, ensuring the compilation of a green framework, exchanges of good practice from other EU Member States and support to implement green fiscal elements and overcome possible challenges (e.g., political/social acceptance). </w:t>
            </w:r>
          </w:p>
          <w:p w14:paraId="3E09468F" w14:textId="77777777" w:rsidR="00E3160B" w:rsidRDefault="00E3160B" w:rsidP="00E3160B">
            <w:pPr>
              <w:jc w:val="both"/>
              <w:rPr>
                <w:rFonts w:ascii="Verdana" w:eastAsia="Verdana" w:hAnsi="Verdana" w:cs="Verdana"/>
                <w:i/>
                <w:iCs/>
                <w:color w:val="FF0000"/>
                <w:sz w:val="20"/>
                <w:szCs w:val="20"/>
              </w:rPr>
            </w:pPr>
          </w:p>
          <w:p w14:paraId="04E4BC16" w14:textId="4E3F8A97" w:rsidR="00E3160B" w:rsidRPr="00C17AC0" w:rsidRDefault="00E3160B" w:rsidP="00E3160B">
            <w:pPr>
              <w:keepNext/>
              <w:spacing w:before="120"/>
              <w:jc w:val="both"/>
              <w:rPr>
                <w:rFonts w:ascii="Arial" w:hAnsi="Arial" w:cs="Arial"/>
                <w:b/>
                <w:color w:val="FF0000"/>
              </w:rPr>
            </w:pPr>
            <w:r w:rsidRPr="00C17AC0">
              <w:rPr>
                <w:rFonts w:ascii="Verdana" w:hAnsi="Verdana" w:cs="Arial"/>
                <w:b/>
                <w:color w:val="4F81BD" w:themeColor="accent1"/>
              </w:rPr>
              <w:t>Phase 2 – Member State tailored support to design environmental taxation measures/reforms and estimate their impacts</w:t>
            </w:r>
            <w:r w:rsidRPr="00C17AC0">
              <w:rPr>
                <w:rFonts w:ascii="Arial" w:hAnsi="Arial" w:cs="Arial"/>
                <w:b/>
                <w:color w:val="4F81BD" w:themeColor="accent1"/>
              </w:rPr>
              <w:t xml:space="preserve"> </w:t>
            </w:r>
          </w:p>
          <w:p w14:paraId="56104D31" w14:textId="62F890BC" w:rsidR="00E3160B" w:rsidRPr="00A83238" w:rsidRDefault="00E3160B" w:rsidP="00E3160B">
            <w:pPr>
              <w:jc w:val="both"/>
              <w:rPr>
                <w:rFonts w:ascii="Verdana" w:eastAsia="Verdana" w:hAnsi="Verdana" w:cs="Verdana"/>
                <w:i/>
                <w:iCs/>
                <w:sz w:val="20"/>
                <w:szCs w:val="20"/>
                <w:lang w:val="en-IE"/>
              </w:rPr>
            </w:pPr>
            <w:r w:rsidRPr="00A83238">
              <w:rPr>
                <w:rFonts w:ascii="Verdana" w:eastAsia="Verdana" w:hAnsi="Verdana" w:cs="Verdana"/>
                <w:i/>
                <w:iCs/>
                <w:sz w:val="20"/>
                <w:szCs w:val="20"/>
                <w:lang w:val="en-IE"/>
              </w:rPr>
              <w:t xml:space="preserve">This Phase </w:t>
            </w:r>
            <w:r w:rsidR="000B0422" w:rsidRPr="00A83238">
              <w:rPr>
                <w:rFonts w:ascii="Verdana" w:eastAsia="Verdana" w:hAnsi="Verdana" w:cs="Verdana"/>
                <w:i/>
                <w:iCs/>
                <w:sz w:val="20"/>
                <w:szCs w:val="20"/>
                <w:lang w:val="en-IE"/>
              </w:rPr>
              <w:t xml:space="preserve">gives access to support </w:t>
            </w:r>
            <w:r w:rsidRPr="00A83238">
              <w:rPr>
                <w:rFonts w:ascii="Verdana" w:eastAsia="Verdana" w:hAnsi="Verdana" w:cs="Verdana"/>
                <w:i/>
                <w:iCs/>
                <w:sz w:val="20"/>
                <w:szCs w:val="20"/>
                <w:lang w:val="en-IE"/>
              </w:rPr>
              <w:t>measures to help</w:t>
            </w:r>
            <w:r w:rsidRPr="00A83238">
              <w:rPr>
                <w:rFonts w:ascii="Verdana" w:hAnsi="Verdana" w:cs="Arial"/>
                <w:i/>
                <w:sz w:val="20"/>
                <w:szCs w:val="20"/>
              </w:rPr>
              <w:t xml:space="preserve"> prepare </w:t>
            </w:r>
            <w:r w:rsidR="000B0422" w:rsidRPr="00A83238">
              <w:rPr>
                <w:rFonts w:ascii="Verdana" w:hAnsi="Verdana" w:cs="Arial"/>
                <w:i/>
                <w:sz w:val="20"/>
                <w:szCs w:val="20"/>
              </w:rPr>
              <w:t xml:space="preserve">for </w:t>
            </w:r>
            <w:r w:rsidRPr="00A83238">
              <w:rPr>
                <w:rFonts w:ascii="Verdana" w:hAnsi="Verdana" w:cs="Arial"/>
                <w:i/>
                <w:sz w:val="20"/>
                <w:szCs w:val="20"/>
              </w:rPr>
              <w:t>the implementation of pricing instruments and to provide targeted policy recommendations for structural reforms in green taxation and other market based economic instruments</w:t>
            </w:r>
            <w:r w:rsidRPr="00A83238">
              <w:rPr>
                <w:rFonts w:ascii="Verdana" w:eastAsia="Verdana" w:hAnsi="Verdana" w:cs="Verdana"/>
                <w:i/>
                <w:iCs/>
                <w:sz w:val="20"/>
                <w:szCs w:val="20"/>
                <w:lang w:val="en-IE"/>
              </w:rPr>
              <w:t xml:space="preserve">. </w:t>
            </w:r>
            <w:r w:rsidRPr="00A83238">
              <w:rPr>
                <w:rFonts w:ascii="Verdana" w:hAnsi="Verdana" w:cs="Arial"/>
                <w:i/>
                <w:sz w:val="20"/>
                <w:szCs w:val="20"/>
              </w:rPr>
              <w:t>The tools</w:t>
            </w:r>
            <w:r w:rsidR="008944AE" w:rsidRPr="00A83238">
              <w:rPr>
                <w:rFonts w:ascii="Verdana" w:hAnsi="Verdana" w:cs="Arial"/>
                <w:i/>
                <w:sz w:val="20"/>
                <w:szCs w:val="20"/>
              </w:rPr>
              <w:t xml:space="preserve"> covered</w:t>
            </w:r>
            <w:r w:rsidRPr="00A83238">
              <w:rPr>
                <w:rFonts w:ascii="Verdana" w:hAnsi="Verdana" w:cs="Arial"/>
                <w:i/>
                <w:sz w:val="20"/>
                <w:szCs w:val="20"/>
              </w:rPr>
              <w:t xml:space="preserve"> in Phase 1 could serve as an inspiration. </w:t>
            </w:r>
            <w:r w:rsidRPr="00A83238">
              <w:rPr>
                <w:rFonts w:ascii="Verdana" w:eastAsia="Verdana" w:hAnsi="Verdana" w:cs="Verdana"/>
                <w:i/>
                <w:iCs/>
                <w:sz w:val="20"/>
                <w:szCs w:val="20"/>
                <w:lang w:val="en-IE"/>
              </w:rPr>
              <w:t>The beneficiary authority can choose amongst f</w:t>
            </w:r>
            <w:r w:rsidR="00A50CDA" w:rsidRPr="00A83238">
              <w:rPr>
                <w:rFonts w:ascii="Verdana" w:eastAsia="Verdana" w:hAnsi="Verdana" w:cs="Verdana"/>
                <w:i/>
                <w:iCs/>
                <w:sz w:val="20"/>
                <w:szCs w:val="20"/>
                <w:lang w:val="en-IE"/>
              </w:rPr>
              <w:t>our</w:t>
            </w:r>
            <w:r w:rsidRPr="00A83238">
              <w:rPr>
                <w:rFonts w:ascii="Verdana" w:eastAsia="Verdana" w:hAnsi="Verdana" w:cs="Verdana"/>
                <w:i/>
                <w:iCs/>
                <w:sz w:val="20"/>
                <w:szCs w:val="20"/>
                <w:lang w:val="en-IE"/>
              </w:rPr>
              <w:t xml:space="preserve"> activity packages with measures that will be </w:t>
            </w:r>
            <w:r w:rsidRPr="00A83238">
              <w:rPr>
                <w:rFonts w:ascii="Verdana" w:eastAsia="Verdana" w:hAnsi="Verdana" w:cs="Verdana"/>
                <w:b/>
                <w:i/>
                <w:iCs/>
                <w:sz w:val="20"/>
                <w:szCs w:val="20"/>
                <w:lang w:val="en-IE"/>
              </w:rPr>
              <w:t>tailor-made to their specific contexts</w:t>
            </w:r>
            <w:r w:rsidRPr="00A83238">
              <w:rPr>
                <w:rFonts w:ascii="Verdana" w:eastAsia="Verdana" w:hAnsi="Verdana" w:cs="Verdana"/>
                <w:i/>
                <w:iCs/>
                <w:sz w:val="20"/>
                <w:szCs w:val="20"/>
                <w:lang w:val="en-IE"/>
              </w:rPr>
              <w:t xml:space="preserve">. Please note, </w:t>
            </w:r>
            <w:r w:rsidRPr="00A83238">
              <w:rPr>
                <w:rFonts w:ascii="Verdana" w:eastAsia="Verdana" w:hAnsi="Verdana" w:cs="Verdana"/>
                <w:b/>
                <w:i/>
                <w:iCs/>
                <w:sz w:val="20"/>
                <w:szCs w:val="20"/>
                <w:lang w:val="en-IE"/>
              </w:rPr>
              <w:t>additional measures can also be added.</w:t>
            </w:r>
            <w:r w:rsidRPr="00A83238">
              <w:rPr>
                <w:rFonts w:ascii="Verdana" w:eastAsia="Verdana" w:hAnsi="Verdana" w:cs="Verdana"/>
                <w:i/>
                <w:iCs/>
                <w:sz w:val="20"/>
                <w:szCs w:val="20"/>
                <w:lang w:val="en-IE"/>
              </w:rPr>
              <w:t xml:space="preserve"> </w:t>
            </w:r>
          </w:p>
          <w:p w14:paraId="4A6E294A" w14:textId="51BB154B" w:rsidR="00E3160B" w:rsidRPr="00A83238" w:rsidRDefault="00E3160B" w:rsidP="00A50CDA">
            <w:pPr>
              <w:shd w:val="clear" w:color="auto" w:fill="FFFFFF" w:themeFill="background1"/>
              <w:spacing w:after="240"/>
              <w:jc w:val="both"/>
              <w:rPr>
                <w:rFonts w:ascii="Verdana" w:hAnsi="Verdana" w:cs="Arial"/>
                <w:i/>
                <w:sz w:val="20"/>
                <w:szCs w:val="20"/>
              </w:rPr>
            </w:pPr>
            <w:r w:rsidRPr="00A83238">
              <w:rPr>
                <w:rFonts w:ascii="Verdana" w:eastAsia="Verdana" w:hAnsi="Verdana" w:cs="Verdana"/>
                <w:i/>
                <w:iCs/>
                <w:sz w:val="20"/>
                <w:szCs w:val="20"/>
              </w:rPr>
              <w:t>Please tick relevant boxes and provide justification for each selected support measure</w:t>
            </w:r>
            <w:r w:rsidRPr="00A83238">
              <w:rPr>
                <w:rFonts w:ascii="Verdana" w:eastAsia="Verdana" w:hAnsi="Verdana" w:cs="Verdana"/>
                <w:sz w:val="20"/>
                <w:szCs w:val="20"/>
              </w:rPr>
              <w:t xml:space="preserve">. </w:t>
            </w:r>
            <w:r w:rsidRPr="00A83238">
              <w:rPr>
                <w:rFonts w:ascii="Verdana" w:hAnsi="Verdana" w:cs="Arial"/>
                <w:i/>
                <w:sz w:val="20"/>
                <w:szCs w:val="20"/>
              </w:rPr>
              <w:t xml:space="preserve">Please indicate in the justification if/which of the three subjects from Phase 1 </w:t>
            </w:r>
            <w:r w:rsidR="00E52960" w:rsidRPr="00A83238">
              <w:rPr>
                <w:rFonts w:ascii="Verdana" w:hAnsi="Verdana" w:cs="Arial"/>
                <w:i/>
                <w:sz w:val="20"/>
                <w:szCs w:val="20"/>
              </w:rPr>
              <w:t xml:space="preserve">you would be interested in </w:t>
            </w:r>
            <w:r w:rsidRPr="00A83238">
              <w:rPr>
                <w:rFonts w:ascii="Verdana" w:hAnsi="Verdana" w:cs="Arial"/>
                <w:i/>
                <w:sz w:val="20"/>
                <w:szCs w:val="20"/>
              </w:rPr>
              <w:t>explor</w:t>
            </w:r>
            <w:r w:rsidR="00E52960" w:rsidRPr="00A83238">
              <w:rPr>
                <w:rFonts w:ascii="Verdana" w:hAnsi="Verdana" w:cs="Arial"/>
                <w:i/>
                <w:sz w:val="20"/>
                <w:szCs w:val="20"/>
              </w:rPr>
              <w:t>ing</w:t>
            </w:r>
            <w:r w:rsidRPr="00A83238">
              <w:rPr>
                <w:rFonts w:ascii="Verdana" w:hAnsi="Verdana" w:cs="Arial"/>
                <w:i/>
                <w:sz w:val="20"/>
                <w:szCs w:val="20"/>
              </w:rPr>
              <w:t xml:space="preserve">. </w:t>
            </w:r>
          </w:p>
          <w:p w14:paraId="3458ECE8" w14:textId="5006BE05" w:rsidR="004E36C2" w:rsidRPr="00A50CDA" w:rsidRDefault="00A83238" w:rsidP="00A50CDA">
            <w:pPr>
              <w:shd w:val="clear" w:color="auto" w:fill="FFFFFF" w:themeFill="background1"/>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421184706"/>
                <w14:checkbox>
                  <w14:checked w14:val="0"/>
                  <w14:checkedState w14:val="2612" w14:font="MS Gothic"/>
                  <w14:uncheckedState w14:val="2610" w14:font="MS Gothic"/>
                </w14:checkbox>
              </w:sdtPr>
              <w:sdtEndPr/>
              <w:sdtContent>
                <w:r w:rsidR="00E3160B" w:rsidRPr="00A50CDA">
                  <w:rPr>
                    <w:rFonts w:ascii="MS Gothic" w:eastAsia="MS Gothic" w:hAnsi="MS Gothic" w:cs="Arial" w:hint="eastAsia"/>
                    <w:b/>
                    <w:color w:val="4F81BD" w:themeColor="accent1"/>
                    <w:sz w:val="20"/>
                    <w:szCs w:val="20"/>
                    <w:lang w:val="en-IE"/>
                  </w:rPr>
                  <w:t>☐</w:t>
                </w:r>
              </w:sdtContent>
            </w:sdt>
            <w:r w:rsidR="004E36C2" w:rsidRPr="00A50CDA">
              <w:rPr>
                <w:rFonts w:ascii="Verdana" w:eastAsia="Times New Roman" w:hAnsi="Verdana" w:cs="Arial"/>
                <w:b/>
                <w:color w:val="4F81BD" w:themeColor="accent1"/>
                <w:sz w:val="20"/>
                <w:szCs w:val="20"/>
                <w:lang w:val="en-IE"/>
              </w:rPr>
              <w:t xml:space="preserve"> </w:t>
            </w:r>
            <w:r w:rsidR="004E36C2" w:rsidRPr="00A50CDA">
              <w:rPr>
                <w:rFonts w:ascii="Verdana" w:eastAsia="Times New Roman" w:hAnsi="Verdana" w:cs="Arial"/>
                <w:b/>
                <w:color w:val="4F81BD" w:themeColor="accent1"/>
                <w:sz w:val="20"/>
                <w:szCs w:val="20"/>
                <w:lang w:val="en-IE"/>
              </w:rPr>
              <w:tab/>
              <w:t xml:space="preserve"> </w:t>
            </w:r>
            <w:r w:rsidR="00E3160B" w:rsidRPr="00A50CDA">
              <w:rPr>
                <w:rFonts w:ascii="Verdana" w:eastAsia="Times New Roman" w:hAnsi="Verdana" w:cs="Arial"/>
                <w:b/>
                <w:color w:val="4F81BD" w:themeColor="accent1"/>
                <w:sz w:val="20"/>
                <w:szCs w:val="20"/>
                <w:lang w:val="en-IE"/>
              </w:rPr>
              <w:t xml:space="preserve">Situational analysis: </w:t>
            </w:r>
            <w:r w:rsidR="00E3160B" w:rsidRPr="00A50CDA">
              <w:rPr>
                <w:rFonts w:ascii="Verdana" w:eastAsia="Times New Roman" w:hAnsi="Verdana" w:cs="Arial"/>
                <w:color w:val="4F81BD" w:themeColor="accent1"/>
                <w:sz w:val="20"/>
                <w:szCs w:val="20"/>
                <w:lang w:val="en-IE"/>
              </w:rPr>
              <w:t xml:space="preserve">Entails an assessment of the state-of-play of the tax system and already implemented environmental measures with the purpose to identify existing gaps. </w:t>
            </w:r>
          </w:p>
          <w:p w14:paraId="5285418B" w14:textId="77777777" w:rsidR="004E36C2" w:rsidRPr="00A50CDA" w:rsidRDefault="004E36C2" w:rsidP="00A50CDA">
            <w:pPr>
              <w:shd w:val="clear" w:color="auto" w:fill="FFFFFF" w:themeFill="background1"/>
              <w:spacing w:after="0"/>
              <w:ind w:left="1287"/>
              <w:jc w:val="both"/>
              <w:textAlignment w:val="baseline"/>
              <w:rPr>
                <w:rFonts w:ascii="Verdana" w:eastAsia="Arial" w:hAnsi="Verdana" w:cs="Arial"/>
                <w:color w:val="4F81BD" w:themeColor="accent1"/>
                <w:sz w:val="20"/>
                <w:szCs w:val="20"/>
                <w:lang w:val="en-IE"/>
              </w:rPr>
            </w:pPr>
          </w:p>
          <w:p w14:paraId="5D30535A" w14:textId="77777777" w:rsidR="004E36C2" w:rsidRPr="00A83238" w:rsidRDefault="004E36C2" w:rsidP="00A50CDA">
            <w:pPr>
              <w:shd w:val="clear" w:color="auto" w:fill="FFFFFF" w:themeFill="background1"/>
              <w:spacing w:after="0"/>
              <w:ind w:left="360"/>
              <w:jc w:val="both"/>
              <w:textAlignment w:val="baseline"/>
              <w:rPr>
                <w:rFonts w:ascii="Verdana" w:eastAsia="Times New Roman" w:hAnsi="Verdana" w:cs="Arial"/>
                <w:i/>
                <w:sz w:val="20"/>
                <w:szCs w:val="20"/>
                <w:lang w:val="en-US" w:eastAsia="en-GB"/>
              </w:rPr>
            </w:pPr>
            <w:r w:rsidRPr="00A83238">
              <w:rPr>
                <w:rFonts w:ascii="Verdana" w:eastAsia="Times New Roman" w:hAnsi="Verdana" w:cs="Arial"/>
                <w:i/>
                <w:sz w:val="20"/>
                <w:szCs w:val="20"/>
                <w:lang w:val="en-US" w:eastAsia="en-GB"/>
              </w:rPr>
              <w:t>[Insert Text; between 100-200 words]</w:t>
            </w:r>
          </w:p>
          <w:p w14:paraId="21FA8614" w14:textId="77777777" w:rsidR="004E36C2" w:rsidRPr="00A50CDA" w:rsidRDefault="004E36C2" w:rsidP="00A50CDA">
            <w:pPr>
              <w:shd w:val="clear" w:color="auto" w:fill="FFFFFF" w:themeFill="background1"/>
              <w:spacing w:after="0"/>
              <w:ind w:left="360"/>
              <w:jc w:val="both"/>
              <w:textAlignment w:val="baseline"/>
              <w:rPr>
                <w:rFonts w:ascii="Verdana" w:eastAsia="Times New Roman" w:hAnsi="Verdana" w:cs="Arial"/>
                <w:iCs/>
                <w:color w:val="FF0000"/>
                <w:sz w:val="20"/>
                <w:szCs w:val="20"/>
                <w:lang w:val="en-IE"/>
              </w:rPr>
            </w:pPr>
          </w:p>
          <w:p w14:paraId="22F673B3" w14:textId="2CA86326" w:rsidR="004E36C2" w:rsidRPr="00A50CDA" w:rsidRDefault="00A83238" w:rsidP="00A50CDA">
            <w:pPr>
              <w:shd w:val="clear" w:color="auto" w:fill="FFFFFF" w:themeFill="background1"/>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276941898"/>
                <w14:checkbox>
                  <w14:checked w14:val="0"/>
                  <w14:checkedState w14:val="2612" w14:font="MS Gothic"/>
                  <w14:uncheckedState w14:val="2610" w14:font="MS Gothic"/>
                </w14:checkbox>
              </w:sdtPr>
              <w:sdtEndPr/>
              <w:sdtContent>
                <w:r w:rsidR="004E36C2" w:rsidRPr="00A50CDA">
                  <w:rPr>
                    <w:rFonts w:ascii="Segoe UI Symbol" w:eastAsia="MS Gothic" w:hAnsi="Segoe UI Symbol" w:cs="Segoe UI Symbol"/>
                    <w:b/>
                    <w:color w:val="4F81BD" w:themeColor="accent1"/>
                    <w:sz w:val="20"/>
                    <w:szCs w:val="20"/>
                  </w:rPr>
                  <w:t>☐</w:t>
                </w:r>
              </w:sdtContent>
            </w:sdt>
            <w:r w:rsidR="004E36C2" w:rsidRPr="00A50CDA">
              <w:rPr>
                <w:rFonts w:ascii="Verdana" w:eastAsia="Times New Roman" w:hAnsi="Verdana" w:cs="Arial"/>
                <w:b/>
                <w:color w:val="4F81BD" w:themeColor="accent1"/>
                <w:sz w:val="20"/>
                <w:szCs w:val="20"/>
                <w:lang w:val="en-IE"/>
              </w:rPr>
              <w:t xml:space="preserve"> </w:t>
            </w:r>
            <w:r w:rsidR="004E36C2" w:rsidRPr="00A50CDA">
              <w:rPr>
                <w:rFonts w:ascii="Verdana" w:eastAsia="Times New Roman" w:hAnsi="Verdana" w:cs="Arial"/>
                <w:b/>
                <w:color w:val="4F81BD" w:themeColor="accent1"/>
                <w:sz w:val="20"/>
                <w:szCs w:val="20"/>
                <w:lang w:val="en-IE"/>
              </w:rPr>
              <w:tab/>
            </w:r>
            <w:r w:rsidR="004E36C2" w:rsidRPr="00A50CDA">
              <w:rPr>
                <w:rFonts w:ascii="Verdana" w:eastAsia="Arial" w:hAnsi="Verdana" w:cs="Arial"/>
                <w:b/>
                <w:color w:val="4F81BD" w:themeColor="accent1"/>
                <w:sz w:val="20"/>
                <w:szCs w:val="20"/>
                <w:lang w:val="en-IE"/>
              </w:rPr>
              <w:t xml:space="preserve"> </w:t>
            </w:r>
            <w:r w:rsidR="00E3160B" w:rsidRPr="00A50CDA">
              <w:rPr>
                <w:rFonts w:ascii="Verdana" w:eastAsia="Arial" w:hAnsi="Verdana" w:cs="Arial"/>
                <w:b/>
                <w:color w:val="4F81BD" w:themeColor="accent1"/>
                <w:sz w:val="20"/>
                <w:szCs w:val="20"/>
                <w:lang w:val="en-IE"/>
              </w:rPr>
              <w:t xml:space="preserve">Design of pricing instruments: </w:t>
            </w:r>
            <w:r w:rsidR="00A50CDA">
              <w:rPr>
                <w:rFonts w:ascii="Verdana" w:eastAsia="Arial" w:hAnsi="Verdana" w:cs="Arial"/>
                <w:color w:val="4F81BD" w:themeColor="accent1"/>
                <w:sz w:val="20"/>
                <w:szCs w:val="20"/>
                <w:lang w:val="en-IE"/>
              </w:rPr>
              <w:t xml:space="preserve">Includes </w:t>
            </w:r>
            <w:r w:rsidR="003D78B3">
              <w:rPr>
                <w:rFonts w:ascii="Verdana" w:eastAsia="Arial" w:hAnsi="Verdana" w:cs="Arial"/>
                <w:color w:val="4F81BD" w:themeColor="accent1"/>
                <w:sz w:val="20"/>
                <w:szCs w:val="20"/>
                <w:lang w:val="en-IE"/>
              </w:rPr>
              <w:t>identification, development and implementation of the most effective economic estimation tools/methods to forecast social, economic and environmental impacts when implementing structural reforms in green taxation and other market based economic instruments.</w:t>
            </w:r>
          </w:p>
          <w:p w14:paraId="63C169F9" w14:textId="77777777" w:rsidR="004E36C2" w:rsidRPr="00A50CDA" w:rsidRDefault="004E36C2" w:rsidP="00A50CDA">
            <w:pPr>
              <w:shd w:val="clear" w:color="auto" w:fill="FFFFFF" w:themeFill="background1"/>
              <w:spacing w:after="0"/>
              <w:ind w:left="720"/>
              <w:jc w:val="both"/>
              <w:textAlignment w:val="baseline"/>
              <w:rPr>
                <w:rFonts w:ascii="Verdana" w:eastAsia="Arial" w:hAnsi="Verdana" w:cs="Arial"/>
                <w:color w:val="4F81BD" w:themeColor="accent1"/>
                <w:sz w:val="20"/>
                <w:szCs w:val="20"/>
                <w:lang w:val="en-IE"/>
              </w:rPr>
            </w:pPr>
          </w:p>
          <w:p w14:paraId="0E0B6E65" w14:textId="77777777" w:rsidR="004E36C2" w:rsidRPr="00A83238" w:rsidRDefault="004E36C2" w:rsidP="00A50CDA">
            <w:pPr>
              <w:shd w:val="clear" w:color="auto" w:fill="FFFFFF" w:themeFill="background1"/>
              <w:spacing w:after="0"/>
              <w:ind w:left="360"/>
              <w:jc w:val="both"/>
              <w:textAlignment w:val="baseline"/>
              <w:rPr>
                <w:rFonts w:ascii="Verdana" w:eastAsia="Times New Roman" w:hAnsi="Verdana" w:cs="Arial"/>
                <w:i/>
                <w:sz w:val="20"/>
                <w:szCs w:val="20"/>
                <w:lang w:val="en-US" w:eastAsia="en-GB"/>
              </w:rPr>
            </w:pPr>
            <w:r w:rsidRPr="00A83238">
              <w:rPr>
                <w:rFonts w:ascii="Verdana" w:eastAsia="Times New Roman" w:hAnsi="Verdana" w:cs="Arial"/>
                <w:i/>
                <w:sz w:val="20"/>
                <w:szCs w:val="20"/>
                <w:lang w:val="en-US" w:eastAsia="en-GB"/>
              </w:rPr>
              <w:lastRenderedPageBreak/>
              <w:t>[Insert Text; between 100-200 words]</w:t>
            </w:r>
          </w:p>
          <w:p w14:paraId="6796D29C" w14:textId="77777777" w:rsidR="004E36C2" w:rsidRPr="00A50CDA" w:rsidRDefault="004E36C2" w:rsidP="00A50CDA">
            <w:pPr>
              <w:shd w:val="clear" w:color="auto" w:fill="FFFFFF" w:themeFill="background1"/>
              <w:spacing w:after="0"/>
              <w:jc w:val="both"/>
              <w:textAlignment w:val="baseline"/>
              <w:rPr>
                <w:rFonts w:ascii="Verdana" w:eastAsia="Times New Roman" w:hAnsi="Verdana" w:cs="Arial"/>
                <w:iCs/>
                <w:color w:val="4F81BD" w:themeColor="accent1"/>
                <w:sz w:val="20"/>
                <w:szCs w:val="20"/>
                <w:lang w:val="en-IE"/>
              </w:rPr>
            </w:pPr>
          </w:p>
          <w:p w14:paraId="31BE53C4" w14:textId="4E588CC2" w:rsidR="00067D56" w:rsidRPr="00AE12E0" w:rsidRDefault="00A83238" w:rsidP="00AE12E0">
            <w:pPr>
              <w:shd w:val="clear" w:color="auto" w:fill="FFFFFF" w:themeFill="background1"/>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lang w:val="en-IE"/>
                </w:rPr>
                <w:id w:val="-1883235581"/>
                <w14:checkbox>
                  <w14:checked w14:val="0"/>
                  <w14:checkedState w14:val="2612" w14:font="MS Gothic"/>
                  <w14:uncheckedState w14:val="2610" w14:font="MS Gothic"/>
                </w14:checkbox>
              </w:sdtPr>
              <w:sdtEndPr/>
              <w:sdtContent>
                <w:r w:rsidR="004E36C2" w:rsidRPr="00A50CDA">
                  <w:rPr>
                    <w:rFonts w:ascii="Segoe UI Symbol" w:eastAsia="MS Gothic" w:hAnsi="Segoe UI Symbol" w:cs="Segoe UI Symbol"/>
                    <w:b/>
                    <w:color w:val="4F81BD" w:themeColor="accent1"/>
                    <w:sz w:val="20"/>
                    <w:szCs w:val="20"/>
                  </w:rPr>
                  <w:t>☐</w:t>
                </w:r>
              </w:sdtContent>
            </w:sdt>
            <w:r w:rsidR="004E36C2" w:rsidRPr="00A50CDA">
              <w:rPr>
                <w:rFonts w:ascii="Verdana" w:eastAsia="Times New Roman" w:hAnsi="Verdana" w:cs="Arial"/>
                <w:b/>
                <w:color w:val="4F81BD" w:themeColor="accent1"/>
                <w:sz w:val="20"/>
                <w:szCs w:val="20"/>
                <w:lang w:val="en-IE"/>
              </w:rPr>
              <w:t xml:space="preserve"> </w:t>
            </w:r>
            <w:r w:rsidR="004E36C2" w:rsidRPr="00A50CDA">
              <w:rPr>
                <w:rFonts w:ascii="Verdana" w:eastAsia="Times New Roman" w:hAnsi="Verdana" w:cs="Arial"/>
                <w:b/>
                <w:color w:val="4F81BD" w:themeColor="accent1"/>
                <w:sz w:val="20"/>
                <w:szCs w:val="20"/>
                <w:lang w:val="en-IE"/>
              </w:rPr>
              <w:tab/>
            </w:r>
            <w:r w:rsidR="004E36C2" w:rsidRPr="00A50CDA">
              <w:rPr>
                <w:rFonts w:ascii="Verdana" w:eastAsia="Arial" w:hAnsi="Verdana" w:cs="Arial"/>
                <w:color w:val="4F81BD" w:themeColor="accent1"/>
                <w:sz w:val="20"/>
                <w:szCs w:val="20"/>
                <w:lang w:val="en-IE"/>
              </w:rPr>
              <w:t xml:space="preserve"> </w:t>
            </w:r>
            <w:r w:rsidR="00A50CDA" w:rsidRPr="00AE12E0">
              <w:rPr>
                <w:rFonts w:ascii="Verdana" w:eastAsia="Arial" w:hAnsi="Verdana" w:cs="Arial"/>
                <w:b/>
                <w:color w:val="4F81BD" w:themeColor="accent1"/>
                <w:sz w:val="20"/>
                <w:szCs w:val="20"/>
                <w:lang w:val="en-IE"/>
              </w:rPr>
              <w:t>Policy recommendations</w:t>
            </w:r>
            <w:r w:rsidR="00CB7F22">
              <w:rPr>
                <w:rFonts w:ascii="Verdana" w:eastAsia="Arial" w:hAnsi="Verdana" w:cs="Arial"/>
                <w:b/>
                <w:color w:val="4F81BD" w:themeColor="accent1"/>
                <w:sz w:val="20"/>
                <w:szCs w:val="20"/>
                <w:lang w:val="en-IE"/>
              </w:rPr>
              <w:t xml:space="preserve"> and action plans</w:t>
            </w:r>
            <w:r w:rsidR="00A50CDA" w:rsidRPr="00AE12E0">
              <w:rPr>
                <w:rFonts w:ascii="Verdana" w:eastAsia="Arial" w:hAnsi="Verdana" w:cs="Arial"/>
                <w:b/>
                <w:color w:val="4F81BD" w:themeColor="accent1"/>
                <w:sz w:val="20"/>
                <w:szCs w:val="20"/>
                <w:lang w:val="en-IE"/>
              </w:rPr>
              <w:t>:</w:t>
            </w:r>
            <w:r w:rsidR="00A50CDA" w:rsidRPr="00AE12E0">
              <w:rPr>
                <w:rFonts w:ascii="Verdana" w:eastAsia="Arial" w:hAnsi="Verdana" w:cs="Arial"/>
                <w:color w:val="4F81BD" w:themeColor="accent1"/>
                <w:sz w:val="20"/>
                <w:szCs w:val="20"/>
                <w:lang w:val="en-IE"/>
              </w:rPr>
              <w:t xml:space="preserve"> </w:t>
            </w:r>
            <w:r w:rsidR="00973D13" w:rsidRPr="00AE12E0">
              <w:rPr>
                <w:rFonts w:ascii="Verdana" w:eastAsia="Arial" w:hAnsi="Verdana" w:cs="Arial"/>
                <w:color w:val="4F81BD" w:themeColor="accent1"/>
                <w:sz w:val="20"/>
                <w:szCs w:val="20"/>
                <w:lang w:val="en-IE"/>
              </w:rPr>
              <w:t>Includes</w:t>
            </w:r>
            <w:r w:rsidR="00067D56" w:rsidRPr="00AE12E0">
              <w:rPr>
                <w:rFonts w:ascii="Verdana" w:eastAsia="Arial" w:hAnsi="Verdana" w:cs="Arial"/>
                <w:color w:val="4F81BD" w:themeColor="accent1"/>
                <w:sz w:val="20"/>
                <w:szCs w:val="20"/>
                <w:lang w:val="en-IE"/>
              </w:rPr>
              <w:t xml:space="preserve"> targeted and</w:t>
            </w:r>
            <w:r w:rsidR="00973D13" w:rsidRPr="00AE12E0">
              <w:rPr>
                <w:rFonts w:ascii="Verdana" w:eastAsia="Arial" w:hAnsi="Verdana" w:cs="Arial"/>
                <w:color w:val="4F81BD" w:themeColor="accent1"/>
                <w:sz w:val="20"/>
                <w:szCs w:val="20"/>
                <w:lang w:val="en-IE"/>
              </w:rPr>
              <w:t xml:space="preserve"> tailored </w:t>
            </w:r>
            <w:r w:rsidR="00067D56" w:rsidRPr="00AE12E0">
              <w:rPr>
                <w:rFonts w:ascii="Verdana" w:eastAsia="Arial" w:hAnsi="Verdana" w:cs="Arial"/>
                <w:color w:val="4F81BD" w:themeColor="accent1"/>
                <w:sz w:val="20"/>
                <w:szCs w:val="20"/>
                <w:lang w:val="en-IE"/>
              </w:rPr>
              <w:t xml:space="preserve">policy </w:t>
            </w:r>
            <w:r w:rsidR="00973D13" w:rsidRPr="00AE12E0">
              <w:rPr>
                <w:rFonts w:ascii="Verdana" w:eastAsia="Arial" w:hAnsi="Verdana" w:cs="Arial"/>
                <w:color w:val="4F81BD" w:themeColor="accent1"/>
                <w:sz w:val="20"/>
                <w:szCs w:val="20"/>
                <w:lang w:val="en-IE"/>
              </w:rPr>
              <w:t xml:space="preserve">recommendations </w:t>
            </w:r>
            <w:r w:rsidR="00067D56" w:rsidRPr="00AE12E0">
              <w:rPr>
                <w:rFonts w:ascii="Verdana" w:eastAsia="Arial" w:hAnsi="Verdana" w:cs="Arial"/>
                <w:color w:val="4F81BD" w:themeColor="accent1"/>
                <w:sz w:val="20"/>
                <w:szCs w:val="20"/>
                <w:lang w:val="en-IE"/>
              </w:rPr>
              <w:t xml:space="preserve">for </w:t>
            </w:r>
            <w:r w:rsidR="00067D56" w:rsidRPr="00AE12E0">
              <w:rPr>
                <w:rFonts w:ascii="Verdana" w:hAnsi="Verdana" w:cs="Arial"/>
                <w:color w:val="4F81BD" w:themeColor="accent1"/>
                <w:sz w:val="20"/>
                <w:szCs w:val="20"/>
              </w:rPr>
              <w:t>structural reforms and measures in the area of green taxation and other market based economic instruments</w:t>
            </w:r>
            <w:r w:rsidR="00AE12E0" w:rsidRPr="00AE12E0">
              <w:rPr>
                <w:rFonts w:ascii="Verdana" w:hAnsi="Verdana" w:cs="Arial"/>
                <w:color w:val="4F81BD" w:themeColor="accent1"/>
                <w:sz w:val="20"/>
                <w:szCs w:val="20"/>
              </w:rPr>
              <w:t>, mainly addressing the policy areas; biodiversity, zero pollution, and circular economy</w:t>
            </w:r>
            <w:r w:rsidR="00067D56" w:rsidRPr="00AE12E0">
              <w:rPr>
                <w:rFonts w:ascii="Verdana" w:eastAsia="Arial" w:hAnsi="Verdana" w:cs="Arial"/>
                <w:color w:val="4F81BD" w:themeColor="accent1"/>
                <w:sz w:val="20"/>
                <w:szCs w:val="20"/>
                <w:lang w:val="en-IE"/>
              </w:rPr>
              <w:t xml:space="preserve">. For this purpose, </w:t>
            </w:r>
            <w:r w:rsidR="00067D56" w:rsidRPr="00AE12E0">
              <w:rPr>
                <w:rFonts w:ascii="Verdana" w:hAnsi="Verdana" w:cs="Arial"/>
                <w:color w:val="4F81BD" w:themeColor="accent1"/>
                <w:sz w:val="20"/>
                <w:szCs w:val="20"/>
              </w:rPr>
              <w:t>the context and the organisation of the tax system of the member state will be considered</w:t>
            </w:r>
            <w:r w:rsidR="004E52F9">
              <w:rPr>
                <w:rFonts w:ascii="Verdana" w:hAnsi="Verdana" w:cs="Arial"/>
                <w:color w:val="4F81BD" w:themeColor="accent1"/>
                <w:sz w:val="20"/>
                <w:szCs w:val="20"/>
              </w:rPr>
              <w:t>.</w:t>
            </w:r>
            <w:r w:rsidR="00067D56" w:rsidRPr="00AE12E0">
              <w:rPr>
                <w:rFonts w:ascii="Verdana" w:eastAsia="Arial" w:hAnsi="Verdana" w:cs="Arial"/>
                <w:color w:val="4F81BD" w:themeColor="accent1"/>
                <w:sz w:val="20"/>
                <w:szCs w:val="20"/>
                <w:lang w:val="en-IE"/>
              </w:rPr>
              <w:t xml:space="preserve"> The recommendations</w:t>
            </w:r>
            <w:r w:rsidR="00067D56" w:rsidRPr="00AE12E0">
              <w:rPr>
                <w:rStyle w:val="normaltextrun"/>
                <w:rFonts w:ascii="Verdana" w:eastAsia="Times New Roman" w:hAnsi="Verdana" w:cs="Arial"/>
                <w:iCs/>
                <w:color w:val="4F81BD" w:themeColor="accent1"/>
                <w:sz w:val="20"/>
                <w:szCs w:val="20"/>
              </w:rPr>
              <w:t xml:space="preserve"> will support the operationalisation of ‘the polluter pays principle’. </w:t>
            </w:r>
            <w:r w:rsidR="00526FA8">
              <w:rPr>
                <w:rStyle w:val="normaltextrun"/>
                <w:rFonts w:ascii="Verdana" w:eastAsia="Times New Roman" w:hAnsi="Verdana" w:cs="Arial"/>
                <w:iCs/>
                <w:color w:val="4F81BD" w:themeColor="accent1"/>
                <w:sz w:val="20"/>
                <w:szCs w:val="20"/>
              </w:rPr>
              <w:t>T</w:t>
            </w:r>
            <w:r w:rsidR="00067D56" w:rsidRPr="00AE12E0">
              <w:rPr>
                <w:rStyle w:val="normaltextrun"/>
                <w:rFonts w:ascii="Verdana" w:eastAsia="Times New Roman" w:hAnsi="Verdana" w:cs="Arial"/>
                <w:iCs/>
                <w:color w:val="4F81BD" w:themeColor="accent1"/>
                <w:sz w:val="20"/>
                <w:szCs w:val="20"/>
              </w:rPr>
              <w:t>he economic, environmental and social impacts of the policy recommendations will be explored</w:t>
            </w:r>
            <w:r w:rsidR="00526FA8">
              <w:rPr>
                <w:rStyle w:val="normaltextrun"/>
                <w:rFonts w:ascii="Verdana" w:eastAsia="Times New Roman" w:hAnsi="Verdana" w:cs="Arial"/>
                <w:iCs/>
                <w:color w:val="4F81BD" w:themeColor="accent1"/>
                <w:sz w:val="20"/>
                <w:szCs w:val="20"/>
              </w:rPr>
              <w:t xml:space="preserve"> to the extent possible</w:t>
            </w:r>
            <w:r w:rsidR="004E52F9">
              <w:rPr>
                <w:rStyle w:val="normaltextrun"/>
                <w:rFonts w:ascii="Verdana" w:eastAsia="Times New Roman" w:hAnsi="Verdana" w:cs="Arial"/>
                <w:iCs/>
                <w:color w:val="4F81BD" w:themeColor="accent1"/>
                <w:sz w:val="20"/>
                <w:szCs w:val="20"/>
              </w:rPr>
              <w:t>.</w:t>
            </w:r>
            <w:r w:rsidR="00CB7F22">
              <w:rPr>
                <w:rStyle w:val="normaltextrun"/>
                <w:rFonts w:ascii="Verdana" w:eastAsia="Times New Roman" w:hAnsi="Verdana" w:cs="Arial"/>
                <w:iCs/>
                <w:color w:val="4F81BD" w:themeColor="accent1"/>
                <w:sz w:val="20"/>
                <w:szCs w:val="20"/>
              </w:rPr>
              <w:t xml:space="preserve"> Concrete </w:t>
            </w:r>
            <w:r w:rsidR="00CB7F22">
              <w:rPr>
                <w:rFonts w:ascii="Verdana" w:eastAsia="Arial" w:hAnsi="Verdana" w:cs="Arial"/>
                <w:color w:val="4F81BD" w:themeColor="accent1"/>
                <w:sz w:val="20"/>
                <w:szCs w:val="20"/>
                <w:lang w:val="en-IE"/>
              </w:rPr>
              <w:t>initiatives on how to implement the policy recommendations into new reforms/measures will be set out in form action plans.</w:t>
            </w:r>
          </w:p>
          <w:p w14:paraId="36B32C3C" w14:textId="77777777" w:rsidR="004E36C2" w:rsidRPr="004E52F9" w:rsidRDefault="004E36C2" w:rsidP="00A50CDA">
            <w:pPr>
              <w:shd w:val="clear" w:color="auto" w:fill="FFFFFF" w:themeFill="background1"/>
              <w:spacing w:after="0"/>
              <w:ind w:left="720"/>
              <w:jc w:val="both"/>
              <w:textAlignment w:val="baseline"/>
              <w:rPr>
                <w:rFonts w:ascii="Verdana" w:eastAsia="Arial" w:hAnsi="Verdana" w:cs="Arial"/>
                <w:b/>
                <w:color w:val="4F81BD" w:themeColor="accent1"/>
                <w:sz w:val="20"/>
                <w:szCs w:val="20"/>
              </w:rPr>
            </w:pPr>
          </w:p>
          <w:p w14:paraId="73CF04D4" w14:textId="58E097E5" w:rsidR="00AE12E0" w:rsidRPr="00A83238" w:rsidRDefault="004E36C2" w:rsidP="00CB7F22">
            <w:pPr>
              <w:shd w:val="clear" w:color="auto" w:fill="FFFFFF" w:themeFill="background1"/>
              <w:spacing w:after="0"/>
              <w:ind w:left="360"/>
              <w:jc w:val="both"/>
              <w:textAlignment w:val="baseline"/>
              <w:rPr>
                <w:rFonts w:ascii="Verdana" w:eastAsia="Times New Roman" w:hAnsi="Verdana" w:cs="Arial"/>
                <w:i/>
                <w:sz w:val="20"/>
                <w:szCs w:val="20"/>
                <w:lang w:val="en-US" w:eastAsia="en-GB"/>
              </w:rPr>
            </w:pPr>
            <w:r w:rsidRPr="00A83238">
              <w:rPr>
                <w:rFonts w:ascii="Verdana" w:eastAsia="Times New Roman" w:hAnsi="Verdana" w:cs="Arial"/>
                <w:i/>
                <w:sz w:val="20"/>
                <w:szCs w:val="20"/>
                <w:lang w:val="en-US" w:eastAsia="en-GB"/>
              </w:rPr>
              <w:t>[Insert Text; between 100-200 words]</w:t>
            </w:r>
          </w:p>
          <w:p w14:paraId="3B7EA48A" w14:textId="77777777" w:rsidR="004E36C2" w:rsidRPr="00A50CDA" w:rsidRDefault="004E36C2" w:rsidP="00A50CDA">
            <w:pPr>
              <w:shd w:val="clear" w:color="auto" w:fill="FFFFFF" w:themeFill="background1"/>
              <w:spacing w:after="0"/>
              <w:ind w:left="720"/>
              <w:jc w:val="both"/>
              <w:textAlignment w:val="baseline"/>
              <w:rPr>
                <w:rFonts w:ascii="Verdana" w:eastAsia="Times New Roman" w:hAnsi="Verdana" w:cs="Arial"/>
                <w:iCs/>
                <w:color w:val="4F81BD" w:themeColor="accent1"/>
                <w:sz w:val="20"/>
                <w:szCs w:val="20"/>
                <w:lang w:val="en-IE"/>
              </w:rPr>
            </w:pPr>
          </w:p>
          <w:p w14:paraId="7EBF75B9" w14:textId="528420AD" w:rsidR="004E36C2" w:rsidRDefault="00A83238" w:rsidP="00B37D8A">
            <w:pPr>
              <w:shd w:val="clear" w:color="auto" w:fill="FFFFFF" w:themeFill="background1"/>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2012902953"/>
                <w14:checkbox>
                  <w14:checked w14:val="0"/>
                  <w14:checkedState w14:val="2612" w14:font="MS Gothic"/>
                  <w14:uncheckedState w14:val="2610" w14:font="MS Gothic"/>
                </w14:checkbox>
              </w:sdtPr>
              <w:sdtEndPr/>
              <w:sdtContent>
                <w:r w:rsidR="004E36C2" w:rsidRPr="00A50CDA">
                  <w:rPr>
                    <w:rFonts w:ascii="Segoe UI Symbol" w:eastAsia="MS Gothic" w:hAnsi="Segoe UI Symbol" w:cs="Segoe UI Symbol"/>
                    <w:b/>
                    <w:color w:val="4F81BD" w:themeColor="accent1"/>
                    <w:sz w:val="20"/>
                    <w:szCs w:val="20"/>
                  </w:rPr>
                  <w:t>☐</w:t>
                </w:r>
              </w:sdtContent>
            </w:sdt>
            <w:r w:rsidR="004E36C2" w:rsidRPr="00A50CDA">
              <w:rPr>
                <w:rFonts w:ascii="Verdana" w:eastAsia="Times New Roman" w:hAnsi="Verdana" w:cs="Arial"/>
                <w:b/>
                <w:color w:val="4F81BD" w:themeColor="accent1"/>
                <w:sz w:val="20"/>
                <w:szCs w:val="20"/>
                <w:lang w:val="en-IE"/>
              </w:rPr>
              <w:t xml:space="preserve"> </w:t>
            </w:r>
            <w:r w:rsidR="004E36C2" w:rsidRPr="00A50CDA">
              <w:rPr>
                <w:rFonts w:ascii="Verdana" w:eastAsia="Times New Roman" w:hAnsi="Verdana" w:cs="Arial"/>
                <w:b/>
                <w:color w:val="4F81BD" w:themeColor="accent1"/>
                <w:sz w:val="20"/>
                <w:szCs w:val="20"/>
                <w:lang w:val="en-IE"/>
              </w:rPr>
              <w:tab/>
            </w:r>
            <w:r w:rsidR="00A50CDA" w:rsidRPr="00A50CDA">
              <w:rPr>
                <w:rFonts w:ascii="Verdana" w:eastAsia="Times New Roman" w:hAnsi="Verdana" w:cs="Arial"/>
                <w:b/>
                <w:color w:val="4F81BD" w:themeColor="accent1"/>
                <w:sz w:val="20"/>
                <w:szCs w:val="20"/>
                <w:lang w:val="en-IE"/>
              </w:rPr>
              <w:t xml:space="preserve">Capacity building activities: </w:t>
            </w:r>
            <w:r w:rsidR="00B37D8A" w:rsidRPr="00A27E1A">
              <w:rPr>
                <w:rFonts w:ascii="Verdana" w:eastAsia="Arial" w:hAnsi="Verdana" w:cs="Arial"/>
                <w:color w:val="4F81BD" w:themeColor="accent1"/>
                <w:sz w:val="20"/>
                <w:szCs w:val="20"/>
                <w:lang w:val="en-IE"/>
              </w:rPr>
              <w:t xml:space="preserve">Encompasses </w:t>
            </w:r>
            <w:r w:rsidR="00B37D8A">
              <w:rPr>
                <w:rFonts w:ascii="Verdana" w:eastAsia="Arial" w:hAnsi="Verdana" w:cs="Arial"/>
                <w:color w:val="4F81BD" w:themeColor="accent1"/>
                <w:sz w:val="20"/>
                <w:szCs w:val="20"/>
                <w:lang w:val="en-IE"/>
              </w:rPr>
              <w:t xml:space="preserve">targeted capacity development </w:t>
            </w:r>
            <w:r w:rsidR="00B37D8A" w:rsidRPr="00A27E1A">
              <w:rPr>
                <w:rFonts w:ascii="Verdana" w:eastAsia="Arial" w:hAnsi="Verdana" w:cs="Arial"/>
                <w:color w:val="4F81BD" w:themeColor="accent1"/>
                <w:sz w:val="20"/>
                <w:szCs w:val="20"/>
                <w:lang w:val="en-IE"/>
              </w:rPr>
              <w:t xml:space="preserve">support aimed at </w:t>
            </w:r>
            <w:r w:rsidR="00B37D8A">
              <w:rPr>
                <w:rFonts w:ascii="Verdana" w:eastAsia="Arial" w:hAnsi="Verdana" w:cs="Arial"/>
                <w:color w:val="4F81BD" w:themeColor="accent1"/>
                <w:sz w:val="20"/>
                <w:szCs w:val="20"/>
                <w:lang w:val="en-IE"/>
              </w:rPr>
              <w:t xml:space="preserve">enhancing skills in designing and implementing environmental </w:t>
            </w:r>
            <w:r w:rsidR="00FC6E9D">
              <w:rPr>
                <w:rFonts w:ascii="Verdana" w:eastAsia="Arial" w:hAnsi="Verdana" w:cs="Arial"/>
                <w:color w:val="4F81BD" w:themeColor="accent1"/>
                <w:sz w:val="20"/>
                <w:szCs w:val="20"/>
                <w:lang w:val="en-IE"/>
              </w:rPr>
              <w:t xml:space="preserve">fiscal </w:t>
            </w:r>
            <w:r w:rsidR="00B37D8A">
              <w:rPr>
                <w:rFonts w:ascii="Verdana" w:eastAsia="Arial" w:hAnsi="Verdana" w:cs="Arial"/>
                <w:color w:val="4F81BD" w:themeColor="accent1"/>
                <w:sz w:val="20"/>
                <w:szCs w:val="20"/>
                <w:lang w:val="en-IE"/>
              </w:rPr>
              <w:t>reforms</w:t>
            </w:r>
            <w:r w:rsidR="00FC6E9D">
              <w:rPr>
                <w:rFonts w:ascii="Verdana" w:eastAsia="Arial" w:hAnsi="Verdana" w:cs="Arial"/>
                <w:color w:val="4F81BD" w:themeColor="accent1"/>
                <w:sz w:val="20"/>
                <w:szCs w:val="20"/>
                <w:lang w:val="en-IE"/>
              </w:rPr>
              <w:t xml:space="preserve"> and measures</w:t>
            </w:r>
            <w:r w:rsidR="00B37D8A">
              <w:rPr>
                <w:rFonts w:ascii="Verdana" w:eastAsia="Arial" w:hAnsi="Verdana" w:cs="Arial"/>
                <w:color w:val="4F81BD" w:themeColor="accent1"/>
                <w:sz w:val="20"/>
                <w:szCs w:val="20"/>
                <w:lang w:val="en-IE"/>
              </w:rPr>
              <w:t>, as well as assessing their economic, environmental and social impacts.</w:t>
            </w:r>
          </w:p>
          <w:p w14:paraId="605A5FB9" w14:textId="77777777" w:rsidR="00B37D8A" w:rsidRPr="00B37D8A" w:rsidRDefault="00B37D8A" w:rsidP="00B37D8A">
            <w:pPr>
              <w:shd w:val="clear" w:color="auto" w:fill="FFFFFF" w:themeFill="background1"/>
              <w:spacing w:after="0"/>
              <w:ind w:left="360"/>
              <w:jc w:val="both"/>
              <w:textAlignment w:val="baseline"/>
              <w:rPr>
                <w:rFonts w:ascii="Verdana" w:eastAsia="Arial" w:hAnsi="Verdana" w:cs="Arial"/>
                <w:color w:val="4F81BD" w:themeColor="accent1"/>
                <w:sz w:val="20"/>
                <w:szCs w:val="20"/>
                <w:lang w:val="en-IE"/>
              </w:rPr>
            </w:pPr>
          </w:p>
          <w:p w14:paraId="12144953" w14:textId="77777777" w:rsidR="004E36C2" w:rsidRPr="00A83238" w:rsidRDefault="004E36C2" w:rsidP="00A50CDA">
            <w:pPr>
              <w:shd w:val="clear" w:color="auto" w:fill="FFFFFF" w:themeFill="background1"/>
              <w:spacing w:after="0"/>
              <w:ind w:left="360"/>
              <w:jc w:val="both"/>
              <w:textAlignment w:val="baseline"/>
              <w:rPr>
                <w:rFonts w:ascii="Verdana" w:eastAsia="Times New Roman" w:hAnsi="Verdana" w:cs="Arial"/>
                <w:i/>
                <w:sz w:val="20"/>
                <w:szCs w:val="20"/>
                <w:lang w:val="en-US" w:eastAsia="en-GB"/>
              </w:rPr>
            </w:pPr>
            <w:bookmarkStart w:id="0" w:name="_GoBack"/>
            <w:r w:rsidRPr="00A83238">
              <w:rPr>
                <w:rFonts w:ascii="Verdana" w:eastAsia="Times New Roman" w:hAnsi="Verdana" w:cs="Arial"/>
                <w:i/>
                <w:sz w:val="20"/>
                <w:szCs w:val="20"/>
                <w:lang w:val="en-US" w:eastAsia="en-GB"/>
              </w:rPr>
              <w:t>[Insert Text; between 100-200 words]</w:t>
            </w:r>
          </w:p>
          <w:bookmarkEnd w:id="0"/>
          <w:p w14:paraId="3F0A55ED" w14:textId="77777777" w:rsidR="004E36C2" w:rsidRPr="00A50CDA" w:rsidRDefault="004E36C2" w:rsidP="004E36C2">
            <w:pPr>
              <w:spacing w:after="0"/>
              <w:ind w:left="360"/>
              <w:jc w:val="both"/>
              <w:textAlignment w:val="baseline"/>
              <w:rPr>
                <w:rFonts w:ascii="Verdana" w:eastAsia="Times New Roman" w:hAnsi="Verdana" w:cs="Arial"/>
                <w:color w:val="FF0000"/>
                <w:sz w:val="20"/>
                <w:szCs w:val="20"/>
                <w:lang w:val="en-US" w:eastAsia="en-GB"/>
              </w:rPr>
            </w:pPr>
          </w:p>
          <w:p w14:paraId="0A8F43A9" w14:textId="77777777" w:rsidR="004E36C2" w:rsidRPr="00A27E1A" w:rsidRDefault="00A83238" w:rsidP="004E36C2">
            <w:pPr>
              <w:spacing w:after="0"/>
              <w:ind w:left="360"/>
              <w:jc w:val="both"/>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018241543"/>
                <w14:checkbox>
                  <w14:checked w14:val="0"/>
                  <w14:checkedState w14:val="2612" w14:font="MS Gothic"/>
                  <w14:uncheckedState w14:val="2610" w14:font="MS Gothic"/>
                </w14:checkbox>
              </w:sdtPr>
              <w:sdtEndPr/>
              <w:sdtContent>
                <w:r w:rsidR="004E36C2" w:rsidRPr="00A50CDA">
                  <w:rPr>
                    <w:rFonts w:ascii="MS Gothic" w:eastAsia="MS Gothic" w:hAnsi="MS Gothic" w:cs="Arial" w:hint="eastAsia"/>
                    <w:b/>
                    <w:color w:val="4F81BD" w:themeColor="accent1"/>
                    <w:sz w:val="20"/>
                    <w:szCs w:val="20"/>
                    <w:lang w:val="en-IE"/>
                  </w:rPr>
                  <w:t>☐</w:t>
                </w:r>
              </w:sdtContent>
            </w:sdt>
            <w:r w:rsidR="004E36C2" w:rsidRPr="00A50CDA">
              <w:rPr>
                <w:rFonts w:ascii="Verdana" w:eastAsia="Times New Roman" w:hAnsi="Verdana" w:cs="Arial"/>
                <w:b/>
                <w:color w:val="4F81BD" w:themeColor="accent1"/>
                <w:sz w:val="20"/>
                <w:szCs w:val="20"/>
                <w:lang w:val="en-IE"/>
              </w:rPr>
              <w:t xml:space="preserve"> </w:t>
            </w:r>
            <w:r w:rsidR="004E36C2" w:rsidRPr="00A50CDA">
              <w:rPr>
                <w:rFonts w:ascii="Verdana" w:eastAsia="Times New Roman" w:hAnsi="Verdana" w:cs="Arial"/>
                <w:b/>
                <w:color w:val="4F81BD" w:themeColor="accent1"/>
                <w:sz w:val="20"/>
                <w:szCs w:val="20"/>
                <w:lang w:val="en-IE"/>
              </w:rPr>
              <w:tab/>
            </w:r>
            <w:r w:rsidR="004E36C2" w:rsidRPr="00A50CDA">
              <w:rPr>
                <w:rFonts w:ascii="Verdana" w:eastAsia="Arial" w:hAnsi="Verdana" w:cs="Arial"/>
                <w:b/>
                <w:color w:val="4F81BD" w:themeColor="accent1"/>
                <w:sz w:val="20"/>
                <w:szCs w:val="20"/>
                <w:lang w:val="en-IE"/>
              </w:rPr>
              <w:t>Other</w:t>
            </w:r>
          </w:p>
          <w:p w14:paraId="352366B6" w14:textId="77777777" w:rsidR="004E36C2" w:rsidRPr="00A27E1A" w:rsidRDefault="004E36C2" w:rsidP="00A83238">
            <w:pPr>
              <w:shd w:val="clear" w:color="auto" w:fill="FFFFFF" w:themeFill="background1"/>
              <w:spacing w:after="0"/>
              <w:ind w:left="360"/>
              <w:jc w:val="both"/>
              <w:textAlignment w:val="baseline"/>
              <w:rPr>
                <w:rFonts w:ascii="Verdana" w:eastAsia="Times New Roman" w:hAnsi="Verdana" w:cs="Arial"/>
                <w:color w:val="FF0000"/>
                <w:sz w:val="20"/>
                <w:szCs w:val="20"/>
                <w:lang w:val="en-US" w:eastAsia="en-GB"/>
              </w:rPr>
            </w:pPr>
            <w:r w:rsidRPr="00A27E1A" w:rsidDel="00A27E1A">
              <w:rPr>
                <w:rFonts w:ascii="Verdana" w:eastAsia="Times New Roman" w:hAnsi="Verdana" w:cs="Arial"/>
                <w:color w:val="4F81BD" w:themeColor="accent1"/>
                <w:sz w:val="20"/>
                <w:szCs w:val="20"/>
                <w:lang w:val="en-US" w:eastAsia="en-GB"/>
              </w:rPr>
              <w:t xml:space="preserve"> </w:t>
            </w:r>
            <w:r w:rsidRPr="00A83238">
              <w:rPr>
                <w:rFonts w:ascii="Verdana" w:eastAsia="Times New Roman" w:hAnsi="Verdana" w:cs="Arial"/>
                <w:i/>
                <w:sz w:val="20"/>
                <w:szCs w:val="20"/>
                <w:lang w:val="en-US" w:eastAsia="en-GB"/>
              </w:rPr>
              <w:t xml:space="preserve">[Insert Text; between </w:t>
            </w:r>
            <w:r w:rsidR="004819DF" w:rsidRPr="00A83238">
              <w:rPr>
                <w:rFonts w:ascii="Verdana" w:eastAsia="Times New Roman" w:hAnsi="Verdana" w:cs="Arial"/>
                <w:i/>
                <w:sz w:val="20"/>
                <w:szCs w:val="20"/>
                <w:lang w:val="en-US" w:eastAsia="en-GB"/>
              </w:rPr>
              <w:t>1</w:t>
            </w:r>
            <w:r w:rsidR="002E0E33" w:rsidRPr="00A83238">
              <w:rPr>
                <w:rFonts w:ascii="Verdana" w:eastAsia="Times New Roman" w:hAnsi="Verdana" w:cs="Arial"/>
                <w:i/>
                <w:sz w:val="20"/>
                <w:szCs w:val="20"/>
                <w:lang w:val="en-US" w:eastAsia="en-GB"/>
              </w:rPr>
              <w:t>5</w:t>
            </w:r>
            <w:r w:rsidR="004819DF" w:rsidRPr="00A83238">
              <w:rPr>
                <w:rFonts w:ascii="Verdana" w:eastAsia="Times New Roman" w:hAnsi="Verdana" w:cs="Arial"/>
                <w:i/>
                <w:sz w:val="20"/>
                <w:szCs w:val="20"/>
                <w:lang w:val="en-US" w:eastAsia="en-GB"/>
              </w:rPr>
              <w:t>0-350</w:t>
            </w:r>
            <w:r w:rsidRPr="00A83238">
              <w:rPr>
                <w:rFonts w:ascii="Verdana" w:eastAsia="Times New Roman" w:hAnsi="Verdana" w:cs="Arial"/>
                <w:i/>
                <w:sz w:val="20"/>
                <w:szCs w:val="20"/>
                <w:lang w:val="en-US" w:eastAsia="en-GB"/>
              </w:rPr>
              <w:t xml:space="preserve"> words]</w:t>
            </w:r>
          </w:p>
          <w:p w14:paraId="2A28366D" w14:textId="77777777" w:rsidR="004E36C2" w:rsidRDefault="004E36C2" w:rsidP="005B0AB3">
            <w:pPr>
              <w:spacing w:after="0"/>
              <w:jc w:val="both"/>
              <w:rPr>
                <w:rFonts w:ascii="Verdana" w:eastAsia="Times New Roman" w:hAnsi="Verdana" w:cs="Arial"/>
                <w:sz w:val="20"/>
                <w:szCs w:val="20"/>
                <w:lang w:val="en-US" w:eastAsia="en-GB"/>
              </w:rPr>
            </w:pPr>
          </w:p>
          <w:p w14:paraId="63BCB30F" w14:textId="77777777" w:rsidR="00D81722" w:rsidRPr="00F64CAB" w:rsidRDefault="00D81722" w:rsidP="005B0AB3">
            <w:pPr>
              <w:spacing w:after="0"/>
              <w:jc w:val="both"/>
              <w:rPr>
                <w:rFonts w:ascii="Verdana" w:eastAsia="Times New Roman" w:hAnsi="Verdana" w:cs="Arial"/>
                <w:b/>
                <w:bCs/>
                <w:sz w:val="20"/>
                <w:szCs w:val="20"/>
                <w:lang w:val="en-US" w:eastAsia="en-GB"/>
              </w:rPr>
            </w:pPr>
          </w:p>
        </w:tc>
      </w:tr>
      <w:tr w:rsidR="00C52F24" w:rsidRPr="00F64CAB" w14:paraId="4CF7F54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7BF04C"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3BE776A"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0ED5E1D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8866A0"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14:paraId="04DFFD06"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E44D2A9"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1527F06"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676AC49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FFA7BC4" w14:textId="77777777"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14:paraId="61AA3F2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6051CD8"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30363B" w14:textId="77777777" w:rsidR="00AF08B2" w:rsidRPr="008C2EFF" w:rsidRDefault="00EC5A01" w:rsidP="00AF08B2">
            <w:pPr>
              <w:rPr>
                <w:b/>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p w14:paraId="0D9D2BE9" w14:textId="77777777" w:rsidR="008A787C" w:rsidRPr="00F64CAB" w:rsidRDefault="008A787C" w:rsidP="005B0AB3">
            <w:pPr>
              <w:pStyle w:val="Text2"/>
              <w:spacing w:after="0"/>
              <w:ind w:left="0"/>
              <w:rPr>
                <w:rFonts w:ascii="Verdana" w:hAnsi="Verdana" w:cs="Arial"/>
                <w:b/>
                <w:bCs/>
                <w:sz w:val="20"/>
                <w:szCs w:val="20"/>
                <w:lang w:val="en-US"/>
              </w:rPr>
            </w:pPr>
          </w:p>
        </w:tc>
      </w:tr>
      <w:tr w:rsidR="008A787C" w:rsidRPr="00F64CAB" w14:paraId="0A2C9844"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453C71"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59B45D5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DA1AAE"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93E64F9"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C52F24" w:rsidRPr="00F64CAB" w14:paraId="3377D2A8"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6D342E"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18601C6C"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D939F2"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690B442"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3E679ED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A2F29E9" w14:textId="77777777" w:rsidR="00217AFD" w:rsidRPr="008C2EFF" w:rsidRDefault="00217AFD"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lastRenderedPageBreak/>
              <w:t>[Insert Text; between 200-250 words]</w:t>
            </w:r>
          </w:p>
        </w:tc>
      </w:tr>
      <w:tr w:rsidR="00C52F24" w:rsidRPr="00F64CAB" w14:paraId="377BEE3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8459E16"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E6EC3"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F64CAB" w14:paraId="4959D016"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86F1A89" w14:textId="77777777" w:rsidR="00C52F24" w:rsidRPr="008C2EFF" w:rsidRDefault="00C52F24"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10D1841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90BF6D"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0C6D7F" w14:textId="77777777" w:rsidR="003B077A" w:rsidRPr="008C2EFF" w:rsidRDefault="003B077A" w:rsidP="004A67D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623003B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C64ACA" w14:textId="77777777" w:rsidR="003B077A" w:rsidRPr="008C2EFF" w:rsidRDefault="007A2DB5"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5CE32067"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0A951C"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73E06"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279F92B0"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05F006A"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2FCB3BE9"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14:paraId="68D1213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22C6288C" w14:textId="77777777"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70E409A"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8A0670F"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9F35F6B"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14:paraId="29250BCE"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C9E8676" w14:textId="77777777" w:rsidR="00D22D5C" w:rsidRDefault="00A83238"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9938CD" w14:textId="77777777"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14:paraId="79B12D94"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42B714"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3763A8E" w14:textId="77777777"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14:paraId="2466F4EA"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1D2E785C"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ACC22FD"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14:paraId="1B3811D8"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CCE86E8"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A1A3A37"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14:paraId="6FA3DBD0"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51115858"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1770FBF" w14:textId="77777777" w:rsidR="00F01ABA" w:rsidRPr="0089320F" w:rsidRDefault="00F01ABA" w:rsidP="00DC0080">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2E766C46"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C34BB10"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DF9427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412FFA7"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10248C01" w14:textId="77777777" w:rsidR="00F01ABA" w:rsidRPr="0089320F" w:rsidRDefault="00A83238"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1BBC48"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5A887DD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7E6A048"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59FB251"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41938879"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219ADB73" w14:textId="2331FBB9" w:rsidR="00E3160B" w:rsidRDefault="00E3160B" w:rsidP="00E3160B">
            <w:pPr>
              <w:spacing w:before="60" w:after="60"/>
              <w:jc w:val="both"/>
              <w:rPr>
                <w:rFonts w:ascii="Verdana" w:hAnsi="Verdana" w:cs="Arial"/>
                <w:color w:val="4F81BD" w:themeColor="accent1"/>
                <w:sz w:val="20"/>
                <w:szCs w:val="20"/>
                <w:shd w:val="clear" w:color="auto" w:fill="FFFFFF"/>
              </w:rPr>
            </w:pPr>
            <w:r w:rsidRPr="00757B42">
              <w:rPr>
                <w:rFonts w:ascii="Verdana" w:hAnsi="Verdana" w:cs="Arial"/>
                <w:b/>
                <w:color w:val="4F81BD" w:themeColor="accent1"/>
                <w:sz w:val="20"/>
                <w:szCs w:val="20"/>
                <w:shd w:val="clear" w:color="auto" w:fill="FFFFFF"/>
              </w:rPr>
              <w:t>The Green Deal</w:t>
            </w:r>
            <w:r w:rsidRPr="00087DBB">
              <w:rPr>
                <w:rFonts w:ascii="Verdana" w:hAnsi="Verdana" w:cs="Arial"/>
                <w:color w:val="4F81BD" w:themeColor="accent1"/>
                <w:sz w:val="20"/>
                <w:szCs w:val="20"/>
                <w:shd w:val="clear" w:color="auto" w:fill="FFFFFF"/>
              </w:rPr>
              <w:t xml:space="preserve"> outlines that “well-designed tax reforms can boost economic growth and resilience to climate shocks and help contribute to a fairer society and to a just transition. They play a direct role by sending the right price signals and providing the right incentives for sustainable behaviour by producers, users and consumers. At national level, the European Green Deal will create the context for broad-based tax reforms, removing subsidies for fossil fuels, shifting the tax burden from labour to pollution, and taking into account social considerations”.</w:t>
            </w:r>
          </w:p>
          <w:p w14:paraId="4F92A9D9" w14:textId="6E800AA7" w:rsidR="00937BDF" w:rsidRPr="006D5759" w:rsidRDefault="00937BDF" w:rsidP="00E3160B">
            <w:pPr>
              <w:spacing w:before="60" w:after="60"/>
              <w:jc w:val="both"/>
              <w:rPr>
                <w:rFonts w:ascii="Verdana" w:hAnsi="Verdana" w:cs="Arial"/>
                <w:bCs/>
                <w:color w:val="4F81BD" w:themeColor="accent1"/>
                <w:sz w:val="20"/>
                <w:szCs w:val="20"/>
              </w:rPr>
            </w:pPr>
            <w:r w:rsidRPr="00937BDF">
              <w:rPr>
                <w:rFonts w:ascii="Verdana" w:hAnsi="Verdana" w:cs="Arial"/>
                <w:b/>
                <w:bCs/>
                <w:color w:val="4F81BD" w:themeColor="accent1"/>
                <w:sz w:val="20"/>
                <w:szCs w:val="20"/>
              </w:rPr>
              <w:lastRenderedPageBreak/>
              <w:t>The Annual Sustainable Growth Strategy 2020</w:t>
            </w:r>
            <w:r w:rsidRPr="00937BDF">
              <w:rPr>
                <w:rFonts w:ascii="Verdana" w:hAnsi="Verdana" w:cs="Arial"/>
                <w:bCs/>
                <w:color w:val="4F81BD" w:themeColor="accent1"/>
                <w:sz w:val="20"/>
                <w:szCs w:val="20"/>
              </w:rPr>
              <w:t xml:space="preserve"> states: </w:t>
            </w:r>
            <w:r w:rsidR="00F95FF5">
              <w:rPr>
                <w:rFonts w:ascii="Verdana" w:hAnsi="Verdana" w:cs="Arial"/>
                <w:bCs/>
                <w:color w:val="4F81BD" w:themeColor="accent1"/>
                <w:sz w:val="20"/>
                <w:szCs w:val="20"/>
              </w:rPr>
              <w:t>“</w:t>
            </w:r>
            <w:r w:rsidRPr="00937BDF">
              <w:rPr>
                <w:rFonts w:ascii="Verdana" w:hAnsi="Verdana" w:cs="Arial"/>
                <w:bCs/>
                <w:color w:val="4F81BD" w:themeColor="accent1"/>
                <w:sz w:val="20"/>
                <w:szCs w:val="20"/>
              </w:rPr>
              <w:t>’The new growth strategy with its focus on competitive sustainability will help us achieve the Sustainable Development Goals (SDGs). The economic, social and environmental challenges are of economy-wide relevance. To succeed we will require considerable efforts in all policy areas, at EU and national level. A key factor of success is the ability of public authorities to drive economic, social and fiscal policies towards the achievement of the SDGs.’’</w:t>
            </w:r>
          </w:p>
          <w:p w14:paraId="4AB85FCC" w14:textId="77777777" w:rsidR="00F01ABA" w:rsidRPr="00F01ABA" w:rsidRDefault="004A67DF" w:rsidP="00DC0080">
            <w:pPr>
              <w:spacing w:before="60" w:after="60"/>
              <w:jc w:val="both"/>
              <w:rPr>
                <w:rFonts w:ascii="Verdana" w:hAnsi="Verdana" w:cs="Arial"/>
                <w:sz w:val="20"/>
                <w:szCs w:val="20"/>
              </w:rPr>
            </w:pPr>
            <w:r>
              <w:rPr>
                <w:rFonts w:ascii="Verdana" w:hAnsi="Verdana" w:cs="Arial"/>
                <w:sz w:val="20"/>
                <w:szCs w:val="20"/>
              </w:rPr>
              <w:t>Add re</w:t>
            </w:r>
            <w:r w:rsidR="00F01ABA" w:rsidRPr="00F01ABA">
              <w:rPr>
                <w:rFonts w:ascii="Verdana" w:hAnsi="Verdana" w:cs="Arial"/>
                <w:sz w:val="20"/>
                <w:szCs w:val="20"/>
              </w:rPr>
              <w:t>levant explanations as appropriate:</w:t>
            </w:r>
          </w:p>
          <w:p w14:paraId="1E3FFE29" w14:textId="77777777" w:rsidR="00F01ABA" w:rsidRPr="00F01ABA" w:rsidRDefault="00F01ABA" w:rsidP="00DC0080">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80637B3" w14:textId="77777777" w:rsidR="00F01ABA" w:rsidRPr="0089320F" w:rsidRDefault="00F01ABA" w:rsidP="002E0E33">
            <w:pPr>
              <w:spacing w:before="60" w:after="60"/>
              <w:jc w:val="both"/>
              <w:rPr>
                <w:rFonts w:ascii="Verdana" w:eastAsia="Times New Roman" w:hAnsi="Verdana" w:cs="Arial"/>
                <w:b/>
                <w:bCs/>
                <w:sz w:val="20"/>
                <w:szCs w:val="20"/>
                <w:lang w:eastAsia="en-GB"/>
              </w:rPr>
            </w:pPr>
            <w:r w:rsidRPr="002E0E33">
              <w:rPr>
                <w:rFonts w:ascii="Verdana" w:hAnsi="Verdana" w:cs="Arial"/>
                <w:sz w:val="20"/>
                <w:szCs w:val="20"/>
              </w:rPr>
              <w:t>[</w:t>
            </w:r>
            <w:r w:rsidRPr="002E0E33">
              <w:rPr>
                <w:rFonts w:ascii="Verdana" w:eastAsia="Times New Roman" w:hAnsi="Verdana" w:cs="Arial"/>
                <w:sz w:val="20"/>
                <w:szCs w:val="20"/>
                <w:lang w:eastAsia="en-GB"/>
              </w:rPr>
              <w:t xml:space="preserve">Insert Text; indicatively between </w:t>
            </w:r>
            <w:r w:rsidR="002E0E33" w:rsidRPr="002E0E33">
              <w:rPr>
                <w:rFonts w:ascii="Verdana" w:eastAsia="Times New Roman" w:hAnsi="Verdana" w:cs="Arial"/>
                <w:sz w:val="20"/>
                <w:szCs w:val="20"/>
                <w:lang w:eastAsia="en-GB"/>
              </w:rPr>
              <w:t>150-200</w:t>
            </w:r>
            <w:r w:rsidRPr="002E0E33">
              <w:rPr>
                <w:rFonts w:ascii="Verdana" w:eastAsia="Times New Roman" w:hAnsi="Verdana" w:cs="Arial"/>
                <w:sz w:val="20"/>
                <w:szCs w:val="20"/>
                <w:lang w:eastAsia="en-GB"/>
              </w:rPr>
              <w:t xml:space="preserve"> words]</w:t>
            </w:r>
          </w:p>
        </w:tc>
      </w:tr>
    </w:tbl>
    <w:p w14:paraId="53E75782" w14:textId="77777777" w:rsidR="00E84FE8" w:rsidRDefault="00E84FE8"/>
    <w:p w14:paraId="6D14EFFD" w14:textId="77777777" w:rsidR="00E84FE8" w:rsidRDefault="00E84FE8">
      <w:r>
        <w:br w:type="page"/>
      </w:r>
    </w:p>
    <w:p w14:paraId="5747ADFA"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2548B61A"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EA2D67" w14:textId="77777777"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14:paraId="79DCC399" w14:textId="77777777"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14:paraId="265040FE" w14:textId="77777777" w:rsidTr="008C2EFF">
        <w:tc>
          <w:tcPr>
            <w:tcW w:w="5000" w:type="pct"/>
            <w:tcBorders>
              <w:top w:val="single" w:sz="12" w:space="0" w:color="auto"/>
              <w:left w:val="single" w:sz="12" w:space="0" w:color="auto"/>
              <w:bottom w:val="single" w:sz="12" w:space="0" w:color="auto"/>
              <w:right w:val="single" w:sz="12" w:space="0" w:color="auto"/>
            </w:tcBorders>
          </w:tcPr>
          <w:p w14:paraId="717EBE1D"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1DB7016B" w14:textId="77777777" w:rsidTr="008C2EFF">
        <w:tc>
          <w:tcPr>
            <w:tcW w:w="5000" w:type="pct"/>
            <w:tcBorders>
              <w:top w:val="single" w:sz="12" w:space="0" w:color="auto"/>
              <w:left w:val="single" w:sz="12" w:space="0" w:color="auto"/>
              <w:bottom w:val="single" w:sz="12" w:space="0" w:color="auto"/>
              <w:right w:val="single" w:sz="12" w:space="0" w:color="auto"/>
            </w:tcBorders>
          </w:tcPr>
          <w:p w14:paraId="6FDA1DD2"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6B6014A7" w14:textId="77777777" w:rsidTr="008C2EFF">
        <w:tc>
          <w:tcPr>
            <w:tcW w:w="5000" w:type="pct"/>
            <w:tcBorders>
              <w:top w:val="single" w:sz="12" w:space="0" w:color="auto"/>
              <w:left w:val="single" w:sz="12" w:space="0" w:color="auto"/>
              <w:bottom w:val="single" w:sz="12" w:space="0" w:color="auto"/>
              <w:right w:val="single" w:sz="12" w:space="0" w:color="auto"/>
            </w:tcBorders>
          </w:tcPr>
          <w:p w14:paraId="10BE30BA"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14:paraId="430E01AD" w14:textId="77777777" w:rsidTr="008C2EFF">
        <w:tc>
          <w:tcPr>
            <w:tcW w:w="5000" w:type="pct"/>
            <w:tcBorders>
              <w:top w:val="single" w:sz="12" w:space="0" w:color="auto"/>
              <w:left w:val="single" w:sz="12" w:space="0" w:color="auto"/>
              <w:bottom w:val="single" w:sz="12" w:space="0" w:color="auto"/>
              <w:right w:val="single" w:sz="12" w:space="0" w:color="auto"/>
            </w:tcBorders>
          </w:tcPr>
          <w:p w14:paraId="600536A3" w14:textId="77777777"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0B632A5C" w14:textId="77777777" w:rsidR="00305060" w:rsidRPr="003A5F9A" w:rsidRDefault="00305060" w:rsidP="5AD5729F">
      <w:pPr>
        <w:spacing w:after="0"/>
        <w:rPr>
          <w:rFonts w:ascii="Verdana" w:hAnsi="Verdana"/>
          <w:b/>
          <w:noProof/>
        </w:rPr>
      </w:pPr>
    </w:p>
    <w:sectPr w:rsidR="00305060" w:rsidRPr="003A5F9A"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EF0A3" w14:textId="77777777" w:rsidR="004E55DE" w:rsidRDefault="004E55DE" w:rsidP="00EE6AE0">
      <w:pPr>
        <w:spacing w:after="0" w:line="240" w:lineRule="auto"/>
      </w:pPr>
      <w:r>
        <w:separator/>
      </w:r>
    </w:p>
  </w:endnote>
  <w:endnote w:type="continuationSeparator" w:id="0">
    <w:p w14:paraId="28EE25C2" w14:textId="77777777" w:rsidR="004E55DE" w:rsidRDefault="004E55DE"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C22089D" w14:textId="64285A00" w:rsidR="00DC0080" w:rsidRDefault="00DC0080">
        <w:pPr>
          <w:pStyle w:val="Footer"/>
          <w:jc w:val="right"/>
        </w:pPr>
        <w:r>
          <w:fldChar w:fldCharType="begin"/>
        </w:r>
        <w:r>
          <w:instrText xml:space="preserve"> PAGE   \* MERGEFORMAT </w:instrText>
        </w:r>
        <w:r>
          <w:fldChar w:fldCharType="separate"/>
        </w:r>
        <w:r w:rsidR="00A83238">
          <w:rPr>
            <w:noProof/>
          </w:rPr>
          <w:t>9</w:t>
        </w:r>
        <w:r>
          <w:rPr>
            <w:noProof/>
          </w:rPr>
          <w:fldChar w:fldCharType="end"/>
        </w:r>
      </w:p>
    </w:sdtContent>
  </w:sdt>
  <w:p w14:paraId="00B143A2"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3A1C7" w14:textId="77777777" w:rsidR="004E55DE" w:rsidRDefault="004E55DE" w:rsidP="00EE6AE0">
      <w:pPr>
        <w:spacing w:after="0" w:line="240" w:lineRule="auto"/>
      </w:pPr>
      <w:r>
        <w:separator/>
      </w:r>
    </w:p>
  </w:footnote>
  <w:footnote w:type="continuationSeparator" w:id="0">
    <w:p w14:paraId="448591C1" w14:textId="77777777" w:rsidR="004E55DE" w:rsidRDefault="004E55DE" w:rsidP="00EE6AE0">
      <w:pPr>
        <w:spacing w:after="0" w:line="240" w:lineRule="auto"/>
      </w:pPr>
      <w:r>
        <w:continuationSeparator/>
      </w:r>
    </w:p>
  </w:footnote>
  <w:footnote w:id="1">
    <w:p w14:paraId="0454C549"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7EE0"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E2321"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B857EA"/>
    <w:multiLevelType w:val="hybridMultilevel"/>
    <w:tmpl w:val="071063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911"/>
    <w:multiLevelType w:val="hybridMultilevel"/>
    <w:tmpl w:val="2D929746"/>
    <w:lvl w:ilvl="0" w:tplc="080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0"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E328C1"/>
    <w:multiLevelType w:val="hybridMultilevel"/>
    <w:tmpl w:val="744E6A54"/>
    <w:lvl w:ilvl="0" w:tplc="4ADC3AA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2"/>
  </w:num>
  <w:num w:numId="5">
    <w:abstractNumId w:val="5"/>
  </w:num>
  <w:num w:numId="6">
    <w:abstractNumId w:val="6"/>
  </w:num>
  <w:num w:numId="7">
    <w:abstractNumId w:val="7"/>
  </w:num>
  <w:num w:numId="8">
    <w:abstractNumId w:val="11"/>
  </w:num>
  <w:num w:numId="9">
    <w:abstractNumId w:val="10"/>
  </w:num>
  <w:num w:numId="10">
    <w:abstractNumId w:val="8"/>
  </w:num>
  <w:num w:numId="11">
    <w:abstractNumId w:val="9"/>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7D40"/>
    <w:rsid w:val="000414EB"/>
    <w:rsid w:val="000433AC"/>
    <w:rsid w:val="00054544"/>
    <w:rsid w:val="000573A6"/>
    <w:rsid w:val="00060746"/>
    <w:rsid w:val="00067D56"/>
    <w:rsid w:val="00073CEF"/>
    <w:rsid w:val="00080242"/>
    <w:rsid w:val="00083D08"/>
    <w:rsid w:val="0008727F"/>
    <w:rsid w:val="00087D96"/>
    <w:rsid w:val="00093F12"/>
    <w:rsid w:val="000A3888"/>
    <w:rsid w:val="000A48F1"/>
    <w:rsid w:val="000A6292"/>
    <w:rsid w:val="000A7759"/>
    <w:rsid w:val="000B0422"/>
    <w:rsid w:val="000B63C0"/>
    <w:rsid w:val="000C5361"/>
    <w:rsid w:val="000C612B"/>
    <w:rsid w:val="000D06F2"/>
    <w:rsid w:val="000D25FF"/>
    <w:rsid w:val="000E0C93"/>
    <w:rsid w:val="000E0E25"/>
    <w:rsid w:val="000F6884"/>
    <w:rsid w:val="00105BAF"/>
    <w:rsid w:val="001060ED"/>
    <w:rsid w:val="00106160"/>
    <w:rsid w:val="00123EA4"/>
    <w:rsid w:val="00125420"/>
    <w:rsid w:val="00126003"/>
    <w:rsid w:val="00130D40"/>
    <w:rsid w:val="00132A25"/>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44E8"/>
    <w:rsid w:val="001D6943"/>
    <w:rsid w:val="001D76F9"/>
    <w:rsid w:val="001E0C62"/>
    <w:rsid w:val="001E306A"/>
    <w:rsid w:val="001E4A3B"/>
    <w:rsid w:val="001F1272"/>
    <w:rsid w:val="001F44A1"/>
    <w:rsid w:val="001F461A"/>
    <w:rsid w:val="001F5ABC"/>
    <w:rsid w:val="001F5BD3"/>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A29E0"/>
    <w:rsid w:val="002A6200"/>
    <w:rsid w:val="002B5F8E"/>
    <w:rsid w:val="002C02B1"/>
    <w:rsid w:val="002C11A9"/>
    <w:rsid w:val="002C5913"/>
    <w:rsid w:val="002D64D2"/>
    <w:rsid w:val="002D670E"/>
    <w:rsid w:val="002E0E33"/>
    <w:rsid w:val="002E3AFF"/>
    <w:rsid w:val="002F1566"/>
    <w:rsid w:val="002F4656"/>
    <w:rsid w:val="00300A4B"/>
    <w:rsid w:val="003018BC"/>
    <w:rsid w:val="00305060"/>
    <w:rsid w:val="003061EF"/>
    <w:rsid w:val="003065BC"/>
    <w:rsid w:val="00320931"/>
    <w:rsid w:val="0032586D"/>
    <w:rsid w:val="00326FF9"/>
    <w:rsid w:val="00347344"/>
    <w:rsid w:val="00351D5C"/>
    <w:rsid w:val="00356CC4"/>
    <w:rsid w:val="003571E6"/>
    <w:rsid w:val="003776F1"/>
    <w:rsid w:val="00377808"/>
    <w:rsid w:val="003823AB"/>
    <w:rsid w:val="00385150"/>
    <w:rsid w:val="00386826"/>
    <w:rsid w:val="00386CCE"/>
    <w:rsid w:val="00387629"/>
    <w:rsid w:val="00394080"/>
    <w:rsid w:val="00394820"/>
    <w:rsid w:val="00395FCF"/>
    <w:rsid w:val="003A5F9A"/>
    <w:rsid w:val="003A6379"/>
    <w:rsid w:val="003B077A"/>
    <w:rsid w:val="003B3BB0"/>
    <w:rsid w:val="003C6E67"/>
    <w:rsid w:val="003D4D40"/>
    <w:rsid w:val="003D68FB"/>
    <w:rsid w:val="003D78B3"/>
    <w:rsid w:val="003E0A87"/>
    <w:rsid w:val="003F34D5"/>
    <w:rsid w:val="003F68D7"/>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5E1D"/>
    <w:rsid w:val="004D2640"/>
    <w:rsid w:val="004D485E"/>
    <w:rsid w:val="004E36C2"/>
    <w:rsid w:val="004E52F9"/>
    <w:rsid w:val="004E55DE"/>
    <w:rsid w:val="00513403"/>
    <w:rsid w:val="00515693"/>
    <w:rsid w:val="00526429"/>
    <w:rsid w:val="00526FA8"/>
    <w:rsid w:val="0053252D"/>
    <w:rsid w:val="00535B22"/>
    <w:rsid w:val="005431F1"/>
    <w:rsid w:val="00543A8D"/>
    <w:rsid w:val="00547BCA"/>
    <w:rsid w:val="00552555"/>
    <w:rsid w:val="0055398E"/>
    <w:rsid w:val="00554A88"/>
    <w:rsid w:val="00555995"/>
    <w:rsid w:val="00556727"/>
    <w:rsid w:val="005647CA"/>
    <w:rsid w:val="0056717D"/>
    <w:rsid w:val="00571AC4"/>
    <w:rsid w:val="005728FE"/>
    <w:rsid w:val="005827FF"/>
    <w:rsid w:val="005A184C"/>
    <w:rsid w:val="005A2007"/>
    <w:rsid w:val="005A70AF"/>
    <w:rsid w:val="005B0AB3"/>
    <w:rsid w:val="005B155B"/>
    <w:rsid w:val="005B4299"/>
    <w:rsid w:val="005B6243"/>
    <w:rsid w:val="005B79C4"/>
    <w:rsid w:val="005B7E6E"/>
    <w:rsid w:val="005C1DEB"/>
    <w:rsid w:val="005C1F5E"/>
    <w:rsid w:val="005C33AE"/>
    <w:rsid w:val="005C5525"/>
    <w:rsid w:val="005C6F09"/>
    <w:rsid w:val="005D1F69"/>
    <w:rsid w:val="005D3C6F"/>
    <w:rsid w:val="005E58A5"/>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5259"/>
    <w:rsid w:val="00646298"/>
    <w:rsid w:val="00650695"/>
    <w:rsid w:val="00670295"/>
    <w:rsid w:val="00677A34"/>
    <w:rsid w:val="006864AE"/>
    <w:rsid w:val="006874CA"/>
    <w:rsid w:val="00693EFF"/>
    <w:rsid w:val="00696AEE"/>
    <w:rsid w:val="006A3BAA"/>
    <w:rsid w:val="006A4CF2"/>
    <w:rsid w:val="006B4E8B"/>
    <w:rsid w:val="006B5CB7"/>
    <w:rsid w:val="006B6BFF"/>
    <w:rsid w:val="006D4F1C"/>
    <w:rsid w:val="006D5759"/>
    <w:rsid w:val="006D5913"/>
    <w:rsid w:val="006E5356"/>
    <w:rsid w:val="006E6DEF"/>
    <w:rsid w:val="006E74D2"/>
    <w:rsid w:val="006F3282"/>
    <w:rsid w:val="006F3E3C"/>
    <w:rsid w:val="006F7BB1"/>
    <w:rsid w:val="00706F0C"/>
    <w:rsid w:val="00707EE9"/>
    <w:rsid w:val="00712B39"/>
    <w:rsid w:val="00714D6C"/>
    <w:rsid w:val="0071660F"/>
    <w:rsid w:val="00723659"/>
    <w:rsid w:val="00727DF4"/>
    <w:rsid w:val="0073016D"/>
    <w:rsid w:val="00730904"/>
    <w:rsid w:val="00731789"/>
    <w:rsid w:val="007353E2"/>
    <w:rsid w:val="00736FCB"/>
    <w:rsid w:val="00741C91"/>
    <w:rsid w:val="00745037"/>
    <w:rsid w:val="0074774C"/>
    <w:rsid w:val="00757B42"/>
    <w:rsid w:val="00762EAE"/>
    <w:rsid w:val="00765249"/>
    <w:rsid w:val="00765C35"/>
    <w:rsid w:val="00783A7A"/>
    <w:rsid w:val="0078425F"/>
    <w:rsid w:val="007A2C4C"/>
    <w:rsid w:val="007A2DB5"/>
    <w:rsid w:val="007B061E"/>
    <w:rsid w:val="007B79D7"/>
    <w:rsid w:val="007D6BEA"/>
    <w:rsid w:val="007E0322"/>
    <w:rsid w:val="007E1666"/>
    <w:rsid w:val="007E460E"/>
    <w:rsid w:val="007E53E9"/>
    <w:rsid w:val="007E7C2D"/>
    <w:rsid w:val="007F03C3"/>
    <w:rsid w:val="007F0405"/>
    <w:rsid w:val="007F1364"/>
    <w:rsid w:val="007F2B4B"/>
    <w:rsid w:val="007F5617"/>
    <w:rsid w:val="007F76C3"/>
    <w:rsid w:val="00800221"/>
    <w:rsid w:val="00801E43"/>
    <w:rsid w:val="008054D1"/>
    <w:rsid w:val="00805A85"/>
    <w:rsid w:val="00816654"/>
    <w:rsid w:val="008256C7"/>
    <w:rsid w:val="00833A74"/>
    <w:rsid w:val="00837AD6"/>
    <w:rsid w:val="0084345E"/>
    <w:rsid w:val="008455EB"/>
    <w:rsid w:val="0085036E"/>
    <w:rsid w:val="00854A82"/>
    <w:rsid w:val="00860C8C"/>
    <w:rsid w:val="008638C4"/>
    <w:rsid w:val="00866E39"/>
    <w:rsid w:val="008737FC"/>
    <w:rsid w:val="00875BC5"/>
    <w:rsid w:val="00884486"/>
    <w:rsid w:val="0089219C"/>
    <w:rsid w:val="008944AE"/>
    <w:rsid w:val="00894643"/>
    <w:rsid w:val="008A2C86"/>
    <w:rsid w:val="008A46ED"/>
    <w:rsid w:val="008A4D75"/>
    <w:rsid w:val="008A787C"/>
    <w:rsid w:val="008B492C"/>
    <w:rsid w:val="008C164A"/>
    <w:rsid w:val="008C2EFF"/>
    <w:rsid w:val="008D74DA"/>
    <w:rsid w:val="008D7F0D"/>
    <w:rsid w:val="008E0A79"/>
    <w:rsid w:val="0090180B"/>
    <w:rsid w:val="00905CDE"/>
    <w:rsid w:val="00906136"/>
    <w:rsid w:val="0090678A"/>
    <w:rsid w:val="009127C5"/>
    <w:rsid w:val="009165E1"/>
    <w:rsid w:val="009226A6"/>
    <w:rsid w:val="0092612D"/>
    <w:rsid w:val="0093470C"/>
    <w:rsid w:val="00935657"/>
    <w:rsid w:val="00937BDF"/>
    <w:rsid w:val="00940AAD"/>
    <w:rsid w:val="00940EB6"/>
    <w:rsid w:val="00953A8B"/>
    <w:rsid w:val="00956321"/>
    <w:rsid w:val="00961AAB"/>
    <w:rsid w:val="00962426"/>
    <w:rsid w:val="00972619"/>
    <w:rsid w:val="00973D13"/>
    <w:rsid w:val="00982E93"/>
    <w:rsid w:val="009866B1"/>
    <w:rsid w:val="00987072"/>
    <w:rsid w:val="00997319"/>
    <w:rsid w:val="00997A38"/>
    <w:rsid w:val="009A6352"/>
    <w:rsid w:val="009B5DA5"/>
    <w:rsid w:val="009C133C"/>
    <w:rsid w:val="009C25C6"/>
    <w:rsid w:val="009C31F7"/>
    <w:rsid w:val="009C4676"/>
    <w:rsid w:val="009C72DD"/>
    <w:rsid w:val="009D1D3E"/>
    <w:rsid w:val="009D2B8D"/>
    <w:rsid w:val="009E2AB7"/>
    <w:rsid w:val="009E33A8"/>
    <w:rsid w:val="00A04083"/>
    <w:rsid w:val="00A063B7"/>
    <w:rsid w:val="00A06932"/>
    <w:rsid w:val="00A07066"/>
    <w:rsid w:val="00A07817"/>
    <w:rsid w:val="00A108DE"/>
    <w:rsid w:val="00A11C3D"/>
    <w:rsid w:val="00A12619"/>
    <w:rsid w:val="00A138DE"/>
    <w:rsid w:val="00A3118E"/>
    <w:rsid w:val="00A4640A"/>
    <w:rsid w:val="00A50355"/>
    <w:rsid w:val="00A50CDA"/>
    <w:rsid w:val="00A50DD6"/>
    <w:rsid w:val="00A53E0B"/>
    <w:rsid w:val="00A55814"/>
    <w:rsid w:val="00A61EE1"/>
    <w:rsid w:val="00A6296E"/>
    <w:rsid w:val="00A63E64"/>
    <w:rsid w:val="00A7100F"/>
    <w:rsid w:val="00A72B53"/>
    <w:rsid w:val="00A83238"/>
    <w:rsid w:val="00A95153"/>
    <w:rsid w:val="00A97C92"/>
    <w:rsid w:val="00AA0769"/>
    <w:rsid w:val="00AA3062"/>
    <w:rsid w:val="00AA5A63"/>
    <w:rsid w:val="00AA6B7C"/>
    <w:rsid w:val="00AA7FF8"/>
    <w:rsid w:val="00AB3CCC"/>
    <w:rsid w:val="00AB72EA"/>
    <w:rsid w:val="00AC3FFE"/>
    <w:rsid w:val="00AD04D6"/>
    <w:rsid w:val="00AD2252"/>
    <w:rsid w:val="00AD3BC9"/>
    <w:rsid w:val="00AE12E0"/>
    <w:rsid w:val="00AE388C"/>
    <w:rsid w:val="00AF0831"/>
    <w:rsid w:val="00AF08B2"/>
    <w:rsid w:val="00B11516"/>
    <w:rsid w:val="00B1775D"/>
    <w:rsid w:val="00B241B1"/>
    <w:rsid w:val="00B26DE0"/>
    <w:rsid w:val="00B30305"/>
    <w:rsid w:val="00B31A32"/>
    <w:rsid w:val="00B320E5"/>
    <w:rsid w:val="00B37829"/>
    <w:rsid w:val="00B37D8A"/>
    <w:rsid w:val="00B41660"/>
    <w:rsid w:val="00B42CE9"/>
    <w:rsid w:val="00B46999"/>
    <w:rsid w:val="00B57B38"/>
    <w:rsid w:val="00B673DF"/>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645B3"/>
    <w:rsid w:val="00C7446E"/>
    <w:rsid w:val="00C8131F"/>
    <w:rsid w:val="00C878F5"/>
    <w:rsid w:val="00C91F4C"/>
    <w:rsid w:val="00C96D03"/>
    <w:rsid w:val="00CA33AA"/>
    <w:rsid w:val="00CA5055"/>
    <w:rsid w:val="00CA5DB7"/>
    <w:rsid w:val="00CB7E84"/>
    <w:rsid w:val="00CB7F22"/>
    <w:rsid w:val="00CC1798"/>
    <w:rsid w:val="00CC5AF2"/>
    <w:rsid w:val="00CC61F8"/>
    <w:rsid w:val="00CD0A28"/>
    <w:rsid w:val="00CD4389"/>
    <w:rsid w:val="00CD73BD"/>
    <w:rsid w:val="00CD7801"/>
    <w:rsid w:val="00CE5E2C"/>
    <w:rsid w:val="00CE622B"/>
    <w:rsid w:val="00CF27BA"/>
    <w:rsid w:val="00CF3547"/>
    <w:rsid w:val="00CF3B64"/>
    <w:rsid w:val="00D00C9D"/>
    <w:rsid w:val="00D101BA"/>
    <w:rsid w:val="00D2057A"/>
    <w:rsid w:val="00D22D5C"/>
    <w:rsid w:val="00D25DEF"/>
    <w:rsid w:val="00D31033"/>
    <w:rsid w:val="00D33A1A"/>
    <w:rsid w:val="00D3645C"/>
    <w:rsid w:val="00D5039B"/>
    <w:rsid w:val="00D53C14"/>
    <w:rsid w:val="00D56489"/>
    <w:rsid w:val="00D65209"/>
    <w:rsid w:val="00D6661C"/>
    <w:rsid w:val="00D70AE4"/>
    <w:rsid w:val="00D71631"/>
    <w:rsid w:val="00D725BE"/>
    <w:rsid w:val="00D72B9F"/>
    <w:rsid w:val="00D81722"/>
    <w:rsid w:val="00D85169"/>
    <w:rsid w:val="00D85CF2"/>
    <w:rsid w:val="00D87AD4"/>
    <w:rsid w:val="00DB40DC"/>
    <w:rsid w:val="00DB7BED"/>
    <w:rsid w:val="00DC0080"/>
    <w:rsid w:val="00DD1E2B"/>
    <w:rsid w:val="00DE1966"/>
    <w:rsid w:val="00DE3E99"/>
    <w:rsid w:val="00DE504B"/>
    <w:rsid w:val="00DE6604"/>
    <w:rsid w:val="00DE7646"/>
    <w:rsid w:val="00DF0256"/>
    <w:rsid w:val="00DF665E"/>
    <w:rsid w:val="00DF7FD1"/>
    <w:rsid w:val="00E0003B"/>
    <w:rsid w:val="00E0171B"/>
    <w:rsid w:val="00E02B88"/>
    <w:rsid w:val="00E03ADF"/>
    <w:rsid w:val="00E1214D"/>
    <w:rsid w:val="00E1335B"/>
    <w:rsid w:val="00E15437"/>
    <w:rsid w:val="00E30019"/>
    <w:rsid w:val="00E3160B"/>
    <w:rsid w:val="00E40CA3"/>
    <w:rsid w:val="00E52960"/>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4CAB"/>
    <w:rsid w:val="00F7738C"/>
    <w:rsid w:val="00F81DC4"/>
    <w:rsid w:val="00F83841"/>
    <w:rsid w:val="00F85D79"/>
    <w:rsid w:val="00F90D35"/>
    <w:rsid w:val="00F91EB3"/>
    <w:rsid w:val="00F92ED9"/>
    <w:rsid w:val="00F95FF5"/>
    <w:rsid w:val="00F972C4"/>
    <w:rsid w:val="00F978FB"/>
    <w:rsid w:val="00FA4413"/>
    <w:rsid w:val="00FA4464"/>
    <w:rsid w:val="00FB24EE"/>
    <w:rsid w:val="00FB5CCD"/>
    <w:rsid w:val="00FB71D4"/>
    <w:rsid w:val="00FC0511"/>
    <w:rsid w:val="00FC49EF"/>
    <w:rsid w:val="00FC4D28"/>
    <w:rsid w:val="00FC6E9D"/>
    <w:rsid w:val="00FC7F7A"/>
    <w:rsid w:val="00FD2D24"/>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98CF7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aliases w:val="number,SUPERS,(Footnote Reference),Footnote symbol,Char1 Char Char Char Char,Footnote Reference Superscript,Footnote number,-E Fußnotenzeichen,stylish,BVI fnr,EN Footnote Reference,-E Fuﬂnotenzeichen,cal,-E Fuûnotenzeichen,FR, BVI fnr"/>
    <w:link w:val="SUPERSChar"/>
    <w:qFormat/>
    <w:rsid w:val="00EE6AE0"/>
    <w:rPr>
      <w:rFonts w:ascii="TimesNewRomanPS" w:hAnsi="TimesNewRomanPS"/>
      <w:position w:val="6"/>
      <w:sz w:val="16"/>
      <w:szCs w:val="16"/>
    </w:rPr>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ft,o,Char"/>
    <w:basedOn w:val="Normal"/>
    <w:link w:val="FootnoteTextChar"/>
    <w:qFormat/>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ft Char,o Char"/>
    <w:basedOn w:val="DefaultParagraphFont"/>
    <w:link w:val="FootnoteText"/>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customStyle="1" w:styleId="SUPERSChar">
    <w:name w:val="SUPERS Char"/>
    <w:aliases w:val="EN Footnote Reference Char"/>
    <w:basedOn w:val="Normal"/>
    <w:link w:val="FootnoteReference"/>
    <w:rsid w:val="00067D56"/>
    <w:pPr>
      <w:widowControl w:val="0"/>
      <w:adjustRightInd w:val="0"/>
      <w:spacing w:after="160" w:line="240" w:lineRule="exact"/>
      <w:jc w:val="both"/>
    </w:pPr>
    <w:rPr>
      <w:rFonts w:ascii="TimesNewRomanPS" w:hAnsi="TimesNewRomanP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40E1C70F-76E8-4CA4-9233-74D4855D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2328</Words>
  <Characters>13503</Characters>
  <Application>Microsoft Office Word</Application>
  <DocSecurity>0</DocSecurity>
  <Lines>355</Lines>
  <Paragraphs>173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2021-08-05T13:58:00Z</dcterms:created>
  <dcterms:modified xsi:type="dcterms:W3CDTF">2021-08-05T13:58:00Z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